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png" ContentType="image/png"/>
  <Default Extension="emf" ContentType="image/x-emf"/>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15"/>
        <w:rPr>
          <w:color w:val="FF0000"/>
          <w:u w:val="none"/>
        </w:rPr>
      </w:pPr>
    </w:p>
    <w:p>
      <w:pPr>
        <w:rPr>
          <w:rFonts w:eastAsia="仿宋_GB2312" w:cs="仿宋_GB2312"/>
          <w:color w:val="FF0000"/>
          <w:sz w:val="36"/>
          <w:szCs w:val="36"/>
          <w:u w:val="none"/>
        </w:rPr>
      </w:pPr>
    </w:p>
    <w:p>
      <w:pPr>
        <w:rPr>
          <w:rFonts w:eastAsia="仿宋_GB2312" w:cs="仿宋_GB2312"/>
          <w:color w:val="FF0000"/>
          <w:sz w:val="36"/>
          <w:szCs w:val="36"/>
          <w:u w:val="none"/>
        </w:rPr>
      </w:pPr>
    </w:p>
    <w:p>
      <w:pPr>
        <w:rPr>
          <w:rFonts w:hint="eastAsia" w:eastAsia="仿宋_GB2312" w:cs="仿宋_GB2312"/>
          <w:color w:val="FF0000"/>
          <w:sz w:val="36"/>
          <w:szCs w:val="36"/>
          <w:u w:val="none"/>
        </w:rPr>
      </w:pPr>
    </w:p>
    <w:p>
      <w:pPr>
        <w:adjustRightInd w:val="0"/>
        <w:snapToGrid w:val="0"/>
        <w:jc w:val="center"/>
        <w:outlineLvl w:val="0"/>
        <w:rPr>
          <w:rFonts w:hint="eastAsia" w:eastAsia="方正小标宋_GBK"/>
          <w:bCs/>
          <w:color w:val="000000"/>
          <w:sz w:val="72"/>
          <w:szCs w:val="72"/>
          <w:u w:val="none"/>
        </w:rPr>
      </w:pPr>
      <w:bookmarkStart w:id="0" w:name="_Toc24475"/>
      <w:bookmarkStart w:id="1" w:name="_Toc23571"/>
      <w:r>
        <w:rPr>
          <w:rFonts w:hint="eastAsia" w:eastAsia="方正小标宋_GBK"/>
          <w:bCs/>
          <w:color w:val="000000"/>
          <w:sz w:val="72"/>
          <w:szCs w:val="72"/>
          <w:u w:val="none"/>
        </w:rPr>
        <w:t>建设项目环境影响报告表</w:t>
      </w:r>
      <w:bookmarkEnd w:id="0"/>
      <w:bookmarkEnd w:id="1"/>
    </w:p>
    <w:p>
      <w:pPr>
        <w:adjustRightInd w:val="0"/>
        <w:snapToGrid w:val="0"/>
        <w:spacing w:before="192" w:beforeLines="80"/>
        <w:jc w:val="center"/>
        <w:rPr>
          <w:rFonts w:hint="eastAsia" w:eastAsia="楷体_GB2312"/>
          <w:bCs/>
          <w:color w:val="000000"/>
          <w:sz w:val="48"/>
          <w:szCs w:val="48"/>
          <w:u w:val="none"/>
        </w:rPr>
      </w:pPr>
      <w:r>
        <w:rPr>
          <w:rFonts w:hint="eastAsia" w:eastAsia="楷体_GB2312"/>
          <w:bCs/>
          <w:color w:val="000000"/>
          <w:sz w:val="48"/>
          <w:szCs w:val="48"/>
          <w:u w:val="none"/>
        </w:rPr>
        <w:t>（污染影响类）</w:t>
      </w:r>
    </w:p>
    <w:p>
      <w:pPr>
        <w:adjustRightInd w:val="0"/>
        <w:snapToGrid w:val="0"/>
        <w:spacing w:line="288" w:lineRule="auto"/>
        <w:jc w:val="center"/>
        <w:rPr>
          <w:rFonts w:eastAsia="华文仿宋" w:cs="华文仿宋"/>
          <w:color w:val="000000"/>
          <w:kern w:val="44"/>
          <w:sz w:val="44"/>
          <w:szCs w:val="44"/>
          <w:u w:val="none"/>
        </w:rPr>
      </w:pPr>
    </w:p>
    <w:p>
      <w:pPr>
        <w:jc w:val="center"/>
        <w:rPr>
          <w:rFonts w:eastAsia="仿宋"/>
          <w:color w:val="000000"/>
          <w:sz w:val="52"/>
          <w:szCs w:val="52"/>
          <w:u w:val="none"/>
        </w:rPr>
      </w:pPr>
    </w:p>
    <w:p>
      <w:pPr>
        <w:ind w:firstLine="1040"/>
        <w:rPr>
          <w:rFonts w:eastAsia="仿宋"/>
          <w:color w:val="000000"/>
          <w:sz w:val="44"/>
          <w:szCs w:val="44"/>
          <w:u w:val="none"/>
        </w:rPr>
      </w:pPr>
    </w:p>
    <w:p>
      <w:pPr>
        <w:ind w:firstLine="1040"/>
        <w:rPr>
          <w:rFonts w:eastAsia="仿宋"/>
          <w:color w:val="000000"/>
          <w:sz w:val="44"/>
          <w:szCs w:val="44"/>
          <w:u w:val="none"/>
        </w:rPr>
      </w:pPr>
    </w:p>
    <w:p>
      <w:pPr>
        <w:ind w:firstLine="1040"/>
        <w:rPr>
          <w:rFonts w:eastAsia="仿宋"/>
          <w:color w:val="000000"/>
          <w:sz w:val="44"/>
          <w:szCs w:val="44"/>
          <w:u w:val="none"/>
        </w:rPr>
      </w:pPr>
    </w:p>
    <w:p>
      <w:pPr>
        <w:ind w:firstLine="1040"/>
        <w:rPr>
          <w:rFonts w:eastAsia="仿宋"/>
          <w:color w:val="000000"/>
          <w:sz w:val="44"/>
          <w:szCs w:val="44"/>
          <w:u w:val="none"/>
        </w:rPr>
      </w:pPr>
    </w:p>
    <w:p>
      <w:pPr>
        <w:keepNext w:val="0"/>
        <w:keepLines w:val="0"/>
        <w:pageBreakBefore w:val="0"/>
        <w:widowControl w:val="0"/>
        <w:kinsoku/>
        <w:wordWrap/>
        <w:overflowPunct/>
        <w:topLinePunct w:val="0"/>
        <w:autoSpaceDE/>
        <w:autoSpaceDN/>
        <w:bidi w:val="0"/>
        <w:adjustRightInd w:val="0"/>
        <w:snapToGrid w:val="0"/>
        <w:spacing w:line="480" w:lineRule="auto"/>
        <w:ind w:left="1799" w:leftChars="171" w:hanging="1440" w:hangingChars="400"/>
        <w:jc w:val="left"/>
        <w:textAlignment w:val="auto"/>
        <w:rPr>
          <w:rFonts w:hint="eastAsia" w:eastAsia="仿宋_GB2312"/>
          <w:color w:val="000000"/>
          <w:sz w:val="36"/>
          <w:szCs w:val="36"/>
          <w:u w:val="single"/>
          <w:lang w:eastAsia="zh-CN"/>
        </w:rPr>
      </w:pPr>
      <w:r>
        <w:rPr>
          <w:rFonts w:hint="eastAsia" w:eastAsia="仿宋_GB2312"/>
          <w:color w:val="000000"/>
          <w:sz w:val="36"/>
          <w:szCs w:val="36"/>
          <w:u w:val="none"/>
        </w:rPr>
        <w:t>项目名称：</w:t>
      </w:r>
      <w:r>
        <w:rPr>
          <w:rFonts w:hint="eastAsia" w:eastAsia="仿宋_GB2312"/>
          <w:color w:val="000000"/>
          <w:sz w:val="36"/>
          <w:szCs w:val="36"/>
          <w:u w:val="single"/>
          <w:lang w:eastAsia="zh-CN"/>
        </w:rPr>
        <w:t>衡阳县财源页岩砖有限公司资源化利用珠晖区原中盐天友及学宫路遗留废渣项目</w:t>
      </w:r>
    </w:p>
    <w:p>
      <w:pPr>
        <w:adjustRightInd w:val="0"/>
        <w:snapToGrid w:val="0"/>
        <w:spacing w:line="480" w:lineRule="auto"/>
        <w:ind w:firstLine="360" w:firstLineChars="100"/>
        <w:rPr>
          <w:rFonts w:hint="eastAsia" w:eastAsia="仿宋_GB2312"/>
          <w:color w:val="000000"/>
          <w:sz w:val="36"/>
          <w:szCs w:val="36"/>
          <w:u w:val="single"/>
          <w:lang w:eastAsia="zh-CN"/>
        </w:rPr>
      </w:pPr>
      <w:r>
        <w:rPr>
          <w:rFonts w:hint="eastAsia" w:eastAsia="仿宋_GB2312"/>
          <w:color w:val="000000"/>
          <w:sz w:val="36"/>
          <w:szCs w:val="36"/>
          <w:u w:val="none"/>
        </w:rPr>
        <w:t>建设单位（盖章）：</w:t>
      </w:r>
      <w:r>
        <w:rPr>
          <w:rFonts w:hint="eastAsia" w:eastAsia="仿宋_GB2312"/>
          <w:color w:val="000000"/>
          <w:sz w:val="36"/>
          <w:szCs w:val="36"/>
          <w:u w:val="single"/>
        </w:rPr>
        <w:t>衡阳县财源页岩砖有限公司</w:t>
      </w:r>
    </w:p>
    <w:p>
      <w:pPr>
        <w:adjustRightInd w:val="0"/>
        <w:snapToGrid w:val="0"/>
        <w:spacing w:line="480" w:lineRule="auto"/>
        <w:ind w:firstLine="360" w:firstLineChars="100"/>
        <w:jc w:val="left"/>
        <w:rPr>
          <w:rFonts w:hint="eastAsia" w:eastAsia="仿宋_GB2312"/>
          <w:color w:val="000000"/>
          <w:sz w:val="36"/>
          <w:szCs w:val="36"/>
          <w:u w:val="single"/>
          <w:lang w:eastAsia="zh-CN"/>
        </w:rPr>
      </w:pPr>
      <w:r>
        <w:rPr>
          <w:rFonts w:hint="eastAsia" w:eastAsia="仿宋_GB2312"/>
          <w:color w:val="000000"/>
          <w:sz w:val="36"/>
          <w:szCs w:val="36"/>
          <w:u w:val="none"/>
        </w:rPr>
        <w:t>编制日期：</w:t>
      </w:r>
      <w:r>
        <w:rPr>
          <w:rFonts w:hint="eastAsia" w:eastAsia="仿宋_GB2312"/>
          <w:color w:val="000000"/>
          <w:sz w:val="36"/>
          <w:szCs w:val="36"/>
          <w:u w:val="single"/>
        </w:rPr>
        <w:t>202</w:t>
      </w:r>
      <w:r>
        <w:rPr>
          <w:rFonts w:hint="eastAsia" w:eastAsia="仿宋_GB2312"/>
          <w:color w:val="000000"/>
          <w:sz w:val="36"/>
          <w:szCs w:val="36"/>
          <w:u w:val="single"/>
          <w:lang w:val="en-US" w:eastAsia="zh-CN"/>
        </w:rPr>
        <w:t>5</w:t>
      </w:r>
      <w:r>
        <w:rPr>
          <w:rFonts w:hint="eastAsia" w:eastAsia="仿宋_GB2312"/>
          <w:color w:val="000000"/>
          <w:sz w:val="36"/>
          <w:szCs w:val="36"/>
          <w:u w:val="single"/>
        </w:rPr>
        <w:t>年</w:t>
      </w:r>
      <w:r>
        <w:rPr>
          <w:rFonts w:hint="eastAsia" w:eastAsia="仿宋_GB2312"/>
          <w:color w:val="000000"/>
          <w:sz w:val="36"/>
          <w:szCs w:val="36"/>
          <w:u w:val="single"/>
          <w:lang w:val="en-US" w:eastAsia="zh-CN"/>
        </w:rPr>
        <w:t>7</w:t>
      </w:r>
      <w:r>
        <w:rPr>
          <w:rFonts w:hint="eastAsia" w:eastAsia="仿宋_GB2312"/>
          <w:color w:val="000000"/>
          <w:sz w:val="36"/>
          <w:szCs w:val="36"/>
          <w:u w:val="single"/>
        </w:rPr>
        <w:t>月</w:t>
      </w:r>
    </w:p>
    <w:p>
      <w:pPr>
        <w:adjustRightInd w:val="0"/>
        <w:snapToGrid w:val="0"/>
        <w:spacing w:line="288" w:lineRule="auto"/>
        <w:rPr>
          <w:rFonts w:eastAsia="仿宋_GB2312"/>
          <w:b/>
          <w:bCs/>
          <w:color w:val="FF0000"/>
          <w:sz w:val="36"/>
          <w:szCs w:val="36"/>
          <w:u w:val="none"/>
        </w:rPr>
      </w:pPr>
      <w:bookmarkStart w:id="2" w:name="_Hlk57884087"/>
    </w:p>
    <w:bookmarkEnd w:id="2"/>
    <w:p>
      <w:pPr>
        <w:adjustRightInd w:val="0"/>
        <w:snapToGrid w:val="0"/>
        <w:spacing w:line="288" w:lineRule="auto"/>
        <w:jc w:val="center"/>
        <w:rPr>
          <w:rFonts w:hint="eastAsia" w:eastAsia="楷体_GB2312"/>
          <w:color w:val="000000"/>
          <w:sz w:val="36"/>
          <w:szCs w:val="36"/>
          <w:u w:val="none"/>
        </w:rPr>
      </w:pPr>
      <w:r>
        <w:rPr>
          <w:rFonts w:hint="eastAsia" w:eastAsia="楷体_GB2312"/>
          <w:color w:val="000000"/>
          <w:sz w:val="36"/>
          <w:szCs w:val="36"/>
          <w:u w:val="none"/>
        </w:rPr>
        <w:t>中华人民共和国生态环境部制</w:t>
      </w:r>
    </w:p>
    <w:p>
      <w:pPr>
        <w:pStyle w:val="2"/>
        <w:rPr>
          <w:rFonts w:hint="eastAsia" w:eastAsia="楷体_GB2312"/>
          <w:color w:val="000000"/>
          <w:sz w:val="36"/>
          <w:szCs w:val="36"/>
          <w:u w:val="none"/>
        </w:rPr>
      </w:pPr>
    </w:p>
    <w:p>
      <w:pPr>
        <w:rPr>
          <w:rFonts w:hint="eastAsia" w:eastAsia="宋体"/>
          <w:b/>
          <w:bCs/>
          <w:color w:val="000000"/>
          <w:sz w:val="32"/>
          <w:szCs w:val="32"/>
          <w:u w:val="none"/>
          <w:lang w:eastAsia="zh-CN"/>
        </w:rPr>
      </w:pPr>
    </w:p>
    <w:p>
      <w:pPr>
        <w:pStyle w:val="2"/>
        <w:rPr>
          <w:rFonts w:hint="eastAsia" w:eastAsia="宋体"/>
          <w:b/>
          <w:bCs/>
          <w:color w:val="000000"/>
          <w:sz w:val="32"/>
          <w:szCs w:val="32"/>
          <w:u w:val="none"/>
          <w:lang w:eastAsia="zh-CN"/>
        </w:rPr>
        <w:sectPr>
          <w:pgSz w:w="11906" w:h="16838"/>
          <w:pgMar w:top="1440" w:right="1417" w:bottom="1440" w:left="1417" w:header="992" w:footer="850" w:gutter="0"/>
          <w:pgBorders>
            <w:top w:val="none" w:sz="0" w:space="0"/>
            <w:left w:val="none" w:sz="0" w:space="0"/>
            <w:bottom w:val="none" w:sz="0" w:space="0"/>
            <w:right w:val="none" w:sz="0" w:space="0"/>
          </w:pgBorders>
          <w:pgNumType w:fmt="decimal" w:start="1"/>
          <w:cols w:space="720" w:num="1"/>
          <w:docGrid w:type="lines" w:linePitch="312" w:charSpace="0"/>
        </w:sectPr>
      </w:pPr>
    </w:p>
    <w:p>
      <w:pPr>
        <w:pStyle w:val="15"/>
        <w:jc w:val="center"/>
        <w:rPr>
          <w:b/>
          <w:bCs/>
          <w:color w:val="000000"/>
          <w:sz w:val="32"/>
          <w:szCs w:val="32"/>
          <w:u w:val="none"/>
        </w:rPr>
      </w:pPr>
      <w:r>
        <w:rPr>
          <w:rFonts w:hint="eastAsia"/>
          <w:b/>
          <w:bCs/>
          <w:sz w:val="24"/>
          <w:szCs w:val="24"/>
          <w:lang w:eastAsia="zh-CN"/>
        </w:rPr>
        <w:drawing>
          <wp:inline distT="0" distB="0" distL="114300" distR="114300">
            <wp:extent cx="5758815" cy="8134350"/>
            <wp:effectExtent l="0" t="0" r="13335" b="0"/>
            <wp:docPr id="156" name="图片 156" descr="b6fec011fe9f93d1251b842382eb54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6" descr="b6fec011fe9f93d1251b842382eb54d"/>
                    <pic:cNvPicPr>
                      <a:picLocks noChangeAspect="1"/>
                    </pic:cNvPicPr>
                  </pic:nvPicPr>
                  <pic:blipFill>
                    <a:blip r:embed="rId7"/>
                    <a:stretch>
                      <a:fillRect/>
                    </a:stretch>
                  </pic:blipFill>
                  <pic:spPr>
                    <a:xfrm>
                      <a:off x="0" y="0"/>
                      <a:ext cx="5758815" cy="8134350"/>
                    </a:xfrm>
                    <a:prstGeom prst="rect">
                      <a:avLst/>
                    </a:prstGeom>
                  </pic:spPr>
                </pic:pic>
              </a:graphicData>
            </a:graphic>
          </wp:inline>
        </w:drawing>
      </w:r>
      <w:r>
        <w:rPr>
          <w:rFonts w:hint="eastAsia"/>
          <w:b/>
          <w:bCs/>
          <w:sz w:val="24"/>
          <w:szCs w:val="24"/>
          <w:lang w:eastAsia="zh-CN"/>
        </w:rPr>
        <w:drawing>
          <wp:inline distT="0" distB="0" distL="114300" distR="114300">
            <wp:extent cx="5758815" cy="8134350"/>
            <wp:effectExtent l="0" t="0" r="13335" b="0"/>
            <wp:docPr id="158" name="图片 158" descr="733ea4fd848e4b1b12691640402b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descr="733ea4fd848e4b1b12691640402b154"/>
                    <pic:cNvPicPr>
                      <a:picLocks noChangeAspect="1"/>
                    </pic:cNvPicPr>
                  </pic:nvPicPr>
                  <pic:blipFill>
                    <a:blip r:embed="rId8"/>
                    <a:stretch>
                      <a:fillRect/>
                    </a:stretch>
                  </pic:blipFill>
                  <pic:spPr>
                    <a:xfrm>
                      <a:off x="0" y="0"/>
                      <a:ext cx="5758815" cy="8134350"/>
                    </a:xfrm>
                    <a:prstGeom prst="rect">
                      <a:avLst/>
                    </a:prstGeom>
                  </pic:spPr>
                </pic:pic>
              </a:graphicData>
            </a:graphic>
          </wp:inline>
        </w:drawing>
      </w:r>
      <w:r>
        <w:rPr>
          <w:rFonts w:hint="eastAsia"/>
          <w:b/>
          <w:bCs/>
          <w:sz w:val="24"/>
          <w:szCs w:val="24"/>
          <w:lang w:eastAsia="zh-CN"/>
        </w:rPr>
        <w:drawing>
          <wp:inline distT="0" distB="0" distL="114300" distR="114300">
            <wp:extent cx="5758815" cy="8134350"/>
            <wp:effectExtent l="0" t="0" r="13335" b="0"/>
            <wp:docPr id="159" name="图片 159" descr="6bd21facf1a7462bdf01c4364e882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9" descr="6bd21facf1a7462bdf01c4364e882ce"/>
                    <pic:cNvPicPr>
                      <a:picLocks noChangeAspect="1"/>
                    </pic:cNvPicPr>
                  </pic:nvPicPr>
                  <pic:blipFill>
                    <a:blip r:embed="rId9"/>
                    <a:stretch>
                      <a:fillRect/>
                    </a:stretch>
                  </pic:blipFill>
                  <pic:spPr>
                    <a:xfrm>
                      <a:off x="0" y="0"/>
                      <a:ext cx="5758815" cy="8134350"/>
                    </a:xfrm>
                    <a:prstGeom prst="rect">
                      <a:avLst/>
                    </a:prstGeom>
                  </pic:spPr>
                </pic:pic>
              </a:graphicData>
            </a:graphic>
          </wp:inline>
        </w:drawing>
      </w:r>
      <w:r>
        <w:rPr>
          <w:rFonts w:hint="eastAsia"/>
          <w:b/>
          <w:bCs/>
          <w:sz w:val="24"/>
          <w:szCs w:val="24"/>
          <w:lang w:eastAsia="zh-CN"/>
        </w:rPr>
        <w:drawing>
          <wp:inline distT="0" distB="0" distL="114300" distR="114300">
            <wp:extent cx="5758815" cy="8134350"/>
            <wp:effectExtent l="0" t="0" r="13335" b="0"/>
            <wp:docPr id="160" name="图片 160" descr="a6c64adb1890739023dfdd5dd9e46f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60" descr="a6c64adb1890739023dfdd5dd9e46fc"/>
                    <pic:cNvPicPr>
                      <a:picLocks noChangeAspect="1"/>
                    </pic:cNvPicPr>
                  </pic:nvPicPr>
                  <pic:blipFill>
                    <a:blip r:embed="rId10"/>
                    <a:stretch>
                      <a:fillRect/>
                    </a:stretch>
                  </pic:blipFill>
                  <pic:spPr>
                    <a:xfrm>
                      <a:off x="0" y="0"/>
                      <a:ext cx="5758815" cy="8134350"/>
                    </a:xfrm>
                    <a:prstGeom prst="rect">
                      <a:avLst/>
                    </a:prstGeom>
                  </pic:spPr>
                </pic:pic>
              </a:graphicData>
            </a:graphic>
          </wp:inline>
        </w:drawing>
      </w:r>
      <w:r>
        <w:rPr>
          <w:rFonts w:hint="eastAsia"/>
          <w:b/>
          <w:bCs/>
          <w:sz w:val="24"/>
          <w:szCs w:val="24"/>
          <w:lang w:eastAsia="zh-CN"/>
        </w:rPr>
        <w:drawing>
          <wp:inline distT="0" distB="0" distL="114300" distR="114300">
            <wp:extent cx="5758815" cy="8134350"/>
            <wp:effectExtent l="0" t="0" r="13335" b="0"/>
            <wp:docPr id="161" name="图片 161" descr="ece21a2cc08722529aecac71d32d4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61" descr="ece21a2cc08722529aecac71d32d4a1"/>
                    <pic:cNvPicPr>
                      <a:picLocks noChangeAspect="1"/>
                    </pic:cNvPicPr>
                  </pic:nvPicPr>
                  <pic:blipFill>
                    <a:blip r:embed="rId11"/>
                    <a:stretch>
                      <a:fillRect/>
                    </a:stretch>
                  </pic:blipFill>
                  <pic:spPr>
                    <a:xfrm>
                      <a:off x="0" y="0"/>
                      <a:ext cx="5758815" cy="8134350"/>
                    </a:xfrm>
                    <a:prstGeom prst="rect">
                      <a:avLst/>
                    </a:prstGeom>
                  </pic:spPr>
                </pic:pic>
              </a:graphicData>
            </a:graphic>
          </wp:inline>
        </w:drawing>
      </w:r>
      <w:r>
        <w:rPr>
          <w:rFonts w:hint="eastAsia"/>
          <w:b/>
          <w:bCs/>
          <w:sz w:val="24"/>
          <w:szCs w:val="24"/>
          <w:lang w:eastAsia="zh-CN"/>
        </w:rPr>
        <w:drawing>
          <wp:inline distT="0" distB="0" distL="114300" distR="114300">
            <wp:extent cx="5758815" cy="8134350"/>
            <wp:effectExtent l="0" t="0" r="13335" b="0"/>
            <wp:docPr id="164" name="图片 164" descr="57b2ea6574f86b504fa27f63789f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64" descr="57b2ea6574f86b504fa27f63789f712"/>
                    <pic:cNvPicPr>
                      <a:picLocks noChangeAspect="1"/>
                    </pic:cNvPicPr>
                  </pic:nvPicPr>
                  <pic:blipFill>
                    <a:blip r:embed="rId12"/>
                    <a:stretch>
                      <a:fillRect/>
                    </a:stretch>
                  </pic:blipFill>
                  <pic:spPr>
                    <a:xfrm>
                      <a:off x="0" y="0"/>
                      <a:ext cx="5758815" cy="8134350"/>
                    </a:xfrm>
                    <a:prstGeom prst="rect">
                      <a:avLst/>
                    </a:prstGeom>
                  </pic:spPr>
                </pic:pic>
              </a:graphicData>
            </a:graphic>
          </wp:inline>
        </w:drawing>
      </w:r>
      <w:r>
        <w:rPr>
          <w:rFonts w:hint="eastAsia"/>
          <w:b/>
          <w:bCs/>
          <w:sz w:val="24"/>
          <w:szCs w:val="24"/>
          <w:lang w:eastAsia="zh-CN"/>
        </w:rPr>
        <w:drawing>
          <wp:inline distT="0" distB="0" distL="114300" distR="114300">
            <wp:extent cx="5758815" cy="8134350"/>
            <wp:effectExtent l="0" t="0" r="13335" b="0"/>
            <wp:docPr id="165" name="图片 165" descr="385469b76357336360120e42445d4a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65" descr="385469b76357336360120e42445d4a8"/>
                    <pic:cNvPicPr>
                      <a:picLocks noChangeAspect="1"/>
                    </pic:cNvPicPr>
                  </pic:nvPicPr>
                  <pic:blipFill>
                    <a:blip r:embed="rId13"/>
                    <a:stretch>
                      <a:fillRect/>
                    </a:stretch>
                  </pic:blipFill>
                  <pic:spPr>
                    <a:xfrm>
                      <a:off x="0" y="0"/>
                      <a:ext cx="5758815" cy="8134350"/>
                    </a:xfrm>
                    <a:prstGeom prst="rect">
                      <a:avLst/>
                    </a:prstGeom>
                  </pic:spPr>
                </pic:pic>
              </a:graphicData>
            </a:graphic>
          </wp:inline>
        </w:drawing>
      </w:r>
      <w:r>
        <w:rPr>
          <w:rFonts w:hint="eastAsia"/>
          <w:b/>
          <w:bCs/>
          <w:sz w:val="24"/>
          <w:szCs w:val="24"/>
          <w:lang w:eastAsia="zh-CN"/>
        </w:rPr>
        <w:drawing>
          <wp:inline distT="0" distB="0" distL="114300" distR="114300">
            <wp:extent cx="5758815" cy="8134350"/>
            <wp:effectExtent l="0" t="0" r="13335" b="0"/>
            <wp:docPr id="168" name="图片 168" descr="e126d0c25888bdad8940b16a09f4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68" descr="e126d0c25888bdad8940b16a09f4321"/>
                    <pic:cNvPicPr>
                      <a:picLocks noChangeAspect="1"/>
                    </pic:cNvPicPr>
                  </pic:nvPicPr>
                  <pic:blipFill>
                    <a:blip r:embed="rId14"/>
                    <a:stretch>
                      <a:fillRect/>
                    </a:stretch>
                  </pic:blipFill>
                  <pic:spPr>
                    <a:xfrm>
                      <a:off x="0" y="0"/>
                      <a:ext cx="5758815" cy="8134350"/>
                    </a:xfrm>
                    <a:prstGeom prst="rect">
                      <a:avLst/>
                    </a:prstGeom>
                  </pic:spPr>
                </pic:pic>
              </a:graphicData>
            </a:graphic>
          </wp:inline>
        </w:drawing>
      </w:r>
      <w:r>
        <w:rPr>
          <w:rFonts w:hint="eastAsia"/>
          <w:b/>
          <w:bCs/>
          <w:sz w:val="24"/>
          <w:szCs w:val="24"/>
          <w:lang w:eastAsia="zh-CN"/>
        </w:rPr>
        <w:drawing>
          <wp:inline distT="0" distB="0" distL="114300" distR="114300">
            <wp:extent cx="5758815" cy="8134350"/>
            <wp:effectExtent l="0" t="0" r="13335" b="0"/>
            <wp:docPr id="169" name="图片 169" descr="7583926ea5fc42a76f5bf08ad7fd2a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69" descr="7583926ea5fc42a76f5bf08ad7fd2a8"/>
                    <pic:cNvPicPr>
                      <a:picLocks noChangeAspect="1"/>
                    </pic:cNvPicPr>
                  </pic:nvPicPr>
                  <pic:blipFill>
                    <a:blip r:embed="rId15"/>
                    <a:stretch>
                      <a:fillRect/>
                    </a:stretch>
                  </pic:blipFill>
                  <pic:spPr>
                    <a:xfrm>
                      <a:off x="0" y="0"/>
                      <a:ext cx="5758815" cy="8134350"/>
                    </a:xfrm>
                    <a:prstGeom prst="rect">
                      <a:avLst/>
                    </a:prstGeom>
                  </pic:spPr>
                </pic:pic>
              </a:graphicData>
            </a:graphic>
          </wp:inline>
        </w:drawing>
      </w:r>
      <w:r>
        <w:rPr>
          <w:b/>
          <w:bCs/>
          <w:color w:val="000000"/>
          <w:sz w:val="32"/>
          <w:szCs w:val="32"/>
          <w:u w:val="none"/>
        </w:rPr>
        <w:drawing>
          <wp:inline distT="0" distB="0" distL="114300" distR="114300">
            <wp:extent cx="5766435" cy="7423785"/>
            <wp:effectExtent l="0" t="0" r="0" b="0"/>
            <wp:docPr id="174" name="图片 174" descr="db648ab7db4a3966ecd49817bee0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74" descr="db648ab7db4a3966ecd49817bee0836"/>
                    <pic:cNvPicPr>
                      <a:picLocks noChangeAspect="1"/>
                    </pic:cNvPicPr>
                  </pic:nvPicPr>
                  <pic:blipFill>
                    <a:blip r:embed="rId16"/>
                    <a:srcRect r="-177" b="8906"/>
                    <a:stretch>
                      <a:fillRect/>
                    </a:stretch>
                  </pic:blipFill>
                  <pic:spPr>
                    <a:xfrm>
                      <a:off x="0" y="0"/>
                      <a:ext cx="5766435" cy="7423785"/>
                    </a:xfrm>
                    <a:prstGeom prst="rect">
                      <a:avLst/>
                    </a:prstGeom>
                  </pic:spPr>
                </pic:pic>
              </a:graphicData>
            </a:graphic>
          </wp:inline>
        </w:drawing>
      </w:r>
    </w:p>
    <w:p>
      <w:pPr>
        <w:rPr>
          <w:b/>
          <w:bCs/>
          <w:color w:val="000000"/>
          <w:sz w:val="32"/>
          <w:szCs w:val="32"/>
          <w:u w:val="none"/>
        </w:rPr>
      </w:pPr>
      <w:r>
        <w:rPr>
          <w:b/>
          <w:bCs/>
          <w:color w:val="000000"/>
          <w:sz w:val="32"/>
          <w:szCs w:val="32"/>
          <w:u w:val="none"/>
        </w:rPr>
        <w:br w:type="page"/>
      </w:r>
      <w:bookmarkStart w:id="22" w:name="_GoBack"/>
      <w:bookmarkEnd w:id="22"/>
    </w:p>
    <w:p>
      <w:pPr>
        <w:pStyle w:val="15"/>
        <w:jc w:val="center"/>
        <w:rPr>
          <w:b/>
          <w:bCs/>
          <w:color w:val="000000"/>
          <w:sz w:val="32"/>
          <w:szCs w:val="32"/>
          <w:u w:val="none"/>
        </w:rPr>
      </w:pPr>
      <w:r>
        <w:rPr>
          <w:b/>
          <w:bCs/>
          <w:color w:val="000000"/>
          <w:sz w:val="32"/>
          <w:szCs w:val="32"/>
          <w:u w:val="none"/>
        </w:rPr>
        <w:t>目录</w:t>
      </w:r>
    </w:p>
    <w:p>
      <w:pPr>
        <w:pStyle w:val="18"/>
        <w:tabs>
          <w:tab w:val="right" w:leader="dot" w:pos="9072"/>
        </w:tabs>
        <w:rPr>
          <w:color w:val="000000"/>
          <w:sz w:val="24"/>
          <w:u w:val="none"/>
        </w:rPr>
      </w:pPr>
      <w:r>
        <w:rPr>
          <w:color w:val="000000"/>
          <w:sz w:val="24"/>
          <w:u w:val="none"/>
        </w:rPr>
        <w:fldChar w:fldCharType="begin"/>
      </w:r>
      <w:r>
        <w:rPr>
          <w:color w:val="000000"/>
          <w:sz w:val="24"/>
          <w:u w:val="none"/>
        </w:rPr>
        <w:instrText xml:space="preserve">TOC \o "1-3" \t "" \h \z \u </w:instrText>
      </w:r>
      <w:r>
        <w:rPr>
          <w:color w:val="000000"/>
          <w:sz w:val="24"/>
          <w:u w:val="none"/>
        </w:rPr>
        <w:fldChar w:fldCharType="separate"/>
      </w:r>
    </w:p>
    <w:p>
      <w:pPr>
        <w:pStyle w:val="18"/>
        <w:keepNext w:val="0"/>
        <w:keepLines w:val="0"/>
        <w:pageBreakBefore w:val="0"/>
        <w:widowControl w:val="0"/>
        <w:tabs>
          <w:tab w:val="right" w:leader="dot" w:pos="9072"/>
        </w:tabs>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rPr>
      </w:pPr>
      <w:r>
        <w:rPr>
          <w:rFonts w:hint="eastAsia" w:ascii="宋体" w:hAnsi="宋体" w:eastAsia="宋体" w:cs="宋体"/>
          <w:color w:val="000000"/>
          <w:sz w:val="24"/>
          <w:szCs w:val="24"/>
          <w:u w:val="none"/>
        </w:rPr>
        <w:fldChar w:fldCharType="begin"/>
      </w:r>
      <w:r>
        <w:rPr>
          <w:rFonts w:hint="eastAsia" w:ascii="宋体" w:hAnsi="宋体" w:eastAsia="宋体" w:cs="宋体"/>
          <w:sz w:val="24"/>
          <w:szCs w:val="24"/>
        </w:rPr>
        <w:instrText xml:space="preserve"> HYPERLINK \l _Toc16583 </w:instrText>
      </w:r>
      <w:r>
        <w:rPr>
          <w:rFonts w:hint="eastAsia" w:ascii="宋体" w:hAnsi="宋体" w:eastAsia="宋体" w:cs="宋体"/>
          <w:sz w:val="24"/>
          <w:szCs w:val="24"/>
        </w:rPr>
        <w:fldChar w:fldCharType="separate"/>
      </w:r>
      <w:r>
        <w:rPr>
          <w:rFonts w:hint="eastAsia" w:ascii="宋体" w:hAnsi="宋体" w:eastAsia="宋体" w:cs="宋体"/>
          <w:snapToGrid w:val="0"/>
          <w:sz w:val="24"/>
          <w:szCs w:val="24"/>
        </w:rPr>
        <w:t>一、建设项目基本情况</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_Toc16583 \h </w:instrText>
      </w:r>
      <w:r>
        <w:rPr>
          <w:rFonts w:hint="eastAsia" w:ascii="宋体" w:hAnsi="宋体" w:eastAsia="宋体" w:cs="宋体"/>
          <w:sz w:val="24"/>
          <w:szCs w:val="24"/>
        </w:rPr>
        <w:fldChar w:fldCharType="separate"/>
      </w:r>
      <w:r>
        <w:rPr>
          <w:rFonts w:hint="eastAsia" w:ascii="宋体" w:hAnsi="宋体" w:eastAsia="宋体" w:cs="宋体"/>
          <w:sz w:val="24"/>
          <w:szCs w:val="24"/>
        </w:rPr>
        <w:t>1</w:t>
      </w:r>
      <w:r>
        <w:rPr>
          <w:rFonts w:hint="eastAsia" w:ascii="宋体" w:hAnsi="宋体" w:eastAsia="宋体" w:cs="宋体"/>
          <w:sz w:val="24"/>
          <w:szCs w:val="24"/>
        </w:rPr>
        <w:fldChar w:fldCharType="end"/>
      </w:r>
      <w:r>
        <w:rPr>
          <w:rFonts w:hint="eastAsia" w:ascii="宋体" w:hAnsi="宋体" w:eastAsia="宋体" w:cs="宋体"/>
          <w:color w:val="000000"/>
          <w:sz w:val="24"/>
          <w:szCs w:val="24"/>
          <w:u w:val="none"/>
        </w:rPr>
        <w:fldChar w:fldCharType="end"/>
      </w:r>
    </w:p>
    <w:p>
      <w:pPr>
        <w:pStyle w:val="18"/>
        <w:keepNext w:val="0"/>
        <w:keepLines w:val="0"/>
        <w:pageBreakBefore w:val="0"/>
        <w:widowControl w:val="0"/>
        <w:tabs>
          <w:tab w:val="right" w:leader="dot" w:pos="9072"/>
        </w:tabs>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rPr>
      </w:pPr>
      <w:r>
        <w:rPr>
          <w:rFonts w:hint="eastAsia" w:ascii="宋体" w:hAnsi="宋体" w:eastAsia="宋体" w:cs="宋体"/>
          <w:color w:val="000000"/>
          <w:sz w:val="24"/>
          <w:szCs w:val="24"/>
          <w:u w:val="none"/>
        </w:rPr>
        <w:fldChar w:fldCharType="begin"/>
      </w:r>
      <w:r>
        <w:rPr>
          <w:rFonts w:hint="eastAsia" w:ascii="宋体" w:hAnsi="宋体" w:eastAsia="宋体" w:cs="宋体"/>
          <w:sz w:val="24"/>
          <w:szCs w:val="24"/>
        </w:rPr>
        <w:instrText xml:space="preserve"> HYPERLINK \l _Toc8920 </w:instrText>
      </w:r>
      <w:r>
        <w:rPr>
          <w:rFonts w:hint="eastAsia" w:ascii="宋体" w:hAnsi="宋体" w:eastAsia="宋体" w:cs="宋体"/>
          <w:sz w:val="24"/>
          <w:szCs w:val="24"/>
        </w:rPr>
        <w:fldChar w:fldCharType="separate"/>
      </w:r>
      <w:r>
        <w:rPr>
          <w:rFonts w:hint="eastAsia" w:ascii="宋体" w:hAnsi="宋体" w:eastAsia="宋体" w:cs="宋体"/>
          <w:snapToGrid w:val="0"/>
          <w:sz w:val="24"/>
          <w:szCs w:val="24"/>
        </w:rPr>
        <w:t>二、建设项目工程分析</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_Toc8920 \h </w:instrText>
      </w:r>
      <w:r>
        <w:rPr>
          <w:rFonts w:hint="eastAsia" w:ascii="宋体" w:hAnsi="宋体" w:eastAsia="宋体" w:cs="宋体"/>
          <w:sz w:val="24"/>
          <w:szCs w:val="24"/>
        </w:rPr>
        <w:fldChar w:fldCharType="separate"/>
      </w:r>
      <w:r>
        <w:rPr>
          <w:rFonts w:hint="eastAsia" w:ascii="宋体" w:hAnsi="宋体" w:eastAsia="宋体" w:cs="宋体"/>
          <w:sz w:val="24"/>
          <w:szCs w:val="24"/>
        </w:rPr>
        <w:t>15</w:t>
      </w:r>
      <w:r>
        <w:rPr>
          <w:rFonts w:hint="eastAsia" w:ascii="宋体" w:hAnsi="宋体" w:eastAsia="宋体" w:cs="宋体"/>
          <w:sz w:val="24"/>
          <w:szCs w:val="24"/>
        </w:rPr>
        <w:fldChar w:fldCharType="end"/>
      </w:r>
      <w:r>
        <w:rPr>
          <w:rFonts w:hint="eastAsia" w:ascii="宋体" w:hAnsi="宋体" w:eastAsia="宋体" w:cs="宋体"/>
          <w:color w:val="000000"/>
          <w:sz w:val="24"/>
          <w:szCs w:val="24"/>
          <w:u w:val="none"/>
        </w:rPr>
        <w:fldChar w:fldCharType="end"/>
      </w:r>
    </w:p>
    <w:p>
      <w:pPr>
        <w:pStyle w:val="18"/>
        <w:keepNext w:val="0"/>
        <w:keepLines w:val="0"/>
        <w:pageBreakBefore w:val="0"/>
        <w:widowControl w:val="0"/>
        <w:tabs>
          <w:tab w:val="right" w:leader="dot" w:pos="9072"/>
        </w:tabs>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rPr>
      </w:pPr>
      <w:r>
        <w:rPr>
          <w:rFonts w:hint="eastAsia" w:ascii="宋体" w:hAnsi="宋体" w:eastAsia="宋体" w:cs="宋体"/>
          <w:color w:val="000000"/>
          <w:sz w:val="24"/>
          <w:szCs w:val="24"/>
          <w:u w:val="none"/>
        </w:rPr>
        <w:fldChar w:fldCharType="begin"/>
      </w:r>
      <w:r>
        <w:rPr>
          <w:rFonts w:hint="eastAsia" w:ascii="宋体" w:hAnsi="宋体" w:eastAsia="宋体" w:cs="宋体"/>
          <w:sz w:val="24"/>
          <w:szCs w:val="24"/>
        </w:rPr>
        <w:instrText xml:space="preserve"> HYPERLINK \l _Toc603 </w:instrText>
      </w:r>
      <w:r>
        <w:rPr>
          <w:rFonts w:hint="eastAsia" w:ascii="宋体" w:hAnsi="宋体" w:eastAsia="宋体" w:cs="宋体"/>
          <w:sz w:val="24"/>
          <w:szCs w:val="24"/>
        </w:rPr>
        <w:fldChar w:fldCharType="separate"/>
      </w:r>
      <w:r>
        <w:rPr>
          <w:rFonts w:hint="eastAsia" w:ascii="宋体" w:hAnsi="宋体" w:eastAsia="宋体" w:cs="宋体"/>
          <w:snapToGrid w:val="0"/>
          <w:sz w:val="24"/>
          <w:szCs w:val="24"/>
        </w:rPr>
        <w:t>三、区域环境质量现状、环境保护目标及评价标准</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_Toc603 \h </w:instrText>
      </w:r>
      <w:r>
        <w:rPr>
          <w:rFonts w:hint="eastAsia" w:ascii="宋体" w:hAnsi="宋体" w:eastAsia="宋体" w:cs="宋体"/>
          <w:sz w:val="24"/>
          <w:szCs w:val="24"/>
        </w:rPr>
        <w:fldChar w:fldCharType="separate"/>
      </w:r>
      <w:r>
        <w:rPr>
          <w:rFonts w:hint="eastAsia" w:ascii="宋体" w:hAnsi="宋体" w:eastAsia="宋体" w:cs="宋体"/>
          <w:sz w:val="24"/>
          <w:szCs w:val="24"/>
        </w:rPr>
        <w:t>37</w:t>
      </w:r>
      <w:r>
        <w:rPr>
          <w:rFonts w:hint="eastAsia" w:ascii="宋体" w:hAnsi="宋体" w:eastAsia="宋体" w:cs="宋体"/>
          <w:sz w:val="24"/>
          <w:szCs w:val="24"/>
        </w:rPr>
        <w:fldChar w:fldCharType="end"/>
      </w:r>
      <w:r>
        <w:rPr>
          <w:rFonts w:hint="eastAsia" w:ascii="宋体" w:hAnsi="宋体" w:eastAsia="宋体" w:cs="宋体"/>
          <w:color w:val="000000"/>
          <w:sz w:val="24"/>
          <w:szCs w:val="24"/>
          <w:u w:val="none"/>
        </w:rPr>
        <w:fldChar w:fldCharType="end"/>
      </w:r>
    </w:p>
    <w:p>
      <w:pPr>
        <w:pStyle w:val="18"/>
        <w:keepNext w:val="0"/>
        <w:keepLines w:val="0"/>
        <w:pageBreakBefore w:val="0"/>
        <w:widowControl w:val="0"/>
        <w:tabs>
          <w:tab w:val="right" w:leader="dot" w:pos="9072"/>
        </w:tabs>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rPr>
      </w:pPr>
      <w:r>
        <w:rPr>
          <w:rFonts w:hint="eastAsia" w:ascii="宋体" w:hAnsi="宋体" w:eastAsia="宋体" w:cs="宋体"/>
          <w:color w:val="000000"/>
          <w:sz w:val="24"/>
          <w:szCs w:val="24"/>
          <w:u w:val="none"/>
        </w:rPr>
        <w:fldChar w:fldCharType="begin"/>
      </w:r>
      <w:r>
        <w:rPr>
          <w:rFonts w:hint="eastAsia" w:ascii="宋体" w:hAnsi="宋体" w:eastAsia="宋体" w:cs="宋体"/>
          <w:sz w:val="24"/>
          <w:szCs w:val="24"/>
        </w:rPr>
        <w:instrText xml:space="preserve"> HYPERLINK \l _Toc20315 </w:instrText>
      </w:r>
      <w:r>
        <w:rPr>
          <w:rFonts w:hint="eastAsia" w:ascii="宋体" w:hAnsi="宋体" w:eastAsia="宋体" w:cs="宋体"/>
          <w:sz w:val="24"/>
          <w:szCs w:val="24"/>
        </w:rPr>
        <w:fldChar w:fldCharType="separate"/>
      </w:r>
      <w:r>
        <w:rPr>
          <w:rFonts w:hint="eastAsia" w:ascii="宋体" w:hAnsi="宋体" w:eastAsia="宋体" w:cs="宋体"/>
          <w:snapToGrid w:val="0"/>
          <w:sz w:val="24"/>
          <w:szCs w:val="24"/>
        </w:rPr>
        <w:t>四、主要环境影响和保护措施</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_Toc20315 \h </w:instrText>
      </w:r>
      <w:r>
        <w:rPr>
          <w:rFonts w:hint="eastAsia" w:ascii="宋体" w:hAnsi="宋体" w:eastAsia="宋体" w:cs="宋体"/>
          <w:sz w:val="24"/>
          <w:szCs w:val="24"/>
        </w:rPr>
        <w:fldChar w:fldCharType="separate"/>
      </w:r>
      <w:r>
        <w:rPr>
          <w:rFonts w:hint="eastAsia" w:ascii="宋体" w:hAnsi="宋体" w:eastAsia="宋体" w:cs="宋体"/>
          <w:sz w:val="24"/>
          <w:szCs w:val="24"/>
        </w:rPr>
        <w:t>42</w:t>
      </w:r>
      <w:r>
        <w:rPr>
          <w:rFonts w:hint="eastAsia" w:ascii="宋体" w:hAnsi="宋体" w:eastAsia="宋体" w:cs="宋体"/>
          <w:sz w:val="24"/>
          <w:szCs w:val="24"/>
        </w:rPr>
        <w:fldChar w:fldCharType="end"/>
      </w:r>
      <w:r>
        <w:rPr>
          <w:rFonts w:hint="eastAsia" w:ascii="宋体" w:hAnsi="宋体" w:eastAsia="宋体" w:cs="宋体"/>
          <w:color w:val="000000"/>
          <w:sz w:val="24"/>
          <w:szCs w:val="24"/>
          <w:u w:val="none"/>
        </w:rPr>
        <w:fldChar w:fldCharType="end"/>
      </w:r>
    </w:p>
    <w:p>
      <w:pPr>
        <w:pStyle w:val="18"/>
        <w:keepNext w:val="0"/>
        <w:keepLines w:val="0"/>
        <w:pageBreakBefore w:val="0"/>
        <w:widowControl w:val="0"/>
        <w:tabs>
          <w:tab w:val="right" w:leader="dot" w:pos="9072"/>
        </w:tabs>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rPr>
      </w:pPr>
      <w:r>
        <w:rPr>
          <w:rFonts w:hint="eastAsia" w:ascii="宋体" w:hAnsi="宋体" w:eastAsia="宋体" w:cs="宋体"/>
          <w:color w:val="000000"/>
          <w:sz w:val="24"/>
          <w:szCs w:val="24"/>
          <w:u w:val="none"/>
        </w:rPr>
        <w:fldChar w:fldCharType="begin"/>
      </w:r>
      <w:r>
        <w:rPr>
          <w:rFonts w:hint="eastAsia" w:ascii="宋体" w:hAnsi="宋体" w:eastAsia="宋体" w:cs="宋体"/>
          <w:sz w:val="24"/>
          <w:szCs w:val="24"/>
        </w:rPr>
        <w:instrText xml:space="preserve"> HYPERLINK \l _Toc28592 </w:instrText>
      </w:r>
      <w:r>
        <w:rPr>
          <w:rFonts w:hint="eastAsia" w:ascii="宋体" w:hAnsi="宋体" w:eastAsia="宋体" w:cs="宋体"/>
          <w:sz w:val="24"/>
          <w:szCs w:val="24"/>
        </w:rPr>
        <w:fldChar w:fldCharType="separate"/>
      </w:r>
      <w:r>
        <w:rPr>
          <w:rFonts w:hint="eastAsia" w:ascii="宋体" w:hAnsi="宋体" w:eastAsia="宋体" w:cs="宋体"/>
          <w:snapToGrid w:val="0"/>
          <w:sz w:val="24"/>
          <w:szCs w:val="24"/>
        </w:rPr>
        <w:t>五、环境保护措施监督检查清单</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_Toc28592 \h </w:instrText>
      </w:r>
      <w:r>
        <w:rPr>
          <w:rFonts w:hint="eastAsia" w:ascii="宋体" w:hAnsi="宋体" w:eastAsia="宋体" w:cs="宋体"/>
          <w:sz w:val="24"/>
          <w:szCs w:val="24"/>
        </w:rPr>
        <w:fldChar w:fldCharType="separate"/>
      </w:r>
      <w:r>
        <w:rPr>
          <w:rFonts w:hint="eastAsia" w:ascii="宋体" w:hAnsi="宋体" w:eastAsia="宋体" w:cs="宋体"/>
          <w:sz w:val="24"/>
          <w:szCs w:val="24"/>
        </w:rPr>
        <w:t>59</w:t>
      </w:r>
      <w:r>
        <w:rPr>
          <w:rFonts w:hint="eastAsia" w:ascii="宋体" w:hAnsi="宋体" w:eastAsia="宋体" w:cs="宋体"/>
          <w:sz w:val="24"/>
          <w:szCs w:val="24"/>
        </w:rPr>
        <w:fldChar w:fldCharType="end"/>
      </w:r>
      <w:r>
        <w:rPr>
          <w:rFonts w:hint="eastAsia" w:ascii="宋体" w:hAnsi="宋体" w:eastAsia="宋体" w:cs="宋体"/>
          <w:color w:val="000000"/>
          <w:sz w:val="24"/>
          <w:szCs w:val="24"/>
          <w:u w:val="none"/>
        </w:rPr>
        <w:fldChar w:fldCharType="end"/>
      </w:r>
    </w:p>
    <w:p>
      <w:pPr>
        <w:pStyle w:val="18"/>
        <w:keepNext w:val="0"/>
        <w:keepLines w:val="0"/>
        <w:pageBreakBefore w:val="0"/>
        <w:widowControl w:val="0"/>
        <w:tabs>
          <w:tab w:val="right" w:leader="dot" w:pos="9072"/>
        </w:tabs>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rPr>
      </w:pPr>
      <w:r>
        <w:rPr>
          <w:rFonts w:hint="eastAsia" w:ascii="宋体" w:hAnsi="宋体" w:eastAsia="宋体" w:cs="宋体"/>
          <w:color w:val="000000"/>
          <w:sz w:val="24"/>
          <w:szCs w:val="24"/>
          <w:u w:val="none"/>
        </w:rPr>
        <w:fldChar w:fldCharType="begin"/>
      </w:r>
      <w:r>
        <w:rPr>
          <w:rFonts w:hint="eastAsia" w:ascii="宋体" w:hAnsi="宋体" w:eastAsia="宋体" w:cs="宋体"/>
          <w:sz w:val="24"/>
          <w:szCs w:val="24"/>
        </w:rPr>
        <w:instrText xml:space="preserve"> HYPERLINK \l _Toc23272 </w:instrText>
      </w:r>
      <w:r>
        <w:rPr>
          <w:rFonts w:hint="eastAsia" w:ascii="宋体" w:hAnsi="宋体" w:eastAsia="宋体" w:cs="宋体"/>
          <w:sz w:val="24"/>
          <w:szCs w:val="24"/>
        </w:rPr>
        <w:fldChar w:fldCharType="separate"/>
      </w:r>
      <w:r>
        <w:rPr>
          <w:rFonts w:hint="eastAsia" w:ascii="宋体" w:hAnsi="宋体" w:eastAsia="宋体" w:cs="宋体"/>
          <w:snapToGrid w:val="0"/>
          <w:sz w:val="24"/>
          <w:szCs w:val="24"/>
        </w:rPr>
        <w:t>六、结论</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_Toc23272 \h </w:instrText>
      </w:r>
      <w:r>
        <w:rPr>
          <w:rFonts w:hint="eastAsia" w:ascii="宋体" w:hAnsi="宋体" w:eastAsia="宋体" w:cs="宋体"/>
          <w:sz w:val="24"/>
          <w:szCs w:val="24"/>
        </w:rPr>
        <w:fldChar w:fldCharType="separate"/>
      </w:r>
      <w:r>
        <w:rPr>
          <w:rFonts w:hint="eastAsia" w:ascii="宋体" w:hAnsi="宋体" w:eastAsia="宋体" w:cs="宋体"/>
          <w:sz w:val="24"/>
          <w:szCs w:val="24"/>
        </w:rPr>
        <w:t>61</w:t>
      </w:r>
      <w:r>
        <w:rPr>
          <w:rFonts w:hint="eastAsia" w:ascii="宋体" w:hAnsi="宋体" w:eastAsia="宋体" w:cs="宋体"/>
          <w:sz w:val="24"/>
          <w:szCs w:val="24"/>
        </w:rPr>
        <w:fldChar w:fldCharType="end"/>
      </w:r>
      <w:r>
        <w:rPr>
          <w:rFonts w:hint="eastAsia" w:ascii="宋体" w:hAnsi="宋体" w:eastAsia="宋体" w:cs="宋体"/>
          <w:color w:val="000000"/>
          <w:sz w:val="24"/>
          <w:szCs w:val="24"/>
          <w:u w:val="none"/>
        </w:rPr>
        <w:fldChar w:fldCharType="end"/>
      </w:r>
    </w:p>
    <w:p>
      <w:pPr>
        <w:pStyle w:val="18"/>
        <w:keepNext w:val="0"/>
        <w:keepLines w:val="0"/>
        <w:pageBreakBefore w:val="0"/>
        <w:widowControl w:val="0"/>
        <w:tabs>
          <w:tab w:val="right" w:leader="dot" w:pos="9072"/>
        </w:tabs>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rPr>
      </w:pPr>
      <w:r>
        <w:rPr>
          <w:rFonts w:hint="eastAsia" w:ascii="宋体" w:hAnsi="宋体" w:eastAsia="宋体" w:cs="宋体"/>
          <w:color w:val="000000"/>
          <w:sz w:val="24"/>
          <w:szCs w:val="24"/>
          <w:u w:val="none"/>
        </w:rPr>
        <w:fldChar w:fldCharType="begin"/>
      </w:r>
      <w:r>
        <w:rPr>
          <w:rFonts w:hint="eastAsia" w:ascii="宋体" w:hAnsi="宋体" w:eastAsia="宋体" w:cs="宋体"/>
          <w:sz w:val="24"/>
          <w:szCs w:val="24"/>
        </w:rPr>
        <w:instrText xml:space="preserve"> HYPERLINK \l _Toc19976 </w:instrText>
      </w:r>
      <w:r>
        <w:rPr>
          <w:rFonts w:hint="eastAsia" w:ascii="宋体" w:hAnsi="宋体" w:eastAsia="宋体" w:cs="宋体"/>
          <w:sz w:val="24"/>
          <w:szCs w:val="24"/>
        </w:rPr>
        <w:fldChar w:fldCharType="separate"/>
      </w:r>
      <w:r>
        <w:rPr>
          <w:rFonts w:hint="eastAsia" w:ascii="宋体" w:hAnsi="宋体" w:eastAsia="宋体" w:cs="宋体"/>
          <w:snapToGrid w:val="0"/>
          <w:sz w:val="24"/>
          <w:szCs w:val="24"/>
        </w:rPr>
        <w:t>附表</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_Toc19976 \h </w:instrText>
      </w:r>
      <w:r>
        <w:rPr>
          <w:rFonts w:hint="eastAsia" w:ascii="宋体" w:hAnsi="宋体" w:eastAsia="宋体" w:cs="宋体"/>
          <w:sz w:val="24"/>
          <w:szCs w:val="24"/>
        </w:rPr>
        <w:fldChar w:fldCharType="separate"/>
      </w:r>
      <w:r>
        <w:rPr>
          <w:rFonts w:hint="eastAsia" w:ascii="宋体" w:hAnsi="宋体" w:eastAsia="宋体" w:cs="宋体"/>
          <w:sz w:val="24"/>
          <w:szCs w:val="24"/>
        </w:rPr>
        <w:t>62</w:t>
      </w:r>
      <w:r>
        <w:rPr>
          <w:rFonts w:hint="eastAsia" w:ascii="宋体" w:hAnsi="宋体" w:eastAsia="宋体" w:cs="宋体"/>
          <w:sz w:val="24"/>
          <w:szCs w:val="24"/>
        </w:rPr>
        <w:fldChar w:fldCharType="end"/>
      </w:r>
      <w:r>
        <w:rPr>
          <w:rFonts w:hint="eastAsia" w:ascii="宋体" w:hAnsi="宋体" w:eastAsia="宋体" w:cs="宋体"/>
          <w:color w:val="000000"/>
          <w:sz w:val="24"/>
          <w:szCs w:val="24"/>
          <w:u w:val="none"/>
        </w:rPr>
        <w:fldChar w:fldCharType="end"/>
      </w:r>
    </w:p>
    <w:p>
      <w:pPr>
        <w:pStyle w:val="18"/>
        <w:keepNext w:val="0"/>
        <w:keepLines w:val="0"/>
        <w:pageBreakBefore w:val="0"/>
        <w:widowControl w:val="0"/>
        <w:tabs>
          <w:tab w:val="right" w:leader="dot" w:pos="9072"/>
        </w:tabs>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rPr>
      </w:pPr>
      <w:r>
        <w:rPr>
          <w:rFonts w:hint="eastAsia" w:ascii="宋体" w:hAnsi="宋体" w:eastAsia="宋体" w:cs="宋体"/>
          <w:color w:val="000000"/>
          <w:sz w:val="24"/>
          <w:szCs w:val="24"/>
          <w:u w:val="none"/>
        </w:rPr>
        <w:fldChar w:fldCharType="begin"/>
      </w:r>
      <w:r>
        <w:rPr>
          <w:rFonts w:hint="eastAsia" w:ascii="宋体" w:hAnsi="宋体" w:eastAsia="宋体" w:cs="宋体"/>
          <w:sz w:val="24"/>
          <w:szCs w:val="24"/>
        </w:rPr>
        <w:instrText xml:space="preserve"> HYPERLINK \l _Toc18941 </w:instrText>
      </w:r>
      <w:r>
        <w:rPr>
          <w:rFonts w:hint="eastAsia" w:ascii="宋体" w:hAnsi="宋体" w:eastAsia="宋体" w:cs="宋体"/>
          <w:sz w:val="24"/>
          <w:szCs w:val="24"/>
        </w:rPr>
        <w:fldChar w:fldCharType="separate"/>
      </w:r>
      <w:r>
        <w:rPr>
          <w:rFonts w:hint="eastAsia" w:ascii="宋体" w:hAnsi="宋体" w:eastAsia="宋体" w:cs="宋体"/>
          <w:sz w:val="24"/>
          <w:szCs w:val="24"/>
        </w:rPr>
        <w:t>建设项目污染物排放量汇总表</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_Toc18941 \h </w:instrText>
      </w:r>
      <w:r>
        <w:rPr>
          <w:rFonts w:hint="eastAsia" w:ascii="宋体" w:hAnsi="宋体" w:eastAsia="宋体" w:cs="宋体"/>
          <w:sz w:val="24"/>
          <w:szCs w:val="24"/>
        </w:rPr>
        <w:fldChar w:fldCharType="separate"/>
      </w:r>
      <w:r>
        <w:rPr>
          <w:rFonts w:hint="eastAsia" w:ascii="宋体" w:hAnsi="宋体" w:eastAsia="宋体" w:cs="宋体"/>
          <w:sz w:val="24"/>
          <w:szCs w:val="24"/>
        </w:rPr>
        <w:t>62</w:t>
      </w:r>
      <w:r>
        <w:rPr>
          <w:rFonts w:hint="eastAsia" w:ascii="宋体" w:hAnsi="宋体" w:eastAsia="宋体" w:cs="宋体"/>
          <w:sz w:val="24"/>
          <w:szCs w:val="24"/>
        </w:rPr>
        <w:fldChar w:fldCharType="end"/>
      </w:r>
      <w:r>
        <w:rPr>
          <w:rFonts w:hint="eastAsia" w:ascii="宋体" w:hAnsi="宋体" w:eastAsia="宋体" w:cs="宋体"/>
          <w:color w:val="000000"/>
          <w:sz w:val="24"/>
          <w:szCs w:val="24"/>
          <w:u w:val="none"/>
        </w:rPr>
        <w:fldChar w:fldCharType="end"/>
      </w:r>
    </w:p>
    <w:p>
      <w:pPr>
        <w:spacing w:line="360" w:lineRule="auto"/>
        <w:rPr>
          <w:rFonts w:hint="eastAsia"/>
          <w:color w:val="000000"/>
          <w:sz w:val="24"/>
          <w:u w:val="none"/>
        </w:rPr>
      </w:pPr>
      <w:r>
        <w:rPr>
          <w:color w:val="000000"/>
          <w:u w:val="none"/>
        </w:rPr>
        <w:fldChar w:fldCharType="end"/>
      </w:r>
    </w:p>
    <w:p>
      <w:pPr>
        <w:spacing w:line="360" w:lineRule="auto"/>
        <w:jc w:val="left"/>
        <w:rPr>
          <w:b/>
          <w:bCs/>
          <w:sz w:val="24"/>
          <w:u w:val="none"/>
        </w:rPr>
      </w:pPr>
      <w:r>
        <w:rPr>
          <w:b/>
          <w:bCs/>
          <w:sz w:val="24"/>
          <w:u w:val="none"/>
        </w:rPr>
        <w:t>附图</w:t>
      </w:r>
    </w:p>
    <w:p>
      <w:pPr>
        <w:pStyle w:val="2"/>
        <w:jc w:val="left"/>
        <w:rPr>
          <w:rFonts w:hint="default" w:ascii="Times New Roman" w:hAnsi="Times New Roman" w:eastAsia="宋体" w:cs="Times New Roman"/>
          <w:highlight w:val="none"/>
          <w:u w:val="none"/>
        </w:rPr>
      </w:pPr>
      <w:r>
        <w:rPr>
          <w:rFonts w:hint="default" w:ascii="Times New Roman" w:hAnsi="Times New Roman" w:eastAsia="宋体" w:cs="Times New Roman"/>
          <w:highlight w:val="none"/>
          <w:u w:val="none"/>
        </w:rPr>
        <w:t>附图1项目地理位置</w:t>
      </w:r>
      <w:r>
        <w:rPr>
          <w:rFonts w:hint="eastAsia" w:ascii="Times New Roman" w:hAnsi="Times New Roman" w:eastAsia="宋体" w:cs="Times New Roman"/>
          <w:highlight w:val="none"/>
          <w:u w:val="none"/>
          <w:lang w:val="en-US" w:eastAsia="zh-CN"/>
        </w:rPr>
        <w:t>示意</w:t>
      </w:r>
      <w:r>
        <w:rPr>
          <w:rFonts w:hint="default" w:ascii="Times New Roman" w:hAnsi="Times New Roman" w:eastAsia="宋体" w:cs="Times New Roman"/>
          <w:highlight w:val="none"/>
          <w:u w:val="none"/>
        </w:rPr>
        <w:t>图</w:t>
      </w:r>
    </w:p>
    <w:p>
      <w:pPr>
        <w:pStyle w:val="2"/>
        <w:jc w:val="left"/>
        <w:rPr>
          <w:rFonts w:hint="default" w:ascii="Times New Roman" w:hAnsi="Times New Roman" w:eastAsia="宋体" w:cs="Times New Roman"/>
          <w:highlight w:val="none"/>
          <w:u w:val="none"/>
          <w:lang w:val="en-US" w:eastAsia="zh-CN"/>
        </w:rPr>
      </w:pPr>
      <w:r>
        <w:rPr>
          <w:rFonts w:ascii="Times New Roman" w:hAnsi="Times New Roman" w:eastAsia="宋体" w:cs="Times New Roman"/>
          <w:highlight w:val="none"/>
          <w:u w:val="none"/>
        </w:rPr>
        <w:t>附图2</w:t>
      </w:r>
      <w:r>
        <w:rPr>
          <w:rFonts w:hint="eastAsia" w:ascii="Times New Roman" w:hAnsi="Times New Roman" w:eastAsia="宋体" w:cs="Times New Roman"/>
          <w:highlight w:val="none"/>
          <w:u w:val="none"/>
          <w:lang w:val="en-US" w:eastAsia="zh-CN"/>
        </w:rPr>
        <w:t>敏感目标分布图</w:t>
      </w:r>
    </w:p>
    <w:p>
      <w:pPr>
        <w:pStyle w:val="2"/>
        <w:jc w:val="left"/>
        <w:rPr>
          <w:rFonts w:ascii="Times New Roman" w:hAnsi="Times New Roman" w:eastAsia="宋体" w:cs="Times New Roman"/>
          <w:highlight w:val="none"/>
          <w:u w:val="none"/>
        </w:rPr>
      </w:pPr>
      <w:r>
        <w:rPr>
          <w:rFonts w:ascii="Times New Roman" w:hAnsi="Times New Roman" w:eastAsia="宋体" w:cs="Times New Roman"/>
          <w:highlight w:val="none"/>
          <w:u w:val="none"/>
        </w:rPr>
        <w:t>附图3厂区平面布置图</w:t>
      </w:r>
    </w:p>
    <w:p>
      <w:pPr>
        <w:pStyle w:val="2"/>
        <w:jc w:val="left"/>
        <w:rPr>
          <w:rFonts w:hint="default" w:ascii="Times New Roman" w:hAnsi="Times New Roman" w:eastAsia="宋体" w:cs="Times New Roman"/>
          <w:highlight w:val="none"/>
          <w:u w:val="none"/>
        </w:rPr>
      </w:pPr>
      <w:r>
        <w:rPr>
          <w:rFonts w:hint="default" w:ascii="Times New Roman" w:hAnsi="Times New Roman" w:eastAsia="宋体" w:cs="Times New Roman"/>
          <w:highlight w:val="none"/>
          <w:u w:val="none"/>
        </w:rPr>
        <w:t>附图4环境质量现状监测点位图</w:t>
      </w:r>
    </w:p>
    <w:p>
      <w:pPr>
        <w:pStyle w:val="2"/>
        <w:jc w:val="left"/>
        <w:rPr>
          <w:rFonts w:hint="default" w:ascii="Times New Roman" w:hAnsi="Times New Roman" w:eastAsia="宋体" w:cs="Times New Roman"/>
          <w:highlight w:val="none"/>
          <w:u w:val="none"/>
          <w:lang w:val="en-US" w:eastAsia="zh-CN"/>
        </w:rPr>
      </w:pPr>
      <w:r>
        <w:rPr>
          <w:rFonts w:ascii="Times New Roman" w:hAnsi="Times New Roman" w:eastAsia="宋体" w:cs="Times New Roman"/>
          <w:highlight w:val="none"/>
          <w:u w:val="none"/>
        </w:rPr>
        <w:t>附图5</w:t>
      </w:r>
      <w:r>
        <w:rPr>
          <w:rFonts w:hint="eastAsia" w:ascii="Times New Roman" w:hAnsi="Times New Roman" w:eastAsia="宋体" w:cs="Times New Roman"/>
          <w:highlight w:val="none"/>
          <w:u w:val="none"/>
          <w:lang w:val="en-US" w:eastAsia="zh-CN"/>
        </w:rPr>
        <w:t>区域水系图</w:t>
      </w:r>
    </w:p>
    <w:p>
      <w:pPr>
        <w:pStyle w:val="2"/>
        <w:jc w:val="left"/>
        <w:rPr>
          <w:rFonts w:ascii="Times New Roman" w:hAnsi="Times New Roman" w:eastAsia="宋体" w:cs="Times New Roman"/>
          <w:highlight w:val="none"/>
          <w:u w:val="none"/>
        </w:rPr>
      </w:pPr>
      <w:r>
        <w:rPr>
          <w:rFonts w:hint="eastAsia" w:ascii="Times New Roman" w:hAnsi="Times New Roman" w:eastAsia="宋体" w:cs="Times New Roman"/>
          <w:highlight w:val="none"/>
          <w:u w:val="none"/>
        </w:rPr>
        <w:t>附件6</w:t>
      </w:r>
      <w:r>
        <w:rPr>
          <w:rFonts w:ascii="Times New Roman" w:hAnsi="Times New Roman" w:eastAsia="宋体" w:cs="Times New Roman"/>
          <w:highlight w:val="none"/>
          <w:u w:val="none"/>
        </w:rPr>
        <w:t>项目所在衡阳市环境管控单元控制位置图</w:t>
      </w:r>
    </w:p>
    <w:p>
      <w:pPr>
        <w:pStyle w:val="2"/>
        <w:jc w:val="left"/>
        <w:rPr>
          <w:rFonts w:hint="default" w:ascii="Times New Roman" w:hAnsi="Times New Roman" w:eastAsia="宋体" w:cs="Times New Roman"/>
          <w:highlight w:val="none"/>
          <w:u w:val="none"/>
          <w:lang w:val="en-US" w:eastAsia="zh-CN"/>
        </w:rPr>
      </w:pPr>
      <w:r>
        <w:rPr>
          <w:rFonts w:hint="eastAsia" w:ascii="Times New Roman" w:hAnsi="Times New Roman" w:eastAsia="宋体" w:cs="Times New Roman"/>
          <w:highlight w:val="none"/>
          <w:u w:val="none"/>
          <w:lang w:val="en-US" w:eastAsia="zh-CN"/>
        </w:rPr>
        <w:t>附图7废渣转运路线图</w:t>
      </w:r>
    </w:p>
    <w:p>
      <w:pPr>
        <w:spacing w:line="360" w:lineRule="auto"/>
        <w:jc w:val="left"/>
        <w:rPr>
          <w:rFonts w:hint="eastAsia"/>
          <w:b/>
          <w:bCs/>
          <w:color w:val="auto"/>
          <w:sz w:val="24"/>
          <w:u w:val="none"/>
        </w:rPr>
      </w:pPr>
      <w:r>
        <w:rPr>
          <w:rFonts w:hint="eastAsia"/>
          <w:b/>
          <w:bCs/>
          <w:color w:val="auto"/>
          <w:sz w:val="24"/>
          <w:u w:val="none"/>
        </w:rPr>
        <w:t>附件</w:t>
      </w:r>
    </w:p>
    <w:p>
      <w:pPr>
        <w:pStyle w:val="2"/>
        <w:jc w:val="left"/>
        <w:rPr>
          <w:rFonts w:ascii="Times New Roman" w:hAnsi="Times New Roman"/>
          <w:color w:val="auto"/>
          <w:highlight w:val="none"/>
          <w:u w:val="none"/>
        </w:rPr>
      </w:pPr>
      <w:r>
        <w:rPr>
          <w:rFonts w:ascii="Times New Roman" w:hAnsi="Times New Roman"/>
          <w:color w:val="auto"/>
          <w:highlight w:val="none"/>
          <w:u w:val="none"/>
        </w:rPr>
        <w:t>附件1委托书</w:t>
      </w:r>
    </w:p>
    <w:p>
      <w:pPr>
        <w:pStyle w:val="2"/>
        <w:jc w:val="left"/>
        <w:rPr>
          <w:rFonts w:hint="eastAsia" w:ascii="Times New Roman" w:hAnsi="Times New Roman"/>
          <w:color w:val="auto"/>
          <w:highlight w:val="none"/>
          <w:u w:val="none"/>
          <w:lang w:val="en-US" w:eastAsia="zh-CN"/>
        </w:rPr>
      </w:pPr>
      <w:r>
        <w:rPr>
          <w:rFonts w:ascii="Times New Roman" w:hAnsi="Times New Roman"/>
          <w:color w:val="auto"/>
          <w:highlight w:val="none"/>
          <w:u w:val="none"/>
        </w:rPr>
        <w:t>附件2</w:t>
      </w:r>
      <w:r>
        <w:rPr>
          <w:rFonts w:hint="eastAsia" w:ascii="Times New Roman" w:hAnsi="Times New Roman"/>
          <w:color w:val="auto"/>
          <w:highlight w:val="none"/>
          <w:u w:val="none"/>
          <w:lang w:val="en-US" w:eastAsia="zh-CN"/>
        </w:rPr>
        <w:t>营业执照</w:t>
      </w:r>
    </w:p>
    <w:p>
      <w:pPr>
        <w:pStyle w:val="2"/>
        <w:jc w:val="left"/>
        <w:rPr>
          <w:rFonts w:hint="default" w:ascii="Times New Roman" w:hAnsi="Times New Roman" w:eastAsia="宋体"/>
          <w:color w:val="auto"/>
          <w:highlight w:val="none"/>
          <w:u w:val="none"/>
          <w:lang w:val="en-US" w:eastAsia="zh-CN"/>
        </w:rPr>
      </w:pPr>
      <w:r>
        <w:rPr>
          <w:rFonts w:hint="default" w:ascii="Times New Roman" w:hAnsi="Times New Roman"/>
          <w:color w:val="auto"/>
          <w:highlight w:val="none"/>
          <w:u w:val="none"/>
        </w:rPr>
        <w:t>附件3</w:t>
      </w:r>
      <w:r>
        <w:rPr>
          <w:rFonts w:hint="eastAsia" w:ascii="Times New Roman" w:hAnsi="Times New Roman"/>
          <w:color w:val="auto"/>
          <w:highlight w:val="none"/>
          <w:u w:val="none"/>
          <w:lang w:val="en-US" w:eastAsia="zh-CN"/>
        </w:rPr>
        <w:t>原项目排污许可证</w:t>
      </w:r>
    </w:p>
    <w:p>
      <w:pPr>
        <w:pStyle w:val="2"/>
        <w:jc w:val="left"/>
        <w:rPr>
          <w:rFonts w:hint="default" w:ascii="Times New Roman" w:hAnsi="Times New Roman"/>
          <w:color w:val="auto"/>
          <w:highlight w:val="none"/>
          <w:u w:val="none"/>
          <w:lang w:val="en-US" w:eastAsia="zh-CN"/>
        </w:rPr>
      </w:pPr>
      <w:r>
        <w:rPr>
          <w:rFonts w:hint="eastAsia" w:ascii="Times New Roman" w:hAnsi="Times New Roman"/>
          <w:color w:val="auto"/>
          <w:highlight w:val="none"/>
          <w:u w:val="none"/>
          <w:lang w:val="en-US" w:eastAsia="zh-CN"/>
        </w:rPr>
        <w:t>附件4原环评批文</w:t>
      </w:r>
    </w:p>
    <w:p>
      <w:pPr>
        <w:pStyle w:val="2"/>
        <w:jc w:val="left"/>
        <w:rPr>
          <w:rFonts w:hint="default" w:ascii="Times New Roman" w:hAnsi="Times New Roman"/>
          <w:color w:val="auto"/>
          <w:highlight w:val="none"/>
          <w:u w:val="none"/>
          <w:lang w:val="en-US" w:eastAsia="zh-CN"/>
        </w:rPr>
      </w:pPr>
      <w:r>
        <w:rPr>
          <w:rFonts w:hint="default" w:ascii="Times New Roman" w:hAnsi="Times New Roman"/>
          <w:color w:val="auto"/>
          <w:highlight w:val="none"/>
          <w:u w:val="none"/>
        </w:rPr>
        <w:t>附件</w:t>
      </w:r>
      <w:r>
        <w:rPr>
          <w:rFonts w:hint="eastAsia" w:ascii="Times New Roman" w:hAnsi="Times New Roman"/>
          <w:color w:val="auto"/>
          <w:highlight w:val="none"/>
          <w:u w:val="none"/>
          <w:lang w:val="en-US" w:eastAsia="zh-CN"/>
        </w:rPr>
        <w:t>5原项目</w:t>
      </w:r>
      <w:r>
        <w:rPr>
          <w:rFonts w:hint="eastAsia"/>
          <w:color w:val="auto"/>
          <w:u w:val="none"/>
          <w:lang w:val="en-US" w:eastAsia="zh-CN"/>
        </w:rPr>
        <w:t>验收专家意见</w:t>
      </w:r>
    </w:p>
    <w:p>
      <w:pPr>
        <w:pStyle w:val="2"/>
        <w:jc w:val="left"/>
        <w:rPr>
          <w:rFonts w:hint="default" w:ascii="Times New Roman" w:hAnsi="Times New Roman" w:eastAsia="宋体"/>
          <w:color w:val="auto"/>
          <w:highlight w:val="none"/>
          <w:u w:val="none"/>
          <w:lang w:val="en-US" w:eastAsia="zh-CN"/>
        </w:rPr>
      </w:pPr>
      <w:r>
        <w:rPr>
          <w:rFonts w:hint="default" w:ascii="Times New Roman" w:hAnsi="Times New Roman"/>
          <w:color w:val="auto"/>
          <w:highlight w:val="none"/>
          <w:u w:val="none"/>
        </w:rPr>
        <w:t>附件</w:t>
      </w:r>
      <w:r>
        <w:rPr>
          <w:rFonts w:hint="eastAsia" w:ascii="Times New Roman" w:hAnsi="Times New Roman"/>
          <w:color w:val="auto"/>
          <w:highlight w:val="none"/>
          <w:u w:val="none"/>
          <w:lang w:val="en-US" w:eastAsia="zh-CN"/>
        </w:rPr>
        <w:t>6土地租赁合同</w:t>
      </w:r>
    </w:p>
    <w:p>
      <w:pPr>
        <w:pStyle w:val="2"/>
        <w:jc w:val="left"/>
        <w:rPr>
          <w:rFonts w:hint="default" w:ascii="Times New Roman" w:hAnsi="Times New Roman" w:cs="Times New Roman"/>
          <w:color w:val="auto"/>
          <w:highlight w:val="none"/>
          <w:u w:val="none"/>
          <w:lang w:val="en-US" w:eastAsia="zh-CN"/>
        </w:rPr>
      </w:pPr>
      <w:r>
        <w:rPr>
          <w:rFonts w:hint="eastAsia" w:ascii="Times New Roman" w:hAnsi="Times New Roman" w:cs="Times New Roman"/>
          <w:color w:val="auto"/>
          <w:highlight w:val="none"/>
          <w:u w:val="none"/>
          <w:lang w:val="en-US" w:eastAsia="zh-CN"/>
        </w:rPr>
        <w:t>附件7</w:t>
      </w:r>
      <w:r>
        <w:rPr>
          <w:rFonts w:hint="eastAsia" w:ascii="宋体" w:hAnsi="宋体" w:eastAsia="宋体" w:cs="宋体"/>
          <w:color w:val="auto"/>
          <w:sz w:val="24"/>
          <w:szCs w:val="32"/>
          <w:lang w:eastAsia="zh-CN"/>
        </w:rPr>
        <w:t>衡阳市生态环境局关于《衡阳市珠晖区原中盐天友化工有限公司及学宫路附近遗留废渣整治项目实施方案》的审查意见</w:t>
      </w:r>
    </w:p>
    <w:p>
      <w:pPr>
        <w:pStyle w:val="2"/>
        <w:jc w:val="left"/>
        <w:rPr>
          <w:rFonts w:hint="default"/>
          <w:color w:val="auto"/>
          <w:u w:val="none"/>
        </w:rPr>
      </w:pPr>
      <w:r>
        <w:rPr>
          <w:rFonts w:hint="eastAsia" w:ascii="Times New Roman" w:hAnsi="Times New Roman" w:eastAsia="宋体" w:cs="Times New Roman"/>
          <w:color w:val="auto"/>
          <w:highlight w:val="none"/>
          <w:u w:val="none"/>
          <w:lang w:val="en-US" w:eastAsia="zh-CN"/>
        </w:rPr>
        <w:t>附件</w:t>
      </w:r>
      <w:r>
        <w:rPr>
          <w:rFonts w:hint="eastAsia" w:ascii="Times New Roman" w:hAnsi="Times New Roman" w:cs="Times New Roman"/>
          <w:color w:val="auto"/>
          <w:highlight w:val="none"/>
          <w:u w:val="none"/>
          <w:lang w:val="en-US" w:eastAsia="zh-CN"/>
        </w:rPr>
        <w:t>8</w:t>
      </w:r>
      <w:r>
        <w:rPr>
          <w:rFonts w:hint="eastAsia" w:ascii="Times New Roman" w:hAnsi="Times New Roman" w:eastAsia="宋体" w:cs="Times New Roman"/>
          <w:bCs/>
          <w:snapToGrid w:val="0"/>
          <w:color w:val="auto"/>
          <w:kern w:val="44"/>
          <w:sz w:val="24"/>
          <w:szCs w:val="22"/>
          <w:lang w:val="en-US" w:eastAsia="zh-CN" w:bidi="ar-SA"/>
        </w:rPr>
        <w:t>学宫路遗留废渣酸浸、水浸检测结果</w:t>
      </w:r>
    </w:p>
    <w:p>
      <w:pPr>
        <w:pStyle w:val="2"/>
        <w:rPr>
          <w:rFonts w:hint="eastAsia" w:ascii="Times New Roman" w:hAnsi="Times New Roman" w:eastAsia="宋体" w:cs="Times New Roman"/>
          <w:bCs/>
          <w:snapToGrid w:val="0"/>
          <w:color w:val="auto"/>
          <w:kern w:val="44"/>
          <w:sz w:val="24"/>
          <w:szCs w:val="22"/>
          <w:lang w:val="en-US" w:eastAsia="zh-CN" w:bidi="ar-SA"/>
        </w:rPr>
      </w:pPr>
      <w:r>
        <w:rPr>
          <w:rFonts w:hint="eastAsia"/>
          <w:color w:val="auto"/>
          <w:u w:val="none"/>
          <w:lang w:val="en-US" w:eastAsia="zh-CN"/>
        </w:rPr>
        <w:t>附件9</w:t>
      </w:r>
      <w:r>
        <w:rPr>
          <w:rFonts w:hint="eastAsia" w:ascii="Times New Roman" w:hAnsi="Times New Roman" w:eastAsia="宋体" w:cs="Times New Roman"/>
          <w:bCs/>
          <w:snapToGrid w:val="0"/>
          <w:color w:val="auto"/>
          <w:kern w:val="44"/>
          <w:sz w:val="24"/>
          <w:szCs w:val="22"/>
          <w:lang w:val="en-US" w:eastAsia="zh-CN" w:bidi="ar-SA"/>
        </w:rPr>
        <w:t>原中盐天友遗留废渣酸浸、水浸检测结果</w:t>
      </w:r>
    </w:p>
    <w:p>
      <w:pPr>
        <w:pStyle w:val="29"/>
        <w:ind w:left="0" w:leftChars="0" w:firstLine="0" w:firstLineChars="0"/>
        <w:rPr>
          <w:rFonts w:hint="eastAsia"/>
          <w:bCs/>
          <w:color w:val="auto"/>
          <w:sz w:val="24"/>
          <w:szCs w:val="40"/>
          <w:lang w:val="en-US" w:eastAsia="zh-CN"/>
        </w:rPr>
      </w:pPr>
      <w:r>
        <w:rPr>
          <w:rFonts w:hint="eastAsia" w:ascii="Times New Roman" w:hAnsi="Times New Roman" w:cs="Times New Roman"/>
          <w:bCs/>
          <w:snapToGrid w:val="0"/>
          <w:color w:val="auto"/>
          <w:kern w:val="44"/>
          <w:sz w:val="24"/>
          <w:szCs w:val="22"/>
          <w:lang w:val="en-US" w:eastAsia="zh-CN" w:bidi="ar-SA"/>
        </w:rPr>
        <w:t>附件1</w:t>
      </w:r>
      <w:r>
        <w:rPr>
          <w:rFonts w:hint="eastAsia" w:cs="Times New Roman"/>
          <w:bCs/>
          <w:snapToGrid w:val="0"/>
          <w:color w:val="auto"/>
          <w:kern w:val="44"/>
          <w:sz w:val="24"/>
          <w:szCs w:val="22"/>
          <w:lang w:val="en-US" w:eastAsia="zh-CN" w:bidi="ar-SA"/>
        </w:rPr>
        <w:t>0</w:t>
      </w:r>
      <w:r>
        <w:rPr>
          <w:rFonts w:hint="eastAsia"/>
          <w:bCs/>
          <w:color w:val="auto"/>
          <w:sz w:val="24"/>
          <w:szCs w:val="40"/>
          <w:lang w:val="en-US" w:eastAsia="zh-CN"/>
        </w:rPr>
        <w:t>原中盐天友废渣表层样放射性核素监测结果</w:t>
      </w:r>
    </w:p>
    <w:p>
      <w:pPr>
        <w:rPr>
          <w:rFonts w:hint="eastAsia"/>
          <w:bCs/>
          <w:color w:val="auto"/>
          <w:sz w:val="24"/>
          <w:szCs w:val="40"/>
          <w:lang w:val="en-US" w:eastAsia="zh-CN"/>
        </w:rPr>
      </w:pPr>
      <w:r>
        <w:rPr>
          <w:rFonts w:hint="eastAsia"/>
          <w:bCs/>
          <w:color w:val="auto"/>
          <w:sz w:val="24"/>
          <w:szCs w:val="40"/>
          <w:lang w:val="en-US" w:eastAsia="zh-CN"/>
        </w:rPr>
        <w:t>附件11原中盐天以遗留废渣柱状样放射性核素监测结果</w:t>
      </w:r>
    </w:p>
    <w:p>
      <w:pPr>
        <w:rPr>
          <w:rFonts w:hint="eastAsia"/>
          <w:bCs/>
          <w:color w:val="auto"/>
          <w:sz w:val="24"/>
          <w:szCs w:val="40"/>
          <w:lang w:val="en-US" w:eastAsia="zh-CN"/>
        </w:rPr>
      </w:pPr>
      <w:r>
        <w:rPr>
          <w:rFonts w:hint="eastAsia"/>
          <w:bCs/>
          <w:color w:val="auto"/>
          <w:sz w:val="24"/>
          <w:szCs w:val="40"/>
          <w:lang w:val="en-US" w:eastAsia="zh-CN"/>
        </w:rPr>
        <w:t>附件12原中盐天友遗留废渣放射性调查报告专家评审意见</w:t>
      </w:r>
    </w:p>
    <w:p>
      <w:pPr>
        <w:rPr>
          <w:rFonts w:hint="eastAsia"/>
          <w:bCs/>
          <w:color w:val="auto"/>
          <w:sz w:val="24"/>
          <w:szCs w:val="40"/>
          <w:lang w:val="en-US" w:eastAsia="zh-CN"/>
        </w:rPr>
      </w:pPr>
      <w:r>
        <w:rPr>
          <w:rFonts w:hint="eastAsia"/>
          <w:bCs/>
          <w:color w:val="auto"/>
          <w:sz w:val="24"/>
          <w:szCs w:val="40"/>
          <w:lang w:val="en-US" w:eastAsia="zh-CN"/>
        </w:rPr>
        <w:t>附件13专家意见</w:t>
      </w:r>
    </w:p>
    <w:p>
      <w:pPr>
        <w:pStyle w:val="2"/>
        <w:rPr>
          <w:rFonts w:hint="default"/>
          <w:lang w:val="en-US" w:eastAsia="zh-CN"/>
        </w:rPr>
      </w:pPr>
      <w:r>
        <w:rPr>
          <w:rFonts w:hint="eastAsia"/>
          <w:bCs/>
          <w:color w:val="auto"/>
          <w:sz w:val="24"/>
          <w:szCs w:val="40"/>
          <w:lang w:val="en-US" w:eastAsia="zh-CN"/>
        </w:rPr>
        <w:t>附件14专家签到表</w:t>
      </w:r>
    </w:p>
    <w:p>
      <w:pPr>
        <w:rPr>
          <w:rFonts w:hint="eastAsia"/>
          <w:bCs/>
          <w:color w:val="auto"/>
          <w:sz w:val="24"/>
          <w:szCs w:val="40"/>
          <w:lang w:val="en-US" w:eastAsia="zh-CN"/>
        </w:rPr>
      </w:pPr>
    </w:p>
    <w:p>
      <w:pPr>
        <w:rPr>
          <w:rFonts w:hint="eastAsia"/>
          <w:bCs/>
          <w:color w:val="auto"/>
          <w:sz w:val="24"/>
          <w:szCs w:val="40"/>
          <w:lang w:val="en-US" w:eastAsia="zh-CN"/>
        </w:rPr>
      </w:pPr>
    </w:p>
    <w:p>
      <w:pPr>
        <w:pStyle w:val="26"/>
        <w:spacing w:before="0" w:beforeAutospacing="0" w:after="0" w:afterAutospacing="0"/>
        <w:jc w:val="both"/>
        <w:outlineLvl w:val="0"/>
        <w:rPr>
          <w:rFonts w:hint="eastAsia" w:ascii="Times New Roman" w:hAnsi="Times New Roman" w:eastAsia="黑体"/>
          <w:snapToGrid w:val="0"/>
          <w:color w:val="000000"/>
          <w:sz w:val="30"/>
          <w:szCs w:val="30"/>
          <w:u w:val="none"/>
        </w:rPr>
        <w:sectPr>
          <w:footerReference r:id="rId3" w:type="default"/>
          <w:pgSz w:w="11906" w:h="16838"/>
          <w:pgMar w:top="1440" w:right="1417" w:bottom="1440" w:left="1417" w:header="992" w:footer="850" w:gutter="0"/>
          <w:pgBorders>
            <w:top w:val="none" w:sz="0" w:space="0"/>
            <w:left w:val="none" w:sz="0" w:space="0"/>
            <w:bottom w:val="none" w:sz="0" w:space="0"/>
            <w:right w:val="none" w:sz="0" w:space="0"/>
          </w:pgBorders>
          <w:pgNumType w:fmt="decimal" w:start="1"/>
          <w:cols w:space="720" w:num="1"/>
          <w:docGrid w:type="lines" w:linePitch="312" w:charSpace="0"/>
        </w:sectPr>
      </w:pPr>
    </w:p>
    <w:p>
      <w:pPr>
        <w:pStyle w:val="26"/>
        <w:spacing w:before="0" w:beforeAutospacing="0" w:after="0" w:afterAutospacing="0"/>
        <w:jc w:val="center"/>
        <w:outlineLvl w:val="0"/>
        <w:rPr>
          <w:rFonts w:hint="eastAsia" w:ascii="Times New Roman" w:hAnsi="Times New Roman" w:eastAsia="黑体"/>
          <w:snapToGrid w:val="0"/>
          <w:color w:val="000000"/>
          <w:sz w:val="30"/>
          <w:szCs w:val="30"/>
          <w:u w:val="none"/>
        </w:rPr>
      </w:pPr>
      <w:bookmarkStart w:id="3" w:name="_Toc16583"/>
      <w:r>
        <w:rPr>
          <w:rFonts w:hint="eastAsia" w:ascii="Times New Roman" w:hAnsi="Times New Roman" w:eastAsia="黑体"/>
          <w:snapToGrid w:val="0"/>
          <w:color w:val="000000"/>
          <w:sz w:val="30"/>
          <w:szCs w:val="30"/>
          <w:u w:val="none"/>
        </w:rPr>
        <w:t>一、建设项目基本情况</w:t>
      </w:r>
      <w:bookmarkEnd w:id="3"/>
    </w:p>
    <w:tbl>
      <w:tblPr>
        <w:tblStyle w:val="30"/>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1968"/>
        <w:gridCol w:w="2142"/>
        <w:gridCol w:w="2262"/>
        <w:gridCol w:w="2699"/>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968" w:type="dxa"/>
            <w:noWrap w:val="0"/>
            <w:tcMar>
              <w:top w:w="16" w:type="dxa"/>
              <w:left w:w="16" w:type="dxa"/>
              <w:right w:w="16" w:type="dxa"/>
            </w:tcMar>
            <w:vAlign w:val="center"/>
          </w:tcPr>
          <w:p>
            <w:pPr>
              <w:adjustRightInd w:val="0"/>
              <w:snapToGrid w:val="0"/>
              <w:jc w:val="center"/>
              <w:rPr>
                <w:rFonts w:cs="宋体"/>
                <w:color w:val="auto"/>
                <w:sz w:val="24"/>
                <w:u w:val="none"/>
              </w:rPr>
            </w:pPr>
            <w:r>
              <w:rPr>
                <w:rFonts w:hint="eastAsia" w:cs="宋体"/>
                <w:color w:val="auto"/>
                <w:sz w:val="24"/>
                <w:u w:val="none"/>
              </w:rPr>
              <w:t>建设项目名称</w:t>
            </w:r>
          </w:p>
        </w:tc>
        <w:tc>
          <w:tcPr>
            <w:tcW w:w="7103" w:type="dxa"/>
            <w:gridSpan w:val="3"/>
            <w:noWrap w:val="0"/>
            <w:vAlign w:val="center"/>
          </w:tcPr>
          <w:p>
            <w:pPr>
              <w:adjustRightInd w:val="0"/>
              <w:snapToGrid w:val="0"/>
              <w:jc w:val="center"/>
              <w:rPr>
                <w:rFonts w:cs="宋体"/>
                <w:color w:val="auto"/>
                <w:sz w:val="24"/>
                <w:u w:val="none"/>
              </w:rPr>
            </w:pPr>
            <w:r>
              <w:rPr>
                <w:rFonts w:hint="eastAsia" w:cs="宋体"/>
                <w:color w:val="auto"/>
                <w:sz w:val="24"/>
                <w:u w:val="none"/>
                <w:lang w:eastAsia="zh-CN"/>
              </w:rPr>
              <w:t>衡阳县财源页岩砖有限公司资源化利用珠晖区原中盐天友及学宫路遗留废渣项目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968" w:type="dxa"/>
            <w:noWrap w:val="0"/>
            <w:tcMar>
              <w:top w:w="16" w:type="dxa"/>
              <w:left w:w="16" w:type="dxa"/>
              <w:right w:w="16" w:type="dxa"/>
            </w:tcMar>
            <w:vAlign w:val="center"/>
          </w:tcPr>
          <w:p>
            <w:pPr>
              <w:adjustRightInd w:val="0"/>
              <w:snapToGrid w:val="0"/>
              <w:jc w:val="center"/>
              <w:rPr>
                <w:rFonts w:cs="宋体"/>
                <w:color w:val="auto"/>
                <w:sz w:val="24"/>
                <w:u w:val="none"/>
              </w:rPr>
            </w:pPr>
            <w:r>
              <w:rPr>
                <w:rFonts w:hint="eastAsia" w:cs="宋体"/>
                <w:color w:val="auto"/>
                <w:sz w:val="24"/>
                <w:u w:val="none"/>
              </w:rPr>
              <w:t>项目代码</w:t>
            </w:r>
          </w:p>
        </w:tc>
        <w:tc>
          <w:tcPr>
            <w:tcW w:w="7103" w:type="dxa"/>
            <w:gridSpan w:val="3"/>
            <w:noWrap w:val="0"/>
            <w:vAlign w:val="center"/>
          </w:tcPr>
          <w:p>
            <w:pPr>
              <w:adjustRightInd w:val="0"/>
              <w:snapToGrid w:val="0"/>
              <w:jc w:val="center"/>
              <w:rPr>
                <w:rFonts w:hint="eastAsia" w:cs="宋体"/>
                <w:color w:val="auto"/>
                <w:sz w:val="24"/>
                <w:u w:val="none"/>
              </w:rPr>
            </w:pPr>
            <w:r>
              <w:rPr>
                <w:rFonts w:hint="eastAsia" w:cs="宋体"/>
                <w:color w:val="auto"/>
                <w:sz w:val="24"/>
                <w:u w:val="none"/>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968" w:type="dxa"/>
            <w:noWrap w:val="0"/>
            <w:tcMar>
              <w:top w:w="16" w:type="dxa"/>
              <w:left w:w="16" w:type="dxa"/>
              <w:right w:w="16" w:type="dxa"/>
            </w:tcMar>
            <w:vAlign w:val="center"/>
          </w:tcPr>
          <w:p>
            <w:pPr>
              <w:adjustRightInd w:val="0"/>
              <w:snapToGrid w:val="0"/>
              <w:jc w:val="center"/>
              <w:rPr>
                <w:rFonts w:hint="eastAsia" w:cs="宋体"/>
                <w:color w:val="auto"/>
                <w:sz w:val="24"/>
                <w:u w:val="none"/>
              </w:rPr>
            </w:pPr>
            <w:r>
              <w:rPr>
                <w:rFonts w:hint="eastAsia" w:cs="宋体"/>
                <w:color w:val="auto"/>
                <w:sz w:val="24"/>
                <w:u w:val="none"/>
              </w:rPr>
              <w:t>建设单位联系人</w:t>
            </w:r>
          </w:p>
        </w:tc>
        <w:tc>
          <w:tcPr>
            <w:tcW w:w="2142" w:type="dxa"/>
            <w:noWrap w:val="0"/>
            <w:vAlign w:val="center"/>
          </w:tcPr>
          <w:p>
            <w:pPr>
              <w:adjustRightInd w:val="0"/>
              <w:snapToGrid w:val="0"/>
              <w:jc w:val="center"/>
              <w:rPr>
                <w:rFonts w:hint="default" w:eastAsia="宋体"/>
                <w:color w:val="auto"/>
                <w:sz w:val="24"/>
                <w:u w:val="none"/>
                <w:lang w:val="en-US" w:eastAsia="zh-CN"/>
              </w:rPr>
            </w:pPr>
            <w:r>
              <w:rPr>
                <w:rFonts w:hint="eastAsia"/>
                <w:color w:val="auto"/>
                <w:sz w:val="24"/>
                <w:u w:val="none"/>
                <w:lang w:val="en-US" w:eastAsia="zh-CN"/>
              </w:rPr>
              <w:t>凌春喜</w:t>
            </w:r>
          </w:p>
        </w:tc>
        <w:tc>
          <w:tcPr>
            <w:tcW w:w="2262" w:type="dxa"/>
            <w:noWrap w:val="0"/>
            <w:vAlign w:val="center"/>
          </w:tcPr>
          <w:p>
            <w:pPr>
              <w:adjustRightInd w:val="0"/>
              <w:snapToGrid w:val="0"/>
              <w:jc w:val="center"/>
              <w:rPr>
                <w:color w:val="auto"/>
                <w:sz w:val="24"/>
                <w:u w:val="none"/>
              </w:rPr>
            </w:pPr>
            <w:r>
              <w:rPr>
                <w:color w:val="auto"/>
                <w:sz w:val="24"/>
                <w:u w:val="none"/>
              </w:rPr>
              <w:t>联系方式</w:t>
            </w:r>
          </w:p>
        </w:tc>
        <w:tc>
          <w:tcPr>
            <w:tcW w:w="2699" w:type="dxa"/>
            <w:noWrap w:val="0"/>
            <w:vAlign w:val="center"/>
          </w:tcPr>
          <w:p>
            <w:pPr>
              <w:adjustRightInd w:val="0"/>
              <w:snapToGrid w:val="0"/>
              <w:jc w:val="center"/>
              <w:rPr>
                <w:rFonts w:hint="default"/>
                <w:color w:val="auto"/>
                <w:sz w:val="24"/>
                <w:u w:val="none"/>
                <w:lang w:val="en-US"/>
              </w:rPr>
            </w:pPr>
            <w:r>
              <w:rPr>
                <w:rFonts w:hint="eastAsia"/>
                <w:color w:val="auto"/>
                <w:sz w:val="24"/>
                <w:u w:val="none"/>
                <w:lang w:val="en-US" w:eastAsia="zh-CN"/>
              </w:rPr>
              <w:t>18274782088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968" w:type="dxa"/>
            <w:noWrap w:val="0"/>
            <w:tcMar>
              <w:top w:w="16" w:type="dxa"/>
              <w:left w:w="16" w:type="dxa"/>
              <w:right w:w="16" w:type="dxa"/>
            </w:tcMar>
            <w:vAlign w:val="center"/>
          </w:tcPr>
          <w:p>
            <w:pPr>
              <w:adjustRightInd w:val="0"/>
              <w:snapToGrid w:val="0"/>
              <w:jc w:val="center"/>
              <w:rPr>
                <w:rFonts w:cs="宋体"/>
                <w:color w:val="auto"/>
                <w:sz w:val="24"/>
                <w:u w:val="none"/>
              </w:rPr>
            </w:pPr>
            <w:r>
              <w:rPr>
                <w:rFonts w:hint="eastAsia" w:cs="宋体"/>
                <w:color w:val="auto"/>
                <w:sz w:val="24"/>
                <w:u w:val="none"/>
              </w:rPr>
              <w:t>建设地点</w:t>
            </w:r>
          </w:p>
        </w:tc>
        <w:tc>
          <w:tcPr>
            <w:tcW w:w="7103" w:type="dxa"/>
            <w:gridSpan w:val="3"/>
            <w:noWrap w:val="0"/>
            <w:vAlign w:val="center"/>
          </w:tcPr>
          <w:p>
            <w:pPr>
              <w:adjustRightInd w:val="0"/>
              <w:snapToGrid w:val="0"/>
              <w:jc w:val="center"/>
              <w:rPr>
                <w:color w:val="auto"/>
                <w:sz w:val="24"/>
                <w:u w:val="none"/>
              </w:rPr>
            </w:pPr>
            <w:r>
              <w:rPr>
                <w:rFonts w:hint="eastAsia"/>
                <w:color w:val="auto"/>
                <w:sz w:val="24"/>
                <w:u w:val="none"/>
              </w:rPr>
              <w:t>衡阳县西渡镇正大村枣子组</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968" w:type="dxa"/>
            <w:noWrap w:val="0"/>
            <w:tcMar>
              <w:top w:w="16" w:type="dxa"/>
              <w:left w:w="16" w:type="dxa"/>
              <w:right w:w="16" w:type="dxa"/>
            </w:tcMar>
            <w:vAlign w:val="center"/>
          </w:tcPr>
          <w:p>
            <w:pPr>
              <w:adjustRightInd w:val="0"/>
              <w:snapToGrid w:val="0"/>
              <w:jc w:val="center"/>
              <w:rPr>
                <w:rFonts w:cs="宋体"/>
                <w:color w:val="auto"/>
                <w:sz w:val="24"/>
                <w:u w:val="none"/>
              </w:rPr>
            </w:pPr>
            <w:r>
              <w:rPr>
                <w:rFonts w:hint="eastAsia" w:cs="宋体"/>
                <w:color w:val="auto"/>
                <w:sz w:val="24"/>
                <w:u w:val="none"/>
              </w:rPr>
              <w:t>地理坐标</w:t>
            </w:r>
          </w:p>
        </w:tc>
        <w:tc>
          <w:tcPr>
            <w:tcW w:w="7103" w:type="dxa"/>
            <w:gridSpan w:val="3"/>
            <w:noWrap w:val="0"/>
            <w:vAlign w:val="center"/>
          </w:tcPr>
          <w:p>
            <w:pPr>
              <w:jc w:val="center"/>
              <w:rPr>
                <w:color w:val="auto"/>
                <w:sz w:val="24"/>
                <w:u w:val="none"/>
              </w:rPr>
            </w:pPr>
            <w:r>
              <w:rPr>
                <w:rFonts w:hint="eastAsia"/>
                <w:color w:val="auto"/>
                <w:sz w:val="24"/>
                <w:u w:val="none"/>
                <w:lang w:val="en-US" w:eastAsia="zh-CN"/>
              </w:rPr>
              <w:t>经度112°19′7.339″</w:t>
            </w:r>
            <w:r>
              <w:rPr>
                <w:rFonts w:hint="eastAsia"/>
                <w:color w:val="auto"/>
                <w:sz w:val="24"/>
                <w:u w:val="none"/>
              </w:rPr>
              <w:t>,</w:t>
            </w:r>
            <w:r>
              <w:rPr>
                <w:rFonts w:hint="eastAsia"/>
                <w:color w:val="auto"/>
                <w:sz w:val="24"/>
                <w:u w:val="none"/>
                <w:lang w:val="en-US" w:eastAsia="zh-CN"/>
              </w:rPr>
              <w:t>纬度</w:t>
            </w:r>
            <w:r>
              <w:rPr>
                <w:rFonts w:hint="eastAsia"/>
                <w:color w:val="auto"/>
                <w:sz w:val="24"/>
                <w:u w:val="none"/>
              </w:rPr>
              <w:t>26°5</w:t>
            </w:r>
            <w:r>
              <w:rPr>
                <w:rFonts w:hint="eastAsia"/>
                <w:color w:val="auto"/>
                <w:sz w:val="24"/>
                <w:u w:val="none"/>
                <w:lang w:val="en-US" w:eastAsia="zh-CN"/>
              </w:rPr>
              <w:t>9</w:t>
            </w:r>
            <w:r>
              <w:rPr>
                <w:rFonts w:hint="eastAsia"/>
                <w:color w:val="auto"/>
                <w:sz w:val="24"/>
                <w:u w:val="none"/>
              </w:rPr>
              <w:t>′5</w:t>
            </w:r>
            <w:r>
              <w:rPr>
                <w:rFonts w:hint="eastAsia"/>
                <w:color w:val="auto"/>
                <w:sz w:val="24"/>
                <w:u w:val="none"/>
                <w:lang w:val="en-US" w:eastAsia="zh-CN"/>
              </w:rPr>
              <w:t>6</w:t>
            </w:r>
            <w:r>
              <w:rPr>
                <w:rFonts w:hint="eastAsia"/>
                <w:color w:val="auto"/>
                <w:sz w:val="24"/>
                <w:u w:val="none"/>
              </w:rPr>
              <w:t>.</w:t>
            </w:r>
            <w:r>
              <w:rPr>
                <w:rFonts w:hint="eastAsia"/>
                <w:color w:val="auto"/>
                <w:sz w:val="24"/>
                <w:u w:val="none"/>
                <w:lang w:val="en-US" w:eastAsia="zh-CN"/>
              </w:rPr>
              <w:t>377</w:t>
            </w:r>
            <w:r>
              <w:rPr>
                <w:rFonts w:hint="eastAsia"/>
                <w:color w:val="auto"/>
                <w:sz w:val="24"/>
                <w:u w:val="none"/>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1" w:hRule="atLeast"/>
          <w:jc w:val="center"/>
        </w:trPr>
        <w:tc>
          <w:tcPr>
            <w:tcW w:w="1968" w:type="dxa"/>
            <w:noWrap w:val="0"/>
            <w:tcMar>
              <w:top w:w="16" w:type="dxa"/>
              <w:left w:w="16" w:type="dxa"/>
              <w:right w:w="16" w:type="dxa"/>
            </w:tcMar>
            <w:vAlign w:val="center"/>
          </w:tcPr>
          <w:p>
            <w:pPr>
              <w:adjustRightInd w:val="0"/>
              <w:snapToGrid w:val="0"/>
              <w:jc w:val="center"/>
              <w:rPr>
                <w:rFonts w:hint="eastAsia" w:cs="宋体"/>
                <w:color w:val="auto"/>
                <w:sz w:val="24"/>
                <w:u w:val="none"/>
              </w:rPr>
            </w:pPr>
            <w:r>
              <w:rPr>
                <w:rFonts w:hint="eastAsia" w:cs="宋体"/>
                <w:color w:val="auto"/>
                <w:sz w:val="24"/>
                <w:u w:val="none"/>
              </w:rPr>
              <w:t>国民经济</w:t>
            </w:r>
          </w:p>
          <w:p>
            <w:pPr>
              <w:adjustRightInd w:val="0"/>
              <w:snapToGrid w:val="0"/>
              <w:jc w:val="center"/>
              <w:rPr>
                <w:rFonts w:cs="宋体"/>
                <w:color w:val="auto"/>
                <w:sz w:val="24"/>
                <w:u w:val="none"/>
              </w:rPr>
            </w:pPr>
            <w:r>
              <w:rPr>
                <w:rFonts w:hint="eastAsia" w:cs="宋体"/>
                <w:color w:val="auto"/>
                <w:sz w:val="24"/>
                <w:u w:val="none"/>
              </w:rPr>
              <w:t>行业类别</w:t>
            </w:r>
          </w:p>
        </w:tc>
        <w:tc>
          <w:tcPr>
            <w:tcW w:w="2142" w:type="dxa"/>
            <w:noWrap w:val="0"/>
            <w:vAlign w:val="center"/>
          </w:tcPr>
          <w:p>
            <w:pPr>
              <w:keepNext w:val="0"/>
              <w:keepLines w:val="0"/>
              <w:widowControl/>
              <w:suppressLineNumbers w:val="0"/>
              <w:jc w:val="left"/>
              <w:rPr>
                <w:rFonts w:hint="eastAsia" w:cs="宋体"/>
                <w:color w:val="auto"/>
                <w:sz w:val="24"/>
                <w:u w:val="none"/>
              </w:rPr>
            </w:pPr>
            <w:r>
              <w:rPr>
                <w:rFonts w:hint="default" w:ascii="Times New Roman" w:hAnsi="Times New Roman" w:eastAsia="宋体" w:cs="Times New Roman"/>
                <w:color w:val="auto"/>
                <w:kern w:val="0"/>
                <w:sz w:val="24"/>
                <w:szCs w:val="24"/>
                <w:u w:val="none"/>
                <w:lang w:val="en-US" w:eastAsia="zh-CN" w:bidi="ar"/>
              </w:rPr>
              <w:t>N7723</w:t>
            </w:r>
            <w:r>
              <w:rPr>
                <w:rFonts w:hint="eastAsia" w:ascii="宋体" w:hAnsi="宋体" w:eastAsia="宋体" w:cs="宋体"/>
                <w:color w:val="auto"/>
                <w:kern w:val="0"/>
                <w:sz w:val="24"/>
                <w:szCs w:val="24"/>
                <w:u w:val="none"/>
                <w:lang w:val="en-US" w:eastAsia="zh-CN" w:bidi="ar"/>
              </w:rPr>
              <w:t>固体废物治理</w:t>
            </w:r>
          </w:p>
          <w:p>
            <w:pPr>
              <w:adjustRightInd w:val="0"/>
              <w:snapToGrid w:val="0"/>
              <w:jc w:val="center"/>
              <w:rPr>
                <w:rFonts w:hint="eastAsia" w:cs="宋体"/>
                <w:color w:val="auto"/>
                <w:sz w:val="24"/>
                <w:u w:val="none"/>
              </w:rPr>
            </w:pPr>
          </w:p>
        </w:tc>
        <w:tc>
          <w:tcPr>
            <w:tcW w:w="2262" w:type="dxa"/>
            <w:noWrap w:val="0"/>
            <w:vAlign w:val="center"/>
          </w:tcPr>
          <w:p>
            <w:pPr>
              <w:adjustRightInd w:val="0"/>
              <w:snapToGrid w:val="0"/>
              <w:jc w:val="center"/>
              <w:rPr>
                <w:rFonts w:cs="宋体"/>
                <w:color w:val="auto"/>
                <w:sz w:val="24"/>
                <w:u w:val="none"/>
              </w:rPr>
            </w:pPr>
            <w:bookmarkStart w:id="4" w:name="_Hlk49843745"/>
            <w:r>
              <w:rPr>
                <w:rFonts w:hint="eastAsia" w:cs="宋体"/>
                <w:color w:val="auto"/>
                <w:sz w:val="24"/>
                <w:u w:val="none"/>
              </w:rPr>
              <w:t>建设项目</w:t>
            </w:r>
          </w:p>
          <w:p>
            <w:pPr>
              <w:adjustRightInd w:val="0"/>
              <w:snapToGrid w:val="0"/>
              <w:jc w:val="center"/>
              <w:rPr>
                <w:rFonts w:cs="宋体"/>
                <w:color w:val="auto"/>
                <w:sz w:val="24"/>
                <w:u w:val="none"/>
              </w:rPr>
            </w:pPr>
            <w:r>
              <w:rPr>
                <w:rFonts w:hint="eastAsia" w:cs="宋体"/>
                <w:color w:val="auto"/>
                <w:sz w:val="24"/>
                <w:u w:val="none"/>
              </w:rPr>
              <w:t>行业类别</w:t>
            </w:r>
            <w:bookmarkEnd w:id="4"/>
          </w:p>
        </w:tc>
        <w:tc>
          <w:tcPr>
            <w:tcW w:w="2699" w:type="dxa"/>
            <w:noWrap w:val="0"/>
            <w:vAlign w:val="center"/>
          </w:tcPr>
          <w:p>
            <w:pPr>
              <w:pStyle w:val="2"/>
              <w:rPr>
                <w:rFonts w:hint="default" w:ascii="Times New Roman" w:hAnsi="Times New Roman"/>
                <w:color w:val="auto"/>
                <w:u w:val="none"/>
              </w:rPr>
            </w:pPr>
            <w:r>
              <w:rPr>
                <w:rFonts w:hint="eastAsia" w:ascii="Times New Roman" w:hAnsi="Times New Roman"/>
                <w:color w:val="auto"/>
                <w:u w:val="none"/>
                <w:lang w:val="en-US" w:eastAsia="zh-CN"/>
              </w:rPr>
              <w:t>47-103</w:t>
            </w:r>
            <w:r>
              <w:rPr>
                <w:rFonts w:hint="default" w:ascii="Times New Roman" w:hAnsi="Times New Roman"/>
                <w:color w:val="auto"/>
                <w:u w:val="none"/>
                <w:lang w:val="en-US" w:eastAsia="zh-CN"/>
              </w:rPr>
              <w:t>、生态保护和环境治理一般工业固体废物（含污水处理污泥）、建筑施工废弃物处置及综合利用其他</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1968" w:type="dxa"/>
            <w:noWrap w:val="0"/>
            <w:tcMar>
              <w:top w:w="16" w:type="dxa"/>
              <w:left w:w="16" w:type="dxa"/>
              <w:right w:w="16" w:type="dxa"/>
            </w:tcMar>
            <w:vAlign w:val="center"/>
          </w:tcPr>
          <w:p>
            <w:pPr>
              <w:adjustRightInd w:val="0"/>
              <w:snapToGrid w:val="0"/>
              <w:jc w:val="center"/>
              <w:rPr>
                <w:rFonts w:cs="宋体"/>
                <w:color w:val="auto"/>
                <w:sz w:val="24"/>
                <w:u w:val="none"/>
              </w:rPr>
            </w:pPr>
            <w:r>
              <w:rPr>
                <w:rFonts w:hint="eastAsia" w:cs="宋体"/>
                <w:color w:val="auto"/>
                <w:sz w:val="24"/>
                <w:u w:val="none"/>
              </w:rPr>
              <w:t>建设性质</w:t>
            </w:r>
          </w:p>
        </w:tc>
        <w:tc>
          <w:tcPr>
            <w:tcW w:w="2142" w:type="dxa"/>
            <w:noWrap w:val="0"/>
            <w:vAlign w:val="center"/>
          </w:tcPr>
          <w:p>
            <w:pPr>
              <w:jc w:val="left"/>
              <w:rPr>
                <w:rFonts w:cs="宋体"/>
                <w:color w:val="auto"/>
                <w:sz w:val="24"/>
                <w:u w:val="none"/>
              </w:rPr>
            </w:pPr>
            <w:r>
              <w:rPr>
                <w:rFonts w:hint="eastAsia" w:cs="宋体"/>
                <w:color w:val="auto"/>
                <w:sz w:val="24"/>
                <w:u w:val="none"/>
              </w:rPr>
              <w:sym w:font="Wingdings" w:char="00FE"/>
            </w:r>
            <w:r>
              <w:rPr>
                <w:rFonts w:hint="eastAsia" w:cs="宋体"/>
                <w:color w:val="auto"/>
                <w:sz w:val="24"/>
                <w:u w:val="none"/>
              </w:rPr>
              <w:t>新建（迁建）</w:t>
            </w:r>
          </w:p>
          <w:p>
            <w:pPr>
              <w:jc w:val="left"/>
              <w:rPr>
                <w:rFonts w:hint="eastAsia" w:cs="宋体"/>
                <w:color w:val="auto"/>
                <w:sz w:val="24"/>
                <w:u w:val="none"/>
              </w:rPr>
            </w:pPr>
            <w:r>
              <w:rPr>
                <w:rFonts w:hint="eastAsia" w:cs="宋体"/>
                <w:color w:val="auto"/>
                <w:sz w:val="24"/>
                <w:u w:val="none"/>
              </w:rPr>
              <w:sym w:font="Wingdings" w:char="00A8"/>
            </w:r>
            <w:r>
              <w:rPr>
                <w:rFonts w:hint="eastAsia" w:cs="宋体"/>
                <w:color w:val="auto"/>
                <w:sz w:val="24"/>
                <w:u w:val="none"/>
              </w:rPr>
              <w:t>改建</w:t>
            </w:r>
          </w:p>
          <w:p>
            <w:pPr>
              <w:jc w:val="left"/>
              <w:rPr>
                <w:rFonts w:hint="eastAsia" w:cs="宋体"/>
                <w:color w:val="auto"/>
                <w:sz w:val="24"/>
                <w:u w:val="none"/>
              </w:rPr>
            </w:pPr>
            <w:r>
              <w:rPr>
                <w:rFonts w:hint="eastAsia" w:cs="宋体"/>
                <w:color w:val="auto"/>
                <w:sz w:val="24"/>
                <w:u w:val="none"/>
              </w:rPr>
              <w:sym w:font="Wingdings" w:char="00A8"/>
            </w:r>
            <w:r>
              <w:rPr>
                <w:rFonts w:hint="eastAsia" w:cs="宋体"/>
                <w:color w:val="auto"/>
                <w:sz w:val="24"/>
                <w:u w:val="none"/>
              </w:rPr>
              <w:t>扩建</w:t>
            </w:r>
          </w:p>
          <w:p>
            <w:pPr>
              <w:jc w:val="left"/>
              <w:rPr>
                <w:rFonts w:cs="宋体"/>
                <w:color w:val="auto"/>
                <w:sz w:val="24"/>
                <w:u w:val="none"/>
              </w:rPr>
            </w:pPr>
            <w:r>
              <w:rPr>
                <w:rFonts w:hint="eastAsia" w:cs="宋体"/>
                <w:color w:val="auto"/>
                <w:sz w:val="24"/>
                <w:u w:val="none"/>
              </w:rPr>
              <w:sym w:font="Wingdings" w:char="00A8"/>
            </w:r>
            <w:r>
              <w:rPr>
                <w:rFonts w:hint="eastAsia" w:cs="宋体"/>
                <w:color w:val="auto"/>
                <w:sz w:val="24"/>
                <w:u w:val="none"/>
              </w:rPr>
              <w:t>技术改造</w:t>
            </w:r>
          </w:p>
        </w:tc>
        <w:tc>
          <w:tcPr>
            <w:tcW w:w="2262" w:type="dxa"/>
            <w:noWrap w:val="0"/>
            <w:vAlign w:val="center"/>
          </w:tcPr>
          <w:p>
            <w:pPr>
              <w:adjustRightInd w:val="0"/>
              <w:snapToGrid w:val="0"/>
              <w:jc w:val="center"/>
              <w:rPr>
                <w:rFonts w:hint="eastAsia" w:cs="宋体"/>
                <w:color w:val="auto"/>
                <w:sz w:val="24"/>
                <w:u w:val="none"/>
              </w:rPr>
            </w:pPr>
            <w:r>
              <w:rPr>
                <w:rFonts w:hint="eastAsia" w:cs="宋体"/>
                <w:color w:val="auto"/>
                <w:sz w:val="24"/>
                <w:u w:val="none"/>
              </w:rPr>
              <w:t>建设项目</w:t>
            </w:r>
          </w:p>
          <w:p>
            <w:pPr>
              <w:adjustRightInd w:val="0"/>
              <w:snapToGrid w:val="0"/>
              <w:jc w:val="center"/>
              <w:rPr>
                <w:rFonts w:cs="宋体"/>
                <w:color w:val="auto"/>
                <w:sz w:val="24"/>
                <w:u w:val="none"/>
              </w:rPr>
            </w:pPr>
            <w:r>
              <w:rPr>
                <w:rFonts w:hint="eastAsia" w:cs="宋体"/>
                <w:color w:val="auto"/>
                <w:sz w:val="24"/>
                <w:u w:val="none"/>
              </w:rPr>
              <w:t>申报情形</w:t>
            </w:r>
          </w:p>
        </w:tc>
        <w:tc>
          <w:tcPr>
            <w:tcW w:w="2699" w:type="dxa"/>
            <w:noWrap w:val="0"/>
            <w:vAlign w:val="center"/>
          </w:tcPr>
          <w:p>
            <w:pPr>
              <w:jc w:val="left"/>
              <w:rPr>
                <w:rFonts w:cs="宋体"/>
                <w:color w:val="auto"/>
                <w:sz w:val="24"/>
                <w:u w:val="none"/>
              </w:rPr>
            </w:pPr>
            <w:r>
              <w:rPr>
                <w:rFonts w:hint="eastAsia" w:cs="宋体"/>
                <w:color w:val="auto"/>
                <w:sz w:val="24"/>
                <w:u w:val="none"/>
              </w:rPr>
              <w:sym w:font="Wingdings 2" w:char="0052"/>
            </w:r>
            <w:r>
              <w:rPr>
                <w:rFonts w:hint="eastAsia" w:cs="宋体"/>
                <w:color w:val="auto"/>
                <w:sz w:val="24"/>
                <w:u w:val="none"/>
              </w:rPr>
              <w:t>首次申报项目</w:t>
            </w:r>
          </w:p>
          <w:p>
            <w:pPr>
              <w:jc w:val="left"/>
              <w:rPr>
                <w:rFonts w:cs="宋体"/>
                <w:color w:val="auto"/>
                <w:sz w:val="24"/>
                <w:u w:val="none"/>
              </w:rPr>
            </w:pPr>
            <w:r>
              <w:rPr>
                <w:rFonts w:hint="eastAsia" w:cs="宋体"/>
                <w:color w:val="auto"/>
                <w:sz w:val="24"/>
                <w:u w:val="none"/>
              </w:rPr>
              <w:t>□不予批准后再次申报项目</w:t>
            </w:r>
          </w:p>
          <w:p>
            <w:pPr>
              <w:jc w:val="left"/>
              <w:rPr>
                <w:rFonts w:hint="eastAsia" w:eastAsia="宋体" w:cs="宋体"/>
                <w:color w:val="auto"/>
                <w:sz w:val="24"/>
                <w:u w:val="none"/>
                <w:lang w:eastAsia="zh-CN"/>
              </w:rPr>
            </w:pPr>
            <w:r>
              <w:rPr>
                <w:rFonts w:hint="eastAsia" w:cs="宋体"/>
                <w:color w:val="auto"/>
                <w:sz w:val="24"/>
                <w:u w:val="none"/>
              </w:rPr>
              <w:t>□超五年重新审核项目</w:t>
            </w:r>
          </w:p>
          <w:p>
            <w:pPr>
              <w:jc w:val="left"/>
              <w:rPr>
                <w:rFonts w:cs="宋体"/>
                <w:color w:val="auto"/>
                <w:sz w:val="24"/>
                <w:u w:val="none"/>
              </w:rPr>
            </w:pPr>
            <w:r>
              <w:rPr>
                <w:rFonts w:hint="eastAsia" w:cs="宋体"/>
                <w:color w:val="auto"/>
                <w:sz w:val="24"/>
                <w:u w:val="none"/>
              </w:rPr>
              <w:t>□重大变动重新报批项目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1" w:hRule="atLeast"/>
          <w:jc w:val="center"/>
        </w:trPr>
        <w:tc>
          <w:tcPr>
            <w:tcW w:w="1968" w:type="dxa"/>
            <w:noWrap w:val="0"/>
            <w:tcMar>
              <w:top w:w="16" w:type="dxa"/>
              <w:left w:w="16" w:type="dxa"/>
              <w:right w:w="16" w:type="dxa"/>
            </w:tcMar>
            <w:vAlign w:val="center"/>
          </w:tcPr>
          <w:p>
            <w:pPr>
              <w:adjustRightInd w:val="0"/>
              <w:snapToGrid w:val="0"/>
              <w:jc w:val="center"/>
              <w:rPr>
                <w:rFonts w:hint="eastAsia" w:cs="宋体"/>
                <w:color w:val="auto"/>
                <w:sz w:val="24"/>
                <w:u w:val="none"/>
              </w:rPr>
            </w:pPr>
            <w:r>
              <w:rPr>
                <w:rFonts w:hint="eastAsia" w:cs="宋体"/>
                <w:color w:val="auto"/>
                <w:sz w:val="24"/>
                <w:u w:val="none"/>
              </w:rPr>
              <w:t>项目审批（核准</w:t>
            </w:r>
            <w:r>
              <w:rPr>
                <w:rFonts w:cs="宋体"/>
                <w:color w:val="auto"/>
                <w:sz w:val="24"/>
                <w:u w:val="none"/>
              </w:rPr>
              <w:t>/</w:t>
            </w:r>
          </w:p>
          <w:p>
            <w:pPr>
              <w:adjustRightInd w:val="0"/>
              <w:snapToGrid w:val="0"/>
              <w:jc w:val="center"/>
              <w:rPr>
                <w:rFonts w:cs="宋体"/>
                <w:color w:val="auto"/>
                <w:sz w:val="24"/>
                <w:u w:val="none"/>
              </w:rPr>
            </w:pPr>
            <w:r>
              <w:rPr>
                <w:rFonts w:hint="eastAsia" w:cs="宋体"/>
                <w:color w:val="auto"/>
                <w:sz w:val="24"/>
                <w:u w:val="none"/>
              </w:rPr>
              <w:t>备案）部门（选填）</w:t>
            </w:r>
          </w:p>
        </w:tc>
        <w:tc>
          <w:tcPr>
            <w:tcW w:w="2142" w:type="dxa"/>
            <w:noWrap w:val="0"/>
            <w:vAlign w:val="center"/>
          </w:tcPr>
          <w:p>
            <w:pPr>
              <w:adjustRightInd w:val="0"/>
              <w:snapToGrid w:val="0"/>
              <w:jc w:val="center"/>
              <w:rPr>
                <w:rFonts w:hint="eastAsia" w:cs="宋体"/>
                <w:color w:val="auto"/>
                <w:sz w:val="24"/>
                <w:u w:val="none"/>
              </w:rPr>
            </w:pPr>
            <w:r>
              <w:rPr>
                <w:rFonts w:hint="eastAsia" w:cs="宋体"/>
                <w:color w:val="auto"/>
                <w:sz w:val="24"/>
                <w:u w:val="none"/>
              </w:rPr>
              <w:t>/</w:t>
            </w:r>
          </w:p>
        </w:tc>
        <w:tc>
          <w:tcPr>
            <w:tcW w:w="2262" w:type="dxa"/>
            <w:noWrap w:val="0"/>
            <w:vAlign w:val="center"/>
          </w:tcPr>
          <w:p>
            <w:pPr>
              <w:adjustRightInd w:val="0"/>
              <w:snapToGrid w:val="0"/>
              <w:jc w:val="center"/>
              <w:rPr>
                <w:rFonts w:hint="eastAsia" w:cs="宋体"/>
                <w:color w:val="auto"/>
                <w:sz w:val="24"/>
                <w:u w:val="none"/>
              </w:rPr>
            </w:pPr>
            <w:r>
              <w:rPr>
                <w:rFonts w:hint="eastAsia" w:cs="宋体"/>
                <w:color w:val="auto"/>
                <w:sz w:val="24"/>
                <w:u w:val="none"/>
              </w:rPr>
              <w:t>项目审批（核准</w:t>
            </w:r>
            <w:r>
              <w:rPr>
                <w:rFonts w:cs="宋体"/>
                <w:color w:val="auto"/>
                <w:sz w:val="24"/>
                <w:u w:val="none"/>
              </w:rPr>
              <w:t>/</w:t>
            </w:r>
          </w:p>
          <w:p>
            <w:pPr>
              <w:adjustRightInd w:val="0"/>
              <w:snapToGrid w:val="0"/>
              <w:jc w:val="center"/>
              <w:rPr>
                <w:rFonts w:hint="eastAsia" w:cs="宋体"/>
                <w:color w:val="auto"/>
                <w:sz w:val="24"/>
                <w:u w:val="none"/>
              </w:rPr>
            </w:pPr>
            <w:r>
              <w:rPr>
                <w:rFonts w:hint="eastAsia" w:cs="宋体"/>
                <w:color w:val="auto"/>
                <w:sz w:val="24"/>
                <w:u w:val="none"/>
              </w:rPr>
              <w:t>备案）文号（选填）</w:t>
            </w:r>
          </w:p>
        </w:tc>
        <w:tc>
          <w:tcPr>
            <w:tcW w:w="2699" w:type="dxa"/>
            <w:noWrap w:val="0"/>
            <w:vAlign w:val="center"/>
          </w:tcPr>
          <w:p>
            <w:pPr>
              <w:adjustRightInd w:val="0"/>
              <w:snapToGrid w:val="0"/>
              <w:jc w:val="center"/>
              <w:rPr>
                <w:rFonts w:hint="eastAsia" w:cs="宋体"/>
                <w:color w:val="auto"/>
                <w:sz w:val="24"/>
                <w:u w:val="none"/>
              </w:rPr>
            </w:pPr>
            <w:r>
              <w:rPr>
                <w:rFonts w:hint="eastAsia" w:cs="宋体"/>
                <w:color w:val="auto"/>
                <w:sz w:val="24"/>
                <w:u w:val="none"/>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968" w:type="dxa"/>
            <w:noWrap w:val="0"/>
            <w:tcMar>
              <w:top w:w="16" w:type="dxa"/>
              <w:left w:w="16" w:type="dxa"/>
              <w:right w:w="16" w:type="dxa"/>
            </w:tcMar>
            <w:vAlign w:val="center"/>
          </w:tcPr>
          <w:p>
            <w:pPr>
              <w:adjustRightInd w:val="0"/>
              <w:snapToGrid w:val="0"/>
              <w:jc w:val="center"/>
              <w:rPr>
                <w:rFonts w:cs="宋体"/>
                <w:color w:val="auto"/>
                <w:sz w:val="24"/>
                <w:u w:val="none"/>
              </w:rPr>
            </w:pPr>
            <w:r>
              <w:rPr>
                <w:rFonts w:hint="eastAsia" w:cs="宋体"/>
                <w:color w:val="auto"/>
                <w:sz w:val="24"/>
                <w:u w:val="none"/>
              </w:rPr>
              <w:t>总投资（万元）</w:t>
            </w:r>
          </w:p>
        </w:tc>
        <w:tc>
          <w:tcPr>
            <w:tcW w:w="2142" w:type="dxa"/>
            <w:noWrap w:val="0"/>
            <w:vAlign w:val="center"/>
          </w:tcPr>
          <w:p>
            <w:pPr>
              <w:adjustRightInd w:val="0"/>
              <w:snapToGrid w:val="0"/>
              <w:jc w:val="center"/>
              <w:rPr>
                <w:rFonts w:hint="default" w:eastAsia="宋体"/>
                <w:color w:val="auto"/>
                <w:sz w:val="24"/>
                <w:highlight w:val="none"/>
                <w:u w:val="none"/>
                <w:lang w:val="en-US" w:eastAsia="zh-CN"/>
              </w:rPr>
            </w:pPr>
            <w:r>
              <w:rPr>
                <w:rFonts w:hint="eastAsia"/>
                <w:color w:val="auto"/>
                <w:sz w:val="24"/>
                <w:highlight w:val="none"/>
                <w:u w:val="none"/>
                <w:lang w:val="en-US" w:eastAsia="zh-CN"/>
              </w:rPr>
              <w:t>101.7</w:t>
            </w:r>
          </w:p>
        </w:tc>
        <w:tc>
          <w:tcPr>
            <w:tcW w:w="2262" w:type="dxa"/>
            <w:noWrap w:val="0"/>
            <w:tcMar>
              <w:top w:w="16" w:type="dxa"/>
              <w:left w:w="16" w:type="dxa"/>
              <w:right w:w="16" w:type="dxa"/>
            </w:tcMar>
            <w:vAlign w:val="center"/>
          </w:tcPr>
          <w:p>
            <w:pPr>
              <w:adjustRightInd w:val="0"/>
              <w:snapToGrid w:val="0"/>
              <w:jc w:val="center"/>
              <w:rPr>
                <w:color w:val="auto"/>
                <w:sz w:val="24"/>
                <w:highlight w:val="none"/>
                <w:u w:val="none"/>
              </w:rPr>
            </w:pPr>
            <w:r>
              <w:rPr>
                <w:color w:val="auto"/>
                <w:sz w:val="24"/>
                <w:highlight w:val="none"/>
                <w:u w:val="none"/>
              </w:rPr>
              <w:t>环保投资（万元）</w:t>
            </w:r>
          </w:p>
        </w:tc>
        <w:tc>
          <w:tcPr>
            <w:tcW w:w="2699" w:type="dxa"/>
            <w:noWrap w:val="0"/>
            <w:vAlign w:val="center"/>
          </w:tcPr>
          <w:p>
            <w:pPr>
              <w:adjustRightInd w:val="0"/>
              <w:snapToGrid w:val="0"/>
              <w:jc w:val="center"/>
              <w:rPr>
                <w:rFonts w:hint="default" w:eastAsia="宋体"/>
                <w:color w:val="auto"/>
                <w:sz w:val="24"/>
                <w:highlight w:val="none"/>
                <w:u w:val="none"/>
                <w:lang w:val="en-US" w:eastAsia="zh-CN"/>
              </w:rPr>
            </w:pPr>
            <w:r>
              <w:rPr>
                <w:rFonts w:hint="eastAsia"/>
                <w:color w:val="auto"/>
                <w:sz w:val="24"/>
                <w:highlight w:val="none"/>
                <w:u w:val="none"/>
                <w:lang w:val="en-US" w:eastAsia="zh-CN"/>
              </w:rPr>
              <w:t>101.7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968" w:type="dxa"/>
            <w:noWrap w:val="0"/>
            <w:tcMar>
              <w:top w:w="16" w:type="dxa"/>
              <w:left w:w="16" w:type="dxa"/>
              <w:right w:w="16" w:type="dxa"/>
            </w:tcMar>
            <w:vAlign w:val="center"/>
          </w:tcPr>
          <w:p>
            <w:pPr>
              <w:adjustRightInd w:val="0"/>
              <w:snapToGrid w:val="0"/>
              <w:jc w:val="center"/>
              <w:rPr>
                <w:rFonts w:cs="宋体"/>
                <w:color w:val="auto"/>
                <w:sz w:val="24"/>
                <w:u w:val="none"/>
              </w:rPr>
            </w:pPr>
            <w:r>
              <w:rPr>
                <w:rFonts w:hint="eastAsia" w:cs="宋体"/>
                <w:color w:val="auto"/>
                <w:sz w:val="24"/>
                <w:u w:val="none"/>
              </w:rPr>
              <w:t>环保投资占比（</w:t>
            </w:r>
            <w:r>
              <w:rPr>
                <w:rFonts w:cs="宋体"/>
                <w:color w:val="auto"/>
                <w:sz w:val="24"/>
                <w:u w:val="none"/>
              </w:rPr>
              <w:t>%</w:t>
            </w:r>
            <w:r>
              <w:rPr>
                <w:rFonts w:hint="eastAsia" w:cs="宋体"/>
                <w:color w:val="auto"/>
                <w:sz w:val="24"/>
                <w:u w:val="none"/>
              </w:rPr>
              <w:t>）</w:t>
            </w:r>
          </w:p>
        </w:tc>
        <w:tc>
          <w:tcPr>
            <w:tcW w:w="2142" w:type="dxa"/>
            <w:noWrap w:val="0"/>
            <w:vAlign w:val="center"/>
          </w:tcPr>
          <w:p>
            <w:pPr>
              <w:adjustRightInd w:val="0"/>
              <w:snapToGrid w:val="0"/>
              <w:jc w:val="center"/>
              <w:rPr>
                <w:rFonts w:hint="default" w:eastAsia="宋体"/>
                <w:color w:val="auto"/>
                <w:sz w:val="24"/>
                <w:u w:val="none"/>
                <w:lang w:val="en-US" w:eastAsia="zh-CN"/>
              </w:rPr>
            </w:pPr>
            <w:r>
              <w:rPr>
                <w:rFonts w:hint="eastAsia"/>
                <w:color w:val="auto"/>
                <w:sz w:val="24"/>
                <w:u w:val="none"/>
                <w:lang w:val="en-US" w:eastAsia="zh-CN"/>
              </w:rPr>
              <w:t>100</w:t>
            </w:r>
          </w:p>
        </w:tc>
        <w:tc>
          <w:tcPr>
            <w:tcW w:w="2262" w:type="dxa"/>
            <w:noWrap w:val="0"/>
            <w:tcMar>
              <w:top w:w="16" w:type="dxa"/>
              <w:left w:w="16" w:type="dxa"/>
              <w:right w:w="16" w:type="dxa"/>
            </w:tcMar>
            <w:vAlign w:val="center"/>
          </w:tcPr>
          <w:p>
            <w:pPr>
              <w:adjustRightInd w:val="0"/>
              <w:snapToGrid w:val="0"/>
              <w:jc w:val="center"/>
              <w:rPr>
                <w:color w:val="auto"/>
                <w:sz w:val="24"/>
                <w:u w:val="none"/>
              </w:rPr>
            </w:pPr>
            <w:r>
              <w:rPr>
                <w:color w:val="auto"/>
                <w:sz w:val="24"/>
                <w:u w:val="none"/>
              </w:rPr>
              <w:t>施工工期</w:t>
            </w:r>
          </w:p>
        </w:tc>
        <w:tc>
          <w:tcPr>
            <w:tcW w:w="2699" w:type="dxa"/>
            <w:noWrap w:val="0"/>
            <w:vAlign w:val="center"/>
          </w:tcPr>
          <w:p>
            <w:pPr>
              <w:adjustRightInd w:val="0"/>
              <w:snapToGrid w:val="0"/>
              <w:jc w:val="center"/>
              <w:rPr>
                <w:color w:val="auto"/>
                <w:sz w:val="24"/>
                <w:u w:val="none"/>
              </w:rPr>
            </w:pPr>
            <w:r>
              <w:rPr>
                <w:rFonts w:hint="eastAsia"/>
                <w:color w:val="auto"/>
                <w:sz w:val="24"/>
                <w:u w:val="none"/>
                <w:lang w:val="en-US" w:eastAsia="zh-CN"/>
              </w:rPr>
              <w:t>1</w:t>
            </w:r>
            <w:r>
              <w:rPr>
                <w:color w:val="auto"/>
                <w:sz w:val="24"/>
                <w:u w:val="none"/>
              </w:rPr>
              <w:t>个月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968" w:type="dxa"/>
            <w:noWrap w:val="0"/>
            <w:tcMar>
              <w:top w:w="16" w:type="dxa"/>
              <w:left w:w="16" w:type="dxa"/>
              <w:right w:w="16" w:type="dxa"/>
            </w:tcMar>
            <w:vAlign w:val="center"/>
          </w:tcPr>
          <w:p>
            <w:pPr>
              <w:adjustRightInd w:val="0"/>
              <w:snapToGrid w:val="0"/>
              <w:jc w:val="center"/>
              <w:rPr>
                <w:rFonts w:hint="eastAsia" w:cs="宋体"/>
                <w:color w:val="auto"/>
                <w:sz w:val="24"/>
                <w:u w:val="none"/>
              </w:rPr>
            </w:pPr>
            <w:r>
              <w:rPr>
                <w:rFonts w:hint="eastAsia" w:cs="宋体"/>
                <w:color w:val="auto"/>
                <w:sz w:val="24"/>
                <w:u w:val="none"/>
              </w:rPr>
              <w:t>是否开工建设</w:t>
            </w:r>
          </w:p>
        </w:tc>
        <w:tc>
          <w:tcPr>
            <w:tcW w:w="2142" w:type="dxa"/>
            <w:noWrap w:val="0"/>
            <w:vAlign w:val="center"/>
          </w:tcPr>
          <w:p>
            <w:pPr>
              <w:adjustRightInd w:val="0"/>
              <w:snapToGrid w:val="0"/>
              <w:rPr>
                <w:color w:val="auto"/>
                <w:sz w:val="24"/>
                <w:u w:val="none"/>
              </w:rPr>
            </w:pPr>
            <w:r>
              <w:rPr>
                <w:color w:val="auto"/>
                <w:sz w:val="24"/>
                <w:u w:val="none"/>
              </w:rPr>
              <w:sym w:font="Wingdings 2" w:char="0052"/>
            </w:r>
            <w:r>
              <w:rPr>
                <w:color w:val="auto"/>
                <w:sz w:val="24"/>
                <w:u w:val="none"/>
              </w:rPr>
              <w:t>否</w:t>
            </w:r>
          </w:p>
          <w:p>
            <w:pPr>
              <w:adjustRightInd w:val="0"/>
              <w:snapToGrid w:val="0"/>
              <w:rPr>
                <w:rFonts w:hint="eastAsia" w:eastAsia="宋体"/>
                <w:color w:val="auto"/>
                <w:sz w:val="24"/>
                <w:u w:val="none"/>
                <w:lang w:eastAsia="zh-CN"/>
              </w:rPr>
            </w:pPr>
            <w:r>
              <w:rPr>
                <w:color w:val="auto"/>
                <w:sz w:val="24"/>
                <w:u w:val="none"/>
              </w:rPr>
              <w:t>□是：</w:t>
            </w:r>
          </w:p>
        </w:tc>
        <w:tc>
          <w:tcPr>
            <w:tcW w:w="2262" w:type="dxa"/>
            <w:noWrap w:val="0"/>
            <w:tcMar>
              <w:top w:w="16" w:type="dxa"/>
              <w:left w:w="16" w:type="dxa"/>
              <w:right w:w="16" w:type="dxa"/>
            </w:tcMar>
            <w:vAlign w:val="center"/>
          </w:tcPr>
          <w:p>
            <w:pPr>
              <w:adjustRightInd w:val="0"/>
              <w:snapToGrid w:val="0"/>
              <w:jc w:val="center"/>
              <w:rPr>
                <w:color w:val="auto"/>
                <w:spacing w:val="-6"/>
                <w:sz w:val="24"/>
                <w:u w:val="none"/>
              </w:rPr>
            </w:pPr>
            <w:r>
              <w:rPr>
                <w:color w:val="auto"/>
                <w:spacing w:val="-6"/>
                <w:sz w:val="24"/>
                <w:u w:val="none"/>
              </w:rPr>
              <w:t>用地（用海）</w:t>
            </w:r>
          </w:p>
          <w:p>
            <w:pPr>
              <w:adjustRightInd w:val="0"/>
              <w:snapToGrid w:val="0"/>
              <w:jc w:val="center"/>
              <w:rPr>
                <w:color w:val="auto"/>
                <w:sz w:val="24"/>
                <w:u w:val="none"/>
              </w:rPr>
            </w:pPr>
            <w:r>
              <w:rPr>
                <w:color w:val="auto"/>
                <w:spacing w:val="-6"/>
                <w:sz w:val="24"/>
                <w:u w:val="none"/>
              </w:rPr>
              <w:t>面积（m</w:t>
            </w:r>
            <w:r>
              <w:rPr>
                <w:color w:val="auto"/>
                <w:spacing w:val="-6"/>
                <w:sz w:val="24"/>
                <w:u w:val="none"/>
                <w:vertAlign w:val="superscript"/>
              </w:rPr>
              <w:t>2</w:t>
            </w:r>
            <w:r>
              <w:rPr>
                <w:color w:val="auto"/>
                <w:spacing w:val="-6"/>
                <w:sz w:val="24"/>
                <w:u w:val="none"/>
              </w:rPr>
              <w:t>）</w:t>
            </w:r>
          </w:p>
        </w:tc>
        <w:tc>
          <w:tcPr>
            <w:tcW w:w="2699" w:type="dxa"/>
            <w:noWrap w:val="0"/>
            <w:vAlign w:val="center"/>
          </w:tcPr>
          <w:p>
            <w:pPr>
              <w:adjustRightInd w:val="0"/>
              <w:snapToGrid w:val="0"/>
              <w:jc w:val="center"/>
              <w:rPr>
                <w:color w:val="auto"/>
                <w:sz w:val="24"/>
                <w:u w:val="none"/>
              </w:rPr>
            </w:pPr>
            <w:r>
              <w:rPr>
                <w:rFonts w:hint="eastAsia"/>
                <w:color w:val="auto"/>
                <w:sz w:val="24"/>
                <w:u w:val="none"/>
                <w:lang w:val="en-US" w:eastAsia="zh-CN"/>
              </w:rPr>
              <w:t>3000</w:t>
            </w:r>
            <w:r>
              <w:rPr>
                <w:color w:val="auto"/>
                <w:sz w:val="24"/>
                <w:u w:val="none"/>
              </w:rPr>
              <w:t>m</w:t>
            </w:r>
            <w:r>
              <w:rPr>
                <w:color w:val="auto"/>
                <w:sz w:val="24"/>
                <w:u w:val="none"/>
                <w:vertAlign w:val="superscript"/>
              </w:rPr>
              <w:t>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41" w:hRule="atLeast"/>
          <w:jc w:val="center"/>
        </w:trPr>
        <w:tc>
          <w:tcPr>
            <w:tcW w:w="1968" w:type="dxa"/>
            <w:noWrap w:val="0"/>
            <w:vAlign w:val="center"/>
          </w:tcPr>
          <w:p>
            <w:pPr>
              <w:autoSpaceDE w:val="0"/>
              <w:autoSpaceDN w:val="0"/>
              <w:adjustRightInd w:val="0"/>
              <w:snapToGrid w:val="0"/>
              <w:jc w:val="center"/>
              <w:rPr>
                <w:rFonts w:cs="宋体"/>
                <w:color w:val="FF0000"/>
                <w:kern w:val="0"/>
                <w:sz w:val="24"/>
                <w:u w:val="none"/>
              </w:rPr>
            </w:pPr>
            <w:r>
              <w:rPr>
                <w:rFonts w:hint="eastAsia" w:cs="宋体"/>
                <w:color w:val="auto"/>
                <w:kern w:val="0"/>
                <w:sz w:val="24"/>
                <w:u w:val="none"/>
              </w:rPr>
              <w:t>专项评价设置情况</w:t>
            </w:r>
          </w:p>
        </w:tc>
        <w:tc>
          <w:tcPr>
            <w:tcW w:w="7103" w:type="dxa"/>
            <w:gridSpan w:val="3"/>
            <w:noWrap w:val="0"/>
            <w:vAlign w:val="center"/>
          </w:tcPr>
          <w:p>
            <w:pPr>
              <w:bidi w:val="0"/>
              <w:spacing w:line="360" w:lineRule="auto"/>
              <w:ind w:firstLine="480" w:firstLineChars="200"/>
              <w:rPr>
                <w:rFonts w:hint="default"/>
                <w:color w:val="auto"/>
                <w:sz w:val="24"/>
                <w:szCs w:val="32"/>
                <w:u w:val="none"/>
                <w:lang w:eastAsia="zh-CN"/>
              </w:rPr>
            </w:pPr>
            <w:r>
              <w:rPr>
                <w:rFonts w:hint="default"/>
                <w:color w:val="auto"/>
                <w:sz w:val="24"/>
                <w:szCs w:val="32"/>
                <w:u w:val="none"/>
                <w:lang w:eastAsia="zh-CN"/>
              </w:rPr>
              <w:t>对照《建设项目环境影响报告表编制技术指南（污染影响类）（试行）》中“表1专项评价设置原则表”，本项目土壤、声环境不开展专项评价，大气、地表水、环境风险、生态、海洋以及地下水是否开展专项评价情况见下表1-1。</w:t>
            </w:r>
          </w:p>
          <w:p>
            <w:pPr>
              <w:pStyle w:val="2"/>
              <w:jc w:val="center"/>
              <w:rPr>
                <w:rFonts w:hint="eastAsia"/>
                <w:color w:val="auto"/>
                <w:sz w:val="24"/>
                <w:szCs w:val="32"/>
                <w:u w:val="none"/>
                <w:lang w:val="en-US" w:eastAsia="zh-CN"/>
              </w:rPr>
            </w:pPr>
            <w:r>
              <w:rPr>
                <w:rFonts w:hint="eastAsia"/>
                <w:color w:val="auto"/>
                <w:sz w:val="24"/>
                <w:szCs w:val="32"/>
                <w:u w:val="none"/>
                <w:lang w:eastAsia="zh-CN"/>
              </w:rPr>
              <w:t>表</w:t>
            </w:r>
            <w:r>
              <w:rPr>
                <w:rFonts w:hint="eastAsia"/>
                <w:color w:val="auto"/>
                <w:sz w:val="24"/>
                <w:szCs w:val="32"/>
                <w:u w:val="none"/>
                <w:lang w:val="en-US" w:eastAsia="zh-CN"/>
              </w:rPr>
              <w:t>1-11专项评价设置原则表</w:t>
            </w:r>
          </w:p>
          <w:tbl>
            <w:tblPr>
              <w:tblStyle w:val="31"/>
              <w:tblW w:w="712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45"/>
              <w:gridCol w:w="3207"/>
              <w:gridCol w:w="23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45" w:type="dxa"/>
                  <w:noWrap w:val="0"/>
                  <w:vAlign w:val="center"/>
                </w:tcPr>
                <w:p>
                  <w:pPr>
                    <w:pStyle w:val="4"/>
                    <w:keepNext w:val="0"/>
                    <w:keepLines w:val="0"/>
                    <w:pageBreakBefore w:val="0"/>
                    <w:widowControl w:val="0"/>
                    <w:kinsoku/>
                    <w:wordWrap/>
                    <w:overflowPunct/>
                    <w:topLinePunct w:val="0"/>
                    <w:autoSpaceDE/>
                    <w:autoSpaceDN/>
                    <w:bidi w:val="0"/>
                    <w:adjustRightInd/>
                    <w:snapToGrid/>
                    <w:spacing w:beforeLines="0" w:line="240" w:lineRule="auto"/>
                    <w:ind w:left="0" w:leftChars="0"/>
                    <w:jc w:val="center"/>
                    <w:textAlignment w:val="auto"/>
                    <w:rPr>
                      <w:rFonts w:hint="default"/>
                      <w:color w:val="auto"/>
                      <w:u w:val="none"/>
                      <w:vertAlign w:val="baseline"/>
                      <w:lang w:val="en-US" w:eastAsia="zh-CN"/>
                    </w:rPr>
                  </w:pPr>
                  <w:r>
                    <w:rPr>
                      <w:rFonts w:hint="eastAsia"/>
                      <w:color w:val="auto"/>
                      <w:u w:val="none"/>
                      <w:vertAlign w:val="baseline"/>
                      <w:lang w:val="en-US" w:eastAsia="zh-CN"/>
                    </w:rPr>
                    <w:t>专项评价类型</w:t>
                  </w:r>
                </w:p>
              </w:tc>
              <w:tc>
                <w:tcPr>
                  <w:tcW w:w="3207" w:type="dxa"/>
                  <w:noWrap w:val="0"/>
                  <w:vAlign w:val="center"/>
                </w:tcPr>
                <w:p>
                  <w:pPr>
                    <w:pStyle w:val="4"/>
                    <w:keepNext w:val="0"/>
                    <w:keepLines w:val="0"/>
                    <w:pageBreakBefore w:val="0"/>
                    <w:widowControl w:val="0"/>
                    <w:kinsoku/>
                    <w:wordWrap/>
                    <w:overflowPunct/>
                    <w:topLinePunct w:val="0"/>
                    <w:autoSpaceDE/>
                    <w:autoSpaceDN/>
                    <w:bidi w:val="0"/>
                    <w:adjustRightInd/>
                    <w:snapToGrid/>
                    <w:spacing w:beforeLines="0" w:line="240" w:lineRule="auto"/>
                    <w:ind w:left="0" w:leftChars="0"/>
                    <w:jc w:val="center"/>
                    <w:textAlignment w:val="auto"/>
                    <w:rPr>
                      <w:rFonts w:hint="default"/>
                      <w:color w:val="auto"/>
                      <w:u w:val="none"/>
                      <w:vertAlign w:val="baseline"/>
                      <w:lang w:val="en-US" w:eastAsia="zh-CN"/>
                    </w:rPr>
                  </w:pPr>
                  <w:r>
                    <w:rPr>
                      <w:rFonts w:hint="eastAsia"/>
                      <w:color w:val="auto"/>
                      <w:u w:val="none"/>
                      <w:vertAlign w:val="baseline"/>
                      <w:lang w:val="en-US" w:eastAsia="zh-CN"/>
                    </w:rPr>
                    <w:t>设置原则</w:t>
                  </w:r>
                </w:p>
              </w:tc>
              <w:tc>
                <w:tcPr>
                  <w:tcW w:w="2376" w:type="dxa"/>
                  <w:noWrap w:val="0"/>
                  <w:vAlign w:val="center"/>
                </w:tcPr>
                <w:p>
                  <w:pPr>
                    <w:pStyle w:val="4"/>
                    <w:keepNext w:val="0"/>
                    <w:keepLines w:val="0"/>
                    <w:pageBreakBefore w:val="0"/>
                    <w:widowControl w:val="0"/>
                    <w:kinsoku/>
                    <w:wordWrap/>
                    <w:overflowPunct/>
                    <w:topLinePunct w:val="0"/>
                    <w:autoSpaceDE/>
                    <w:autoSpaceDN/>
                    <w:bidi w:val="0"/>
                    <w:adjustRightInd/>
                    <w:snapToGrid/>
                    <w:spacing w:beforeLines="0" w:line="240" w:lineRule="auto"/>
                    <w:ind w:left="0" w:leftChars="0"/>
                    <w:jc w:val="center"/>
                    <w:textAlignment w:val="auto"/>
                    <w:rPr>
                      <w:rFonts w:hint="default"/>
                      <w:color w:val="auto"/>
                      <w:u w:val="none"/>
                      <w:vertAlign w:val="baseline"/>
                      <w:lang w:val="en-US" w:eastAsia="zh-CN"/>
                    </w:rPr>
                  </w:pPr>
                  <w:r>
                    <w:rPr>
                      <w:rFonts w:hint="eastAsia"/>
                      <w:color w:val="auto"/>
                      <w:u w:val="none"/>
                      <w:vertAlign w:val="baseline"/>
                      <w:lang w:val="en-US" w:eastAsia="zh-CN"/>
                    </w:rPr>
                    <w:t>本项目情况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45" w:type="dxa"/>
                  <w:noWrap w:val="0"/>
                  <w:vAlign w:val="center"/>
                </w:tcPr>
                <w:p>
                  <w:pPr>
                    <w:pStyle w:val="4"/>
                    <w:keepNext w:val="0"/>
                    <w:keepLines w:val="0"/>
                    <w:pageBreakBefore w:val="0"/>
                    <w:widowControl w:val="0"/>
                    <w:kinsoku/>
                    <w:wordWrap/>
                    <w:overflowPunct/>
                    <w:topLinePunct w:val="0"/>
                    <w:autoSpaceDE/>
                    <w:autoSpaceDN/>
                    <w:bidi w:val="0"/>
                    <w:adjustRightInd/>
                    <w:snapToGrid/>
                    <w:spacing w:beforeLines="0" w:line="240" w:lineRule="auto"/>
                    <w:ind w:left="0" w:leftChars="0"/>
                    <w:jc w:val="center"/>
                    <w:textAlignment w:val="auto"/>
                    <w:rPr>
                      <w:rFonts w:hint="default"/>
                      <w:color w:val="auto"/>
                      <w:u w:val="none"/>
                      <w:vertAlign w:val="baseline"/>
                      <w:lang w:val="en-US" w:eastAsia="zh-CN"/>
                    </w:rPr>
                  </w:pPr>
                  <w:r>
                    <w:rPr>
                      <w:rFonts w:hint="eastAsia"/>
                      <w:color w:val="auto"/>
                      <w:u w:val="none"/>
                      <w:vertAlign w:val="baseline"/>
                      <w:lang w:val="en-US" w:eastAsia="zh-CN"/>
                    </w:rPr>
                    <w:t>大气</w:t>
                  </w:r>
                </w:p>
              </w:tc>
              <w:tc>
                <w:tcPr>
                  <w:tcW w:w="3207" w:type="dxa"/>
                  <w:noWrap w:val="0"/>
                  <w:vAlign w:val="center"/>
                </w:tcPr>
                <w:p>
                  <w:pPr>
                    <w:pStyle w:val="4"/>
                    <w:keepNext w:val="0"/>
                    <w:keepLines w:val="0"/>
                    <w:pageBreakBefore w:val="0"/>
                    <w:widowControl w:val="0"/>
                    <w:kinsoku/>
                    <w:wordWrap/>
                    <w:overflowPunct/>
                    <w:topLinePunct w:val="0"/>
                    <w:autoSpaceDE/>
                    <w:autoSpaceDN/>
                    <w:bidi w:val="0"/>
                    <w:adjustRightInd/>
                    <w:snapToGrid/>
                    <w:spacing w:beforeLines="0" w:line="240" w:lineRule="auto"/>
                    <w:ind w:left="0" w:leftChars="0" w:firstLine="420" w:firstLineChars="200"/>
                    <w:jc w:val="both"/>
                    <w:textAlignment w:val="auto"/>
                    <w:rPr>
                      <w:rFonts w:hint="default"/>
                      <w:color w:val="auto"/>
                      <w:u w:val="none"/>
                      <w:vertAlign w:val="baseline"/>
                      <w:lang w:val="en-US" w:eastAsia="zh-CN"/>
                    </w:rPr>
                  </w:pPr>
                  <w:r>
                    <w:rPr>
                      <w:rFonts w:hint="default"/>
                      <w:color w:val="auto"/>
                      <w:u w:val="none"/>
                      <w:vertAlign w:val="baseline"/>
                      <w:lang w:val="en-US" w:eastAsia="zh-CN"/>
                    </w:rPr>
                    <w:t>排放废气含有毒有害污染物</w:t>
                  </w:r>
                  <w:r>
                    <w:rPr>
                      <w:rFonts w:hint="default"/>
                      <w:color w:val="auto"/>
                      <w:u w:val="none"/>
                      <w:vertAlign w:val="superscript"/>
                      <w:lang w:val="en-US" w:eastAsia="zh-CN"/>
                    </w:rPr>
                    <w:t>1</w:t>
                  </w:r>
                  <w:r>
                    <w:rPr>
                      <w:rFonts w:hint="default"/>
                      <w:color w:val="auto"/>
                      <w:u w:val="none"/>
                      <w:vertAlign w:val="baseline"/>
                      <w:lang w:val="en-US" w:eastAsia="zh-CN"/>
                    </w:rPr>
                    <w:t>、二噁英、苯并[a]芘、氰化物、氯气且厂界外500米范围内有环境空气保护目标</w:t>
                  </w:r>
                  <w:r>
                    <w:rPr>
                      <w:rFonts w:hint="default"/>
                      <w:color w:val="auto"/>
                      <w:u w:val="none"/>
                      <w:vertAlign w:val="superscript"/>
                      <w:lang w:val="en-US" w:eastAsia="zh-CN"/>
                    </w:rPr>
                    <w:t>2</w:t>
                  </w:r>
                  <w:r>
                    <w:rPr>
                      <w:rFonts w:hint="default"/>
                      <w:color w:val="auto"/>
                      <w:u w:val="none"/>
                      <w:vertAlign w:val="baseline"/>
                      <w:lang w:val="en-US" w:eastAsia="zh-CN"/>
                    </w:rPr>
                    <w:t>的建设项目</w:t>
                  </w:r>
                </w:p>
              </w:tc>
              <w:tc>
                <w:tcPr>
                  <w:tcW w:w="2376" w:type="dxa"/>
                  <w:noWrap w:val="0"/>
                  <w:vAlign w:val="center"/>
                </w:tcPr>
                <w:p>
                  <w:pPr>
                    <w:pStyle w:val="4"/>
                    <w:keepNext w:val="0"/>
                    <w:keepLines w:val="0"/>
                    <w:pageBreakBefore w:val="0"/>
                    <w:widowControl w:val="0"/>
                    <w:kinsoku/>
                    <w:wordWrap/>
                    <w:overflowPunct/>
                    <w:topLinePunct w:val="0"/>
                    <w:autoSpaceDE/>
                    <w:autoSpaceDN/>
                    <w:bidi w:val="0"/>
                    <w:adjustRightInd/>
                    <w:snapToGrid/>
                    <w:spacing w:beforeLines="0" w:line="240" w:lineRule="auto"/>
                    <w:ind w:left="0" w:leftChars="0"/>
                    <w:jc w:val="center"/>
                    <w:textAlignment w:val="auto"/>
                    <w:rPr>
                      <w:rFonts w:hint="default"/>
                      <w:color w:val="auto"/>
                      <w:u w:val="none"/>
                      <w:vertAlign w:val="baseline"/>
                      <w:lang w:val="en-US" w:eastAsia="zh-CN"/>
                    </w:rPr>
                  </w:pPr>
                  <w:r>
                    <w:rPr>
                      <w:rFonts w:hint="default"/>
                      <w:color w:val="auto"/>
                      <w:u w:val="none"/>
                      <w:vertAlign w:val="baseline"/>
                      <w:lang w:val="en-US" w:eastAsia="zh-CN"/>
                    </w:rPr>
                    <w:t>不设置，本项目废气不涉及前述有毒有害污染物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45" w:type="dxa"/>
                  <w:noWrap w:val="0"/>
                  <w:vAlign w:val="center"/>
                </w:tcPr>
                <w:p>
                  <w:pPr>
                    <w:pStyle w:val="4"/>
                    <w:keepNext w:val="0"/>
                    <w:keepLines w:val="0"/>
                    <w:pageBreakBefore w:val="0"/>
                    <w:widowControl w:val="0"/>
                    <w:kinsoku/>
                    <w:wordWrap/>
                    <w:overflowPunct/>
                    <w:topLinePunct w:val="0"/>
                    <w:autoSpaceDE/>
                    <w:autoSpaceDN/>
                    <w:bidi w:val="0"/>
                    <w:adjustRightInd/>
                    <w:snapToGrid/>
                    <w:spacing w:beforeLines="0" w:line="240" w:lineRule="auto"/>
                    <w:ind w:left="0" w:leftChars="0"/>
                    <w:jc w:val="center"/>
                    <w:textAlignment w:val="auto"/>
                    <w:rPr>
                      <w:rFonts w:hint="default"/>
                      <w:color w:val="auto"/>
                      <w:u w:val="none"/>
                      <w:vertAlign w:val="baseline"/>
                      <w:lang w:val="en-US" w:eastAsia="zh-CN"/>
                    </w:rPr>
                  </w:pPr>
                  <w:r>
                    <w:rPr>
                      <w:rFonts w:hint="default"/>
                      <w:color w:val="auto"/>
                      <w:u w:val="none"/>
                      <w:vertAlign w:val="baseline"/>
                      <w:lang w:val="en-US" w:eastAsia="zh-CN"/>
                    </w:rPr>
                    <w:t>地表水</w:t>
                  </w:r>
                </w:p>
              </w:tc>
              <w:tc>
                <w:tcPr>
                  <w:tcW w:w="3207" w:type="dxa"/>
                  <w:noWrap w:val="0"/>
                  <w:vAlign w:val="center"/>
                </w:tcPr>
                <w:p>
                  <w:pPr>
                    <w:pStyle w:val="4"/>
                    <w:keepNext w:val="0"/>
                    <w:keepLines w:val="0"/>
                    <w:pageBreakBefore w:val="0"/>
                    <w:widowControl w:val="0"/>
                    <w:kinsoku/>
                    <w:wordWrap/>
                    <w:overflowPunct/>
                    <w:topLinePunct w:val="0"/>
                    <w:autoSpaceDE/>
                    <w:autoSpaceDN/>
                    <w:bidi w:val="0"/>
                    <w:adjustRightInd/>
                    <w:snapToGrid/>
                    <w:spacing w:beforeLines="0" w:line="240" w:lineRule="auto"/>
                    <w:ind w:left="0" w:leftChars="0" w:firstLine="420" w:firstLineChars="200"/>
                    <w:jc w:val="both"/>
                    <w:textAlignment w:val="auto"/>
                    <w:rPr>
                      <w:rFonts w:hint="default"/>
                      <w:color w:val="auto"/>
                      <w:u w:val="none"/>
                      <w:vertAlign w:val="baseline"/>
                      <w:lang w:val="en-US" w:eastAsia="zh-CN"/>
                    </w:rPr>
                  </w:pPr>
                  <w:r>
                    <w:rPr>
                      <w:rFonts w:hint="default"/>
                      <w:color w:val="auto"/>
                      <w:u w:val="none"/>
                      <w:vertAlign w:val="baseline"/>
                      <w:lang w:val="en-US" w:eastAsia="zh-CN"/>
                    </w:rPr>
                    <w:t>新增工业废水直排建设项目（槽罐车外送污水处理厂的除外）；新增废水直排的污水集中处理厂</w:t>
                  </w:r>
                </w:p>
              </w:tc>
              <w:tc>
                <w:tcPr>
                  <w:tcW w:w="2376" w:type="dxa"/>
                  <w:noWrap w:val="0"/>
                  <w:vAlign w:val="center"/>
                </w:tcPr>
                <w:p>
                  <w:pPr>
                    <w:pStyle w:val="4"/>
                    <w:keepNext w:val="0"/>
                    <w:keepLines w:val="0"/>
                    <w:pageBreakBefore w:val="0"/>
                    <w:widowControl w:val="0"/>
                    <w:kinsoku/>
                    <w:wordWrap/>
                    <w:overflowPunct/>
                    <w:topLinePunct w:val="0"/>
                    <w:autoSpaceDE/>
                    <w:autoSpaceDN/>
                    <w:bidi w:val="0"/>
                    <w:adjustRightInd/>
                    <w:snapToGrid/>
                    <w:spacing w:beforeLines="0" w:line="240" w:lineRule="auto"/>
                    <w:ind w:left="0" w:leftChars="0"/>
                    <w:jc w:val="center"/>
                    <w:textAlignment w:val="auto"/>
                    <w:rPr>
                      <w:rFonts w:hint="default"/>
                      <w:color w:val="auto"/>
                      <w:u w:val="none"/>
                      <w:vertAlign w:val="baseline"/>
                      <w:lang w:val="en-US" w:eastAsia="zh-CN"/>
                    </w:rPr>
                  </w:pPr>
                  <w:r>
                    <w:rPr>
                      <w:rFonts w:hint="default"/>
                      <w:color w:val="auto"/>
                      <w:u w:val="none"/>
                      <w:vertAlign w:val="baseline"/>
                      <w:lang w:val="en-US" w:eastAsia="zh-CN"/>
                    </w:rPr>
                    <w:t>不设置，本项目无工业废水排放。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45" w:type="dxa"/>
                  <w:noWrap w:val="0"/>
                  <w:vAlign w:val="center"/>
                </w:tcPr>
                <w:p>
                  <w:pPr>
                    <w:pStyle w:val="4"/>
                    <w:keepNext w:val="0"/>
                    <w:keepLines w:val="0"/>
                    <w:pageBreakBefore w:val="0"/>
                    <w:widowControl w:val="0"/>
                    <w:kinsoku/>
                    <w:wordWrap/>
                    <w:overflowPunct/>
                    <w:topLinePunct w:val="0"/>
                    <w:autoSpaceDE/>
                    <w:autoSpaceDN/>
                    <w:bidi w:val="0"/>
                    <w:adjustRightInd/>
                    <w:snapToGrid/>
                    <w:spacing w:beforeLines="0" w:line="240" w:lineRule="auto"/>
                    <w:ind w:left="0" w:leftChars="0"/>
                    <w:jc w:val="center"/>
                    <w:textAlignment w:val="auto"/>
                    <w:rPr>
                      <w:rFonts w:hint="default"/>
                      <w:color w:val="auto"/>
                      <w:u w:val="none"/>
                      <w:vertAlign w:val="baseline"/>
                      <w:lang w:val="en-US" w:eastAsia="zh-CN"/>
                    </w:rPr>
                  </w:pPr>
                  <w:r>
                    <w:rPr>
                      <w:rFonts w:hint="default"/>
                      <w:color w:val="auto"/>
                      <w:u w:val="none"/>
                      <w:vertAlign w:val="baseline"/>
                      <w:lang w:val="en-US" w:eastAsia="zh-CN"/>
                    </w:rPr>
                    <w:t>环境风险</w:t>
                  </w:r>
                </w:p>
              </w:tc>
              <w:tc>
                <w:tcPr>
                  <w:tcW w:w="3207" w:type="dxa"/>
                  <w:noWrap w:val="0"/>
                  <w:vAlign w:val="center"/>
                </w:tcPr>
                <w:p>
                  <w:pPr>
                    <w:pStyle w:val="4"/>
                    <w:keepNext w:val="0"/>
                    <w:keepLines w:val="0"/>
                    <w:pageBreakBefore w:val="0"/>
                    <w:widowControl w:val="0"/>
                    <w:kinsoku/>
                    <w:wordWrap/>
                    <w:overflowPunct/>
                    <w:topLinePunct w:val="0"/>
                    <w:autoSpaceDE/>
                    <w:autoSpaceDN/>
                    <w:bidi w:val="0"/>
                    <w:adjustRightInd/>
                    <w:snapToGrid/>
                    <w:spacing w:beforeLines="0" w:line="240" w:lineRule="auto"/>
                    <w:ind w:left="0" w:leftChars="0" w:firstLine="420" w:firstLineChars="200"/>
                    <w:jc w:val="both"/>
                    <w:textAlignment w:val="auto"/>
                    <w:rPr>
                      <w:rFonts w:hint="default"/>
                      <w:color w:val="auto"/>
                      <w:u w:val="none"/>
                      <w:vertAlign w:val="baseline"/>
                      <w:lang w:val="en-US" w:eastAsia="zh-CN"/>
                    </w:rPr>
                  </w:pPr>
                  <w:r>
                    <w:rPr>
                      <w:rFonts w:hint="default"/>
                      <w:color w:val="auto"/>
                      <w:u w:val="none"/>
                      <w:vertAlign w:val="baseline"/>
                      <w:lang w:val="en-US" w:eastAsia="zh-CN"/>
                    </w:rPr>
                    <w:t>有毒有害和易燃易爆危险物质存储量超过临界量</w:t>
                  </w:r>
                  <w:r>
                    <w:rPr>
                      <w:rFonts w:hint="default"/>
                      <w:color w:val="auto"/>
                      <w:u w:val="none"/>
                      <w:vertAlign w:val="superscript"/>
                      <w:lang w:val="en-US" w:eastAsia="zh-CN"/>
                    </w:rPr>
                    <w:t>3</w:t>
                  </w:r>
                  <w:r>
                    <w:rPr>
                      <w:rFonts w:hint="default"/>
                      <w:color w:val="auto"/>
                      <w:u w:val="none"/>
                      <w:vertAlign w:val="baseline"/>
                      <w:lang w:val="en-US" w:eastAsia="zh-CN"/>
                    </w:rPr>
                    <w:t>的建设项目</w:t>
                  </w:r>
                </w:p>
              </w:tc>
              <w:tc>
                <w:tcPr>
                  <w:tcW w:w="2376" w:type="dxa"/>
                  <w:noWrap w:val="0"/>
                  <w:vAlign w:val="center"/>
                </w:tcPr>
                <w:p>
                  <w:pPr>
                    <w:pStyle w:val="4"/>
                    <w:keepNext w:val="0"/>
                    <w:keepLines w:val="0"/>
                    <w:pageBreakBefore w:val="0"/>
                    <w:widowControl w:val="0"/>
                    <w:kinsoku/>
                    <w:wordWrap/>
                    <w:overflowPunct/>
                    <w:topLinePunct w:val="0"/>
                    <w:autoSpaceDE/>
                    <w:autoSpaceDN/>
                    <w:bidi w:val="0"/>
                    <w:adjustRightInd/>
                    <w:snapToGrid/>
                    <w:spacing w:beforeLines="0" w:line="240" w:lineRule="auto"/>
                    <w:ind w:left="0" w:leftChars="0"/>
                    <w:jc w:val="center"/>
                    <w:textAlignment w:val="auto"/>
                    <w:rPr>
                      <w:rFonts w:hint="default"/>
                      <w:color w:val="auto"/>
                      <w:u w:val="none"/>
                      <w:vertAlign w:val="baseline"/>
                      <w:lang w:val="en-US" w:eastAsia="zh-CN"/>
                    </w:rPr>
                  </w:pPr>
                  <w:r>
                    <w:rPr>
                      <w:rFonts w:hint="default"/>
                      <w:color w:val="auto"/>
                      <w:u w:val="none"/>
                      <w:vertAlign w:val="baseline"/>
                      <w:lang w:val="en-US" w:eastAsia="zh-CN"/>
                    </w:rPr>
                    <w:t>不设置，本项目有毒有害和易燃易爆危险物质存储量未超过临界量。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45" w:type="dxa"/>
                  <w:noWrap w:val="0"/>
                  <w:vAlign w:val="center"/>
                </w:tcPr>
                <w:p>
                  <w:pPr>
                    <w:pStyle w:val="4"/>
                    <w:keepNext w:val="0"/>
                    <w:keepLines w:val="0"/>
                    <w:pageBreakBefore w:val="0"/>
                    <w:widowControl w:val="0"/>
                    <w:kinsoku/>
                    <w:wordWrap/>
                    <w:overflowPunct/>
                    <w:topLinePunct w:val="0"/>
                    <w:autoSpaceDE/>
                    <w:autoSpaceDN/>
                    <w:bidi w:val="0"/>
                    <w:adjustRightInd/>
                    <w:snapToGrid/>
                    <w:spacing w:beforeLines="0" w:line="240" w:lineRule="auto"/>
                    <w:ind w:left="0" w:leftChars="0"/>
                    <w:jc w:val="center"/>
                    <w:textAlignment w:val="auto"/>
                    <w:rPr>
                      <w:rFonts w:hint="default"/>
                      <w:color w:val="auto"/>
                      <w:u w:val="none"/>
                      <w:vertAlign w:val="baseline"/>
                      <w:lang w:val="en-US" w:eastAsia="zh-CN"/>
                    </w:rPr>
                  </w:pPr>
                  <w:r>
                    <w:rPr>
                      <w:rFonts w:hint="default"/>
                      <w:color w:val="auto"/>
                      <w:u w:val="none"/>
                      <w:vertAlign w:val="baseline"/>
                      <w:lang w:val="en-US" w:eastAsia="zh-CN"/>
                    </w:rPr>
                    <w:t>生态</w:t>
                  </w:r>
                </w:p>
              </w:tc>
              <w:tc>
                <w:tcPr>
                  <w:tcW w:w="3207" w:type="dxa"/>
                  <w:noWrap w:val="0"/>
                  <w:vAlign w:val="center"/>
                </w:tcPr>
                <w:p>
                  <w:pPr>
                    <w:pStyle w:val="4"/>
                    <w:keepNext w:val="0"/>
                    <w:keepLines w:val="0"/>
                    <w:pageBreakBefore w:val="0"/>
                    <w:widowControl w:val="0"/>
                    <w:kinsoku/>
                    <w:wordWrap/>
                    <w:overflowPunct/>
                    <w:topLinePunct w:val="0"/>
                    <w:autoSpaceDE/>
                    <w:autoSpaceDN/>
                    <w:bidi w:val="0"/>
                    <w:adjustRightInd/>
                    <w:snapToGrid/>
                    <w:spacing w:beforeLines="0" w:line="240" w:lineRule="auto"/>
                    <w:ind w:left="0" w:leftChars="0" w:firstLine="420" w:firstLineChars="200"/>
                    <w:jc w:val="both"/>
                    <w:textAlignment w:val="auto"/>
                    <w:rPr>
                      <w:rFonts w:hint="default"/>
                      <w:color w:val="auto"/>
                      <w:u w:val="none"/>
                      <w:vertAlign w:val="baseline"/>
                      <w:lang w:val="en-US" w:eastAsia="zh-CN"/>
                    </w:rPr>
                  </w:pPr>
                  <w:r>
                    <w:rPr>
                      <w:rFonts w:hint="default"/>
                      <w:color w:val="auto"/>
                      <w:u w:val="none"/>
                      <w:vertAlign w:val="baseline"/>
                      <w:lang w:val="en-US" w:eastAsia="zh-CN"/>
                    </w:rPr>
                    <w:t>取水口下游500米范围内有重要水生生物的自然产卵场、索饵场、越冬场和洄游通道的新增河道取水的污染类建设项目</w:t>
                  </w:r>
                </w:p>
              </w:tc>
              <w:tc>
                <w:tcPr>
                  <w:tcW w:w="2376" w:type="dxa"/>
                  <w:noWrap w:val="0"/>
                  <w:vAlign w:val="center"/>
                </w:tcPr>
                <w:p>
                  <w:pPr>
                    <w:pStyle w:val="4"/>
                    <w:keepNext w:val="0"/>
                    <w:keepLines w:val="0"/>
                    <w:pageBreakBefore w:val="0"/>
                    <w:widowControl w:val="0"/>
                    <w:kinsoku/>
                    <w:wordWrap/>
                    <w:overflowPunct/>
                    <w:topLinePunct w:val="0"/>
                    <w:autoSpaceDE/>
                    <w:autoSpaceDN/>
                    <w:bidi w:val="0"/>
                    <w:adjustRightInd/>
                    <w:snapToGrid/>
                    <w:spacing w:beforeLines="0" w:line="240" w:lineRule="auto"/>
                    <w:ind w:left="0" w:leftChars="0"/>
                    <w:jc w:val="center"/>
                    <w:textAlignment w:val="auto"/>
                    <w:rPr>
                      <w:rFonts w:hint="default"/>
                      <w:color w:val="auto"/>
                      <w:u w:val="none"/>
                      <w:vertAlign w:val="baseline"/>
                      <w:lang w:val="en-US" w:eastAsia="zh-CN"/>
                    </w:rPr>
                  </w:pPr>
                  <w:r>
                    <w:rPr>
                      <w:rFonts w:hint="eastAsia"/>
                      <w:color w:val="auto"/>
                      <w:u w:val="none"/>
                      <w:vertAlign w:val="baseline"/>
                      <w:lang w:val="en-US" w:eastAsia="zh-CN"/>
                    </w:rPr>
                    <w:t>本项目不涉及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45" w:type="dxa"/>
                  <w:noWrap w:val="0"/>
                  <w:vAlign w:val="center"/>
                </w:tcPr>
                <w:p>
                  <w:pPr>
                    <w:pStyle w:val="4"/>
                    <w:keepNext w:val="0"/>
                    <w:keepLines w:val="0"/>
                    <w:pageBreakBefore w:val="0"/>
                    <w:widowControl w:val="0"/>
                    <w:kinsoku/>
                    <w:wordWrap/>
                    <w:overflowPunct/>
                    <w:topLinePunct w:val="0"/>
                    <w:autoSpaceDE/>
                    <w:autoSpaceDN/>
                    <w:bidi w:val="0"/>
                    <w:adjustRightInd/>
                    <w:snapToGrid/>
                    <w:spacing w:beforeLines="0" w:line="240" w:lineRule="auto"/>
                    <w:ind w:left="0" w:leftChars="0"/>
                    <w:jc w:val="center"/>
                    <w:textAlignment w:val="auto"/>
                    <w:rPr>
                      <w:rFonts w:hint="default"/>
                      <w:color w:val="auto"/>
                      <w:u w:val="none"/>
                      <w:vertAlign w:val="baseline"/>
                      <w:lang w:val="en-US" w:eastAsia="zh-CN"/>
                    </w:rPr>
                  </w:pPr>
                  <w:r>
                    <w:rPr>
                      <w:rFonts w:hint="default"/>
                      <w:color w:val="auto"/>
                      <w:u w:val="none"/>
                      <w:vertAlign w:val="baseline"/>
                      <w:lang w:val="en-US" w:eastAsia="zh-CN"/>
                    </w:rPr>
                    <w:t>海洋</w:t>
                  </w:r>
                </w:p>
                <w:p>
                  <w:pPr>
                    <w:pStyle w:val="4"/>
                    <w:keepNext w:val="0"/>
                    <w:keepLines w:val="0"/>
                    <w:pageBreakBefore w:val="0"/>
                    <w:widowControl w:val="0"/>
                    <w:kinsoku/>
                    <w:wordWrap/>
                    <w:overflowPunct/>
                    <w:topLinePunct w:val="0"/>
                    <w:autoSpaceDE/>
                    <w:autoSpaceDN/>
                    <w:bidi w:val="0"/>
                    <w:adjustRightInd/>
                    <w:snapToGrid/>
                    <w:spacing w:beforeLines="0" w:line="240" w:lineRule="auto"/>
                    <w:ind w:left="0" w:leftChars="0"/>
                    <w:jc w:val="center"/>
                    <w:textAlignment w:val="auto"/>
                    <w:rPr>
                      <w:rFonts w:hint="default"/>
                      <w:color w:val="auto"/>
                      <w:u w:val="none"/>
                      <w:vertAlign w:val="baseline"/>
                      <w:lang w:val="en-US" w:eastAsia="zh-CN"/>
                    </w:rPr>
                  </w:pPr>
                </w:p>
              </w:tc>
              <w:tc>
                <w:tcPr>
                  <w:tcW w:w="3207" w:type="dxa"/>
                  <w:noWrap w:val="0"/>
                  <w:vAlign w:val="center"/>
                </w:tcPr>
                <w:p>
                  <w:pPr>
                    <w:pStyle w:val="4"/>
                    <w:keepNext w:val="0"/>
                    <w:keepLines w:val="0"/>
                    <w:pageBreakBefore w:val="0"/>
                    <w:widowControl w:val="0"/>
                    <w:kinsoku/>
                    <w:wordWrap/>
                    <w:overflowPunct/>
                    <w:topLinePunct w:val="0"/>
                    <w:autoSpaceDE/>
                    <w:autoSpaceDN/>
                    <w:bidi w:val="0"/>
                    <w:adjustRightInd/>
                    <w:snapToGrid/>
                    <w:spacing w:beforeLines="0" w:line="240" w:lineRule="auto"/>
                    <w:ind w:left="0" w:leftChars="0" w:firstLine="420" w:firstLineChars="200"/>
                    <w:jc w:val="both"/>
                    <w:textAlignment w:val="auto"/>
                    <w:rPr>
                      <w:rFonts w:hint="default"/>
                      <w:color w:val="auto"/>
                      <w:u w:val="none"/>
                      <w:vertAlign w:val="baseline"/>
                      <w:lang w:val="en-US" w:eastAsia="zh-CN"/>
                    </w:rPr>
                  </w:pPr>
                  <w:r>
                    <w:rPr>
                      <w:rFonts w:hint="default"/>
                      <w:color w:val="auto"/>
                      <w:u w:val="none"/>
                      <w:vertAlign w:val="baseline"/>
                      <w:lang w:val="en-US" w:eastAsia="zh-CN"/>
                    </w:rPr>
                    <w:t>直接向海排放污染物的海洋工程建设项目</w:t>
                  </w:r>
                </w:p>
              </w:tc>
              <w:tc>
                <w:tcPr>
                  <w:tcW w:w="2376" w:type="dxa"/>
                  <w:noWrap w:val="0"/>
                  <w:vAlign w:val="center"/>
                </w:tcPr>
                <w:p>
                  <w:pPr>
                    <w:pStyle w:val="4"/>
                    <w:keepNext w:val="0"/>
                    <w:keepLines w:val="0"/>
                    <w:pageBreakBefore w:val="0"/>
                    <w:widowControl w:val="0"/>
                    <w:kinsoku/>
                    <w:wordWrap/>
                    <w:overflowPunct/>
                    <w:topLinePunct w:val="0"/>
                    <w:autoSpaceDE/>
                    <w:autoSpaceDN/>
                    <w:bidi w:val="0"/>
                    <w:adjustRightInd/>
                    <w:snapToGrid/>
                    <w:spacing w:beforeLines="0" w:line="240" w:lineRule="auto"/>
                    <w:ind w:left="0" w:leftChars="0"/>
                    <w:jc w:val="center"/>
                    <w:textAlignment w:val="auto"/>
                    <w:rPr>
                      <w:rFonts w:hint="default"/>
                      <w:color w:val="auto"/>
                      <w:u w:val="none"/>
                      <w:vertAlign w:val="baseline"/>
                      <w:lang w:val="en-US" w:eastAsia="zh-CN"/>
                    </w:rPr>
                  </w:pPr>
                  <w:r>
                    <w:rPr>
                      <w:rFonts w:hint="eastAsia"/>
                      <w:color w:val="auto"/>
                      <w:u w:val="none"/>
                      <w:vertAlign w:val="baseline"/>
                      <w:lang w:val="en-US" w:eastAsia="zh-CN"/>
                    </w:rPr>
                    <w:t>本项目不涉及</w:t>
                  </w:r>
                </w:p>
              </w:tc>
            </w:tr>
          </w:tbl>
          <w:p>
            <w:pPr>
              <w:keepNext w:val="0"/>
              <w:keepLines w:val="0"/>
              <w:widowControl/>
              <w:suppressLineNumbers w:val="0"/>
              <w:spacing w:line="360" w:lineRule="auto"/>
              <w:jc w:val="left"/>
              <w:rPr>
                <w:rFonts w:hint="eastAsia" w:ascii="宋体" w:hAnsi="宋体" w:eastAsia="宋体" w:cs="宋体"/>
                <w:color w:val="auto"/>
                <w:kern w:val="0"/>
                <w:sz w:val="24"/>
                <w:szCs w:val="24"/>
                <w:u w:val="none"/>
                <w:lang w:val="en-US" w:eastAsia="zh-CN" w:bidi="ar"/>
              </w:rPr>
            </w:pPr>
            <w:r>
              <w:rPr>
                <w:rFonts w:hint="eastAsia" w:ascii="宋体" w:hAnsi="宋体" w:eastAsia="宋体" w:cs="宋体"/>
                <w:color w:val="auto"/>
                <w:kern w:val="0"/>
                <w:sz w:val="24"/>
                <w:szCs w:val="24"/>
                <w:u w:val="none"/>
                <w:lang w:val="en-US" w:eastAsia="zh-CN" w:bidi="ar"/>
              </w:rPr>
              <w:t>注：</w:t>
            </w:r>
            <w:r>
              <w:rPr>
                <w:rFonts w:hint="default" w:ascii="宋体" w:hAnsi="宋体" w:eastAsia="宋体" w:cs="宋体"/>
                <w:color w:val="auto"/>
                <w:kern w:val="0"/>
                <w:sz w:val="24"/>
                <w:szCs w:val="24"/>
                <w:u w:val="none"/>
                <w:lang w:val="en-US" w:eastAsia="zh-CN" w:bidi="ar"/>
              </w:rPr>
              <w:t>1.</w:t>
            </w:r>
            <w:r>
              <w:rPr>
                <w:rFonts w:hint="eastAsia" w:ascii="宋体" w:hAnsi="宋体" w:eastAsia="宋体" w:cs="宋体"/>
                <w:color w:val="auto"/>
                <w:kern w:val="0"/>
                <w:sz w:val="24"/>
                <w:szCs w:val="24"/>
                <w:u w:val="none"/>
                <w:lang w:val="en-US" w:eastAsia="zh-CN" w:bidi="ar"/>
              </w:rPr>
              <w:t>废气中有毒有害污染物指纳入《有毒有害大气污染物名录》的污染物（不包括无排放标准的污染物）。</w:t>
            </w:r>
          </w:p>
          <w:p>
            <w:pPr>
              <w:keepNext w:val="0"/>
              <w:keepLines w:val="0"/>
              <w:widowControl/>
              <w:suppressLineNumbers w:val="0"/>
              <w:spacing w:line="360" w:lineRule="auto"/>
              <w:jc w:val="left"/>
              <w:rPr>
                <w:rFonts w:hint="eastAsia" w:ascii="宋体" w:hAnsi="宋体" w:eastAsia="宋体" w:cs="宋体"/>
                <w:color w:val="auto"/>
                <w:kern w:val="0"/>
                <w:sz w:val="24"/>
                <w:szCs w:val="24"/>
                <w:u w:val="none"/>
                <w:lang w:val="en-US" w:eastAsia="zh-CN" w:bidi="ar"/>
              </w:rPr>
            </w:pPr>
            <w:r>
              <w:rPr>
                <w:rFonts w:hint="default" w:ascii="宋体" w:hAnsi="宋体" w:eastAsia="宋体" w:cs="宋体"/>
                <w:color w:val="auto"/>
                <w:kern w:val="0"/>
                <w:sz w:val="24"/>
                <w:szCs w:val="24"/>
                <w:u w:val="none"/>
                <w:lang w:val="en-US" w:eastAsia="zh-CN" w:bidi="ar"/>
              </w:rPr>
              <w:t>2.</w:t>
            </w:r>
            <w:r>
              <w:rPr>
                <w:rFonts w:hint="eastAsia" w:ascii="宋体" w:hAnsi="宋体" w:eastAsia="宋体" w:cs="宋体"/>
                <w:color w:val="auto"/>
                <w:kern w:val="0"/>
                <w:sz w:val="24"/>
                <w:szCs w:val="24"/>
                <w:u w:val="none"/>
                <w:lang w:val="en-US" w:eastAsia="zh-CN" w:bidi="ar"/>
              </w:rPr>
              <w:t>环境空气保护目标指自然保护区、风景名胜区、居住区、文化区和农村地区中人群较集中的区域。</w:t>
            </w:r>
          </w:p>
          <w:p>
            <w:pPr>
              <w:keepNext w:val="0"/>
              <w:keepLines w:val="0"/>
              <w:widowControl/>
              <w:suppressLineNumbers w:val="0"/>
              <w:spacing w:line="360" w:lineRule="auto"/>
              <w:jc w:val="left"/>
              <w:rPr>
                <w:rFonts w:cs="宋体"/>
                <w:color w:val="FF0000"/>
                <w:kern w:val="0"/>
                <w:sz w:val="24"/>
                <w:u w:val="none"/>
              </w:rPr>
            </w:pPr>
            <w:r>
              <w:rPr>
                <w:rFonts w:hint="default" w:ascii="宋体" w:hAnsi="宋体" w:eastAsia="宋体" w:cs="宋体"/>
                <w:color w:val="auto"/>
                <w:kern w:val="0"/>
                <w:sz w:val="24"/>
                <w:szCs w:val="24"/>
                <w:u w:val="none"/>
                <w:lang w:val="en-US" w:eastAsia="zh-CN" w:bidi="ar"/>
              </w:rPr>
              <w:t>3.</w:t>
            </w:r>
            <w:r>
              <w:rPr>
                <w:rFonts w:hint="eastAsia" w:ascii="宋体" w:hAnsi="宋体" w:eastAsia="宋体" w:cs="宋体"/>
                <w:color w:val="auto"/>
                <w:kern w:val="0"/>
                <w:sz w:val="24"/>
                <w:szCs w:val="24"/>
                <w:u w:val="none"/>
                <w:lang w:val="en-US" w:eastAsia="zh-CN" w:bidi="ar"/>
              </w:rPr>
              <w:t>临界量及其计算方法可参考《建设项目环境风险评价技术导则》（</w:t>
            </w:r>
            <w:r>
              <w:rPr>
                <w:rFonts w:hint="default" w:ascii="宋体" w:hAnsi="宋体" w:eastAsia="宋体" w:cs="宋体"/>
                <w:color w:val="auto"/>
                <w:kern w:val="0"/>
                <w:sz w:val="24"/>
                <w:szCs w:val="24"/>
                <w:u w:val="none"/>
                <w:lang w:val="en-US" w:eastAsia="zh-CN" w:bidi="ar"/>
              </w:rPr>
              <w:t>HJ169</w:t>
            </w:r>
            <w:r>
              <w:rPr>
                <w:rFonts w:hint="eastAsia" w:ascii="宋体" w:hAnsi="宋体" w:eastAsia="宋体" w:cs="宋体"/>
                <w:color w:val="auto"/>
                <w:kern w:val="0"/>
                <w:sz w:val="24"/>
                <w:szCs w:val="24"/>
                <w:u w:val="none"/>
                <w:lang w:val="en-US" w:eastAsia="zh-CN" w:bidi="ar"/>
              </w:rPr>
              <w:t>）附录</w:t>
            </w:r>
            <w:r>
              <w:rPr>
                <w:rFonts w:hint="default" w:ascii="宋体" w:hAnsi="宋体" w:eastAsia="宋体" w:cs="宋体"/>
                <w:color w:val="auto"/>
                <w:kern w:val="0"/>
                <w:sz w:val="24"/>
                <w:szCs w:val="24"/>
                <w:u w:val="none"/>
                <w:lang w:val="en-US" w:eastAsia="zh-CN" w:bidi="ar"/>
              </w:rPr>
              <w:t>B</w:t>
            </w:r>
            <w:r>
              <w:rPr>
                <w:rFonts w:hint="eastAsia" w:ascii="宋体" w:hAnsi="宋体" w:eastAsia="宋体" w:cs="宋体"/>
                <w:color w:val="auto"/>
                <w:kern w:val="0"/>
                <w:sz w:val="24"/>
                <w:szCs w:val="24"/>
                <w:u w:val="none"/>
                <w:lang w:val="en-US" w:eastAsia="zh-CN" w:bidi="ar"/>
              </w:rPr>
              <w:t>、附录</w:t>
            </w:r>
            <w:r>
              <w:rPr>
                <w:rFonts w:hint="default" w:ascii="宋体" w:hAnsi="宋体" w:eastAsia="宋体" w:cs="宋体"/>
                <w:color w:val="auto"/>
                <w:kern w:val="0"/>
                <w:sz w:val="24"/>
                <w:szCs w:val="24"/>
                <w:u w:val="none"/>
                <w:lang w:val="en-US" w:eastAsia="zh-CN" w:bidi="ar"/>
              </w:rPr>
              <w:t>C</w:t>
            </w:r>
            <w:r>
              <w:rPr>
                <w:rFonts w:hint="eastAsia" w:ascii="宋体" w:hAnsi="宋体" w:eastAsia="宋体" w:cs="宋体"/>
                <w:color w:val="auto"/>
                <w:kern w:val="0"/>
                <w:sz w:val="24"/>
                <w:szCs w:val="24"/>
                <w:u w:val="none"/>
                <w:lang w:val="en-US" w:eastAsia="zh-CN" w:bidi="ar"/>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41" w:hRule="atLeast"/>
          <w:jc w:val="center"/>
        </w:trPr>
        <w:tc>
          <w:tcPr>
            <w:tcW w:w="1968" w:type="dxa"/>
            <w:noWrap w:val="0"/>
            <w:vAlign w:val="center"/>
          </w:tcPr>
          <w:p>
            <w:pPr>
              <w:autoSpaceDE w:val="0"/>
              <w:autoSpaceDN w:val="0"/>
              <w:adjustRightInd w:val="0"/>
              <w:snapToGrid w:val="0"/>
              <w:jc w:val="center"/>
              <w:rPr>
                <w:rFonts w:hint="eastAsia" w:cs="宋体"/>
                <w:color w:val="auto"/>
                <w:kern w:val="0"/>
                <w:sz w:val="24"/>
                <w:u w:val="none"/>
              </w:rPr>
            </w:pPr>
            <w:r>
              <w:rPr>
                <w:rFonts w:hint="eastAsia" w:cs="宋体"/>
                <w:color w:val="auto"/>
                <w:sz w:val="24"/>
                <w:u w:val="none"/>
              </w:rPr>
              <w:t>规划情况</w:t>
            </w:r>
          </w:p>
        </w:tc>
        <w:tc>
          <w:tcPr>
            <w:tcW w:w="7103" w:type="dxa"/>
            <w:gridSpan w:val="3"/>
            <w:noWrap w:val="0"/>
            <w:vAlign w:val="center"/>
          </w:tcPr>
          <w:p>
            <w:pPr>
              <w:autoSpaceDE w:val="0"/>
              <w:autoSpaceDN w:val="0"/>
              <w:adjustRightInd w:val="0"/>
              <w:snapToGrid w:val="0"/>
              <w:jc w:val="center"/>
              <w:rPr>
                <w:rFonts w:hint="eastAsia" w:cs="宋体"/>
                <w:color w:val="auto"/>
                <w:kern w:val="0"/>
                <w:sz w:val="24"/>
                <w:u w:val="none"/>
              </w:rPr>
            </w:pPr>
            <w:r>
              <w:rPr>
                <w:rFonts w:hint="eastAsia" w:cs="宋体"/>
                <w:color w:val="auto"/>
                <w:kern w:val="0"/>
                <w:sz w:val="24"/>
                <w:u w:val="none"/>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76" w:hRule="atLeast"/>
          <w:jc w:val="center"/>
        </w:trPr>
        <w:tc>
          <w:tcPr>
            <w:tcW w:w="1968" w:type="dxa"/>
            <w:noWrap w:val="0"/>
            <w:vAlign w:val="center"/>
          </w:tcPr>
          <w:p>
            <w:pPr>
              <w:adjustRightInd w:val="0"/>
              <w:snapToGrid w:val="0"/>
              <w:jc w:val="center"/>
              <w:rPr>
                <w:rFonts w:cs="宋体"/>
                <w:color w:val="auto"/>
                <w:sz w:val="24"/>
                <w:u w:val="none"/>
              </w:rPr>
            </w:pPr>
            <w:r>
              <w:rPr>
                <w:rFonts w:hint="eastAsia" w:cs="宋体"/>
                <w:color w:val="auto"/>
                <w:sz w:val="24"/>
                <w:u w:val="none"/>
              </w:rPr>
              <w:t>规划环境影响</w:t>
            </w:r>
          </w:p>
          <w:p>
            <w:pPr>
              <w:adjustRightInd w:val="0"/>
              <w:snapToGrid w:val="0"/>
              <w:jc w:val="center"/>
              <w:rPr>
                <w:rFonts w:hint="eastAsia" w:cs="宋体"/>
                <w:color w:val="auto"/>
                <w:kern w:val="0"/>
                <w:sz w:val="24"/>
                <w:u w:val="none"/>
              </w:rPr>
            </w:pPr>
            <w:r>
              <w:rPr>
                <w:rFonts w:hint="eastAsia" w:cs="宋体"/>
                <w:color w:val="auto"/>
                <w:sz w:val="24"/>
                <w:u w:val="none"/>
              </w:rPr>
              <w:t>评价情况</w:t>
            </w:r>
          </w:p>
        </w:tc>
        <w:tc>
          <w:tcPr>
            <w:tcW w:w="7103" w:type="dxa"/>
            <w:gridSpan w:val="3"/>
            <w:noWrap w:val="0"/>
            <w:vAlign w:val="center"/>
          </w:tcPr>
          <w:p>
            <w:pPr>
              <w:autoSpaceDE w:val="0"/>
              <w:autoSpaceDN w:val="0"/>
              <w:adjustRightInd w:val="0"/>
              <w:snapToGrid w:val="0"/>
              <w:jc w:val="center"/>
              <w:rPr>
                <w:rFonts w:hint="eastAsia" w:cs="宋体"/>
                <w:color w:val="auto"/>
                <w:kern w:val="0"/>
                <w:sz w:val="24"/>
                <w:u w:val="none"/>
              </w:rPr>
            </w:pPr>
            <w:r>
              <w:rPr>
                <w:rFonts w:hint="eastAsia" w:cs="宋体"/>
                <w:color w:val="auto"/>
                <w:kern w:val="0"/>
                <w:sz w:val="24"/>
                <w:u w:val="none"/>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76" w:hRule="atLeast"/>
          <w:jc w:val="center"/>
        </w:trPr>
        <w:tc>
          <w:tcPr>
            <w:tcW w:w="1968" w:type="dxa"/>
            <w:noWrap w:val="0"/>
            <w:vAlign w:val="center"/>
          </w:tcPr>
          <w:p>
            <w:pPr>
              <w:autoSpaceDE w:val="0"/>
              <w:autoSpaceDN w:val="0"/>
              <w:adjustRightInd w:val="0"/>
              <w:snapToGrid w:val="0"/>
              <w:jc w:val="center"/>
              <w:rPr>
                <w:rFonts w:hint="eastAsia" w:cs="宋体"/>
                <w:color w:val="auto"/>
                <w:kern w:val="0"/>
                <w:sz w:val="24"/>
                <w:u w:val="none"/>
              </w:rPr>
            </w:pPr>
            <w:r>
              <w:rPr>
                <w:rFonts w:hint="eastAsia" w:cs="宋体"/>
                <w:color w:val="auto"/>
                <w:kern w:val="0"/>
                <w:sz w:val="24"/>
                <w:u w:val="none"/>
              </w:rPr>
              <w:t>规划及规划环境</w:t>
            </w:r>
          </w:p>
          <w:p>
            <w:pPr>
              <w:autoSpaceDE w:val="0"/>
              <w:autoSpaceDN w:val="0"/>
              <w:adjustRightInd w:val="0"/>
              <w:snapToGrid w:val="0"/>
              <w:jc w:val="center"/>
              <w:rPr>
                <w:rFonts w:cs="宋体"/>
                <w:color w:val="auto"/>
                <w:kern w:val="0"/>
                <w:sz w:val="24"/>
                <w:u w:val="none"/>
              </w:rPr>
            </w:pPr>
            <w:r>
              <w:rPr>
                <w:rFonts w:hint="eastAsia" w:cs="宋体"/>
                <w:color w:val="auto"/>
                <w:kern w:val="0"/>
                <w:sz w:val="24"/>
                <w:u w:val="none"/>
              </w:rPr>
              <w:t>影响评价符合性分析</w:t>
            </w:r>
          </w:p>
        </w:tc>
        <w:tc>
          <w:tcPr>
            <w:tcW w:w="7103" w:type="dxa"/>
            <w:gridSpan w:val="3"/>
            <w:noWrap w:val="0"/>
            <w:vAlign w:val="center"/>
          </w:tcPr>
          <w:p>
            <w:pPr>
              <w:autoSpaceDE w:val="0"/>
              <w:autoSpaceDN w:val="0"/>
              <w:adjustRightInd w:val="0"/>
              <w:snapToGrid w:val="0"/>
              <w:jc w:val="center"/>
              <w:rPr>
                <w:rFonts w:hint="eastAsia" w:cs="宋体"/>
                <w:color w:val="auto"/>
                <w:kern w:val="0"/>
                <w:sz w:val="24"/>
                <w:u w:val="none"/>
              </w:rPr>
            </w:pPr>
            <w:r>
              <w:rPr>
                <w:rFonts w:hint="eastAsia" w:cs="宋体"/>
                <w:color w:val="auto"/>
                <w:kern w:val="0"/>
                <w:sz w:val="24"/>
                <w:u w:val="none"/>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68" w:type="dxa"/>
            <w:noWrap w:val="0"/>
            <w:vAlign w:val="center"/>
          </w:tcPr>
          <w:p>
            <w:pPr>
              <w:autoSpaceDE w:val="0"/>
              <w:autoSpaceDN w:val="0"/>
              <w:adjustRightInd w:val="0"/>
              <w:snapToGrid w:val="0"/>
              <w:jc w:val="center"/>
              <w:rPr>
                <w:rFonts w:hint="eastAsia" w:cs="宋体"/>
                <w:color w:val="FF0000"/>
                <w:kern w:val="0"/>
                <w:sz w:val="24"/>
                <w:u w:val="none"/>
              </w:rPr>
            </w:pPr>
            <w:r>
              <w:rPr>
                <w:rFonts w:hint="eastAsia" w:cs="宋体"/>
                <w:color w:val="auto"/>
                <w:kern w:val="0"/>
                <w:sz w:val="24"/>
                <w:u w:val="none"/>
              </w:rPr>
              <w:t>其他符合性分析</w:t>
            </w:r>
          </w:p>
        </w:tc>
        <w:tc>
          <w:tcPr>
            <w:tcW w:w="7103" w:type="dxa"/>
            <w:gridSpan w:val="3"/>
            <w:noWrap w:val="0"/>
            <w:vAlign w:val="center"/>
          </w:tcPr>
          <w:p>
            <w:pPr>
              <w:spacing w:line="360" w:lineRule="auto"/>
              <w:ind w:firstLine="482" w:firstLineChars="200"/>
              <w:rPr>
                <w:rFonts w:hint="eastAsia"/>
                <w:b/>
                <w:bCs/>
                <w:color w:val="auto"/>
                <w:sz w:val="24"/>
                <w:u w:val="none"/>
              </w:rPr>
            </w:pPr>
            <w:r>
              <w:rPr>
                <w:rFonts w:hint="eastAsia"/>
                <w:b/>
                <w:bCs/>
                <w:color w:val="auto"/>
                <w:sz w:val="24"/>
                <w:u w:val="none"/>
              </w:rPr>
              <w:t>1、产业政策符合性分析</w:t>
            </w:r>
          </w:p>
          <w:p>
            <w:pPr>
              <w:numPr>
                <w:ilvl w:val="0"/>
                <w:numId w:val="0"/>
              </w:numPr>
              <w:autoSpaceDE w:val="0"/>
              <w:autoSpaceDN w:val="0"/>
              <w:adjustRightInd w:val="0"/>
              <w:snapToGrid w:val="0"/>
              <w:spacing w:line="360" w:lineRule="auto"/>
              <w:ind w:firstLine="480" w:firstLineChars="200"/>
              <w:rPr>
                <w:rFonts w:hint="default" w:ascii="Times New Roman" w:hAnsi="Times New Roman" w:eastAsia="宋体" w:cs="Times New Roman"/>
                <w:color w:val="auto"/>
                <w:sz w:val="24"/>
                <w:szCs w:val="24"/>
                <w:u w:val="none"/>
              </w:rPr>
            </w:pPr>
            <w:r>
              <w:rPr>
                <w:color w:val="auto"/>
                <w:sz w:val="24"/>
                <w:u w:val="none"/>
              </w:rPr>
              <w:t>根据《产业结构调整指导目录（</w:t>
            </w:r>
            <w:r>
              <w:rPr>
                <w:rFonts w:hint="eastAsia"/>
                <w:color w:val="auto"/>
                <w:sz w:val="24"/>
                <w:u w:val="none"/>
                <w:lang w:val="en-US" w:eastAsia="zh-CN"/>
              </w:rPr>
              <w:t>2024</w:t>
            </w:r>
            <w:r>
              <w:rPr>
                <w:color w:val="auto"/>
                <w:sz w:val="24"/>
                <w:u w:val="none"/>
              </w:rPr>
              <w:t>年本）》，</w:t>
            </w:r>
            <w:r>
              <w:rPr>
                <w:rFonts w:hint="eastAsia"/>
                <w:color w:val="auto"/>
                <w:sz w:val="24"/>
                <w:u w:val="none"/>
                <w:lang w:val="en-US" w:eastAsia="zh-CN"/>
              </w:rPr>
              <w:t>本次项目增加一般固废（</w:t>
            </w:r>
            <w:r>
              <w:rPr>
                <w:rFonts w:hint="eastAsia" w:cs="宋体"/>
                <w:color w:val="auto"/>
                <w:sz w:val="24"/>
                <w:u w:val="none"/>
                <w:lang w:eastAsia="zh-CN"/>
              </w:rPr>
              <w:t>珠晖区原中盐天友及学宫路遗留废渣</w:t>
            </w:r>
            <w:r>
              <w:rPr>
                <w:rFonts w:hint="eastAsia"/>
                <w:color w:val="auto"/>
                <w:sz w:val="24"/>
                <w:u w:val="none"/>
                <w:lang w:val="en-US" w:eastAsia="zh-CN"/>
              </w:rPr>
              <w:t>）替代部分页岩作为制砖原料，</w:t>
            </w:r>
            <w:r>
              <w:rPr>
                <w:rFonts w:hint="eastAsia"/>
                <w:color w:val="auto"/>
                <w:sz w:val="24"/>
                <w:szCs w:val="24"/>
                <w:u w:val="none"/>
              </w:rPr>
              <w:t>实现</w:t>
            </w:r>
            <w:r>
              <w:rPr>
                <w:rFonts w:hint="eastAsia"/>
                <w:color w:val="auto"/>
                <w:sz w:val="24"/>
                <w:szCs w:val="24"/>
                <w:u w:val="none"/>
                <w:lang w:eastAsia="zh-CN"/>
              </w:rPr>
              <w:t>一般固废</w:t>
            </w:r>
            <w:r>
              <w:rPr>
                <w:rFonts w:hint="eastAsia"/>
                <w:color w:val="auto"/>
                <w:sz w:val="24"/>
                <w:szCs w:val="24"/>
                <w:u w:val="none"/>
              </w:rPr>
              <w:t>的综合利用</w:t>
            </w:r>
            <w:r>
              <w:rPr>
                <w:rFonts w:hint="eastAsia"/>
                <w:color w:val="auto"/>
                <w:sz w:val="24"/>
                <w:szCs w:val="24"/>
                <w:u w:val="none"/>
                <w:lang w:eastAsia="zh-CN"/>
              </w:rPr>
              <w:t>，</w:t>
            </w:r>
            <w:r>
              <w:rPr>
                <w:color w:val="auto"/>
                <w:sz w:val="24"/>
                <w:szCs w:val="24"/>
                <w:u w:val="none"/>
              </w:rPr>
              <w:t>属于鼓励类建设项目</w:t>
            </w:r>
            <w:r>
              <w:rPr>
                <w:rFonts w:hint="eastAsia"/>
                <w:color w:val="auto"/>
                <w:sz w:val="24"/>
                <w:szCs w:val="24"/>
                <w:u w:val="none"/>
                <w:lang w:eastAsia="zh-CN"/>
              </w:rPr>
              <w:t>。具体见“第一类鼓励类”中“四十二、环境保护与资源节约综合利用，</w:t>
            </w:r>
            <w:r>
              <w:rPr>
                <w:rFonts w:hint="eastAsia"/>
                <w:color w:val="auto"/>
                <w:sz w:val="24"/>
                <w:szCs w:val="24"/>
                <w:u w:val="none"/>
                <w:lang w:val="en-US" w:eastAsia="zh-CN"/>
              </w:rPr>
              <w:t>8、</w:t>
            </w:r>
            <w:r>
              <w:rPr>
                <w:rFonts w:ascii="宋体" w:hAnsi="宋体" w:eastAsia="宋体" w:cs="宋体"/>
                <w:color w:val="auto"/>
                <w:sz w:val="24"/>
                <w:szCs w:val="24"/>
                <w:u w:val="none"/>
              </w:rPr>
              <w:t>煤矸石、粉煤灰、尾矿（共伴生矿）、冶炼渣、工业副产石膏、赤泥、建筑垃圾等工业废弃物循环利用</w:t>
            </w:r>
            <w:r>
              <w:rPr>
                <w:rFonts w:hint="eastAsia"/>
                <w:color w:val="auto"/>
                <w:sz w:val="24"/>
                <w:szCs w:val="24"/>
                <w:u w:val="none"/>
                <w:lang w:eastAsia="zh-CN"/>
              </w:rPr>
              <w:t>”。</w:t>
            </w:r>
            <w:r>
              <w:rPr>
                <w:rFonts w:hint="default" w:ascii="Times New Roman" w:hAnsi="Times New Roman" w:eastAsia="宋体" w:cs="Times New Roman"/>
                <w:color w:val="auto"/>
                <w:sz w:val="24"/>
                <w:szCs w:val="24"/>
                <w:u w:val="none"/>
              </w:rPr>
              <w:t>因此，本项目符合国家、地方产业政策。</w:t>
            </w:r>
          </w:p>
          <w:p>
            <w:pPr>
              <w:pStyle w:val="2"/>
              <w:spacing w:line="360" w:lineRule="auto"/>
              <w:ind w:firstLine="480" w:firstLineChars="200"/>
              <w:jc w:val="left"/>
              <w:rPr>
                <w:rFonts w:hint="eastAsia"/>
                <w:color w:val="auto"/>
                <w:u w:val="none"/>
                <w:lang w:eastAsia="zh-CN"/>
              </w:rPr>
            </w:pPr>
            <w:r>
              <w:rPr>
                <w:rFonts w:hint="eastAsia"/>
                <w:color w:val="auto"/>
                <w:highlight w:val="none"/>
                <w:u w:val="none"/>
                <w:lang w:eastAsia="zh-CN"/>
              </w:rPr>
              <w:t>此外，</w:t>
            </w:r>
            <w:r>
              <w:rPr>
                <w:rFonts w:hint="default"/>
                <w:color w:val="auto"/>
                <w:highlight w:val="none"/>
                <w:u w:val="none"/>
              </w:rPr>
              <w:t>为贯彻落实党中央、国务院关于碳达峰碳中和的决策部署，有力有序推进全省能耗双控工作，坚决遏制高耗能高排放项目（以下简称“两高”项目）盲目发展，经省人民政府同意，湖南省发展和改革委员会于2021年颁发《湖南省“两高”项目管理目录》（以下简称《目录》）。《目录》中规定建材行业中“粘土砖瓦及建筑砌块制造（3031）”涉及“烧结砖瓦”工序的属于“两高”项目，但不包括资源综合利用项目。本</w:t>
            </w:r>
            <w:r>
              <w:rPr>
                <w:rFonts w:hint="eastAsia"/>
                <w:color w:val="auto"/>
                <w:highlight w:val="none"/>
                <w:u w:val="none"/>
                <w:lang w:eastAsia="zh-CN"/>
              </w:rPr>
              <w:t>项目</w:t>
            </w:r>
            <w:r>
              <w:rPr>
                <w:rFonts w:hint="default"/>
                <w:color w:val="auto"/>
                <w:highlight w:val="none"/>
                <w:u w:val="none"/>
              </w:rPr>
              <w:t>为综合利用</w:t>
            </w:r>
            <w:r>
              <w:rPr>
                <w:rFonts w:hint="default" w:ascii="Times New Roman" w:hAnsi="Times New Roman" w:eastAsia="宋体" w:cs="Times New Roman"/>
                <w:color w:val="auto"/>
                <w:sz w:val="24"/>
                <w:highlight w:val="none"/>
                <w:u w:val="none"/>
                <w:shd w:val="clear" w:color="auto" w:fill="FFFFFF"/>
              </w:rPr>
              <w:t>原中盐天友化工有限公司遗留废渣、学宫路附近</w:t>
            </w:r>
            <w:r>
              <w:rPr>
                <w:rFonts w:hint="eastAsia" w:ascii="Times New Roman" w:hAnsi="Times New Roman" w:eastAsia="宋体" w:cs="Times New Roman"/>
                <w:color w:val="auto"/>
                <w:sz w:val="24"/>
                <w:highlight w:val="none"/>
                <w:u w:val="none"/>
                <w:shd w:val="clear" w:color="auto" w:fill="FFFFFF"/>
                <w:lang w:eastAsia="zh-CN"/>
              </w:rPr>
              <w:t>遗留废渣</w:t>
            </w:r>
            <w:r>
              <w:rPr>
                <w:rFonts w:hint="default"/>
                <w:color w:val="auto"/>
                <w:highlight w:val="none"/>
                <w:u w:val="none"/>
              </w:rPr>
              <w:t>，属于资源综合利用项目，因而本项目不属于《湖南省“两高”项目管理目录》规定的“两高”项目。</w:t>
            </w:r>
          </w:p>
          <w:p>
            <w:pPr>
              <w:spacing w:line="360" w:lineRule="auto"/>
              <w:ind w:firstLine="480" w:firstLineChars="200"/>
              <w:rPr>
                <w:color w:val="auto"/>
                <w:sz w:val="24"/>
                <w:u w:val="none"/>
              </w:rPr>
            </w:pPr>
            <w:r>
              <w:rPr>
                <w:color w:val="auto"/>
                <w:sz w:val="24"/>
                <w:u w:val="none"/>
              </w:rPr>
              <w:t>本项目所用设备不属于《部分工业行业淘汰落后工艺装备和产品指导目录（2010年本）》中所列项目，因此，本项目符合国家、地方产业政策。</w:t>
            </w:r>
          </w:p>
          <w:p>
            <w:pPr>
              <w:spacing w:line="360" w:lineRule="auto"/>
              <w:ind w:firstLine="480" w:firstLineChars="200"/>
              <w:rPr>
                <w:rFonts w:hint="eastAsia"/>
                <w:color w:val="auto"/>
                <w:sz w:val="24"/>
                <w:u w:val="none"/>
              </w:rPr>
            </w:pPr>
          </w:p>
          <w:p>
            <w:pPr>
              <w:jc w:val="center"/>
              <w:rPr>
                <w:b/>
                <w:bCs/>
                <w:color w:val="auto"/>
                <w:szCs w:val="21"/>
                <w:u w:val="none"/>
              </w:rPr>
            </w:pPr>
            <w:r>
              <w:rPr>
                <w:b/>
                <w:bCs/>
                <w:color w:val="auto"/>
                <w:szCs w:val="21"/>
                <w:u w:val="none"/>
              </w:rPr>
              <w:t>表</w:t>
            </w:r>
            <w:r>
              <w:rPr>
                <w:rFonts w:hint="eastAsia"/>
                <w:b/>
                <w:bCs/>
                <w:color w:val="auto"/>
                <w:szCs w:val="21"/>
                <w:u w:val="none"/>
              </w:rPr>
              <w:t>1</w:t>
            </w:r>
            <w:r>
              <w:rPr>
                <w:b/>
                <w:bCs/>
                <w:color w:val="auto"/>
                <w:szCs w:val="21"/>
                <w:u w:val="none"/>
              </w:rPr>
              <w:t>-</w:t>
            </w:r>
            <w:r>
              <w:rPr>
                <w:rFonts w:hint="eastAsia"/>
                <w:b/>
                <w:bCs/>
                <w:color w:val="auto"/>
                <w:szCs w:val="21"/>
                <w:u w:val="none"/>
              </w:rPr>
              <w:t>1产业政策相符性分析</w:t>
            </w:r>
          </w:p>
          <w:tbl>
            <w:tblPr>
              <w:tblStyle w:val="30"/>
              <w:tblW w:w="6917"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886"/>
              <w:gridCol w:w="3060"/>
              <w:gridCol w:w="2325"/>
              <w:gridCol w:w="64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86" w:type="dxa"/>
                  <w:noWrap w:val="0"/>
                  <w:vAlign w:val="center"/>
                </w:tcPr>
                <w:p>
                  <w:pPr>
                    <w:ind w:left="-105" w:leftChars="-50" w:right="-105" w:rightChars="-50"/>
                    <w:jc w:val="center"/>
                    <w:rPr>
                      <w:rFonts w:hint="eastAsia"/>
                      <w:b/>
                      <w:color w:val="auto"/>
                      <w:sz w:val="18"/>
                      <w:szCs w:val="18"/>
                      <w:u w:val="none"/>
                    </w:rPr>
                  </w:pPr>
                  <w:r>
                    <w:rPr>
                      <w:rFonts w:hint="eastAsia"/>
                      <w:b/>
                      <w:color w:val="auto"/>
                      <w:sz w:val="18"/>
                      <w:szCs w:val="18"/>
                      <w:u w:val="none"/>
                    </w:rPr>
                    <w:t>类别</w:t>
                  </w:r>
                </w:p>
              </w:tc>
              <w:tc>
                <w:tcPr>
                  <w:tcW w:w="3060" w:type="dxa"/>
                  <w:noWrap w:val="0"/>
                  <w:vAlign w:val="center"/>
                </w:tcPr>
                <w:p>
                  <w:pPr>
                    <w:ind w:left="-105" w:leftChars="-50" w:right="-105" w:rightChars="-50"/>
                    <w:jc w:val="center"/>
                    <w:rPr>
                      <w:rFonts w:hint="eastAsia"/>
                      <w:b/>
                      <w:color w:val="auto"/>
                      <w:sz w:val="18"/>
                      <w:szCs w:val="18"/>
                      <w:u w:val="none"/>
                    </w:rPr>
                  </w:pPr>
                  <w:r>
                    <w:rPr>
                      <w:rFonts w:hint="eastAsia"/>
                      <w:b/>
                      <w:color w:val="auto"/>
                      <w:sz w:val="18"/>
                      <w:szCs w:val="18"/>
                      <w:u w:val="none"/>
                    </w:rPr>
                    <w:t>政策要求</w:t>
                  </w:r>
                </w:p>
              </w:tc>
              <w:tc>
                <w:tcPr>
                  <w:tcW w:w="2325" w:type="dxa"/>
                  <w:noWrap w:val="0"/>
                  <w:vAlign w:val="center"/>
                </w:tcPr>
                <w:p>
                  <w:pPr>
                    <w:ind w:left="-105" w:leftChars="-50" w:right="-105" w:rightChars="-50"/>
                    <w:jc w:val="center"/>
                    <w:rPr>
                      <w:rFonts w:hint="eastAsia"/>
                      <w:b/>
                      <w:color w:val="auto"/>
                      <w:sz w:val="18"/>
                      <w:szCs w:val="18"/>
                      <w:u w:val="none"/>
                    </w:rPr>
                  </w:pPr>
                  <w:r>
                    <w:rPr>
                      <w:rFonts w:hint="eastAsia"/>
                      <w:b/>
                      <w:color w:val="auto"/>
                      <w:sz w:val="18"/>
                      <w:szCs w:val="18"/>
                      <w:u w:val="none"/>
                    </w:rPr>
                    <w:t>本项目情况</w:t>
                  </w:r>
                </w:p>
              </w:tc>
              <w:tc>
                <w:tcPr>
                  <w:tcW w:w="646" w:type="dxa"/>
                  <w:noWrap w:val="0"/>
                  <w:vAlign w:val="center"/>
                </w:tcPr>
                <w:p>
                  <w:pPr>
                    <w:ind w:left="-105" w:leftChars="-50" w:right="-105" w:rightChars="-50"/>
                    <w:jc w:val="center"/>
                    <w:rPr>
                      <w:rFonts w:hint="eastAsia"/>
                      <w:b/>
                      <w:color w:val="auto"/>
                      <w:sz w:val="18"/>
                      <w:szCs w:val="18"/>
                      <w:u w:val="none"/>
                    </w:rPr>
                  </w:pPr>
                  <w:r>
                    <w:rPr>
                      <w:rFonts w:hint="eastAsia"/>
                      <w:b/>
                      <w:color w:val="auto"/>
                      <w:sz w:val="18"/>
                      <w:szCs w:val="18"/>
                      <w:u w:val="none"/>
                    </w:rPr>
                    <w:t>结论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86" w:type="dxa"/>
                  <w:noWrap w:val="0"/>
                  <w:vAlign w:val="center"/>
                </w:tcPr>
                <w:p>
                  <w:pPr>
                    <w:ind w:left="-105" w:leftChars="-50" w:right="-105" w:rightChars="-50"/>
                    <w:jc w:val="center"/>
                    <w:rPr>
                      <w:rFonts w:hint="eastAsia" w:eastAsia="宋体"/>
                      <w:color w:val="auto"/>
                      <w:sz w:val="18"/>
                      <w:szCs w:val="18"/>
                      <w:u w:val="none"/>
                      <w:lang w:val="en-US" w:eastAsia="zh-CN"/>
                    </w:rPr>
                  </w:pPr>
                  <w:r>
                    <w:rPr>
                      <w:rFonts w:hint="eastAsia"/>
                      <w:color w:val="auto"/>
                      <w:sz w:val="18"/>
                      <w:szCs w:val="18"/>
                      <w:u w:val="none"/>
                      <w:lang w:val="en-US" w:eastAsia="zh-CN"/>
                    </w:rPr>
                    <w:t>鼓励类</w:t>
                  </w:r>
                </w:p>
              </w:tc>
              <w:tc>
                <w:tcPr>
                  <w:tcW w:w="3060" w:type="dxa"/>
                  <w:noWrap w:val="0"/>
                  <w:vAlign w:val="center"/>
                </w:tcPr>
                <w:p>
                  <w:pPr>
                    <w:ind w:left="-105" w:leftChars="-50" w:right="-105" w:rightChars="-50"/>
                    <w:jc w:val="left"/>
                    <w:rPr>
                      <w:rFonts w:hint="eastAsia" w:ascii="Times New Roman" w:hAnsi="Times New Roman" w:eastAsia="宋体" w:cs="Times New Roman"/>
                      <w:bCs/>
                      <w:color w:val="auto"/>
                      <w:sz w:val="18"/>
                      <w:szCs w:val="18"/>
                      <w:u w:val="none"/>
                    </w:rPr>
                  </w:pPr>
                  <w:r>
                    <w:rPr>
                      <w:rFonts w:hint="eastAsia" w:ascii="Times New Roman" w:hAnsi="Times New Roman" w:eastAsia="宋体" w:cs="Times New Roman"/>
                      <w:bCs/>
                      <w:color w:val="auto"/>
                      <w:sz w:val="18"/>
                      <w:szCs w:val="18"/>
                      <w:u w:val="none"/>
                    </w:rPr>
                    <w:t>4</w:t>
                  </w:r>
                  <w:r>
                    <w:rPr>
                      <w:rFonts w:hint="eastAsia" w:ascii="Times New Roman" w:hAnsi="Times New Roman" w:eastAsia="宋体" w:cs="Times New Roman"/>
                      <w:bCs/>
                      <w:color w:val="auto"/>
                      <w:sz w:val="18"/>
                      <w:szCs w:val="18"/>
                      <w:u w:val="none"/>
                      <w:lang w:val="en-US" w:eastAsia="zh-CN"/>
                    </w:rPr>
                    <w:t>2</w:t>
                  </w:r>
                  <w:r>
                    <w:rPr>
                      <w:rFonts w:hint="eastAsia" w:ascii="Times New Roman" w:hAnsi="Times New Roman" w:eastAsia="宋体" w:cs="Times New Roman"/>
                      <w:bCs/>
                      <w:color w:val="auto"/>
                      <w:sz w:val="18"/>
                      <w:szCs w:val="18"/>
                      <w:u w:val="none"/>
                    </w:rPr>
                    <w:t>、煤矸石、粉煤灰、尾矿（共伴生矿）、冶炼渣、工业副产石膏、赤泥、建筑垃圾等工业废弃物循环利用”。</w:t>
                  </w:r>
                </w:p>
              </w:tc>
              <w:tc>
                <w:tcPr>
                  <w:tcW w:w="2325" w:type="dxa"/>
                  <w:noWrap w:val="0"/>
                  <w:vAlign w:val="center"/>
                </w:tcPr>
                <w:p>
                  <w:pPr>
                    <w:ind w:left="-105" w:leftChars="-50" w:right="-105" w:rightChars="-50"/>
                    <w:jc w:val="center"/>
                    <w:rPr>
                      <w:rFonts w:hint="default" w:eastAsia="宋体"/>
                      <w:bCs/>
                      <w:color w:val="auto"/>
                      <w:sz w:val="18"/>
                      <w:szCs w:val="18"/>
                      <w:u w:val="none"/>
                      <w:lang w:val="en-US" w:eastAsia="zh-CN"/>
                    </w:rPr>
                  </w:pPr>
                  <w:r>
                    <w:rPr>
                      <w:rFonts w:hint="eastAsia"/>
                      <w:bCs/>
                      <w:color w:val="auto"/>
                      <w:sz w:val="18"/>
                      <w:szCs w:val="18"/>
                      <w:u w:val="none"/>
                      <w:lang w:val="en-US" w:eastAsia="zh-CN"/>
                    </w:rPr>
                    <w:t>本项目对工业副产石膏等一般工业固废进行资源化综合利用</w:t>
                  </w:r>
                </w:p>
              </w:tc>
              <w:tc>
                <w:tcPr>
                  <w:tcW w:w="646" w:type="dxa"/>
                  <w:noWrap w:val="0"/>
                  <w:vAlign w:val="center"/>
                </w:tcPr>
                <w:p>
                  <w:pPr>
                    <w:ind w:left="-105" w:leftChars="-50" w:right="-105" w:rightChars="-50"/>
                    <w:jc w:val="center"/>
                    <w:rPr>
                      <w:rFonts w:hint="eastAsia" w:eastAsia="宋体"/>
                      <w:bCs/>
                      <w:color w:val="auto"/>
                      <w:sz w:val="18"/>
                      <w:szCs w:val="18"/>
                      <w:u w:val="none"/>
                      <w:lang w:val="en-US" w:eastAsia="zh-CN"/>
                    </w:rPr>
                  </w:pPr>
                  <w:r>
                    <w:rPr>
                      <w:rFonts w:hint="eastAsia"/>
                      <w:bCs/>
                      <w:color w:val="auto"/>
                      <w:sz w:val="18"/>
                      <w:szCs w:val="18"/>
                      <w:u w:val="none"/>
                      <w:lang w:val="en-US" w:eastAsia="zh-CN"/>
                    </w:rPr>
                    <w:t>属于</w:t>
                  </w:r>
                </w:p>
              </w:tc>
            </w:tr>
          </w:tbl>
          <w:p>
            <w:pPr>
              <w:pStyle w:val="54"/>
              <w:autoSpaceDE/>
              <w:autoSpaceDN/>
              <w:adjustRightInd/>
              <w:spacing w:before="156" w:beforeLines="50" w:line="360" w:lineRule="auto"/>
              <w:ind w:firstLine="361" w:firstLineChars="150"/>
              <w:jc w:val="both"/>
              <w:textAlignment w:val="auto"/>
              <w:rPr>
                <w:rFonts w:ascii="Times New Roman" w:hAnsi="Times New Roman"/>
                <w:b/>
                <w:color w:val="auto"/>
                <w:szCs w:val="24"/>
                <w:u w:val="none"/>
              </w:rPr>
            </w:pPr>
            <w:r>
              <w:rPr>
                <w:rFonts w:hint="eastAsia" w:ascii="Times New Roman" w:hAnsi="Times New Roman"/>
                <w:b/>
                <w:color w:val="auto"/>
                <w:szCs w:val="24"/>
                <w:u w:val="none"/>
              </w:rPr>
              <w:t>2、</w:t>
            </w:r>
            <w:r>
              <w:rPr>
                <w:rFonts w:ascii="Times New Roman" w:hAnsi="Times New Roman"/>
                <w:b/>
                <w:bCs/>
                <w:color w:val="auto"/>
                <w:u w:val="none"/>
              </w:rPr>
              <w:t>与“三线一单”要求相符性分析</w:t>
            </w:r>
          </w:p>
          <w:p>
            <w:pPr>
              <w:spacing w:line="360" w:lineRule="auto"/>
              <w:ind w:firstLine="480" w:firstLineChars="200"/>
              <w:rPr>
                <w:color w:val="auto"/>
                <w:sz w:val="24"/>
                <w:u w:val="none"/>
              </w:rPr>
            </w:pPr>
            <w:r>
              <w:rPr>
                <w:color w:val="auto"/>
                <w:sz w:val="24"/>
                <w:u w:val="none"/>
              </w:rPr>
              <w:t>根据《关于以改善环境质量为核心加强环境影响评价管理的通知》（环评[2016]150号）：</w:t>
            </w:r>
            <w:r>
              <w:rPr>
                <w:rFonts w:hint="eastAsia" w:ascii="宋体" w:hAnsi="宋体" w:cs="宋体"/>
                <w:color w:val="auto"/>
                <w:sz w:val="24"/>
                <w:u w:val="none"/>
              </w:rPr>
              <w:t>“为适应以改善环境质量为核心的环境管理要求，切实加强环境影响评价管理，落实“生态保护红线、环境质量底线、资源利用上线和环境准入负面清单”（以下简称“三线一单”）约束”</w:t>
            </w:r>
            <w:r>
              <w:rPr>
                <w:color w:val="auto"/>
                <w:sz w:val="24"/>
                <w:u w:val="none"/>
              </w:rPr>
              <w:t>要求，对项目进行</w:t>
            </w:r>
            <w:r>
              <w:rPr>
                <w:rFonts w:hint="eastAsia" w:ascii="宋体" w:hAnsi="宋体" w:cs="宋体"/>
                <w:color w:val="auto"/>
                <w:sz w:val="24"/>
                <w:u w:val="none"/>
              </w:rPr>
              <w:t>“三线一单”</w:t>
            </w:r>
            <w:r>
              <w:rPr>
                <w:color w:val="auto"/>
                <w:sz w:val="24"/>
                <w:u w:val="none"/>
              </w:rPr>
              <w:t>符合性判定。</w:t>
            </w:r>
          </w:p>
          <w:p>
            <w:pPr>
              <w:spacing w:line="360" w:lineRule="auto"/>
              <w:ind w:firstLine="480" w:firstLineChars="200"/>
              <w:rPr>
                <w:color w:val="auto"/>
                <w:sz w:val="24"/>
                <w:u w:val="none"/>
              </w:rPr>
            </w:pPr>
            <w:r>
              <w:rPr>
                <w:color w:val="auto"/>
                <w:sz w:val="24"/>
                <w:u w:val="none"/>
              </w:rPr>
              <w:t>项目</w:t>
            </w:r>
            <w:r>
              <w:rPr>
                <w:rFonts w:hint="eastAsia" w:ascii="宋体" w:hAnsi="宋体" w:cs="宋体"/>
                <w:color w:val="auto"/>
                <w:sz w:val="24"/>
                <w:u w:val="none"/>
              </w:rPr>
              <w:t>“三线一单”</w:t>
            </w:r>
            <w:r>
              <w:rPr>
                <w:color w:val="auto"/>
                <w:sz w:val="24"/>
                <w:u w:val="none"/>
              </w:rPr>
              <w:t>符合性判定见表1-2。</w:t>
            </w:r>
          </w:p>
          <w:p>
            <w:pPr>
              <w:jc w:val="center"/>
              <w:rPr>
                <w:b/>
                <w:bCs/>
                <w:color w:val="auto"/>
                <w:szCs w:val="21"/>
                <w:u w:val="none"/>
              </w:rPr>
            </w:pPr>
            <w:r>
              <w:rPr>
                <w:b/>
                <w:bCs/>
                <w:color w:val="auto"/>
                <w:szCs w:val="21"/>
                <w:u w:val="none"/>
              </w:rPr>
              <w:t>表1-</w:t>
            </w:r>
            <w:r>
              <w:rPr>
                <w:rFonts w:hint="eastAsia"/>
                <w:b/>
                <w:bCs/>
                <w:color w:val="auto"/>
                <w:szCs w:val="21"/>
                <w:u w:val="none"/>
              </w:rPr>
              <w:t>2</w:t>
            </w:r>
            <w:r>
              <w:rPr>
                <w:b/>
                <w:bCs/>
                <w:color w:val="auto"/>
                <w:szCs w:val="21"/>
                <w:u w:val="none"/>
              </w:rPr>
              <w:t>项目</w:t>
            </w:r>
            <w:r>
              <w:rPr>
                <w:rFonts w:hint="eastAsia"/>
                <w:b/>
                <w:bCs/>
                <w:color w:val="auto"/>
                <w:szCs w:val="21"/>
                <w:u w:val="none"/>
              </w:rPr>
              <w:t>“</w:t>
            </w:r>
            <w:r>
              <w:rPr>
                <w:b/>
                <w:bCs/>
                <w:color w:val="auto"/>
                <w:szCs w:val="21"/>
                <w:u w:val="none"/>
              </w:rPr>
              <w:t>三线一单</w:t>
            </w:r>
            <w:r>
              <w:rPr>
                <w:rFonts w:hint="eastAsia"/>
                <w:b/>
                <w:bCs/>
                <w:color w:val="auto"/>
                <w:szCs w:val="21"/>
                <w:u w:val="none"/>
              </w:rPr>
              <w:t>”</w:t>
            </w:r>
            <w:r>
              <w:rPr>
                <w:b/>
                <w:bCs/>
                <w:color w:val="auto"/>
                <w:szCs w:val="21"/>
                <w:u w:val="none"/>
              </w:rPr>
              <w:t>符合性分析表</w:t>
            </w:r>
          </w:p>
          <w:tbl>
            <w:tblPr>
              <w:tblStyle w:val="30"/>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472"/>
              <w:gridCol w:w="4749"/>
              <w:gridCol w:w="58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5" w:hRule="atLeast"/>
                <w:jc w:val="center"/>
              </w:trPr>
              <w:tc>
                <w:tcPr>
                  <w:tcW w:w="1472" w:type="dxa"/>
                  <w:noWrap w:val="0"/>
                  <w:vAlign w:val="center"/>
                </w:tcPr>
                <w:p>
                  <w:pPr>
                    <w:jc w:val="center"/>
                    <w:rPr>
                      <w:b/>
                      <w:bCs/>
                      <w:color w:val="auto"/>
                      <w:sz w:val="18"/>
                      <w:szCs w:val="18"/>
                      <w:u w:val="none"/>
                    </w:rPr>
                  </w:pPr>
                  <w:r>
                    <w:rPr>
                      <w:b/>
                      <w:bCs/>
                      <w:color w:val="auto"/>
                      <w:sz w:val="18"/>
                      <w:szCs w:val="18"/>
                      <w:u w:val="none"/>
                    </w:rPr>
                    <w:t>内容</w:t>
                  </w:r>
                </w:p>
              </w:tc>
              <w:tc>
                <w:tcPr>
                  <w:tcW w:w="4749" w:type="dxa"/>
                  <w:noWrap w:val="0"/>
                  <w:vAlign w:val="center"/>
                </w:tcPr>
                <w:p>
                  <w:pPr>
                    <w:jc w:val="center"/>
                    <w:rPr>
                      <w:b/>
                      <w:bCs/>
                      <w:color w:val="auto"/>
                      <w:sz w:val="18"/>
                      <w:szCs w:val="18"/>
                      <w:u w:val="none"/>
                    </w:rPr>
                  </w:pPr>
                  <w:r>
                    <w:rPr>
                      <w:b/>
                      <w:bCs/>
                      <w:color w:val="auto"/>
                      <w:sz w:val="18"/>
                      <w:szCs w:val="18"/>
                      <w:u w:val="none"/>
                    </w:rPr>
                    <w:t>符合性分析</w:t>
                  </w:r>
                </w:p>
              </w:tc>
              <w:tc>
                <w:tcPr>
                  <w:tcW w:w="582" w:type="dxa"/>
                  <w:noWrap w:val="0"/>
                  <w:vAlign w:val="center"/>
                </w:tcPr>
                <w:p>
                  <w:pPr>
                    <w:jc w:val="center"/>
                    <w:rPr>
                      <w:b/>
                      <w:bCs/>
                      <w:color w:val="auto"/>
                      <w:sz w:val="18"/>
                      <w:szCs w:val="18"/>
                      <w:u w:val="none"/>
                    </w:rPr>
                  </w:pPr>
                  <w:r>
                    <w:rPr>
                      <w:b/>
                      <w:bCs/>
                      <w:color w:val="auto"/>
                      <w:sz w:val="18"/>
                      <w:szCs w:val="18"/>
                      <w:u w:val="none"/>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87" w:hRule="atLeast"/>
                <w:jc w:val="center"/>
              </w:trPr>
              <w:tc>
                <w:tcPr>
                  <w:tcW w:w="1472" w:type="dxa"/>
                  <w:noWrap w:val="0"/>
                  <w:vAlign w:val="center"/>
                </w:tcPr>
                <w:p>
                  <w:pPr>
                    <w:jc w:val="center"/>
                    <w:rPr>
                      <w:color w:val="auto"/>
                      <w:sz w:val="18"/>
                      <w:szCs w:val="18"/>
                      <w:u w:val="none"/>
                    </w:rPr>
                  </w:pPr>
                  <w:r>
                    <w:rPr>
                      <w:color w:val="auto"/>
                      <w:sz w:val="18"/>
                      <w:szCs w:val="18"/>
                      <w:u w:val="none"/>
                    </w:rPr>
                    <w:t>生态保护红线</w:t>
                  </w:r>
                </w:p>
              </w:tc>
              <w:tc>
                <w:tcPr>
                  <w:tcW w:w="4749" w:type="dxa"/>
                  <w:noWrap w:val="0"/>
                  <w:vAlign w:val="center"/>
                </w:tcPr>
                <w:p>
                  <w:pPr>
                    <w:rPr>
                      <w:color w:val="auto"/>
                      <w:sz w:val="18"/>
                      <w:szCs w:val="18"/>
                      <w:u w:val="none"/>
                    </w:rPr>
                  </w:pPr>
                  <w:r>
                    <w:rPr>
                      <w:color w:val="auto"/>
                      <w:sz w:val="18"/>
                      <w:szCs w:val="18"/>
                      <w:u w:val="none"/>
                    </w:rPr>
                    <w:t>本项目位于</w:t>
                  </w:r>
                  <w:r>
                    <w:rPr>
                      <w:rFonts w:hint="eastAsia"/>
                      <w:color w:val="auto"/>
                      <w:sz w:val="18"/>
                      <w:szCs w:val="18"/>
                      <w:u w:val="none"/>
                      <w:lang w:eastAsia="zh-CN"/>
                    </w:rPr>
                    <w:t>衡阳县西渡镇正大村枣子组</w:t>
                  </w:r>
                  <w:r>
                    <w:rPr>
                      <w:color w:val="auto"/>
                      <w:sz w:val="18"/>
                      <w:szCs w:val="18"/>
                      <w:u w:val="none"/>
                    </w:rPr>
                    <w:t>，评价范围内不涉及自然保护区、饮用水源保护区、风景名胜区和其他生态环境敏感区域，项目不涉及生态红线。</w:t>
                  </w:r>
                </w:p>
              </w:tc>
              <w:tc>
                <w:tcPr>
                  <w:tcW w:w="582" w:type="dxa"/>
                  <w:noWrap w:val="0"/>
                  <w:vAlign w:val="center"/>
                </w:tcPr>
                <w:p>
                  <w:pPr>
                    <w:jc w:val="center"/>
                    <w:rPr>
                      <w:color w:val="auto"/>
                      <w:sz w:val="18"/>
                      <w:szCs w:val="18"/>
                      <w:u w:val="none"/>
                    </w:rPr>
                  </w:pPr>
                  <w:r>
                    <w:rPr>
                      <w:color w:val="auto"/>
                      <w:sz w:val="18"/>
                      <w:szCs w:val="18"/>
                      <w:u w:val="none"/>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5" w:hRule="atLeast"/>
                <w:jc w:val="center"/>
              </w:trPr>
              <w:tc>
                <w:tcPr>
                  <w:tcW w:w="1472" w:type="dxa"/>
                  <w:noWrap w:val="0"/>
                  <w:vAlign w:val="center"/>
                </w:tcPr>
                <w:p>
                  <w:pPr>
                    <w:jc w:val="center"/>
                    <w:rPr>
                      <w:color w:val="auto"/>
                      <w:sz w:val="18"/>
                      <w:szCs w:val="18"/>
                      <w:u w:val="none"/>
                    </w:rPr>
                  </w:pPr>
                  <w:r>
                    <w:rPr>
                      <w:color w:val="auto"/>
                      <w:sz w:val="18"/>
                      <w:szCs w:val="18"/>
                      <w:u w:val="none"/>
                    </w:rPr>
                    <w:t>环境质量底线</w:t>
                  </w:r>
                </w:p>
              </w:tc>
              <w:tc>
                <w:tcPr>
                  <w:tcW w:w="4749" w:type="dxa"/>
                  <w:noWrap w:val="0"/>
                  <w:vAlign w:val="center"/>
                </w:tcPr>
                <w:p>
                  <w:pPr>
                    <w:rPr>
                      <w:color w:val="auto"/>
                      <w:sz w:val="18"/>
                      <w:szCs w:val="18"/>
                      <w:u w:val="none"/>
                    </w:rPr>
                  </w:pPr>
                  <w:r>
                    <w:rPr>
                      <w:color w:val="auto"/>
                      <w:sz w:val="18"/>
                      <w:szCs w:val="18"/>
                      <w:u w:val="none"/>
                    </w:rPr>
                    <w:t>根据环境质量现状监测结果，项目所在地环境质量现状较好，各环境要素能够满足相应的环境功能区划要求。项目产生的污染物经采取相应的防护措施后可做到达标排放，不会降低区域环境质量等级，对区域环境影响较小。</w:t>
                  </w:r>
                </w:p>
              </w:tc>
              <w:tc>
                <w:tcPr>
                  <w:tcW w:w="582" w:type="dxa"/>
                  <w:noWrap w:val="0"/>
                  <w:vAlign w:val="center"/>
                </w:tcPr>
                <w:p>
                  <w:pPr>
                    <w:jc w:val="center"/>
                    <w:rPr>
                      <w:color w:val="auto"/>
                      <w:sz w:val="18"/>
                      <w:szCs w:val="18"/>
                      <w:u w:val="none"/>
                    </w:rPr>
                  </w:pPr>
                  <w:r>
                    <w:rPr>
                      <w:color w:val="auto"/>
                      <w:sz w:val="18"/>
                      <w:szCs w:val="18"/>
                      <w:u w:val="none"/>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5" w:hRule="atLeast"/>
                <w:jc w:val="center"/>
              </w:trPr>
              <w:tc>
                <w:tcPr>
                  <w:tcW w:w="1472" w:type="dxa"/>
                  <w:noWrap w:val="0"/>
                  <w:vAlign w:val="center"/>
                </w:tcPr>
                <w:p>
                  <w:pPr>
                    <w:jc w:val="center"/>
                    <w:rPr>
                      <w:color w:val="auto"/>
                      <w:sz w:val="18"/>
                      <w:szCs w:val="18"/>
                      <w:u w:val="none"/>
                    </w:rPr>
                  </w:pPr>
                  <w:r>
                    <w:rPr>
                      <w:color w:val="auto"/>
                      <w:sz w:val="18"/>
                      <w:szCs w:val="18"/>
                      <w:u w:val="none"/>
                    </w:rPr>
                    <w:t>资源利用上线</w:t>
                  </w:r>
                </w:p>
              </w:tc>
              <w:tc>
                <w:tcPr>
                  <w:tcW w:w="4749" w:type="dxa"/>
                  <w:noWrap w:val="0"/>
                  <w:vAlign w:val="center"/>
                </w:tcPr>
                <w:p>
                  <w:pPr>
                    <w:rPr>
                      <w:color w:val="auto"/>
                      <w:sz w:val="18"/>
                      <w:szCs w:val="18"/>
                      <w:u w:val="none"/>
                    </w:rPr>
                  </w:pPr>
                  <w:r>
                    <w:rPr>
                      <w:color w:val="auto"/>
                      <w:sz w:val="18"/>
                      <w:szCs w:val="18"/>
                      <w:u w:val="none"/>
                    </w:rPr>
                    <w:t>项目运营过程中消耗一定量的水、电等，项目资源消耗量相对区域资源利用总量较少，项目生产原料资源条件有保障，符合资源利用上线要求。</w:t>
                  </w:r>
                </w:p>
              </w:tc>
              <w:tc>
                <w:tcPr>
                  <w:tcW w:w="582" w:type="dxa"/>
                  <w:noWrap w:val="0"/>
                  <w:vAlign w:val="center"/>
                </w:tcPr>
                <w:p>
                  <w:pPr>
                    <w:jc w:val="center"/>
                    <w:rPr>
                      <w:color w:val="auto"/>
                      <w:sz w:val="18"/>
                      <w:szCs w:val="18"/>
                      <w:u w:val="none"/>
                    </w:rPr>
                  </w:pPr>
                  <w:r>
                    <w:rPr>
                      <w:color w:val="auto"/>
                      <w:sz w:val="18"/>
                      <w:szCs w:val="18"/>
                      <w:u w:val="none"/>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5" w:hRule="atLeast"/>
                <w:jc w:val="center"/>
              </w:trPr>
              <w:tc>
                <w:tcPr>
                  <w:tcW w:w="1472" w:type="dxa"/>
                  <w:noWrap w:val="0"/>
                  <w:vAlign w:val="center"/>
                </w:tcPr>
                <w:p>
                  <w:pPr>
                    <w:jc w:val="center"/>
                    <w:rPr>
                      <w:color w:val="auto"/>
                      <w:sz w:val="18"/>
                      <w:szCs w:val="18"/>
                      <w:u w:val="none"/>
                    </w:rPr>
                  </w:pPr>
                  <w:r>
                    <w:rPr>
                      <w:color w:val="auto"/>
                      <w:sz w:val="18"/>
                      <w:szCs w:val="18"/>
                      <w:u w:val="none"/>
                    </w:rPr>
                    <w:t>环境准入负面清单</w:t>
                  </w:r>
                </w:p>
              </w:tc>
              <w:tc>
                <w:tcPr>
                  <w:tcW w:w="4749" w:type="dxa"/>
                  <w:noWrap w:val="0"/>
                  <w:vAlign w:val="center"/>
                </w:tcPr>
                <w:p>
                  <w:pPr>
                    <w:jc w:val="left"/>
                    <w:rPr>
                      <w:color w:val="auto"/>
                      <w:sz w:val="18"/>
                      <w:szCs w:val="18"/>
                      <w:u w:val="none"/>
                    </w:rPr>
                  </w:pPr>
                  <w:r>
                    <w:rPr>
                      <w:rFonts w:hint="eastAsia"/>
                      <w:color w:val="auto"/>
                      <w:sz w:val="18"/>
                      <w:szCs w:val="18"/>
                      <w:u w:val="none"/>
                    </w:rPr>
                    <w:t>项目属于C3031粘土砖瓦及建筑砌块制造，符合国家及地方产业政策；不属于《市场准入负面清单（20</w:t>
                  </w:r>
                  <w:r>
                    <w:rPr>
                      <w:rFonts w:hint="eastAsia"/>
                      <w:color w:val="auto"/>
                      <w:sz w:val="18"/>
                      <w:szCs w:val="18"/>
                      <w:u w:val="none"/>
                      <w:lang w:val="en-US" w:eastAsia="zh-CN"/>
                    </w:rPr>
                    <w:t>25</w:t>
                  </w:r>
                  <w:r>
                    <w:rPr>
                      <w:rFonts w:hint="eastAsia"/>
                      <w:color w:val="auto"/>
                      <w:sz w:val="18"/>
                      <w:szCs w:val="18"/>
                      <w:u w:val="none"/>
                    </w:rPr>
                    <w:t>年版）》中的禁止类别，因此，本项目符合《市场准入负面清单（20</w:t>
                  </w:r>
                  <w:r>
                    <w:rPr>
                      <w:rFonts w:hint="eastAsia"/>
                      <w:color w:val="auto"/>
                      <w:sz w:val="18"/>
                      <w:szCs w:val="18"/>
                      <w:u w:val="none"/>
                      <w:lang w:val="en-US" w:eastAsia="zh-CN"/>
                    </w:rPr>
                    <w:t>25</w:t>
                  </w:r>
                  <w:r>
                    <w:rPr>
                      <w:rFonts w:hint="eastAsia"/>
                      <w:color w:val="auto"/>
                      <w:sz w:val="18"/>
                      <w:szCs w:val="18"/>
                      <w:u w:val="none"/>
                    </w:rPr>
                    <w:t>年版）》的要求。</w:t>
                  </w:r>
                </w:p>
              </w:tc>
              <w:tc>
                <w:tcPr>
                  <w:tcW w:w="582" w:type="dxa"/>
                  <w:noWrap w:val="0"/>
                  <w:vAlign w:val="center"/>
                </w:tcPr>
                <w:p>
                  <w:pPr>
                    <w:jc w:val="center"/>
                    <w:rPr>
                      <w:color w:val="auto"/>
                      <w:sz w:val="18"/>
                      <w:szCs w:val="18"/>
                      <w:u w:val="none"/>
                    </w:rPr>
                  </w:pPr>
                  <w:r>
                    <w:rPr>
                      <w:color w:val="auto"/>
                      <w:sz w:val="18"/>
                      <w:szCs w:val="18"/>
                      <w:u w:val="none"/>
                    </w:rPr>
                    <w:t>符合</w:t>
                  </w:r>
                </w:p>
              </w:tc>
            </w:tr>
          </w:tbl>
          <w:p>
            <w:pPr>
              <w:spacing w:line="360" w:lineRule="auto"/>
              <w:rPr>
                <w:rFonts w:hint="eastAsia"/>
                <w:color w:val="FF0000"/>
                <w:sz w:val="24"/>
                <w:u w:val="none"/>
              </w:rPr>
            </w:pPr>
          </w:p>
          <w:p>
            <w:pPr>
              <w:spacing w:line="360" w:lineRule="auto"/>
              <w:ind w:firstLine="482" w:firstLineChars="200"/>
              <w:rPr>
                <w:b/>
                <w:bCs/>
                <w:color w:val="auto"/>
                <w:sz w:val="24"/>
                <w:u w:val="none"/>
              </w:rPr>
            </w:pPr>
            <w:r>
              <w:rPr>
                <w:rFonts w:hint="eastAsia"/>
                <w:b/>
                <w:bCs/>
                <w:color w:val="auto"/>
                <w:sz w:val="24"/>
                <w:u w:val="none"/>
              </w:rPr>
              <w:t>3、与《衡阳市人民政府关于实施“三线一单”生态环境分区管控的意见》相符性分析</w:t>
            </w:r>
          </w:p>
          <w:p>
            <w:pPr>
              <w:spacing w:line="360" w:lineRule="auto"/>
              <w:ind w:firstLine="480" w:firstLineChars="200"/>
              <w:rPr>
                <w:rFonts w:hint="default" w:ascii="Times New Roman" w:hAnsi="Times New Roman" w:cs="Times New Roman"/>
                <w:color w:val="FF0000"/>
                <w:sz w:val="24"/>
                <w:u w:val="none"/>
              </w:rPr>
            </w:pPr>
            <w:r>
              <w:rPr>
                <w:rFonts w:hint="default" w:ascii="Times New Roman" w:hAnsi="Times New Roman" w:cs="Times New Roman"/>
                <w:color w:val="auto"/>
                <w:sz w:val="24"/>
                <w:u w:val="none"/>
              </w:rPr>
              <w:t>本项目位于</w:t>
            </w:r>
            <w:r>
              <w:rPr>
                <w:rFonts w:hint="eastAsia" w:cs="Times New Roman"/>
                <w:color w:val="auto"/>
                <w:sz w:val="24"/>
                <w:u w:val="none"/>
                <w:lang w:val="en-US" w:eastAsia="zh-CN"/>
              </w:rPr>
              <w:t>西渡</w:t>
            </w:r>
            <w:r>
              <w:rPr>
                <w:rFonts w:hint="eastAsia" w:ascii="Times New Roman" w:hAnsi="Times New Roman" w:cs="Times New Roman"/>
                <w:color w:val="auto"/>
                <w:sz w:val="24"/>
                <w:u w:val="none"/>
                <w:lang w:val="en-US" w:eastAsia="zh-CN"/>
              </w:rPr>
              <w:t>镇</w:t>
            </w:r>
            <w:r>
              <w:rPr>
                <w:rFonts w:hint="default" w:ascii="Times New Roman" w:hAnsi="Times New Roman" w:cs="Times New Roman"/>
                <w:color w:val="auto"/>
                <w:sz w:val="24"/>
                <w:u w:val="none"/>
              </w:rPr>
              <w:t>，环境管控单元编码为ZH43042</w:t>
            </w:r>
            <w:r>
              <w:rPr>
                <w:rFonts w:hint="eastAsia" w:cs="Times New Roman"/>
                <w:color w:val="auto"/>
                <w:sz w:val="24"/>
                <w:u w:val="none"/>
                <w:lang w:val="en-US" w:eastAsia="zh-CN"/>
              </w:rPr>
              <w:t>1</w:t>
            </w:r>
            <w:r>
              <w:rPr>
                <w:rFonts w:hint="default" w:ascii="Times New Roman" w:hAnsi="Times New Roman" w:cs="Times New Roman"/>
                <w:color w:val="auto"/>
                <w:sz w:val="24"/>
                <w:u w:val="none"/>
              </w:rPr>
              <w:t>2</w:t>
            </w:r>
            <w:r>
              <w:rPr>
                <w:rFonts w:hint="eastAsia" w:cs="Times New Roman"/>
                <w:color w:val="auto"/>
                <w:sz w:val="24"/>
                <w:u w:val="none"/>
                <w:lang w:val="en-US" w:eastAsia="zh-CN"/>
              </w:rPr>
              <w:t>0001</w:t>
            </w:r>
            <w:r>
              <w:rPr>
                <w:rFonts w:hint="default" w:ascii="Times New Roman" w:hAnsi="Times New Roman" w:cs="Times New Roman"/>
                <w:color w:val="auto"/>
                <w:sz w:val="24"/>
                <w:u w:val="none"/>
              </w:rPr>
              <w:t>，所在区域为</w:t>
            </w:r>
            <w:r>
              <w:rPr>
                <w:rFonts w:hint="eastAsia" w:cs="Times New Roman"/>
                <w:color w:val="auto"/>
                <w:sz w:val="24"/>
                <w:u w:val="none"/>
                <w:lang w:val="en-US" w:eastAsia="zh-CN"/>
              </w:rPr>
              <w:t>重点管控</w:t>
            </w:r>
            <w:r>
              <w:rPr>
                <w:rFonts w:hint="default" w:ascii="Times New Roman" w:hAnsi="Times New Roman" w:cs="Times New Roman"/>
                <w:color w:val="auto"/>
                <w:sz w:val="24"/>
                <w:u w:val="none"/>
              </w:rPr>
              <w:t>单元</w:t>
            </w:r>
            <w:r>
              <w:rPr>
                <w:rFonts w:hint="eastAsia" w:ascii="Times New Roman" w:hAnsi="Times New Roman" w:cs="Times New Roman"/>
                <w:color w:val="auto"/>
                <w:sz w:val="24"/>
                <w:u w:val="none"/>
                <w:lang w:eastAsia="zh-CN"/>
              </w:rPr>
              <w:t>（</w:t>
            </w:r>
            <w:r>
              <w:rPr>
                <w:rFonts w:hint="eastAsia" w:ascii="Times New Roman" w:hAnsi="Times New Roman" w:cs="Times New Roman"/>
                <w:color w:val="auto"/>
                <w:sz w:val="24"/>
                <w:u w:val="none"/>
                <w:lang w:val="en-US" w:eastAsia="zh-CN"/>
              </w:rPr>
              <w:t>示意图详见附图6</w:t>
            </w:r>
            <w:r>
              <w:rPr>
                <w:rFonts w:hint="eastAsia" w:ascii="Times New Roman" w:hAnsi="Times New Roman" w:cs="Times New Roman"/>
                <w:color w:val="auto"/>
                <w:sz w:val="24"/>
                <w:u w:val="none"/>
                <w:lang w:eastAsia="zh-CN"/>
              </w:rPr>
              <w:t>）</w:t>
            </w:r>
            <w:r>
              <w:rPr>
                <w:rFonts w:hint="default" w:ascii="Times New Roman" w:hAnsi="Times New Roman" w:cs="Times New Roman"/>
                <w:color w:val="auto"/>
                <w:sz w:val="24"/>
                <w:u w:val="none"/>
              </w:rPr>
              <w:t>，与衡</w:t>
            </w:r>
            <w:r>
              <w:rPr>
                <w:rFonts w:hint="eastAsia" w:cs="Times New Roman"/>
                <w:color w:val="auto"/>
                <w:sz w:val="24"/>
                <w:u w:val="none"/>
                <w:lang w:val="en-US" w:eastAsia="zh-CN"/>
              </w:rPr>
              <w:t>阳县西渡镇</w:t>
            </w:r>
            <w:r>
              <w:rPr>
                <w:rFonts w:hint="default" w:ascii="Times New Roman" w:hAnsi="Times New Roman" w:cs="Times New Roman"/>
                <w:color w:val="auto"/>
                <w:sz w:val="24"/>
                <w:u w:val="none"/>
              </w:rPr>
              <w:t>生态环境准入清单符合性分析见表1-3。</w:t>
            </w:r>
          </w:p>
          <w:p>
            <w:pPr>
              <w:jc w:val="center"/>
              <w:rPr>
                <w:b/>
                <w:bCs/>
                <w:color w:val="auto"/>
                <w:szCs w:val="21"/>
                <w:u w:val="none"/>
              </w:rPr>
            </w:pPr>
            <w:r>
              <w:rPr>
                <w:b/>
                <w:bCs/>
                <w:color w:val="auto"/>
                <w:szCs w:val="21"/>
                <w:u w:val="none"/>
              </w:rPr>
              <w:t>表1-</w:t>
            </w:r>
            <w:r>
              <w:rPr>
                <w:rFonts w:hint="eastAsia"/>
                <w:b/>
                <w:bCs/>
                <w:color w:val="auto"/>
                <w:szCs w:val="21"/>
                <w:u w:val="none"/>
              </w:rPr>
              <w:t>3</w:t>
            </w:r>
            <w:r>
              <w:rPr>
                <w:b/>
                <w:bCs/>
                <w:color w:val="auto"/>
                <w:szCs w:val="21"/>
                <w:u w:val="none"/>
              </w:rPr>
              <w:t>与衡</w:t>
            </w:r>
            <w:r>
              <w:rPr>
                <w:rFonts w:hint="eastAsia"/>
                <w:b/>
                <w:bCs/>
                <w:color w:val="auto"/>
                <w:szCs w:val="21"/>
                <w:u w:val="none"/>
                <w:lang w:val="en-US" w:eastAsia="zh-CN"/>
              </w:rPr>
              <w:t>阳</w:t>
            </w:r>
            <w:r>
              <w:rPr>
                <w:b/>
                <w:bCs/>
                <w:color w:val="auto"/>
                <w:szCs w:val="21"/>
                <w:u w:val="none"/>
              </w:rPr>
              <w:t>县</w:t>
            </w:r>
            <w:r>
              <w:rPr>
                <w:rFonts w:hint="eastAsia"/>
                <w:b/>
                <w:bCs/>
                <w:color w:val="auto"/>
                <w:szCs w:val="21"/>
                <w:u w:val="none"/>
                <w:lang w:val="en-US" w:eastAsia="zh-CN"/>
              </w:rPr>
              <w:t>西渡镇</w:t>
            </w:r>
            <w:r>
              <w:rPr>
                <w:b/>
                <w:bCs/>
                <w:color w:val="auto"/>
                <w:szCs w:val="21"/>
                <w:u w:val="none"/>
              </w:rPr>
              <w:t>生态环境准入清单符合性分析</w:t>
            </w:r>
          </w:p>
          <w:tbl>
            <w:tblPr>
              <w:tblStyle w:val="30"/>
              <w:tblW w:w="6916"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505"/>
              <w:gridCol w:w="909"/>
              <w:gridCol w:w="4200"/>
              <w:gridCol w:w="130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0" w:hRule="atLeast"/>
              </w:trPr>
              <w:tc>
                <w:tcPr>
                  <w:tcW w:w="505" w:type="dxa"/>
                  <w:noWrap w:val="0"/>
                  <w:vAlign w:val="center"/>
                </w:tcPr>
                <w:p>
                  <w:pPr>
                    <w:pStyle w:val="17"/>
                    <w:ind w:left="-53" w:leftChars="-25" w:right="-53" w:rightChars="-25"/>
                    <w:jc w:val="center"/>
                    <w:rPr>
                      <w:rFonts w:ascii="Times New Roman" w:hAnsi="Times New Roman"/>
                      <w:color w:val="auto"/>
                      <w:sz w:val="18"/>
                      <w:szCs w:val="21"/>
                      <w:u w:val="none"/>
                    </w:rPr>
                  </w:pPr>
                  <w:r>
                    <w:rPr>
                      <w:rFonts w:ascii="Times New Roman" w:hAnsi="Times New Roman"/>
                      <w:color w:val="auto"/>
                      <w:sz w:val="18"/>
                      <w:szCs w:val="21"/>
                      <w:u w:val="none"/>
                    </w:rPr>
                    <w:t>序号</w:t>
                  </w:r>
                </w:p>
              </w:tc>
              <w:tc>
                <w:tcPr>
                  <w:tcW w:w="909" w:type="dxa"/>
                  <w:noWrap w:val="0"/>
                  <w:vAlign w:val="center"/>
                </w:tcPr>
                <w:p>
                  <w:pPr>
                    <w:pStyle w:val="17"/>
                    <w:ind w:left="-53" w:leftChars="-25" w:right="-53" w:rightChars="-25"/>
                    <w:jc w:val="center"/>
                    <w:rPr>
                      <w:rFonts w:ascii="Times New Roman" w:hAnsi="Times New Roman"/>
                      <w:color w:val="auto"/>
                      <w:sz w:val="18"/>
                      <w:szCs w:val="21"/>
                      <w:u w:val="none"/>
                    </w:rPr>
                  </w:pPr>
                  <w:r>
                    <w:rPr>
                      <w:rFonts w:ascii="Times New Roman" w:hAnsi="Times New Roman"/>
                      <w:color w:val="auto"/>
                      <w:sz w:val="18"/>
                      <w:szCs w:val="21"/>
                      <w:u w:val="none"/>
                    </w:rPr>
                    <w:t>类别/管控类别</w:t>
                  </w:r>
                </w:p>
              </w:tc>
              <w:tc>
                <w:tcPr>
                  <w:tcW w:w="4200" w:type="dxa"/>
                  <w:noWrap w:val="0"/>
                  <w:vAlign w:val="center"/>
                </w:tcPr>
                <w:p>
                  <w:pPr>
                    <w:pStyle w:val="17"/>
                    <w:ind w:left="-53" w:leftChars="-25" w:right="-53" w:rightChars="-25"/>
                    <w:jc w:val="center"/>
                    <w:rPr>
                      <w:rFonts w:ascii="Times New Roman" w:hAnsi="Times New Roman"/>
                      <w:color w:val="auto"/>
                      <w:sz w:val="18"/>
                      <w:szCs w:val="21"/>
                      <w:u w:val="none"/>
                    </w:rPr>
                  </w:pPr>
                  <w:r>
                    <w:rPr>
                      <w:rFonts w:ascii="Times New Roman" w:hAnsi="Times New Roman"/>
                      <w:color w:val="auto"/>
                      <w:sz w:val="18"/>
                      <w:szCs w:val="21"/>
                      <w:u w:val="none"/>
                    </w:rPr>
                    <w:t>管控要求</w:t>
                  </w:r>
                </w:p>
              </w:tc>
              <w:tc>
                <w:tcPr>
                  <w:tcW w:w="1302" w:type="dxa"/>
                  <w:noWrap w:val="0"/>
                  <w:vAlign w:val="center"/>
                </w:tcPr>
                <w:p>
                  <w:pPr>
                    <w:pStyle w:val="17"/>
                    <w:ind w:left="-53" w:leftChars="-25" w:right="-53" w:rightChars="-25"/>
                    <w:jc w:val="center"/>
                    <w:rPr>
                      <w:rFonts w:ascii="Times New Roman" w:hAnsi="Times New Roman"/>
                      <w:color w:val="auto"/>
                      <w:sz w:val="18"/>
                      <w:szCs w:val="21"/>
                      <w:u w:val="none"/>
                    </w:rPr>
                  </w:pPr>
                  <w:r>
                    <w:rPr>
                      <w:rFonts w:ascii="Times New Roman" w:hAnsi="Times New Roman"/>
                      <w:color w:val="auto"/>
                      <w:sz w:val="18"/>
                      <w:szCs w:val="21"/>
                      <w:u w:val="none"/>
                    </w:rPr>
                    <w:t>符合性分析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0" w:hRule="atLeast"/>
              </w:trPr>
              <w:tc>
                <w:tcPr>
                  <w:tcW w:w="505" w:type="dxa"/>
                  <w:noWrap w:val="0"/>
                  <w:vAlign w:val="center"/>
                </w:tcPr>
                <w:p>
                  <w:pPr>
                    <w:pStyle w:val="17"/>
                    <w:ind w:left="-53" w:leftChars="-25" w:right="-53" w:rightChars="-25"/>
                    <w:jc w:val="center"/>
                    <w:rPr>
                      <w:rFonts w:hint="eastAsia" w:ascii="Times New Roman" w:hAnsi="Times New Roman" w:eastAsia="宋体"/>
                      <w:color w:val="auto"/>
                      <w:sz w:val="18"/>
                      <w:szCs w:val="21"/>
                      <w:u w:val="none"/>
                      <w:lang w:eastAsia="zh-CN"/>
                    </w:rPr>
                  </w:pPr>
                  <w:r>
                    <w:rPr>
                      <w:rFonts w:hint="eastAsia" w:ascii="Times New Roman" w:hAnsi="Times New Roman"/>
                      <w:color w:val="auto"/>
                      <w:sz w:val="18"/>
                      <w:szCs w:val="21"/>
                      <w:u w:val="none"/>
                      <w:lang w:val="en-US" w:eastAsia="zh-CN"/>
                    </w:rPr>
                    <w:t>1</w:t>
                  </w:r>
                </w:p>
              </w:tc>
              <w:tc>
                <w:tcPr>
                  <w:tcW w:w="909" w:type="dxa"/>
                  <w:noWrap w:val="0"/>
                  <w:vAlign w:val="center"/>
                </w:tcPr>
                <w:p>
                  <w:pPr>
                    <w:pStyle w:val="17"/>
                    <w:ind w:left="-53" w:leftChars="-25" w:right="-53" w:rightChars="-25"/>
                    <w:jc w:val="center"/>
                    <w:rPr>
                      <w:rFonts w:ascii="Times New Roman" w:hAnsi="Times New Roman"/>
                      <w:color w:val="auto"/>
                      <w:kern w:val="0"/>
                      <w:sz w:val="18"/>
                      <w:szCs w:val="21"/>
                      <w:u w:val="none"/>
                    </w:rPr>
                  </w:pPr>
                  <w:r>
                    <w:rPr>
                      <w:rFonts w:ascii="Times New Roman" w:hAnsi="Times New Roman"/>
                      <w:color w:val="auto"/>
                      <w:kern w:val="0"/>
                      <w:sz w:val="18"/>
                      <w:szCs w:val="21"/>
                      <w:u w:val="none"/>
                    </w:rPr>
                    <w:t>空间布局约束</w:t>
                  </w:r>
                </w:p>
              </w:tc>
              <w:tc>
                <w:tcPr>
                  <w:tcW w:w="4200" w:type="dxa"/>
                  <w:noWrap w:val="0"/>
                  <w:vAlign w:val="center"/>
                </w:tcPr>
                <w:p>
                  <w:pPr>
                    <w:pStyle w:val="17"/>
                    <w:ind w:left="-53" w:leftChars="-25" w:right="-53" w:rightChars="-25"/>
                    <w:jc w:val="left"/>
                    <w:rPr>
                      <w:rFonts w:hint="eastAsia" w:ascii="Times New Roman" w:hAnsi="Times New Roman" w:eastAsia="宋体"/>
                      <w:color w:val="auto"/>
                      <w:sz w:val="18"/>
                      <w:szCs w:val="21"/>
                      <w:u w:val="none"/>
                      <w:lang w:eastAsia="zh-CN"/>
                    </w:rPr>
                  </w:pPr>
                  <w:r>
                    <w:rPr>
                      <w:rFonts w:hint="eastAsia" w:ascii="Times New Roman" w:hAnsi="Times New Roman"/>
                      <w:color w:val="auto"/>
                      <w:sz w:val="18"/>
                      <w:szCs w:val="21"/>
                      <w:u w:val="none"/>
                    </w:rPr>
                    <w:t>（1.1）除在安全或者产业布局等方面有特殊要求的以外，新建有污染物排放的工业项目，应当按照规定进入工业园区或者工业集聚区；</w:t>
                  </w:r>
                </w:p>
                <w:p>
                  <w:pPr>
                    <w:pStyle w:val="17"/>
                    <w:ind w:left="-53" w:leftChars="-25" w:right="-53" w:rightChars="-25"/>
                    <w:jc w:val="left"/>
                    <w:rPr>
                      <w:rFonts w:hint="eastAsia" w:ascii="Times New Roman" w:hAnsi="Times New Roman" w:eastAsia="宋体"/>
                      <w:color w:val="auto"/>
                      <w:sz w:val="18"/>
                      <w:szCs w:val="21"/>
                      <w:u w:val="none"/>
                      <w:lang w:eastAsia="zh-CN"/>
                    </w:rPr>
                  </w:pPr>
                  <w:r>
                    <w:rPr>
                      <w:rFonts w:hint="eastAsia" w:ascii="Times New Roman" w:hAnsi="Times New Roman"/>
                      <w:color w:val="auto"/>
                      <w:sz w:val="18"/>
                      <w:szCs w:val="21"/>
                      <w:u w:val="none"/>
                    </w:rPr>
                    <w:t>（1.2）饮用水源保护区按《湖南省饮用水水源保护条例》等要求管理。</w:t>
                  </w:r>
                </w:p>
                <w:p>
                  <w:pPr>
                    <w:pStyle w:val="17"/>
                    <w:ind w:left="-53" w:leftChars="-25" w:right="-53" w:rightChars="-25"/>
                    <w:jc w:val="left"/>
                    <w:rPr>
                      <w:rFonts w:ascii="Times New Roman" w:hAnsi="Times New Roman"/>
                      <w:color w:val="auto"/>
                      <w:sz w:val="18"/>
                      <w:szCs w:val="21"/>
                      <w:u w:val="none"/>
                    </w:rPr>
                  </w:pPr>
                  <w:r>
                    <w:rPr>
                      <w:rFonts w:hint="eastAsia" w:ascii="Times New Roman" w:hAnsi="Times New Roman"/>
                      <w:color w:val="auto"/>
                      <w:sz w:val="18"/>
                      <w:szCs w:val="21"/>
                      <w:u w:val="none"/>
                    </w:rPr>
                    <w:t>（1.3）养殖业按划定的禁养区、限养区、适养区实施分类管理。</w:t>
                  </w:r>
                </w:p>
              </w:tc>
              <w:tc>
                <w:tcPr>
                  <w:tcW w:w="1302" w:type="dxa"/>
                  <w:noWrap w:val="0"/>
                  <w:vAlign w:val="center"/>
                </w:tcPr>
                <w:p>
                  <w:pPr>
                    <w:pStyle w:val="17"/>
                    <w:ind w:left="-53" w:leftChars="-25" w:right="-53" w:rightChars="-25"/>
                    <w:jc w:val="center"/>
                    <w:rPr>
                      <w:rFonts w:hint="default" w:ascii="Times New Roman" w:hAnsi="Times New Roman" w:eastAsia="宋体"/>
                      <w:color w:val="auto"/>
                      <w:sz w:val="18"/>
                      <w:szCs w:val="21"/>
                      <w:u w:val="none"/>
                      <w:lang w:val="en-US" w:eastAsia="zh-CN"/>
                    </w:rPr>
                  </w:pPr>
                  <w:r>
                    <w:rPr>
                      <w:rFonts w:hint="eastAsia" w:ascii="Times New Roman" w:hAnsi="Times New Roman"/>
                      <w:color w:val="auto"/>
                      <w:sz w:val="18"/>
                      <w:szCs w:val="21"/>
                      <w:u w:val="none"/>
                      <w:lang w:val="en-US" w:eastAsia="zh-CN"/>
                    </w:rPr>
                    <w:t>符合要求：1、本项目为一般工业固废综合利用项目，项目性质为新建；2、项目不在饮用水保护区内</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0" w:hRule="atLeast"/>
              </w:trPr>
              <w:tc>
                <w:tcPr>
                  <w:tcW w:w="505" w:type="dxa"/>
                  <w:noWrap w:val="0"/>
                  <w:vAlign w:val="center"/>
                </w:tcPr>
                <w:p>
                  <w:pPr>
                    <w:pStyle w:val="17"/>
                    <w:ind w:left="-53" w:leftChars="-25" w:right="-53" w:rightChars="-25"/>
                    <w:jc w:val="center"/>
                    <w:rPr>
                      <w:rFonts w:hint="eastAsia" w:ascii="Times New Roman" w:hAnsi="Times New Roman" w:eastAsia="宋体"/>
                      <w:color w:val="auto"/>
                      <w:sz w:val="18"/>
                      <w:szCs w:val="21"/>
                      <w:u w:val="none"/>
                      <w:lang w:eastAsia="zh-CN"/>
                    </w:rPr>
                  </w:pPr>
                  <w:r>
                    <w:rPr>
                      <w:rFonts w:hint="eastAsia" w:ascii="Times New Roman" w:hAnsi="Times New Roman"/>
                      <w:color w:val="auto"/>
                      <w:sz w:val="18"/>
                      <w:szCs w:val="21"/>
                      <w:u w:val="none"/>
                      <w:lang w:val="en-US" w:eastAsia="zh-CN"/>
                    </w:rPr>
                    <w:t>2</w:t>
                  </w:r>
                </w:p>
              </w:tc>
              <w:tc>
                <w:tcPr>
                  <w:tcW w:w="909" w:type="dxa"/>
                  <w:noWrap w:val="0"/>
                  <w:vAlign w:val="center"/>
                </w:tcPr>
                <w:p>
                  <w:pPr>
                    <w:pStyle w:val="17"/>
                    <w:ind w:left="-53" w:leftChars="-25" w:right="-53" w:rightChars="-25"/>
                    <w:jc w:val="center"/>
                    <w:rPr>
                      <w:rFonts w:ascii="Times New Roman" w:hAnsi="Times New Roman"/>
                      <w:color w:val="auto"/>
                      <w:sz w:val="18"/>
                      <w:szCs w:val="21"/>
                      <w:u w:val="none"/>
                    </w:rPr>
                  </w:pPr>
                  <w:r>
                    <w:rPr>
                      <w:rFonts w:ascii="Times New Roman" w:hAnsi="Times New Roman"/>
                      <w:color w:val="auto"/>
                      <w:kern w:val="0"/>
                      <w:sz w:val="18"/>
                      <w:szCs w:val="21"/>
                      <w:u w:val="none"/>
                    </w:rPr>
                    <w:t>污染物排放管控</w:t>
                  </w:r>
                </w:p>
              </w:tc>
              <w:tc>
                <w:tcPr>
                  <w:tcW w:w="4200" w:type="dxa"/>
                  <w:noWrap w:val="0"/>
                  <w:vAlign w:val="center"/>
                </w:tcPr>
                <w:p>
                  <w:pPr>
                    <w:pStyle w:val="17"/>
                    <w:ind w:left="-53" w:leftChars="-25" w:right="-53" w:rightChars="-25"/>
                    <w:jc w:val="left"/>
                    <w:rPr>
                      <w:rFonts w:hint="eastAsia" w:ascii="Times New Roman" w:hAnsi="Times New Roman" w:eastAsia="宋体"/>
                      <w:color w:val="auto"/>
                      <w:sz w:val="18"/>
                      <w:szCs w:val="21"/>
                      <w:u w:val="none"/>
                      <w:lang w:eastAsia="zh-CN"/>
                    </w:rPr>
                  </w:pPr>
                  <w:r>
                    <w:rPr>
                      <w:rFonts w:hint="eastAsia" w:ascii="Times New Roman" w:hAnsi="Times New Roman"/>
                      <w:color w:val="auto"/>
                      <w:sz w:val="18"/>
                      <w:szCs w:val="21"/>
                      <w:u w:val="none"/>
                    </w:rPr>
                    <w:t>（2.1）因地制宜开展农村生活污水处理设施建设，完善“五位一体”的县域农村生活污水治理设施运维管理体系，建立长效的农村生活污水运行管理机制。</w:t>
                  </w:r>
                </w:p>
                <w:p>
                  <w:pPr>
                    <w:pStyle w:val="17"/>
                    <w:ind w:left="-53" w:leftChars="-25" w:right="-53" w:rightChars="-25"/>
                    <w:jc w:val="left"/>
                    <w:rPr>
                      <w:rFonts w:hint="eastAsia" w:ascii="Times New Roman" w:hAnsi="Times New Roman" w:eastAsia="宋体"/>
                      <w:color w:val="auto"/>
                      <w:sz w:val="18"/>
                      <w:szCs w:val="21"/>
                      <w:u w:val="none"/>
                      <w:lang w:eastAsia="zh-CN"/>
                    </w:rPr>
                  </w:pPr>
                  <w:r>
                    <w:rPr>
                      <w:rFonts w:hint="eastAsia" w:ascii="Times New Roman" w:hAnsi="Times New Roman"/>
                      <w:color w:val="auto"/>
                      <w:sz w:val="18"/>
                      <w:szCs w:val="21"/>
                      <w:u w:val="none"/>
                    </w:rPr>
                    <w:t>（2.2）重点行业企业实施强制清洁生产审核，重点工业企业完成无组织排放治理改造；强化重点行业挥发性有机物污染治理，实行区域内VOCs排放等量或倍量削减替代，交通运输设备制造、工程机械制造和家具制造行业全面推行油性漆改水性漆。禁止露天烧烤直排，禁止垃圾露天焚烧。禁止在商住、学校、医疗、养老机构、人口密集区和公共服务设施等周边新建有色金属冶炼、化工等行业企业。</w:t>
                  </w:r>
                </w:p>
                <w:p>
                  <w:pPr>
                    <w:pStyle w:val="17"/>
                    <w:ind w:left="-53" w:leftChars="-25" w:right="-53" w:rightChars="-25"/>
                    <w:jc w:val="left"/>
                    <w:rPr>
                      <w:rFonts w:ascii="Times New Roman" w:hAnsi="Times New Roman"/>
                      <w:color w:val="auto"/>
                      <w:sz w:val="18"/>
                      <w:szCs w:val="21"/>
                      <w:u w:val="none"/>
                    </w:rPr>
                  </w:pPr>
                  <w:r>
                    <w:rPr>
                      <w:rFonts w:hint="eastAsia" w:ascii="Times New Roman" w:hAnsi="Times New Roman"/>
                      <w:color w:val="auto"/>
                      <w:sz w:val="18"/>
                      <w:szCs w:val="21"/>
                      <w:u w:val="none"/>
                    </w:rPr>
                    <w:t>（2.3）加强畜禽养殖污染防治。完善垃圾收集外运设施，建立外运处理制度，禁止在集镇、居民点及其附近任意焚烧；畜禽规模养殖场（小区）配套建设废弃物处理设施的比例达到85%以上。</w:t>
                  </w:r>
                </w:p>
              </w:tc>
              <w:tc>
                <w:tcPr>
                  <w:tcW w:w="1302" w:type="dxa"/>
                  <w:noWrap w:val="0"/>
                  <w:vAlign w:val="center"/>
                </w:tcPr>
                <w:p>
                  <w:pPr>
                    <w:pStyle w:val="17"/>
                    <w:ind w:left="-53" w:leftChars="-25" w:right="-53" w:rightChars="-25"/>
                    <w:jc w:val="center"/>
                    <w:rPr>
                      <w:rFonts w:hint="default" w:ascii="Times New Roman" w:hAnsi="Times New Roman" w:eastAsia="宋体"/>
                      <w:color w:val="auto"/>
                      <w:sz w:val="18"/>
                      <w:szCs w:val="21"/>
                      <w:u w:val="none"/>
                      <w:lang w:val="en-US" w:eastAsia="zh-CN"/>
                    </w:rPr>
                  </w:pPr>
                  <w:r>
                    <w:rPr>
                      <w:rFonts w:ascii="Times New Roman" w:hAnsi="Times New Roman"/>
                      <w:color w:val="auto"/>
                      <w:kern w:val="0"/>
                      <w:sz w:val="18"/>
                      <w:szCs w:val="21"/>
                      <w:u w:val="none"/>
                    </w:rPr>
                    <w:t>符合</w:t>
                  </w:r>
                  <w:r>
                    <w:rPr>
                      <w:rFonts w:hint="eastAsia" w:ascii="Times New Roman" w:hAnsi="Times New Roman"/>
                      <w:color w:val="auto"/>
                      <w:kern w:val="0"/>
                      <w:sz w:val="18"/>
                      <w:szCs w:val="21"/>
                      <w:u w:val="none"/>
                      <w:lang w:val="en-US" w:eastAsia="zh-CN"/>
                    </w:rPr>
                    <w:t>要求：1、</w:t>
                  </w:r>
                  <w:r>
                    <w:rPr>
                      <w:rFonts w:ascii="Times New Roman" w:hAnsi="Times New Roman"/>
                      <w:color w:val="auto"/>
                      <w:kern w:val="0"/>
                      <w:sz w:val="18"/>
                      <w:szCs w:val="21"/>
                      <w:u w:val="none"/>
                    </w:rPr>
                    <w:t>本项目位于</w:t>
                  </w:r>
                  <w:r>
                    <w:rPr>
                      <w:rFonts w:hint="eastAsia" w:ascii="Times New Roman" w:hAnsi="Times New Roman"/>
                      <w:color w:val="auto"/>
                      <w:kern w:val="0"/>
                      <w:sz w:val="18"/>
                      <w:szCs w:val="21"/>
                      <w:u w:val="none"/>
                      <w:lang w:eastAsia="zh-CN"/>
                    </w:rPr>
                    <w:t>衡阳县西渡镇正大村枣子组，</w:t>
                  </w:r>
                  <w:r>
                    <w:rPr>
                      <w:rFonts w:hint="eastAsia" w:ascii="Times New Roman" w:hAnsi="Times New Roman"/>
                      <w:color w:val="auto"/>
                      <w:kern w:val="0"/>
                      <w:sz w:val="18"/>
                      <w:szCs w:val="21"/>
                      <w:u w:val="none"/>
                      <w:lang w:val="en-US" w:eastAsia="zh-CN"/>
                    </w:rPr>
                    <w:t>本项目无生产废水产生，生活办公废水经化粪池处理后用于周边农业生产。2、本项目主要</w:t>
                  </w:r>
                  <w:r>
                    <w:rPr>
                      <w:rFonts w:ascii="Times New Roman" w:hAnsi="Times New Roman"/>
                      <w:color w:val="auto"/>
                      <w:sz w:val="18"/>
                      <w:szCs w:val="21"/>
                      <w:u w:val="none"/>
                    </w:rPr>
                    <w:t>生产</w:t>
                  </w:r>
                  <w:r>
                    <w:rPr>
                      <w:rFonts w:hint="eastAsia" w:ascii="Times New Roman" w:hAnsi="Times New Roman"/>
                      <w:color w:val="auto"/>
                      <w:sz w:val="18"/>
                      <w:szCs w:val="21"/>
                      <w:u w:val="none"/>
                    </w:rPr>
                    <w:t>页岩砖</w:t>
                  </w:r>
                  <w:r>
                    <w:rPr>
                      <w:rFonts w:ascii="Times New Roman" w:hAnsi="Times New Roman"/>
                      <w:color w:val="auto"/>
                      <w:sz w:val="18"/>
                      <w:szCs w:val="21"/>
                      <w:u w:val="none"/>
                    </w:rPr>
                    <w:t>，</w:t>
                  </w:r>
                  <w:r>
                    <w:rPr>
                      <w:rFonts w:hint="eastAsia" w:ascii="Times New Roman" w:hAnsi="Times New Roman"/>
                      <w:color w:val="auto"/>
                      <w:sz w:val="18"/>
                      <w:szCs w:val="21"/>
                      <w:u w:val="none"/>
                      <w:lang w:val="en-US" w:eastAsia="zh-CN"/>
                    </w:rPr>
                    <w:t>不属于重点行业企业实施强制清洁生产审核，无组织废气采取晒水降尘等措施，本项目无vocs废气产生。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05" w:type="dxa"/>
                  <w:noWrap w:val="0"/>
                  <w:vAlign w:val="center"/>
                </w:tcPr>
                <w:p>
                  <w:pPr>
                    <w:pStyle w:val="17"/>
                    <w:ind w:left="-53" w:leftChars="-25" w:right="-53" w:rightChars="-25"/>
                    <w:jc w:val="center"/>
                    <w:rPr>
                      <w:rFonts w:hint="eastAsia" w:ascii="Times New Roman" w:hAnsi="Times New Roman" w:eastAsia="宋体"/>
                      <w:color w:val="auto"/>
                      <w:kern w:val="0"/>
                      <w:sz w:val="18"/>
                      <w:szCs w:val="21"/>
                      <w:u w:val="none"/>
                      <w:lang w:eastAsia="zh-CN"/>
                    </w:rPr>
                  </w:pPr>
                  <w:r>
                    <w:rPr>
                      <w:rFonts w:hint="eastAsia" w:ascii="Times New Roman" w:hAnsi="Times New Roman"/>
                      <w:color w:val="auto"/>
                      <w:sz w:val="18"/>
                      <w:szCs w:val="21"/>
                      <w:u w:val="none"/>
                      <w:lang w:val="en-US" w:eastAsia="zh-CN"/>
                    </w:rPr>
                    <w:t>3</w:t>
                  </w:r>
                </w:p>
              </w:tc>
              <w:tc>
                <w:tcPr>
                  <w:tcW w:w="909" w:type="dxa"/>
                  <w:noWrap w:val="0"/>
                  <w:vAlign w:val="center"/>
                </w:tcPr>
                <w:p>
                  <w:pPr>
                    <w:pStyle w:val="17"/>
                    <w:ind w:left="-53" w:leftChars="-25" w:right="-53" w:rightChars="-25"/>
                    <w:jc w:val="center"/>
                    <w:rPr>
                      <w:rFonts w:ascii="Times New Roman" w:hAnsi="Times New Roman"/>
                      <w:color w:val="auto"/>
                      <w:sz w:val="18"/>
                      <w:szCs w:val="21"/>
                      <w:u w:val="none"/>
                    </w:rPr>
                  </w:pPr>
                  <w:r>
                    <w:rPr>
                      <w:rFonts w:ascii="Times New Roman" w:hAnsi="Times New Roman"/>
                      <w:color w:val="auto"/>
                      <w:kern w:val="0"/>
                      <w:sz w:val="18"/>
                      <w:szCs w:val="21"/>
                      <w:u w:val="none"/>
                    </w:rPr>
                    <w:t>环境风险防控</w:t>
                  </w:r>
                </w:p>
              </w:tc>
              <w:tc>
                <w:tcPr>
                  <w:tcW w:w="4200" w:type="dxa"/>
                  <w:noWrap w:val="0"/>
                  <w:vAlign w:val="center"/>
                </w:tcPr>
                <w:p>
                  <w:pPr>
                    <w:pStyle w:val="17"/>
                    <w:ind w:left="-53" w:leftChars="-25" w:right="-53" w:rightChars="-25"/>
                    <w:jc w:val="left"/>
                    <w:rPr>
                      <w:rFonts w:hint="eastAsia" w:ascii="Times New Roman" w:hAnsi="Times New Roman" w:eastAsia="宋体"/>
                      <w:color w:val="auto"/>
                      <w:sz w:val="18"/>
                      <w:szCs w:val="21"/>
                      <w:u w:val="none"/>
                      <w:lang w:eastAsia="zh-CN"/>
                    </w:rPr>
                  </w:pPr>
                  <w:r>
                    <w:rPr>
                      <w:rFonts w:hint="eastAsia" w:ascii="Times New Roman" w:hAnsi="Times New Roman"/>
                      <w:color w:val="auto"/>
                      <w:sz w:val="18"/>
                      <w:szCs w:val="21"/>
                      <w:u w:val="none"/>
                    </w:rPr>
                    <w:t>（3.1）加强生态环境保护日常监管和线下监控，健全环境风险预警防控体系，推进重点流域、重要水源地风险防控；建立生态环境风险隐患排查制度和重大生态环境风险源数据库，实行动态跟踪监控和管理；设立生态环境风险监督员，及时核查核实群众举报、舆情反映等渠道获取的问题，建立问题清单和整改清单，消除环境风险。</w:t>
                  </w:r>
                </w:p>
                <w:p>
                  <w:pPr>
                    <w:pStyle w:val="17"/>
                    <w:ind w:left="-53" w:leftChars="-25" w:right="-53" w:rightChars="-25"/>
                    <w:jc w:val="left"/>
                    <w:rPr>
                      <w:rFonts w:ascii="Times New Roman" w:hAnsi="Times New Roman"/>
                      <w:color w:val="auto"/>
                      <w:sz w:val="18"/>
                      <w:szCs w:val="21"/>
                      <w:u w:val="none"/>
                    </w:rPr>
                  </w:pPr>
                  <w:r>
                    <w:rPr>
                      <w:rFonts w:hint="eastAsia" w:ascii="Times New Roman" w:hAnsi="Times New Roman"/>
                      <w:color w:val="auto"/>
                      <w:sz w:val="18"/>
                      <w:szCs w:val="21"/>
                      <w:u w:val="none"/>
                    </w:rPr>
                    <w:t>（3.2）加强污染耕地环境风险控制。对已污染的耕地实施分类管理，采取农艺调控、种植业结构调整、土壤污染治理与修复等措施，确保耕地安全利用；污染严重且难以修复的耕地依法划定为农产品禁止生产区域。加强农用土地复垦风险评估管理。严格建设用地土壤污染风险管控。严控污染地块环境社会风险，以城镇人口密集区危险化学品生产企业搬迁改造以及长江经济带化工污染整治过程中的腾退企业用地为重点，结合建设用地治理修复和风险管控名录管理制度，进一步加强腾退土地污染风险管控，严格企业拆除活动的环境监管。</w:t>
                  </w:r>
                </w:p>
              </w:tc>
              <w:tc>
                <w:tcPr>
                  <w:tcW w:w="1302" w:type="dxa"/>
                  <w:noWrap w:val="0"/>
                  <w:vAlign w:val="center"/>
                </w:tcPr>
                <w:p>
                  <w:pPr>
                    <w:pStyle w:val="17"/>
                    <w:ind w:left="-53" w:leftChars="-25" w:right="-53" w:rightChars="-25"/>
                    <w:jc w:val="center"/>
                    <w:rPr>
                      <w:rFonts w:ascii="Times New Roman" w:hAnsi="Times New Roman"/>
                      <w:color w:val="auto"/>
                      <w:sz w:val="18"/>
                      <w:szCs w:val="21"/>
                      <w:u w:val="none"/>
                    </w:rPr>
                  </w:pPr>
                  <w:r>
                    <w:rPr>
                      <w:rFonts w:ascii="Times New Roman" w:hAnsi="Times New Roman"/>
                      <w:color w:val="auto"/>
                      <w:sz w:val="18"/>
                      <w:szCs w:val="21"/>
                      <w:u w:val="none"/>
                    </w:rPr>
                    <w:t>符合（</w:t>
                  </w:r>
                  <w:r>
                    <w:rPr>
                      <w:rFonts w:hint="eastAsia" w:ascii="Times New Roman" w:hAnsi="Times New Roman"/>
                      <w:color w:val="auto"/>
                      <w:sz w:val="18"/>
                      <w:szCs w:val="21"/>
                      <w:u w:val="none"/>
                      <w:lang w:val="en-US" w:eastAsia="zh-CN"/>
                    </w:rPr>
                    <w:t>1、本项目已建立风险排查预警处理制度，</w:t>
                  </w:r>
                  <w:r>
                    <w:rPr>
                      <w:rFonts w:ascii="Times New Roman" w:hAnsi="Times New Roman"/>
                      <w:color w:val="auto"/>
                      <w:sz w:val="18"/>
                      <w:szCs w:val="21"/>
                      <w:u w:val="none"/>
                    </w:rPr>
                    <w:t>本项目所在地块不属于污染地块。）</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0" w:hRule="atLeast"/>
              </w:trPr>
              <w:tc>
                <w:tcPr>
                  <w:tcW w:w="505" w:type="dxa"/>
                  <w:noWrap w:val="0"/>
                  <w:vAlign w:val="center"/>
                </w:tcPr>
                <w:p>
                  <w:pPr>
                    <w:pStyle w:val="17"/>
                    <w:ind w:left="-53" w:leftChars="-25" w:right="-53" w:rightChars="-25"/>
                    <w:jc w:val="center"/>
                    <w:rPr>
                      <w:rFonts w:hint="eastAsia" w:ascii="Times New Roman" w:hAnsi="Times New Roman" w:eastAsia="宋体"/>
                      <w:color w:val="auto"/>
                      <w:kern w:val="0"/>
                      <w:sz w:val="18"/>
                      <w:szCs w:val="21"/>
                      <w:u w:val="none"/>
                      <w:lang w:eastAsia="zh-CN"/>
                    </w:rPr>
                  </w:pPr>
                  <w:r>
                    <w:rPr>
                      <w:rFonts w:hint="eastAsia" w:ascii="Times New Roman" w:hAnsi="Times New Roman"/>
                      <w:color w:val="auto"/>
                      <w:kern w:val="0"/>
                      <w:sz w:val="18"/>
                      <w:szCs w:val="21"/>
                      <w:u w:val="none"/>
                      <w:lang w:val="en-US" w:eastAsia="zh-CN"/>
                    </w:rPr>
                    <w:t>4</w:t>
                  </w:r>
                </w:p>
              </w:tc>
              <w:tc>
                <w:tcPr>
                  <w:tcW w:w="909" w:type="dxa"/>
                  <w:noWrap w:val="0"/>
                  <w:vAlign w:val="center"/>
                </w:tcPr>
                <w:p>
                  <w:pPr>
                    <w:pStyle w:val="17"/>
                    <w:ind w:left="-53" w:leftChars="-25" w:right="-53" w:rightChars="-25"/>
                    <w:jc w:val="center"/>
                    <w:rPr>
                      <w:rFonts w:ascii="Times New Roman" w:hAnsi="Times New Roman"/>
                      <w:color w:val="auto"/>
                      <w:sz w:val="18"/>
                      <w:szCs w:val="21"/>
                      <w:u w:val="none"/>
                    </w:rPr>
                  </w:pPr>
                  <w:r>
                    <w:rPr>
                      <w:rFonts w:ascii="Times New Roman" w:hAnsi="Times New Roman"/>
                      <w:color w:val="auto"/>
                      <w:kern w:val="0"/>
                      <w:sz w:val="18"/>
                      <w:szCs w:val="21"/>
                      <w:u w:val="none"/>
                    </w:rPr>
                    <w:t>资源开发效率要求</w:t>
                  </w:r>
                </w:p>
              </w:tc>
              <w:tc>
                <w:tcPr>
                  <w:tcW w:w="4200" w:type="dxa"/>
                  <w:noWrap w:val="0"/>
                  <w:vAlign w:val="center"/>
                </w:tcPr>
                <w:p>
                  <w:pPr>
                    <w:pStyle w:val="17"/>
                    <w:ind w:left="-53" w:leftChars="-25" w:right="-53" w:rightChars="-25"/>
                    <w:jc w:val="left"/>
                    <w:rPr>
                      <w:rFonts w:ascii="Times New Roman" w:hAnsi="Times New Roman"/>
                      <w:color w:val="auto"/>
                      <w:sz w:val="18"/>
                      <w:szCs w:val="21"/>
                      <w:u w:val="none"/>
                    </w:rPr>
                  </w:pPr>
                  <w:r>
                    <w:rPr>
                      <w:rFonts w:hint="default" w:ascii="Times New Roman" w:hAnsi="Times New Roman"/>
                      <w:color w:val="auto"/>
                      <w:sz w:val="18"/>
                      <w:szCs w:val="21"/>
                      <w:u w:val="none"/>
                      <w:lang w:val="en-US" w:eastAsia="zh-CN"/>
                    </w:rPr>
                    <w:t>（4.1）能源：鼓励企业使用清洁能源，营造全社会节能减排和保护环境的良好氛围。激发用户侧可再生能源电力需求，鼓励用户绿色出行。（4.2）水资源：落实水资源消耗总量和强度双控行动，推动经济社会发展布局与水资源承载能力相适应。</w:t>
                  </w:r>
                </w:p>
              </w:tc>
              <w:tc>
                <w:tcPr>
                  <w:tcW w:w="1302" w:type="dxa"/>
                  <w:noWrap w:val="0"/>
                  <w:vAlign w:val="center"/>
                </w:tcPr>
                <w:p>
                  <w:pPr>
                    <w:pStyle w:val="17"/>
                    <w:ind w:left="-53" w:leftChars="-25" w:right="-53" w:rightChars="-25"/>
                    <w:jc w:val="center"/>
                    <w:rPr>
                      <w:rFonts w:ascii="Times New Roman" w:hAnsi="Times New Roman"/>
                      <w:color w:val="auto"/>
                      <w:sz w:val="18"/>
                      <w:szCs w:val="21"/>
                      <w:u w:val="none"/>
                    </w:rPr>
                  </w:pPr>
                  <w:r>
                    <w:rPr>
                      <w:rFonts w:ascii="Times New Roman" w:hAnsi="Times New Roman"/>
                      <w:color w:val="auto"/>
                      <w:sz w:val="18"/>
                      <w:szCs w:val="21"/>
                      <w:u w:val="none"/>
                    </w:rPr>
                    <w:t>符合（本项目生产不涉及淘汰类设备、产品；</w:t>
                  </w:r>
                  <w:r>
                    <w:rPr>
                      <w:rFonts w:hint="eastAsia" w:ascii="Times New Roman" w:hAnsi="Times New Roman"/>
                      <w:color w:val="auto"/>
                      <w:sz w:val="18"/>
                      <w:szCs w:val="21"/>
                      <w:u w:val="none"/>
                      <w:lang w:val="en-US" w:eastAsia="zh-CN"/>
                    </w:rPr>
                    <w:t>本项目为新建项目，依托原有生产线进行生产，不新增能源消耗</w:t>
                  </w:r>
                  <w:r>
                    <w:rPr>
                      <w:rFonts w:ascii="Times New Roman" w:hAnsi="Times New Roman"/>
                      <w:color w:val="auto"/>
                      <w:sz w:val="18"/>
                      <w:szCs w:val="21"/>
                      <w:u w:val="none"/>
                    </w:rPr>
                    <w:t>，生产废水循环回用不外排，资源利用率较高。）</w:t>
                  </w:r>
                </w:p>
              </w:tc>
            </w:tr>
          </w:tbl>
          <w:p>
            <w:pPr>
              <w:spacing w:line="360" w:lineRule="auto"/>
              <w:ind w:firstLine="482" w:firstLineChars="200"/>
              <w:rPr>
                <w:b/>
                <w:bCs/>
                <w:color w:val="auto"/>
                <w:sz w:val="24"/>
                <w:u w:val="none"/>
              </w:rPr>
            </w:pPr>
            <w:r>
              <w:rPr>
                <w:rFonts w:hint="eastAsia"/>
                <w:b/>
                <w:bCs/>
                <w:color w:val="auto"/>
                <w:sz w:val="24"/>
                <w:u w:val="none"/>
              </w:rPr>
              <w:t>4、《工业炉窑大气污染综合治理方案》（环大气〔2019〕56号）符合性分析</w:t>
            </w:r>
          </w:p>
          <w:p>
            <w:pPr>
              <w:spacing w:line="360" w:lineRule="auto"/>
              <w:ind w:firstLine="480" w:firstLineChars="200"/>
              <w:rPr>
                <w:rFonts w:hint="eastAsia"/>
                <w:color w:val="auto"/>
                <w:sz w:val="24"/>
                <w:u w:val="none"/>
              </w:rPr>
            </w:pPr>
            <w:r>
              <w:rPr>
                <w:rFonts w:hint="eastAsia"/>
                <w:color w:val="auto"/>
                <w:sz w:val="24"/>
                <w:u w:val="none"/>
              </w:rPr>
              <w:t>本项目与《工业炉窑大气污染综合治理方案》（环大气〔2019〕56号）的符合性分析如下表：</w:t>
            </w:r>
          </w:p>
          <w:p>
            <w:pPr>
              <w:jc w:val="center"/>
              <w:rPr>
                <w:b/>
                <w:bCs/>
                <w:color w:val="auto"/>
                <w:szCs w:val="21"/>
                <w:u w:val="none"/>
              </w:rPr>
            </w:pPr>
            <w:r>
              <w:rPr>
                <w:b/>
                <w:bCs/>
                <w:color w:val="auto"/>
                <w:szCs w:val="21"/>
                <w:u w:val="none"/>
              </w:rPr>
              <w:t>表1-</w:t>
            </w:r>
            <w:r>
              <w:rPr>
                <w:rFonts w:hint="eastAsia"/>
                <w:b/>
                <w:bCs/>
                <w:color w:val="auto"/>
                <w:szCs w:val="21"/>
                <w:u w:val="none"/>
              </w:rPr>
              <w:t>4与《工业炉窑大气污染综合治理方案》符合性分析</w:t>
            </w:r>
          </w:p>
          <w:tbl>
            <w:tblPr>
              <w:tblStyle w:val="30"/>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99"/>
              <w:gridCol w:w="3693"/>
              <w:gridCol w:w="2037"/>
              <w:gridCol w:w="68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0" w:hRule="atLeast"/>
              </w:trPr>
              <w:tc>
                <w:tcPr>
                  <w:tcW w:w="499" w:type="dxa"/>
                  <w:noWrap w:val="0"/>
                  <w:vAlign w:val="center"/>
                </w:tcPr>
                <w:p>
                  <w:pPr>
                    <w:pStyle w:val="17"/>
                    <w:ind w:left="-53" w:leftChars="-25" w:right="-53" w:rightChars="-25"/>
                    <w:jc w:val="center"/>
                    <w:rPr>
                      <w:rFonts w:hint="eastAsia" w:ascii="Times New Roman" w:hAnsi="Times New Roman"/>
                      <w:color w:val="auto"/>
                      <w:sz w:val="18"/>
                      <w:szCs w:val="21"/>
                      <w:u w:val="none"/>
                    </w:rPr>
                  </w:pPr>
                  <w:r>
                    <w:rPr>
                      <w:rFonts w:hint="eastAsia" w:ascii="Times New Roman" w:hAnsi="Times New Roman"/>
                      <w:color w:val="auto"/>
                      <w:sz w:val="18"/>
                      <w:szCs w:val="21"/>
                      <w:u w:val="none"/>
                    </w:rPr>
                    <w:t>序号</w:t>
                  </w:r>
                </w:p>
              </w:tc>
              <w:tc>
                <w:tcPr>
                  <w:tcW w:w="3693" w:type="dxa"/>
                  <w:noWrap w:val="0"/>
                  <w:vAlign w:val="center"/>
                </w:tcPr>
                <w:p>
                  <w:pPr>
                    <w:pStyle w:val="17"/>
                    <w:ind w:left="-53" w:leftChars="-25" w:right="-53" w:rightChars="-25"/>
                    <w:jc w:val="center"/>
                    <w:rPr>
                      <w:rFonts w:ascii="Times New Roman" w:hAnsi="Times New Roman"/>
                      <w:color w:val="auto"/>
                      <w:sz w:val="18"/>
                      <w:szCs w:val="21"/>
                      <w:u w:val="none"/>
                    </w:rPr>
                  </w:pPr>
                  <w:r>
                    <w:rPr>
                      <w:rFonts w:hint="eastAsia" w:ascii="Times New Roman" w:hAnsi="Times New Roman"/>
                      <w:color w:val="auto"/>
                      <w:sz w:val="18"/>
                      <w:szCs w:val="21"/>
                      <w:u w:val="none"/>
                    </w:rPr>
                    <w:t>方案要求</w:t>
                  </w:r>
                </w:p>
              </w:tc>
              <w:tc>
                <w:tcPr>
                  <w:tcW w:w="2037" w:type="dxa"/>
                  <w:noWrap w:val="0"/>
                  <w:vAlign w:val="center"/>
                </w:tcPr>
                <w:p>
                  <w:pPr>
                    <w:pStyle w:val="17"/>
                    <w:ind w:left="-53" w:leftChars="-25" w:right="-53" w:rightChars="-25"/>
                    <w:jc w:val="center"/>
                    <w:rPr>
                      <w:rFonts w:ascii="Times New Roman" w:hAnsi="Times New Roman"/>
                      <w:color w:val="auto"/>
                      <w:sz w:val="18"/>
                      <w:szCs w:val="21"/>
                      <w:u w:val="none"/>
                    </w:rPr>
                  </w:pPr>
                  <w:r>
                    <w:rPr>
                      <w:rFonts w:hint="eastAsia" w:ascii="Times New Roman" w:hAnsi="Times New Roman"/>
                      <w:color w:val="auto"/>
                      <w:sz w:val="18"/>
                      <w:szCs w:val="21"/>
                      <w:u w:val="none"/>
                    </w:rPr>
                    <w:t>本项目概况</w:t>
                  </w:r>
                </w:p>
              </w:tc>
              <w:tc>
                <w:tcPr>
                  <w:tcW w:w="687" w:type="dxa"/>
                  <w:noWrap w:val="0"/>
                  <w:vAlign w:val="center"/>
                </w:tcPr>
                <w:p>
                  <w:pPr>
                    <w:pStyle w:val="17"/>
                    <w:ind w:left="-53" w:leftChars="-25" w:right="-53" w:rightChars="-25"/>
                    <w:jc w:val="center"/>
                    <w:rPr>
                      <w:rFonts w:hint="eastAsia" w:ascii="Times New Roman" w:hAnsi="Times New Roman"/>
                      <w:color w:val="auto"/>
                      <w:sz w:val="18"/>
                      <w:szCs w:val="21"/>
                      <w:u w:val="none"/>
                    </w:rPr>
                  </w:pPr>
                  <w:r>
                    <w:rPr>
                      <w:rFonts w:hint="eastAsia" w:ascii="Times New Roman" w:hAnsi="Times New Roman"/>
                      <w:color w:val="auto"/>
                      <w:sz w:val="18"/>
                      <w:szCs w:val="21"/>
                      <w:u w:val="none"/>
                    </w:rPr>
                    <w:t>符合性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0" w:hRule="atLeast"/>
              </w:trPr>
              <w:tc>
                <w:tcPr>
                  <w:tcW w:w="499" w:type="dxa"/>
                  <w:noWrap w:val="0"/>
                  <w:vAlign w:val="center"/>
                </w:tcPr>
                <w:p>
                  <w:pPr>
                    <w:pStyle w:val="17"/>
                    <w:ind w:left="-53" w:leftChars="-25" w:right="-53" w:rightChars="-25"/>
                    <w:jc w:val="center"/>
                    <w:rPr>
                      <w:rFonts w:hint="eastAsia" w:ascii="Times New Roman" w:hAnsi="Times New Roman"/>
                      <w:color w:val="auto"/>
                      <w:sz w:val="18"/>
                      <w:szCs w:val="21"/>
                      <w:u w:val="none"/>
                    </w:rPr>
                  </w:pPr>
                  <w:r>
                    <w:rPr>
                      <w:rFonts w:hint="eastAsia" w:ascii="Times New Roman" w:hAnsi="Times New Roman"/>
                      <w:color w:val="auto"/>
                      <w:sz w:val="18"/>
                      <w:szCs w:val="21"/>
                      <w:u w:val="none"/>
                    </w:rPr>
                    <w:t>1</w:t>
                  </w:r>
                </w:p>
              </w:tc>
              <w:tc>
                <w:tcPr>
                  <w:tcW w:w="3693" w:type="dxa"/>
                  <w:noWrap w:val="0"/>
                  <w:vAlign w:val="center"/>
                </w:tcPr>
                <w:p>
                  <w:pPr>
                    <w:pStyle w:val="17"/>
                    <w:ind w:left="-53" w:leftChars="-25" w:right="-53" w:rightChars="-25"/>
                    <w:rPr>
                      <w:rFonts w:ascii="Times New Roman" w:hAnsi="Times New Roman"/>
                      <w:color w:val="auto"/>
                      <w:kern w:val="0"/>
                      <w:sz w:val="18"/>
                      <w:szCs w:val="21"/>
                      <w:u w:val="none"/>
                    </w:rPr>
                  </w:pPr>
                  <w:r>
                    <w:rPr>
                      <w:rFonts w:hint="eastAsia" w:ascii="Times New Roman" w:hAnsi="Times New Roman"/>
                      <w:color w:val="auto"/>
                      <w:kern w:val="0"/>
                      <w:sz w:val="18"/>
                      <w:szCs w:val="21"/>
                      <w:u w:val="none"/>
                    </w:rPr>
                    <w:t>加大产业结构调整力度。严格建设项目环境准入。新建涉工业炉窑的建设项目，原则上要入园区，配套建设高</w:t>
                  </w:r>
                  <w:r>
                    <w:rPr>
                      <w:rFonts w:hint="eastAsia" w:ascii="Times New Roman" w:hAnsi="Times New Roman"/>
                      <w:color w:val="auto"/>
                      <w:kern w:val="0"/>
                      <w:sz w:val="18"/>
                      <w:szCs w:val="21"/>
                      <w:u w:val="none"/>
                      <w:lang w:val="en-US" w:eastAsia="zh-CN"/>
                    </w:rPr>
                    <w:t>效</w:t>
                  </w:r>
                  <w:r>
                    <w:rPr>
                      <w:rFonts w:hint="eastAsia" w:ascii="Times New Roman" w:hAnsi="Times New Roman"/>
                      <w:color w:val="auto"/>
                      <w:kern w:val="0"/>
                      <w:sz w:val="18"/>
                      <w:szCs w:val="21"/>
                      <w:u w:val="none"/>
                    </w:rPr>
                    <w:t>环保治理设施。重点区域严格控制涉工业炉窑建设项目，严禁新增钢铁、焦化、电解铝、铸造、水泥和平板玻璃等产能；严格执行钢铁、水泥、平板玻璃等行业产能置换实施办法；原则上禁止新建燃料类煤气发生炉（园区现有企业统一建设的清洁煤制气中心除外）</w:t>
                  </w:r>
                </w:p>
              </w:tc>
              <w:tc>
                <w:tcPr>
                  <w:tcW w:w="2037" w:type="dxa"/>
                  <w:noWrap w:val="0"/>
                  <w:vAlign w:val="center"/>
                </w:tcPr>
                <w:p>
                  <w:pPr>
                    <w:pStyle w:val="17"/>
                    <w:ind w:left="-53" w:leftChars="-25" w:right="-53" w:rightChars="-25"/>
                    <w:rPr>
                      <w:rFonts w:ascii="Times New Roman" w:hAnsi="Times New Roman"/>
                      <w:color w:val="auto"/>
                      <w:sz w:val="18"/>
                      <w:szCs w:val="21"/>
                      <w:u w:val="none"/>
                    </w:rPr>
                  </w:pPr>
                  <w:r>
                    <w:rPr>
                      <w:rFonts w:hint="eastAsia" w:ascii="Times New Roman" w:hAnsi="Times New Roman"/>
                      <w:color w:val="auto"/>
                      <w:sz w:val="18"/>
                      <w:szCs w:val="21"/>
                      <w:u w:val="none"/>
                    </w:rPr>
                    <w:t>本项目为</w:t>
                  </w:r>
                  <w:r>
                    <w:rPr>
                      <w:rFonts w:hint="eastAsia" w:ascii="Times New Roman" w:hAnsi="Times New Roman"/>
                      <w:color w:val="auto"/>
                      <w:sz w:val="18"/>
                      <w:szCs w:val="21"/>
                      <w:u w:val="none"/>
                      <w:lang w:val="en-US" w:eastAsia="zh-CN"/>
                    </w:rPr>
                    <w:t>新建</w:t>
                  </w:r>
                  <w:r>
                    <w:rPr>
                      <w:rFonts w:hint="eastAsia" w:ascii="Times New Roman" w:hAnsi="Times New Roman"/>
                      <w:color w:val="auto"/>
                      <w:sz w:val="18"/>
                      <w:szCs w:val="21"/>
                      <w:u w:val="none"/>
                    </w:rPr>
                    <w:t>项目，项目实施</w:t>
                  </w:r>
                  <w:r>
                    <w:rPr>
                      <w:rFonts w:hint="eastAsia" w:ascii="Times New Roman" w:hAnsi="Times New Roman"/>
                      <w:color w:val="auto"/>
                      <w:sz w:val="18"/>
                      <w:szCs w:val="21"/>
                      <w:u w:val="none"/>
                      <w:lang w:val="en-US" w:eastAsia="zh-CN"/>
                    </w:rPr>
                    <w:t>依托原有生产线</w:t>
                  </w:r>
                  <w:r>
                    <w:rPr>
                      <w:rFonts w:hint="eastAsia" w:ascii="Times New Roman" w:hAnsi="Times New Roman"/>
                      <w:color w:val="auto"/>
                      <w:sz w:val="18"/>
                      <w:szCs w:val="21"/>
                      <w:u w:val="none"/>
                    </w:rPr>
                    <w:t>，本项目产能规模为</w:t>
                  </w:r>
                  <w:r>
                    <w:rPr>
                      <w:rFonts w:hint="eastAsia" w:ascii="Times New Roman" w:hAnsi="Times New Roman"/>
                      <w:color w:val="auto"/>
                      <w:sz w:val="18"/>
                      <w:szCs w:val="21"/>
                      <w:u w:val="none"/>
                      <w:lang w:val="en-US" w:eastAsia="zh-CN"/>
                    </w:rPr>
                    <w:t>30</w:t>
                  </w:r>
                  <w:r>
                    <w:rPr>
                      <w:rFonts w:hint="eastAsia" w:ascii="Times New Roman" w:hAnsi="Times New Roman"/>
                      <w:color w:val="auto"/>
                      <w:sz w:val="18"/>
                      <w:szCs w:val="21"/>
                      <w:u w:val="none"/>
                    </w:rPr>
                    <w:t>00万块标砖/年，使用原料</w:t>
                  </w:r>
                  <w:r>
                    <w:rPr>
                      <w:rFonts w:hint="eastAsia" w:ascii="Times New Roman" w:hAnsi="Times New Roman"/>
                      <w:color w:val="auto"/>
                      <w:sz w:val="18"/>
                      <w:szCs w:val="21"/>
                      <w:u w:val="none"/>
                      <w:lang w:val="en-US" w:eastAsia="zh-CN"/>
                    </w:rPr>
                    <w:t>煤矸石</w:t>
                  </w:r>
                  <w:r>
                    <w:rPr>
                      <w:rFonts w:hint="eastAsia" w:ascii="Times New Roman" w:hAnsi="Times New Roman"/>
                      <w:color w:val="auto"/>
                      <w:sz w:val="18"/>
                      <w:szCs w:val="21"/>
                      <w:u w:val="none"/>
                    </w:rPr>
                    <w:t>加热，不建设煤气发生炉</w:t>
                  </w:r>
                </w:p>
              </w:tc>
              <w:tc>
                <w:tcPr>
                  <w:tcW w:w="687" w:type="dxa"/>
                  <w:noWrap w:val="0"/>
                  <w:vAlign w:val="center"/>
                </w:tcPr>
                <w:p>
                  <w:pPr>
                    <w:pStyle w:val="17"/>
                    <w:ind w:left="-53" w:leftChars="-25" w:right="-53" w:rightChars="-25"/>
                    <w:jc w:val="center"/>
                    <w:rPr>
                      <w:rFonts w:hint="eastAsia" w:ascii="Times New Roman" w:hAnsi="Times New Roman"/>
                      <w:color w:val="auto"/>
                      <w:sz w:val="18"/>
                      <w:szCs w:val="21"/>
                      <w:u w:val="none"/>
                    </w:rPr>
                  </w:pPr>
                  <w:r>
                    <w:rPr>
                      <w:rFonts w:hint="eastAsia" w:ascii="Times New Roman" w:hAnsi="Times New Roman"/>
                      <w:color w:val="auto"/>
                      <w:sz w:val="18"/>
                      <w:szCs w:val="21"/>
                      <w:u w:val="none"/>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0" w:hRule="atLeast"/>
              </w:trPr>
              <w:tc>
                <w:tcPr>
                  <w:tcW w:w="499" w:type="dxa"/>
                  <w:noWrap w:val="0"/>
                  <w:vAlign w:val="center"/>
                </w:tcPr>
                <w:p>
                  <w:pPr>
                    <w:pStyle w:val="17"/>
                    <w:ind w:left="-53" w:leftChars="-25" w:right="-53" w:rightChars="-25"/>
                    <w:jc w:val="center"/>
                    <w:rPr>
                      <w:rFonts w:hint="eastAsia" w:ascii="Times New Roman" w:hAnsi="Times New Roman"/>
                      <w:color w:val="auto"/>
                      <w:sz w:val="18"/>
                      <w:szCs w:val="21"/>
                      <w:u w:val="none"/>
                    </w:rPr>
                  </w:pPr>
                  <w:r>
                    <w:rPr>
                      <w:rFonts w:hint="eastAsia" w:ascii="Times New Roman" w:hAnsi="Times New Roman"/>
                      <w:color w:val="auto"/>
                      <w:sz w:val="18"/>
                      <w:szCs w:val="21"/>
                      <w:u w:val="none"/>
                    </w:rPr>
                    <w:t>2</w:t>
                  </w:r>
                </w:p>
              </w:tc>
              <w:tc>
                <w:tcPr>
                  <w:tcW w:w="3693" w:type="dxa"/>
                  <w:noWrap w:val="0"/>
                  <w:vAlign w:val="center"/>
                </w:tcPr>
                <w:p>
                  <w:pPr>
                    <w:pStyle w:val="17"/>
                    <w:ind w:left="-53" w:leftChars="-25" w:right="-53" w:rightChars="-25"/>
                    <w:rPr>
                      <w:rFonts w:ascii="Times New Roman" w:hAnsi="Times New Roman"/>
                      <w:color w:val="auto"/>
                      <w:sz w:val="18"/>
                      <w:szCs w:val="21"/>
                      <w:u w:val="none"/>
                    </w:rPr>
                  </w:pPr>
                  <w:r>
                    <w:rPr>
                      <w:rFonts w:hint="eastAsia" w:ascii="Times New Roman" w:hAnsi="Times New Roman"/>
                      <w:color w:val="auto"/>
                      <w:sz w:val="18"/>
                      <w:szCs w:val="21"/>
                      <w:u w:val="none"/>
                    </w:rPr>
                    <w:t>加快燃料清洁低碳化替代。对以煤、石油焦、渣油、重油等为燃料的工业炉窑，加快使用清洁低碳能源以及利用工厂余热、电厂热力等进行替代。重点区域禁止</w:t>
                  </w:r>
                  <w:r>
                    <w:rPr>
                      <w:rFonts w:hint="eastAsia" w:ascii="Times New Roman" w:hAnsi="Times New Roman"/>
                      <w:color w:val="auto"/>
                      <w:sz w:val="18"/>
                      <w:szCs w:val="21"/>
                      <w:u w:val="none"/>
                      <w:lang w:eastAsia="zh-CN"/>
                    </w:rPr>
                    <w:t>掺配</w:t>
                  </w:r>
                  <w:r>
                    <w:rPr>
                      <w:rFonts w:hint="eastAsia" w:ascii="Times New Roman" w:hAnsi="Times New Roman"/>
                      <w:color w:val="auto"/>
                      <w:sz w:val="18"/>
                      <w:szCs w:val="21"/>
                      <w:u w:val="none"/>
                    </w:rPr>
                    <w:t>高硫石油焦（硫含量大于3%）</w:t>
                  </w:r>
                </w:p>
              </w:tc>
              <w:tc>
                <w:tcPr>
                  <w:tcW w:w="2037" w:type="dxa"/>
                  <w:noWrap w:val="0"/>
                  <w:vAlign w:val="center"/>
                </w:tcPr>
                <w:p>
                  <w:pPr>
                    <w:pStyle w:val="17"/>
                    <w:ind w:left="-53" w:leftChars="-25" w:right="-53" w:rightChars="-25"/>
                    <w:rPr>
                      <w:rFonts w:ascii="Times New Roman" w:hAnsi="Times New Roman"/>
                      <w:color w:val="auto"/>
                      <w:sz w:val="18"/>
                      <w:szCs w:val="21"/>
                      <w:u w:val="none"/>
                    </w:rPr>
                  </w:pPr>
                  <w:r>
                    <w:rPr>
                      <w:rFonts w:hint="eastAsia" w:ascii="Times New Roman" w:hAnsi="Times New Roman"/>
                      <w:color w:val="auto"/>
                      <w:sz w:val="18"/>
                      <w:szCs w:val="21"/>
                      <w:u w:val="none"/>
                    </w:rPr>
                    <w:t>使用</w:t>
                  </w:r>
                  <w:r>
                    <w:rPr>
                      <w:rFonts w:hint="eastAsia" w:ascii="Times New Roman" w:hAnsi="Times New Roman"/>
                      <w:color w:val="auto"/>
                      <w:sz w:val="18"/>
                      <w:szCs w:val="21"/>
                      <w:u w:val="none"/>
                      <w:lang w:val="en-US" w:eastAsia="zh-CN"/>
                    </w:rPr>
                    <w:t>煤矸石</w:t>
                  </w:r>
                  <w:r>
                    <w:rPr>
                      <w:rFonts w:hint="eastAsia" w:ascii="Times New Roman" w:hAnsi="Times New Roman"/>
                      <w:color w:val="auto"/>
                      <w:sz w:val="18"/>
                      <w:szCs w:val="21"/>
                      <w:u w:val="none"/>
                    </w:rPr>
                    <w:t>对隧道窑加热，产生的废气引至烘干区对砖坯进行干燥，回收热气后进入烟道，经脱硫除尘塔处理达标后</w:t>
                  </w:r>
                  <w:r>
                    <w:rPr>
                      <w:rFonts w:hint="eastAsia" w:ascii="Times New Roman" w:hAnsi="Times New Roman"/>
                      <w:color w:val="auto"/>
                      <w:sz w:val="18"/>
                      <w:szCs w:val="21"/>
                      <w:u w:val="none"/>
                      <w:lang w:val="en-US" w:eastAsia="zh-CN"/>
                    </w:rPr>
                    <w:t>经25m高排气筒</w:t>
                  </w:r>
                  <w:r>
                    <w:rPr>
                      <w:rFonts w:hint="eastAsia" w:ascii="Times New Roman" w:hAnsi="Times New Roman"/>
                      <w:color w:val="auto"/>
                      <w:sz w:val="18"/>
                      <w:szCs w:val="21"/>
                      <w:u w:val="none"/>
                    </w:rPr>
                    <w:t>排放</w:t>
                  </w:r>
                </w:p>
              </w:tc>
              <w:tc>
                <w:tcPr>
                  <w:tcW w:w="687" w:type="dxa"/>
                  <w:noWrap w:val="0"/>
                  <w:vAlign w:val="center"/>
                </w:tcPr>
                <w:p>
                  <w:pPr>
                    <w:pStyle w:val="17"/>
                    <w:ind w:left="-53" w:leftChars="-25" w:right="-53" w:rightChars="-25"/>
                    <w:jc w:val="center"/>
                    <w:rPr>
                      <w:rFonts w:ascii="Times New Roman" w:hAnsi="Times New Roman"/>
                      <w:color w:val="auto"/>
                      <w:sz w:val="18"/>
                      <w:szCs w:val="21"/>
                      <w:u w:val="none"/>
                    </w:rPr>
                  </w:pPr>
                  <w:r>
                    <w:rPr>
                      <w:rFonts w:hint="eastAsia" w:ascii="Times New Roman" w:hAnsi="Times New Roman"/>
                      <w:color w:val="auto"/>
                      <w:sz w:val="18"/>
                      <w:szCs w:val="21"/>
                      <w:u w:val="none"/>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0" w:hRule="atLeast"/>
              </w:trPr>
              <w:tc>
                <w:tcPr>
                  <w:tcW w:w="499" w:type="dxa"/>
                  <w:noWrap w:val="0"/>
                  <w:vAlign w:val="center"/>
                </w:tcPr>
                <w:p>
                  <w:pPr>
                    <w:pStyle w:val="17"/>
                    <w:ind w:left="-53" w:leftChars="-25" w:right="-53" w:rightChars="-25"/>
                    <w:jc w:val="center"/>
                    <w:rPr>
                      <w:rFonts w:hint="eastAsia" w:ascii="Times New Roman" w:hAnsi="Times New Roman"/>
                      <w:color w:val="auto"/>
                      <w:kern w:val="0"/>
                      <w:sz w:val="18"/>
                      <w:szCs w:val="21"/>
                      <w:u w:val="none"/>
                    </w:rPr>
                  </w:pPr>
                  <w:r>
                    <w:rPr>
                      <w:rFonts w:hint="eastAsia" w:ascii="Times New Roman" w:hAnsi="Times New Roman"/>
                      <w:color w:val="auto"/>
                      <w:kern w:val="0"/>
                      <w:sz w:val="18"/>
                      <w:szCs w:val="21"/>
                      <w:u w:val="none"/>
                    </w:rPr>
                    <w:t>3</w:t>
                  </w:r>
                </w:p>
              </w:tc>
              <w:tc>
                <w:tcPr>
                  <w:tcW w:w="3693" w:type="dxa"/>
                  <w:noWrap w:val="0"/>
                  <w:vAlign w:val="center"/>
                </w:tcPr>
                <w:p>
                  <w:pPr>
                    <w:pStyle w:val="59"/>
                    <w:spacing w:line="240" w:lineRule="auto"/>
                    <w:ind w:firstLine="0"/>
                    <w:rPr>
                      <w:rFonts w:ascii="Times New Roman" w:hAnsi="Times New Roman"/>
                      <w:color w:val="auto"/>
                      <w:sz w:val="18"/>
                      <w:szCs w:val="21"/>
                      <w:u w:val="none"/>
                    </w:rPr>
                  </w:pPr>
                  <w:r>
                    <w:rPr>
                      <w:rFonts w:hint="eastAsia" w:ascii="Times New Roman" w:hAnsi="Times New Roman" w:cs="Times New Roman"/>
                      <w:color w:val="auto"/>
                      <w:kern w:val="0"/>
                      <w:sz w:val="18"/>
                      <w:szCs w:val="21"/>
                      <w:u w:val="none"/>
                      <w:lang w:val="en-US" w:eastAsia="zh-CN" w:bidi="ar-SA"/>
                    </w:rPr>
                    <w:t>有组织排放控制要求：已有行业排放标准的工业炉窑，严格按行业排放标准执行，已发放排污许可证的，应严格执行排污许可要求。暂未制订行业排放标准的工业炉窑，待地方标准出台后执行。</w:t>
                  </w:r>
                </w:p>
              </w:tc>
              <w:tc>
                <w:tcPr>
                  <w:tcW w:w="2037" w:type="dxa"/>
                  <w:noWrap w:val="0"/>
                  <w:vAlign w:val="center"/>
                </w:tcPr>
                <w:p>
                  <w:pPr>
                    <w:pStyle w:val="28"/>
                    <w:spacing w:after="0" w:line="240" w:lineRule="auto"/>
                    <w:ind w:firstLine="0" w:firstLineChars="0"/>
                    <w:rPr>
                      <w:color w:val="auto"/>
                      <w:sz w:val="18"/>
                      <w:szCs w:val="21"/>
                      <w:u w:val="none"/>
                    </w:rPr>
                  </w:pPr>
                  <w:r>
                    <w:rPr>
                      <w:rFonts w:hint="eastAsia"/>
                      <w:color w:val="auto"/>
                      <w:sz w:val="18"/>
                      <w:szCs w:val="21"/>
                      <w:u w:val="none"/>
                    </w:rPr>
                    <w:t>工艺粉尘、隧道窑烟气</w:t>
                  </w:r>
                  <w:r>
                    <w:rPr>
                      <w:color w:val="auto"/>
                      <w:sz w:val="18"/>
                      <w:szCs w:val="21"/>
                      <w:u w:val="none"/>
                    </w:rPr>
                    <w:t>执行</w:t>
                  </w:r>
                  <w:r>
                    <w:rPr>
                      <w:rFonts w:hint="eastAsia"/>
                      <w:color w:val="auto"/>
                      <w:sz w:val="18"/>
                      <w:szCs w:val="21"/>
                      <w:u w:val="none"/>
                    </w:rPr>
                    <w:t>（GB29620-2013）</w:t>
                  </w:r>
                  <w:r>
                    <w:rPr>
                      <w:color w:val="auto"/>
                      <w:sz w:val="18"/>
                      <w:szCs w:val="21"/>
                      <w:u w:val="none"/>
                    </w:rPr>
                    <w:t>《</w:t>
                  </w:r>
                  <w:r>
                    <w:rPr>
                      <w:rFonts w:hint="eastAsia"/>
                      <w:color w:val="auto"/>
                      <w:sz w:val="18"/>
                      <w:szCs w:val="21"/>
                      <w:u w:val="none"/>
                    </w:rPr>
                    <w:t>砖瓦工业大气污染物排放标准</w:t>
                  </w:r>
                  <w:r>
                    <w:rPr>
                      <w:color w:val="auto"/>
                      <w:sz w:val="18"/>
                      <w:szCs w:val="21"/>
                      <w:u w:val="none"/>
                    </w:rPr>
                    <w:t>》中表2</w:t>
                  </w:r>
                  <w:r>
                    <w:rPr>
                      <w:rFonts w:hint="eastAsia"/>
                      <w:color w:val="auto"/>
                      <w:sz w:val="18"/>
                      <w:szCs w:val="21"/>
                      <w:u w:val="none"/>
                    </w:rPr>
                    <w:t>中新建企业大气污染物排放限值及修改单要求</w:t>
                  </w:r>
                </w:p>
              </w:tc>
              <w:tc>
                <w:tcPr>
                  <w:tcW w:w="687" w:type="dxa"/>
                  <w:noWrap w:val="0"/>
                  <w:vAlign w:val="center"/>
                </w:tcPr>
                <w:p>
                  <w:pPr>
                    <w:pStyle w:val="17"/>
                    <w:ind w:left="-53" w:leftChars="-25" w:right="-53" w:rightChars="-25"/>
                    <w:jc w:val="center"/>
                    <w:rPr>
                      <w:rFonts w:ascii="Times New Roman" w:hAnsi="Times New Roman"/>
                      <w:color w:val="auto"/>
                      <w:sz w:val="18"/>
                      <w:szCs w:val="21"/>
                      <w:u w:val="none"/>
                    </w:rPr>
                  </w:pPr>
                  <w:r>
                    <w:rPr>
                      <w:rFonts w:hint="eastAsia" w:ascii="Times New Roman" w:hAnsi="Times New Roman"/>
                      <w:color w:val="auto"/>
                      <w:sz w:val="18"/>
                      <w:szCs w:val="21"/>
                      <w:u w:val="none"/>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0" w:hRule="atLeast"/>
              </w:trPr>
              <w:tc>
                <w:tcPr>
                  <w:tcW w:w="499" w:type="dxa"/>
                  <w:noWrap w:val="0"/>
                  <w:vAlign w:val="center"/>
                </w:tcPr>
                <w:p>
                  <w:pPr>
                    <w:pStyle w:val="17"/>
                    <w:ind w:left="-53" w:leftChars="-25" w:right="-53" w:rightChars="-25"/>
                    <w:jc w:val="center"/>
                    <w:rPr>
                      <w:rFonts w:hint="eastAsia" w:ascii="Times New Roman" w:hAnsi="Times New Roman"/>
                      <w:color w:val="auto"/>
                      <w:kern w:val="0"/>
                      <w:sz w:val="18"/>
                      <w:szCs w:val="21"/>
                      <w:u w:val="none"/>
                    </w:rPr>
                  </w:pPr>
                  <w:r>
                    <w:rPr>
                      <w:rFonts w:hint="eastAsia" w:ascii="Times New Roman" w:hAnsi="Times New Roman"/>
                      <w:color w:val="auto"/>
                      <w:kern w:val="0"/>
                      <w:sz w:val="18"/>
                      <w:szCs w:val="21"/>
                      <w:u w:val="none"/>
                    </w:rPr>
                    <w:t>4</w:t>
                  </w:r>
                </w:p>
              </w:tc>
              <w:tc>
                <w:tcPr>
                  <w:tcW w:w="3693" w:type="dxa"/>
                  <w:noWrap w:val="0"/>
                  <w:vAlign w:val="center"/>
                </w:tcPr>
                <w:p>
                  <w:pPr>
                    <w:pStyle w:val="28"/>
                    <w:spacing w:after="0" w:line="240" w:lineRule="auto"/>
                    <w:ind w:firstLine="0" w:firstLineChars="0"/>
                    <w:rPr>
                      <w:color w:val="auto"/>
                      <w:sz w:val="18"/>
                      <w:szCs w:val="21"/>
                      <w:u w:val="none"/>
                    </w:rPr>
                  </w:pPr>
                  <w:r>
                    <w:rPr>
                      <w:rFonts w:hint="eastAsia"/>
                      <w:color w:val="auto"/>
                      <w:sz w:val="18"/>
                      <w:szCs w:val="21"/>
                      <w:u w:val="none"/>
                      <w:lang w:val="zh-CN"/>
                    </w:rPr>
                    <w:t>无</w:t>
                  </w:r>
                  <w:r>
                    <w:rPr>
                      <w:rFonts w:hint="eastAsia"/>
                      <w:color w:val="auto"/>
                      <w:sz w:val="18"/>
                      <w:szCs w:val="21"/>
                      <w:u w:val="none"/>
                    </w:rPr>
                    <w:t>组织排放控制要求：严格控制工业炉窑生产过程及相关物料储存、输送等无组织排放，在保障生产安全的前提下，采取密闭、封闭等有效措施，有效提高废气收集率，产尘点及车间不得有可见烟粉尘外逸。生产工艺产尘点（装置）应采取密闭、封闭或设置集气罩等措施。煤粉、粉煤灰、石灰、除尘灰、脱硫灰等粉状物料应密闭或封闭储存，采用密闭皮带、封闭通廊、管状带式输送机或密闭车厢、真空罐车、气力输送等方式输送。粒状、块状物料应采用入棚入仓或建设防风抑尘网等方式进行储存，粒状物料采用密闭、封闭等方式输送。物料输送过程中产尘点应采取有效抑尘措施。</w:t>
                  </w:r>
                </w:p>
              </w:tc>
              <w:tc>
                <w:tcPr>
                  <w:tcW w:w="2037" w:type="dxa"/>
                  <w:noWrap w:val="0"/>
                  <w:vAlign w:val="center"/>
                </w:tcPr>
                <w:p>
                  <w:pPr>
                    <w:pStyle w:val="28"/>
                    <w:spacing w:after="0" w:line="240" w:lineRule="auto"/>
                    <w:ind w:firstLine="0" w:firstLineChars="0"/>
                    <w:rPr>
                      <w:color w:val="auto"/>
                      <w:sz w:val="18"/>
                      <w:szCs w:val="21"/>
                      <w:u w:val="none"/>
                    </w:rPr>
                  </w:pPr>
                  <w:r>
                    <w:rPr>
                      <w:rFonts w:hint="eastAsia"/>
                      <w:color w:val="auto"/>
                      <w:sz w:val="18"/>
                      <w:szCs w:val="21"/>
                      <w:u w:val="none"/>
                    </w:rPr>
                    <w:t>项目对生产工艺过程及相关物料储存、输送等无组织排放，在保障生产安全的前提下，采取密闭、封闭等有效措施，减少无组织排放；破碎筛分粉尘收集经布袋除尘后</w:t>
                  </w:r>
                  <w:r>
                    <w:rPr>
                      <w:rFonts w:hint="eastAsia"/>
                      <w:color w:val="auto"/>
                      <w:sz w:val="18"/>
                      <w:szCs w:val="21"/>
                      <w:u w:val="none"/>
                      <w:lang w:val="en-US" w:eastAsia="zh-CN"/>
                    </w:rPr>
                    <w:t>经15m高排气筒</w:t>
                  </w:r>
                  <w:r>
                    <w:rPr>
                      <w:rFonts w:hint="eastAsia"/>
                      <w:color w:val="auto"/>
                      <w:sz w:val="18"/>
                      <w:szCs w:val="21"/>
                      <w:u w:val="none"/>
                    </w:rPr>
                    <w:t>高空排放；车间安装喷雾装置</w:t>
                  </w:r>
                </w:p>
              </w:tc>
              <w:tc>
                <w:tcPr>
                  <w:tcW w:w="687" w:type="dxa"/>
                  <w:noWrap w:val="0"/>
                  <w:vAlign w:val="center"/>
                </w:tcPr>
                <w:p>
                  <w:pPr>
                    <w:pStyle w:val="17"/>
                    <w:ind w:left="-53" w:leftChars="-25" w:right="-53" w:rightChars="-25"/>
                    <w:jc w:val="center"/>
                    <w:rPr>
                      <w:rFonts w:ascii="Times New Roman" w:hAnsi="Times New Roman"/>
                      <w:color w:val="auto"/>
                      <w:sz w:val="18"/>
                      <w:szCs w:val="21"/>
                      <w:u w:val="none"/>
                    </w:rPr>
                  </w:pPr>
                  <w:r>
                    <w:rPr>
                      <w:rFonts w:hint="eastAsia" w:ascii="Times New Roman" w:hAnsi="Times New Roman"/>
                      <w:color w:val="auto"/>
                      <w:sz w:val="18"/>
                      <w:szCs w:val="21"/>
                      <w:u w:val="none"/>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0" w:hRule="atLeast"/>
              </w:trPr>
              <w:tc>
                <w:tcPr>
                  <w:tcW w:w="499" w:type="dxa"/>
                  <w:noWrap w:val="0"/>
                  <w:vAlign w:val="center"/>
                </w:tcPr>
                <w:p>
                  <w:pPr>
                    <w:pStyle w:val="17"/>
                    <w:ind w:left="-53" w:leftChars="-25" w:right="-53" w:rightChars="-25"/>
                    <w:jc w:val="center"/>
                    <w:rPr>
                      <w:rFonts w:hint="eastAsia" w:ascii="Times New Roman" w:hAnsi="Times New Roman"/>
                      <w:color w:val="auto"/>
                      <w:kern w:val="0"/>
                      <w:sz w:val="18"/>
                      <w:szCs w:val="21"/>
                      <w:u w:val="none"/>
                    </w:rPr>
                  </w:pPr>
                  <w:r>
                    <w:rPr>
                      <w:rFonts w:hint="eastAsia" w:ascii="Times New Roman" w:hAnsi="Times New Roman"/>
                      <w:color w:val="auto"/>
                      <w:kern w:val="0"/>
                      <w:sz w:val="18"/>
                      <w:szCs w:val="21"/>
                      <w:u w:val="none"/>
                    </w:rPr>
                    <w:t>5</w:t>
                  </w:r>
                </w:p>
              </w:tc>
              <w:tc>
                <w:tcPr>
                  <w:tcW w:w="3693" w:type="dxa"/>
                  <w:noWrap w:val="0"/>
                  <w:vAlign w:val="center"/>
                </w:tcPr>
                <w:p>
                  <w:pPr>
                    <w:pStyle w:val="59"/>
                    <w:tabs>
                      <w:tab w:val="left" w:pos="1048"/>
                    </w:tabs>
                    <w:spacing w:line="240" w:lineRule="auto"/>
                    <w:ind w:firstLine="0"/>
                    <w:rPr>
                      <w:rFonts w:ascii="Times New Roman" w:hAnsi="Times New Roman"/>
                      <w:color w:val="auto"/>
                      <w:sz w:val="18"/>
                      <w:szCs w:val="21"/>
                      <w:u w:val="none"/>
                    </w:rPr>
                  </w:pPr>
                  <w:r>
                    <w:rPr>
                      <w:rFonts w:hint="eastAsia" w:ascii="Times New Roman" w:hAnsi="Times New Roman" w:cs="Times New Roman"/>
                      <w:color w:val="auto"/>
                      <w:kern w:val="0"/>
                      <w:sz w:val="18"/>
                      <w:szCs w:val="21"/>
                      <w:u w:val="none"/>
                      <w:lang w:val="en-US" w:eastAsia="zh-CN" w:bidi="ar-SA"/>
                    </w:rPr>
                    <w:t>砖瓦行业：以煤、煤矸石、柴油等为燃料的烧结砖瓦窑要配备高效除尘、高效脱硫设施；以生物质、天然气等为燃料的烧结砖瓦窑配备除尘设施。在2020年10月底前安装在线监测设备，颗粒物、二氧化硫、氮氧化物有组织排放要达到30、300、200毫克/立方米的标准，颗粒物、二氧化硫无组织排放要达到1.0、0.5毫克/立方米的标准。</w:t>
                  </w:r>
                </w:p>
              </w:tc>
              <w:tc>
                <w:tcPr>
                  <w:tcW w:w="2037" w:type="dxa"/>
                  <w:noWrap w:val="0"/>
                  <w:vAlign w:val="center"/>
                </w:tcPr>
                <w:p>
                  <w:pPr>
                    <w:pStyle w:val="28"/>
                    <w:spacing w:after="0" w:line="240" w:lineRule="auto"/>
                    <w:ind w:firstLine="0" w:firstLineChars="0"/>
                    <w:rPr>
                      <w:color w:val="auto"/>
                      <w:sz w:val="18"/>
                      <w:szCs w:val="21"/>
                      <w:u w:val="none"/>
                    </w:rPr>
                  </w:pPr>
                  <w:r>
                    <w:rPr>
                      <w:rFonts w:hint="eastAsia"/>
                      <w:color w:val="auto"/>
                      <w:sz w:val="18"/>
                      <w:szCs w:val="21"/>
                      <w:u w:val="none"/>
                    </w:rPr>
                    <w:t>烧结砖窑配备</w:t>
                  </w:r>
                  <w:r>
                    <w:rPr>
                      <w:rFonts w:hint="eastAsia"/>
                      <w:color w:val="auto"/>
                      <w:sz w:val="18"/>
                      <w:szCs w:val="21"/>
                      <w:u w:val="none"/>
                      <w:lang w:eastAsia="zh-CN"/>
                    </w:rPr>
                    <w:t>湿式氢氧化钠法</w:t>
                  </w:r>
                  <w:r>
                    <w:rPr>
                      <w:rFonts w:hint="eastAsia"/>
                      <w:color w:val="auto"/>
                      <w:sz w:val="18"/>
                      <w:szCs w:val="21"/>
                      <w:u w:val="none"/>
                    </w:rPr>
                    <w:t>脱硫除尘系统，确保污染物达标排放；项目安装</w:t>
                  </w:r>
                  <w:r>
                    <w:rPr>
                      <w:rFonts w:hint="eastAsia"/>
                      <w:color w:val="auto"/>
                      <w:sz w:val="18"/>
                      <w:szCs w:val="21"/>
                      <w:u w:val="none"/>
                      <w:lang w:val="en-US" w:eastAsia="zh-CN"/>
                    </w:rPr>
                    <w:t>有</w:t>
                  </w:r>
                  <w:r>
                    <w:rPr>
                      <w:rFonts w:hint="eastAsia"/>
                      <w:color w:val="auto"/>
                      <w:sz w:val="18"/>
                      <w:szCs w:val="21"/>
                      <w:u w:val="none"/>
                    </w:rPr>
                    <w:t>在线监测设备，颗粒物、SO</w:t>
                  </w:r>
                  <w:r>
                    <w:rPr>
                      <w:rFonts w:hint="eastAsia"/>
                      <w:color w:val="auto"/>
                      <w:sz w:val="18"/>
                      <w:szCs w:val="21"/>
                      <w:u w:val="none"/>
                      <w:vertAlign w:val="subscript"/>
                    </w:rPr>
                    <w:t>2</w:t>
                  </w:r>
                  <w:r>
                    <w:rPr>
                      <w:rFonts w:hint="eastAsia"/>
                      <w:color w:val="auto"/>
                      <w:sz w:val="18"/>
                      <w:szCs w:val="21"/>
                      <w:u w:val="none"/>
                    </w:rPr>
                    <w:t>、NOx有组织排放达到30、150、200mg/</w:t>
                  </w:r>
                  <w:r>
                    <w:rPr>
                      <w:rFonts w:hint="eastAsia"/>
                      <w:color w:val="auto"/>
                      <w:sz w:val="18"/>
                      <w:szCs w:val="21"/>
                      <w:u w:val="none"/>
                      <w:lang w:eastAsia="zh-CN"/>
                    </w:rPr>
                    <w:t>m³</w:t>
                  </w:r>
                  <w:r>
                    <w:rPr>
                      <w:rFonts w:hint="eastAsia"/>
                      <w:color w:val="auto"/>
                      <w:sz w:val="18"/>
                      <w:szCs w:val="21"/>
                      <w:u w:val="none"/>
                    </w:rPr>
                    <w:t>的标准，颗粒物、SO</w:t>
                  </w:r>
                  <w:r>
                    <w:rPr>
                      <w:rFonts w:hint="eastAsia"/>
                      <w:color w:val="auto"/>
                      <w:sz w:val="18"/>
                      <w:szCs w:val="21"/>
                      <w:u w:val="none"/>
                      <w:vertAlign w:val="subscript"/>
                    </w:rPr>
                    <w:t>2</w:t>
                  </w:r>
                  <w:r>
                    <w:rPr>
                      <w:rFonts w:hint="eastAsia"/>
                      <w:color w:val="auto"/>
                      <w:sz w:val="18"/>
                      <w:szCs w:val="21"/>
                      <w:u w:val="none"/>
                    </w:rPr>
                    <w:t>无组织排放达到1.0、0.5mg/</w:t>
                  </w:r>
                  <w:r>
                    <w:rPr>
                      <w:rFonts w:hint="eastAsia"/>
                      <w:color w:val="auto"/>
                      <w:sz w:val="18"/>
                      <w:szCs w:val="21"/>
                      <w:u w:val="none"/>
                      <w:lang w:eastAsia="zh-CN"/>
                    </w:rPr>
                    <w:t>m³</w:t>
                  </w:r>
                  <w:r>
                    <w:rPr>
                      <w:rFonts w:hint="eastAsia"/>
                      <w:color w:val="auto"/>
                      <w:sz w:val="18"/>
                      <w:szCs w:val="21"/>
                      <w:u w:val="none"/>
                    </w:rPr>
                    <w:t>的标准</w:t>
                  </w:r>
                </w:p>
              </w:tc>
              <w:tc>
                <w:tcPr>
                  <w:tcW w:w="687" w:type="dxa"/>
                  <w:noWrap w:val="0"/>
                  <w:vAlign w:val="center"/>
                </w:tcPr>
                <w:p>
                  <w:pPr>
                    <w:pStyle w:val="17"/>
                    <w:ind w:left="-53" w:leftChars="-25" w:right="-53" w:rightChars="-25"/>
                    <w:jc w:val="center"/>
                    <w:rPr>
                      <w:rFonts w:ascii="Times New Roman" w:hAnsi="Times New Roman"/>
                      <w:color w:val="auto"/>
                      <w:sz w:val="18"/>
                      <w:szCs w:val="21"/>
                      <w:u w:val="none"/>
                    </w:rPr>
                  </w:pPr>
                  <w:r>
                    <w:rPr>
                      <w:rFonts w:hint="eastAsia" w:ascii="Times New Roman" w:hAnsi="Times New Roman"/>
                      <w:color w:val="auto"/>
                      <w:sz w:val="18"/>
                      <w:szCs w:val="21"/>
                      <w:u w:val="none"/>
                    </w:rPr>
                    <w:t>符合</w:t>
                  </w:r>
                </w:p>
              </w:tc>
            </w:tr>
          </w:tbl>
          <w:p>
            <w:pPr>
              <w:spacing w:line="360" w:lineRule="auto"/>
              <w:rPr>
                <w:rFonts w:hint="eastAsia"/>
                <w:b/>
                <w:bCs/>
                <w:color w:val="FF0000"/>
                <w:sz w:val="24"/>
                <w:u w:val="none"/>
              </w:rPr>
            </w:pPr>
          </w:p>
          <w:p>
            <w:pPr>
              <w:numPr>
                <w:ilvl w:val="0"/>
                <w:numId w:val="1"/>
              </w:numPr>
              <w:spacing w:line="360" w:lineRule="auto"/>
              <w:ind w:firstLine="482" w:firstLineChars="200"/>
              <w:rPr>
                <w:rFonts w:hint="eastAsia"/>
                <w:b/>
                <w:bCs/>
                <w:color w:val="auto"/>
                <w:sz w:val="24"/>
                <w:u w:val="none"/>
              </w:rPr>
            </w:pPr>
            <w:r>
              <w:rPr>
                <w:rFonts w:hint="eastAsia"/>
                <w:b/>
                <w:bCs/>
                <w:color w:val="auto"/>
                <w:sz w:val="24"/>
                <w:u w:val="none"/>
              </w:rPr>
              <w:t>与《关于加快烧结砖瓦行业转型发展的若干意见》（工信部联原[2017]279号）符合性分析</w:t>
            </w:r>
          </w:p>
          <w:p>
            <w:pPr>
              <w:spacing w:line="360" w:lineRule="auto"/>
              <w:ind w:firstLine="480" w:firstLineChars="200"/>
              <w:rPr>
                <w:rFonts w:hint="eastAsia"/>
                <w:color w:val="auto"/>
                <w:u w:val="none"/>
              </w:rPr>
            </w:pPr>
            <w:r>
              <w:rPr>
                <w:rFonts w:hint="eastAsia" w:ascii="Times New Roman" w:hAnsi="Times New Roman" w:eastAsia="宋体" w:cs="Times New Roman"/>
                <w:b w:val="0"/>
                <w:bCs w:val="0"/>
                <w:color w:val="auto"/>
                <w:sz w:val="24"/>
                <w:u w:val="none"/>
              </w:rPr>
              <w:t>2017年11月，工信部、环境部、安监总局联合发布了《关于加快烧结砖瓦行业转型发展的若干意见》（工信部联原[2017]279号）</w:t>
            </w:r>
            <w:r>
              <w:rPr>
                <w:rFonts w:hint="eastAsia" w:ascii="Times New Roman" w:hAnsi="Times New Roman" w:eastAsia="宋体" w:cs="Times New Roman"/>
                <w:b w:val="0"/>
                <w:bCs w:val="0"/>
                <w:color w:val="auto"/>
                <w:sz w:val="24"/>
                <w:u w:val="none"/>
                <w:lang w:eastAsia="zh-CN"/>
              </w:rPr>
              <w:t>中指出：</w:t>
            </w:r>
            <w:r>
              <w:rPr>
                <w:rFonts w:hint="eastAsia" w:ascii="Times New Roman" w:hAnsi="Times New Roman" w:eastAsia="宋体" w:cs="Times New Roman"/>
                <w:b w:val="0"/>
                <w:bCs w:val="0"/>
                <w:color w:val="auto"/>
                <w:sz w:val="24"/>
                <w:u w:val="none"/>
              </w:rPr>
              <w:t>“鼓励利用工业固废、矿物尾渣、淤泥、污泥、农林废弃物等替代一次原燃料，支持利用建筑垃圾生产砖瓦制品，进一步扩大资源综合利用范围，提高原燃料中固废掺配比例</w:t>
            </w:r>
            <w:r>
              <w:rPr>
                <w:rFonts w:hint="eastAsia" w:ascii="Times New Roman" w:hAnsi="Times New Roman" w:eastAsia="宋体" w:cs="Times New Roman"/>
                <w:b w:val="0"/>
                <w:bCs w:val="0"/>
                <w:color w:val="auto"/>
                <w:sz w:val="24"/>
                <w:u w:val="none"/>
                <w:lang w:eastAsia="zh-CN"/>
              </w:rPr>
              <w:t>”。本</w:t>
            </w:r>
            <w:r>
              <w:rPr>
                <w:rFonts w:hint="eastAsia"/>
                <w:b w:val="0"/>
                <w:bCs w:val="0"/>
                <w:color w:val="auto"/>
                <w:sz w:val="24"/>
                <w:u w:val="none"/>
              </w:rPr>
              <w:t>项目添加</w:t>
            </w:r>
            <w:r>
              <w:rPr>
                <w:rFonts w:hint="eastAsia"/>
                <w:b w:val="0"/>
                <w:bCs w:val="0"/>
                <w:color w:val="auto"/>
                <w:sz w:val="24"/>
                <w:u w:val="none"/>
                <w:lang w:eastAsia="zh-CN"/>
              </w:rPr>
              <w:t>一般固废（工业固废）</w:t>
            </w:r>
            <w:r>
              <w:rPr>
                <w:rFonts w:hint="eastAsia"/>
                <w:b w:val="0"/>
                <w:bCs w:val="0"/>
                <w:color w:val="auto"/>
                <w:sz w:val="24"/>
                <w:u w:val="none"/>
              </w:rPr>
              <w:t>进行制砖，开展资源综合利用，符合《关于加快烧结砖瓦行业转型发展的若干意见》</w:t>
            </w:r>
            <w:r>
              <w:rPr>
                <w:rFonts w:hint="eastAsia" w:ascii="Times New Roman" w:hAnsi="Times New Roman" w:eastAsia="宋体" w:cs="Times New Roman"/>
                <w:b w:val="0"/>
                <w:bCs w:val="0"/>
                <w:color w:val="auto"/>
                <w:sz w:val="24"/>
                <w:u w:val="none"/>
              </w:rPr>
              <w:t>（工信部联原[2017]279号）</w:t>
            </w:r>
            <w:r>
              <w:rPr>
                <w:rFonts w:hint="eastAsia"/>
                <w:b w:val="0"/>
                <w:bCs w:val="0"/>
                <w:color w:val="auto"/>
                <w:sz w:val="24"/>
                <w:u w:val="none"/>
              </w:rPr>
              <w:t>要求。</w:t>
            </w:r>
          </w:p>
          <w:p>
            <w:pPr>
              <w:spacing w:line="360" w:lineRule="auto"/>
              <w:ind w:firstLine="482" w:firstLineChars="200"/>
              <w:rPr>
                <w:rFonts w:hint="eastAsia"/>
                <w:b/>
                <w:bCs/>
                <w:color w:val="auto"/>
                <w:sz w:val="24"/>
                <w:u w:val="single"/>
              </w:rPr>
            </w:pPr>
            <w:r>
              <w:rPr>
                <w:rFonts w:hint="eastAsia"/>
                <w:b/>
                <w:bCs/>
                <w:color w:val="auto"/>
                <w:sz w:val="24"/>
                <w:u w:val="single"/>
                <w:lang w:val="en-US" w:eastAsia="zh-CN"/>
              </w:rPr>
              <w:t>6</w:t>
            </w:r>
            <w:r>
              <w:rPr>
                <w:rFonts w:hint="eastAsia"/>
                <w:b/>
                <w:bCs/>
                <w:color w:val="auto"/>
                <w:sz w:val="24"/>
                <w:u w:val="single"/>
              </w:rPr>
              <w:t>、与《关于“十四五”大宗固体废弃物综合利用的指导意见》（发改环资〔2021〕381号）符合性分析</w:t>
            </w:r>
          </w:p>
          <w:p>
            <w:pPr>
              <w:spacing w:line="360" w:lineRule="auto"/>
              <w:ind w:firstLine="480" w:firstLineChars="200"/>
              <w:rPr>
                <w:rFonts w:hint="eastAsia"/>
                <w:b/>
                <w:bCs/>
                <w:color w:val="auto"/>
                <w:sz w:val="24"/>
                <w:u w:val="single"/>
              </w:rPr>
            </w:pPr>
            <w:r>
              <w:rPr>
                <w:rFonts w:hint="eastAsia"/>
                <w:b w:val="0"/>
                <w:bCs w:val="0"/>
                <w:color w:val="auto"/>
                <w:sz w:val="24"/>
                <w:u w:val="single"/>
              </w:rPr>
              <w:t>根据《关于“十四五”大宗固体废弃物综合利用的指导意见》（发改环资〔2021〕381号），“（九）工业副产石膏。拓宽磷石膏利用途径，继续推广磷石膏在生产水泥和新型建筑材料等领域的利用，在确保环境安全的前提下，探索磷石膏在土壤改良、井下充填、路基材料等领域的应用。支持利用脱硫石膏、柠檬酸石膏制备绿色建材、石膏晶须等新产品新材料，扩大工业副产石膏高值化利用规模。积极探索钛石膏、氟石膏等复杂难用工业副产石膏的资源化利用途径。”，项目添加工业副产石膏进行制砖，开展资源综合利用，符合《关于“十四五”大宗固体废弃物综合利用的指导意见》（发改环资〔2021〕381号）要求。</w:t>
            </w:r>
          </w:p>
          <w:p>
            <w:pPr>
              <w:spacing w:line="360" w:lineRule="auto"/>
              <w:ind w:firstLine="482" w:firstLineChars="200"/>
              <w:rPr>
                <w:rFonts w:hint="eastAsia"/>
                <w:b/>
                <w:bCs/>
                <w:color w:val="auto"/>
                <w:sz w:val="24"/>
                <w:u w:val="single"/>
                <w:lang w:val="en-US" w:eastAsia="zh-CN"/>
              </w:rPr>
            </w:pPr>
            <w:r>
              <w:rPr>
                <w:rFonts w:hint="eastAsia"/>
                <w:b/>
                <w:bCs/>
                <w:color w:val="auto"/>
                <w:sz w:val="24"/>
                <w:u w:val="single"/>
                <w:lang w:val="en-US" w:eastAsia="zh-CN"/>
              </w:rPr>
              <w:t>7、与《钛石膏综合利用污染控制技术要求》（TZGZS0302-2021）符合性分析</w:t>
            </w:r>
          </w:p>
          <w:p>
            <w:pPr>
              <w:pStyle w:val="2"/>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jc w:val="both"/>
              <w:textAlignment w:val="auto"/>
              <w:rPr>
                <w:rFonts w:hint="eastAsia"/>
                <w:color w:val="auto"/>
                <w:u w:val="single"/>
                <w:lang w:val="en-US" w:eastAsia="zh-CN"/>
              </w:rPr>
            </w:pPr>
            <w:r>
              <w:rPr>
                <w:rFonts w:hint="eastAsia"/>
                <w:color w:val="auto"/>
                <w:u w:val="single"/>
                <w:lang w:val="en-US" w:eastAsia="zh-CN"/>
              </w:rPr>
              <w:t>项目掺配钛石膏作为制砖原料，与《钛石膏综合利用污染控制技术要求》（TZGZS0302-2021）相关符合性分析见下表1-5。</w:t>
            </w:r>
          </w:p>
          <w:p>
            <w:pPr>
              <w:pStyle w:val="2"/>
              <w:keepNext w:val="0"/>
              <w:keepLines w:val="0"/>
              <w:pageBreakBefore w:val="0"/>
              <w:widowControl w:val="0"/>
              <w:kinsoku/>
              <w:wordWrap/>
              <w:overflowPunct/>
              <w:topLinePunct w:val="0"/>
              <w:autoSpaceDE w:val="0"/>
              <w:autoSpaceDN w:val="0"/>
              <w:bidi w:val="0"/>
              <w:adjustRightInd w:val="0"/>
              <w:snapToGrid/>
              <w:spacing w:line="360" w:lineRule="auto"/>
              <w:jc w:val="both"/>
              <w:textAlignment w:val="auto"/>
              <w:rPr>
                <w:rFonts w:hint="eastAsia"/>
                <w:b/>
                <w:bCs/>
                <w:color w:val="auto"/>
                <w:u w:val="single"/>
                <w:lang w:val="en-US" w:eastAsia="zh-CN"/>
              </w:rPr>
            </w:pPr>
            <w:r>
              <w:rPr>
                <w:rFonts w:hint="eastAsia"/>
                <w:b/>
                <w:bCs/>
                <w:color w:val="auto"/>
                <w:u w:val="single"/>
                <w:lang w:val="en-US" w:eastAsia="zh-CN"/>
              </w:rPr>
              <w:t>表1-5项目与《钛石膏综合利用污染控制技术要求》符合性分析</w:t>
            </w:r>
          </w:p>
          <w:tbl>
            <w:tblPr>
              <w:tblStyle w:val="31"/>
              <w:tblW w:w="711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319"/>
              <w:gridCol w:w="2116"/>
              <w:gridCol w:w="16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3" w:hRule="atLeast"/>
              </w:trPr>
              <w:tc>
                <w:tcPr>
                  <w:tcW w:w="3319" w:type="dxa"/>
                  <w:noWrap w:val="0"/>
                  <w:vAlign w:val="center"/>
                </w:tcPr>
                <w:p>
                  <w:pPr>
                    <w:pStyle w:val="2"/>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eastAsia"/>
                      <w:b/>
                      <w:bCs/>
                      <w:color w:val="auto"/>
                      <w:sz w:val="18"/>
                      <w:szCs w:val="18"/>
                      <w:u w:val="single"/>
                      <w:vertAlign w:val="baseline"/>
                      <w:lang w:val="en-US" w:eastAsia="zh-CN"/>
                    </w:rPr>
                  </w:pPr>
                  <w:r>
                    <w:rPr>
                      <w:rFonts w:hint="eastAsia"/>
                      <w:b/>
                      <w:bCs/>
                      <w:color w:val="auto"/>
                      <w:sz w:val="18"/>
                      <w:szCs w:val="18"/>
                      <w:u w:val="single"/>
                      <w:vertAlign w:val="baseline"/>
                      <w:lang w:val="en-US" w:eastAsia="zh-CN"/>
                    </w:rPr>
                    <w:t>规范要求</w:t>
                  </w:r>
                </w:p>
              </w:tc>
              <w:tc>
                <w:tcPr>
                  <w:tcW w:w="2116" w:type="dxa"/>
                  <w:noWrap w:val="0"/>
                  <w:vAlign w:val="center"/>
                </w:tcPr>
                <w:p>
                  <w:pPr>
                    <w:pStyle w:val="2"/>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eastAsia"/>
                      <w:b/>
                      <w:bCs/>
                      <w:color w:val="auto"/>
                      <w:sz w:val="18"/>
                      <w:szCs w:val="18"/>
                      <w:u w:val="single"/>
                      <w:vertAlign w:val="baseline"/>
                      <w:lang w:val="en-US" w:eastAsia="zh-CN"/>
                    </w:rPr>
                  </w:pPr>
                  <w:r>
                    <w:rPr>
                      <w:rFonts w:hint="eastAsia"/>
                      <w:b/>
                      <w:bCs/>
                      <w:color w:val="auto"/>
                      <w:sz w:val="18"/>
                      <w:szCs w:val="18"/>
                      <w:u w:val="single"/>
                      <w:vertAlign w:val="baseline"/>
                      <w:lang w:val="en-US" w:eastAsia="zh-CN"/>
                    </w:rPr>
                    <w:t>项目情况</w:t>
                  </w:r>
                </w:p>
              </w:tc>
              <w:tc>
                <w:tcPr>
                  <w:tcW w:w="1676" w:type="dxa"/>
                  <w:noWrap w:val="0"/>
                  <w:vAlign w:val="center"/>
                </w:tcPr>
                <w:p>
                  <w:pPr>
                    <w:pStyle w:val="2"/>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eastAsia"/>
                      <w:b/>
                      <w:bCs/>
                      <w:color w:val="auto"/>
                      <w:sz w:val="18"/>
                      <w:szCs w:val="18"/>
                      <w:u w:val="single"/>
                      <w:vertAlign w:val="baseline"/>
                      <w:lang w:val="en-US" w:eastAsia="zh-CN"/>
                    </w:rPr>
                  </w:pPr>
                  <w:r>
                    <w:rPr>
                      <w:rFonts w:hint="eastAsia"/>
                      <w:b/>
                      <w:bCs/>
                      <w:color w:val="auto"/>
                      <w:sz w:val="18"/>
                      <w:szCs w:val="18"/>
                      <w:u w:val="single"/>
                      <w:vertAlign w:val="baseline"/>
                      <w:lang w:val="en-US" w:eastAsia="zh-CN"/>
                    </w:rPr>
                    <w:t>符合性分析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19" w:type="dxa"/>
                  <w:noWrap w:val="0"/>
                  <w:vAlign w:val="center"/>
                </w:tcPr>
                <w:p>
                  <w:pPr>
                    <w:pStyle w:val="2"/>
                    <w:keepNext w:val="0"/>
                    <w:keepLines w:val="0"/>
                    <w:pageBreakBefore w:val="0"/>
                    <w:widowControl w:val="0"/>
                    <w:kinsoku/>
                    <w:wordWrap/>
                    <w:overflowPunct/>
                    <w:topLinePunct w:val="0"/>
                    <w:autoSpaceDE w:val="0"/>
                    <w:autoSpaceDN w:val="0"/>
                    <w:bidi w:val="0"/>
                    <w:adjustRightInd w:val="0"/>
                    <w:snapToGrid/>
                    <w:spacing w:line="240" w:lineRule="auto"/>
                    <w:ind w:firstLine="360" w:firstLineChars="200"/>
                    <w:jc w:val="both"/>
                    <w:textAlignment w:val="auto"/>
                    <w:rPr>
                      <w:rFonts w:hint="eastAsia"/>
                      <w:b w:val="0"/>
                      <w:bCs w:val="0"/>
                      <w:color w:val="auto"/>
                      <w:sz w:val="18"/>
                      <w:szCs w:val="18"/>
                      <w:u w:val="single"/>
                      <w:vertAlign w:val="baseline"/>
                      <w:lang w:val="en-US" w:eastAsia="zh-CN"/>
                    </w:rPr>
                  </w:pPr>
                  <w:r>
                    <w:rPr>
                      <w:rFonts w:hint="eastAsia"/>
                      <w:b w:val="0"/>
                      <w:bCs w:val="0"/>
                      <w:color w:val="auto"/>
                      <w:sz w:val="18"/>
                      <w:szCs w:val="18"/>
                      <w:u w:val="single"/>
                      <w:vertAlign w:val="baseline"/>
                      <w:lang w:val="en-US" w:eastAsia="zh-CN"/>
                    </w:rPr>
                    <w:t>6钛石膏综合利用过程污染物排放技术要求</w:t>
                  </w:r>
                </w:p>
                <w:p>
                  <w:pPr>
                    <w:pStyle w:val="2"/>
                    <w:keepNext w:val="0"/>
                    <w:keepLines w:val="0"/>
                    <w:pageBreakBefore w:val="0"/>
                    <w:widowControl w:val="0"/>
                    <w:kinsoku/>
                    <w:wordWrap/>
                    <w:overflowPunct/>
                    <w:topLinePunct w:val="0"/>
                    <w:autoSpaceDE w:val="0"/>
                    <w:autoSpaceDN w:val="0"/>
                    <w:bidi w:val="0"/>
                    <w:adjustRightInd w:val="0"/>
                    <w:snapToGrid/>
                    <w:spacing w:line="240" w:lineRule="auto"/>
                    <w:ind w:firstLine="360" w:firstLineChars="200"/>
                    <w:jc w:val="both"/>
                    <w:textAlignment w:val="auto"/>
                    <w:rPr>
                      <w:rFonts w:hint="eastAsia"/>
                      <w:b w:val="0"/>
                      <w:bCs w:val="0"/>
                      <w:color w:val="auto"/>
                      <w:sz w:val="18"/>
                      <w:szCs w:val="18"/>
                      <w:u w:val="single"/>
                      <w:vertAlign w:val="baseline"/>
                      <w:lang w:val="en-US" w:eastAsia="zh-CN"/>
                    </w:rPr>
                  </w:pPr>
                  <w:r>
                    <w:rPr>
                      <w:rFonts w:hint="eastAsia"/>
                      <w:b w:val="0"/>
                      <w:bCs w:val="0"/>
                      <w:color w:val="auto"/>
                      <w:sz w:val="18"/>
                      <w:szCs w:val="18"/>
                      <w:u w:val="single"/>
                      <w:vertAlign w:val="baseline"/>
                      <w:lang w:val="en-US" w:eastAsia="zh-CN"/>
                    </w:rPr>
                    <w:t>6.1钛石膏建材利用设施应设置必要的废气处理、防止或降低噪声与粉尘处理等污染防治装置。利用过程中应采取防扬散、防流失、防渗漏防护措施，在装卸、转运、投加等易产生粉尘的区域应配备除尘装置，除尘装置收集的钛石膏应返回贮存或利用工艺环节。</w:t>
                  </w:r>
                </w:p>
                <w:p>
                  <w:pPr>
                    <w:pStyle w:val="2"/>
                    <w:keepNext w:val="0"/>
                    <w:keepLines w:val="0"/>
                    <w:pageBreakBefore w:val="0"/>
                    <w:widowControl w:val="0"/>
                    <w:kinsoku/>
                    <w:wordWrap/>
                    <w:overflowPunct/>
                    <w:topLinePunct w:val="0"/>
                    <w:autoSpaceDE w:val="0"/>
                    <w:autoSpaceDN w:val="0"/>
                    <w:bidi w:val="0"/>
                    <w:adjustRightInd w:val="0"/>
                    <w:snapToGrid/>
                    <w:spacing w:line="240" w:lineRule="auto"/>
                    <w:ind w:firstLine="360" w:firstLineChars="200"/>
                    <w:jc w:val="both"/>
                    <w:textAlignment w:val="auto"/>
                    <w:rPr>
                      <w:rFonts w:hint="eastAsia"/>
                      <w:b w:val="0"/>
                      <w:bCs w:val="0"/>
                      <w:color w:val="auto"/>
                      <w:sz w:val="18"/>
                      <w:szCs w:val="18"/>
                      <w:u w:val="single"/>
                      <w:vertAlign w:val="baseline"/>
                      <w:lang w:val="en-US" w:eastAsia="zh-CN"/>
                    </w:rPr>
                  </w:pPr>
                  <w:r>
                    <w:rPr>
                      <w:rFonts w:hint="eastAsia"/>
                      <w:b w:val="0"/>
                      <w:bCs w:val="0"/>
                      <w:color w:val="auto"/>
                      <w:sz w:val="18"/>
                      <w:szCs w:val="18"/>
                      <w:u w:val="single"/>
                      <w:vertAlign w:val="baseline"/>
                      <w:lang w:val="en-US" w:eastAsia="zh-CN"/>
                    </w:rPr>
                    <w:t>6.3利用钛石膏生产水泥缓凝剂、石膏制品、建筑石膏、砖瓦、水泥、道路工程材料等建材过程的污染控制执行国家或地方污染物排放标准。</w:t>
                  </w:r>
                </w:p>
              </w:tc>
              <w:tc>
                <w:tcPr>
                  <w:tcW w:w="2116" w:type="dxa"/>
                  <w:noWrap w:val="0"/>
                  <w:vAlign w:val="center"/>
                </w:tcPr>
                <w:p>
                  <w:pPr>
                    <w:pStyle w:val="2"/>
                    <w:keepNext w:val="0"/>
                    <w:keepLines w:val="0"/>
                    <w:pageBreakBefore w:val="0"/>
                    <w:widowControl w:val="0"/>
                    <w:kinsoku/>
                    <w:wordWrap/>
                    <w:overflowPunct/>
                    <w:topLinePunct w:val="0"/>
                    <w:autoSpaceDE w:val="0"/>
                    <w:autoSpaceDN w:val="0"/>
                    <w:bidi w:val="0"/>
                    <w:adjustRightInd w:val="0"/>
                    <w:snapToGrid/>
                    <w:spacing w:line="240" w:lineRule="auto"/>
                    <w:ind w:firstLine="360" w:firstLineChars="200"/>
                    <w:jc w:val="both"/>
                    <w:textAlignment w:val="auto"/>
                    <w:rPr>
                      <w:rFonts w:hint="eastAsia"/>
                      <w:b w:val="0"/>
                      <w:bCs w:val="0"/>
                      <w:color w:val="auto"/>
                      <w:sz w:val="18"/>
                      <w:szCs w:val="18"/>
                      <w:u w:val="single"/>
                      <w:vertAlign w:val="baseline"/>
                      <w:lang w:val="en-US" w:eastAsia="zh-CN"/>
                    </w:rPr>
                  </w:pPr>
                  <w:r>
                    <w:rPr>
                      <w:rFonts w:hint="eastAsia"/>
                      <w:b w:val="0"/>
                      <w:bCs w:val="0"/>
                      <w:color w:val="auto"/>
                      <w:sz w:val="18"/>
                      <w:szCs w:val="18"/>
                      <w:u w:val="single"/>
                      <w:vertAlign w:val="baseline"/>
                      <w:lang w:val="en-US" w:eastAsia="zh-CN"/>
                    </w:rPr>
                    <w:t>项目依托现有砖厂生产线利用一般固废（主要为钛石膏），现有生产线均按要求配套建设污染防治措施，排放的污染物能够满足《砖瓦工业大气污染物排放标准》（GB29620-2013）及其修改单中限值要求</w:t>
                  </w:r>
                </w:p>
              </w:tc>
              <w:tc>
                <w:tcPr>
                  <w:tcW w:w="1676" w:type="dxa"/>
                  <w:noWrap w:val="0"/>
                  <w:vAlign w:val="center"/>
                </w:tcPr>
                <w:p>
                  <w:pPr>
                    <w:pStyle w:val="2"/>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eastAsia"/>
                      <w:b w:val="0"/>
                      <w:bCs w:val="0"/>
                      <w:color w:val="auto"/>
                      <w:sz w:val="18"/>
                      <w:szCs w:val="18"/>
                      <w:u w:val="single"/>
                      <w:vertAlign w:val="baseline"/>
                      <w:lang w:val="en-US" w:eastAsia="zh-CN"/>
                    </w:rPr>
                  </w:pPr>
                  <w:r>
                    <w:rPr>
                      <w:rFonts w:hint="eastAsia"/>
                      <w:b w:val="0"/>
                      <w:bCs w:val="0"/>
                      <w:color w:val="auto"/>
                      <w:sz w:val="18"/>
                      <w:szCs w:val="18"/>
                      <w:u w:val="single"/>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19" w:type="dxa"/>
                  <w:noWrap w:val="0"/>
                  <w:vAlign w:val="center"/>
                </w:tcPr>
                <w:p>
                  <w:pPr>
                    <w:pStyle w:val="2"/>
                    <w:keepNext w:val="0"/>
                    <w:keepLines w:val="0"/>
                    <w:pageBreakBefore w:val="0"/>
                    <w:widowControl w:val="0"/>
                    <w:kinsoku/>
                    <w:wordWrap/>
                    <w:overflowPunct/>
                    <w:topLinePunct w:val="0"/>
                    <w:autoSpaceDE w:val="0"/>
                    <w:autoSpaceDN w:val="0"/>
                    <w:bidi w:val="0"/>
                    <w:adjustRightInd w:val="0"/>
                    <w:snapToGrid/>
                    <w:spacing w:line="240" w:lineRule="auto"/>
                    <w:ind w:firstLine="360" w:firstLineChars="200"/>
                    <w:jc w:val="both"/>
                    <w:textAlignment w:val="auto"/>
                    <w:rPr>
                      <w:rFonts w:hint="eastAsia"/>
                      <w:b w:val="0"/>
                      <w:bCs w:val="0"/>
                      <w:color w:val="auto"/>
                      <w:sz w:val="18"/>
                      <w:szCs w:val="18"/>
                      <w:u w:val="single"/>
                      <w:vertAlign w:val="baseline"/>
                      <w:lang w:val="en-US" w:eastAsia="zh-CN"/>
                    </w:rPr>
                  </w:pPr>
                  <w:r>
                    <w:rPr>
                      <w:rFonts w:hint="eastAsia"/>
                      <w:b w:val="0"/>
                      <w:bCs w:val="0"/>
                      <w:color w:val="auto"/>
                      <w:sz w:val="18"/>
                      <w:szCs w:val="18"/>
                      <w:u w:val="single"/>
                      <w:vertAlign w:val="baseline"/>
                      <w:lang w:val="en-US" w:eastAsia="zh-CN"/>
                    </w:rPr>
                    <w:t>7钛石膏综合利用过程污染物排放技术要求</w:t>
                  </w:r>
                </w:p>
                <w:p>
                  <w:pPr>
                    <w:pStyle w:val="2"/>
                    <w:keepNext w:val="0"/>
                    <w:keepLines w:val="0"/>
                    <w:pageBreakBefore w:val="0"/>
                    <w:widowControl w:val="0"/>
                    <w:kinsoku/>
                    <w:wordWrap/>
                    <w:overflowPunct/>
                    <w:topLinePunct w:val="0"/>
                    <w:autoSpaceDE w:val="0"/>
                    <w:autoSpaceDN w:val="0"/>
                    <w:bidi w:val="0"/>
                    <w:adjustRightInd w:val="0"/>
                    <w:snapToGrid/>
                    <w:spacing w:line="240" w:lineRule="auto"/>
                    <w:ind w:firstLine="360" w:firstLineChars="200"/>
                    <w:jc w:val="both"/>
                    <w:textAlignment w:val="auto"/>
                    <w:rPr>
                      <w:rFonts w:hint="eastAsia"/>
                      <w:b w:val="0"/>
                      <w:bCs w:val="0"/>
                      <w:color w:val="auto"/>
                      <w:sz w:val="18"/>
                      <w:szCs w:val="18"/>
                      <w:u w:val="single"/>
                      <w:vertAlign w:val="baseline"/>
                      <w:lang w:val="en-US" w:eastAsia="zh-CN"/>
                    </w:rPr>
                  </w:pPr>
                  <w:r>
                    <w:rPr>
                      <w:rFonts w:hint="eastAsia"/>
                      <w:b w:val="0"/>
                      <w:bCs w:val="0"/>
                      <w:color w:val="auto"/>
                      <w:sz w:val="18"/>
                      <w:szCs w:val="18"/>
                      <w:u w:val="single"/>
                      <w:vertAlign w:val="baseline"/>
                      <w:lang w:val="en-US" w:eastAsia="zh-CN"/>
                    </w:rPr>
                    <w:t>7.3利用钛石膏生产砖瓦、硫铝酸盐水泥、水泥缓凝剂，以及水泥窑协同处置钛石膏时，应经过验证，证明对产品性能无害。产品中的砷、铅、镉、铬、铜、镍、锌、锰的含量应满足GB/T30760-2014中表2的限值要求，同时重金属污染物可浸出浓度应满足GB/T30760-2014中表3的限值要求。</w:t>
                  </w:r>
                </w:p>
              </w:tc>
              <w:tc>
                <w:tcPr>
                  <w:tcW w:w="2116" w:type="dxa"/>
                  <w:noWrap w:val="0"/>
                  <w:vAlign w:val="center"/>
                </w:tcPr>
                <w:p>
                  <w:pPr>
                    <w:pStyle w:val="2"/>
                    <w:keepNext w:val="0"/>
                    <w:keepLines w:val="0"/>
                    <w:pageBreakBefore w:val="0"/>
                    <w:widowControl w:val="0"/>
                    <w:kinsoku/>
                    <w:wordWrap/>
                    <w:overflowPunct/>
                    <w:topLinePunct w:val="0"/>
                    <w:autoSpaceDE w:val="0"/>
                    <w:autoSpaceDN w:val="0"/>
                    <w:bidi w:val="0"/>
                    <w:adjustRightInd w:val="0"/>
                    <w:snapToGrid/>
                    <w:spacing w:line="240" w:lineRule="auto"/>
                    <w:ind w:firstLine="360" w:firstLineChars="200"/>
                    <w:jc w:val="both"/>
                    <w:textAlignment w:val="auto"/>
                    <w:rPr>
                      <w:rFonts w:hint="eastAsia"/>
                      <w:b w:val="0"/>
                      <w:bCs w:val="0"/>
                      <w:color w:val="auto"/>
                      <w:sz w:val="18"/>
                      <w:szCs w:val="18"/>
                      <w:u w:val="single"/>
                      <w:vertAlign w:val="baseline"/>
                      <w:lang w:val="en-US" w:eastAsia="zh-CN"/>
                    </w:rPr>
                  </w:pPr>
                  <w:r>
                    <w:rPr>
                      <w:rFonts w:hint="eastAsia"/>
                      <w:b w:val="0"/>
                      <w:bCs w:val="0"/>
                      <w:color w:val="auto"/>
                      <w:sz w:val="18"/>
                      <w:szCs w:val="18"/>
                      <w:u w:val="single"/>
                      <w:vertAlign w:val="baseline"/>
                      <w:lang w:val="en-US" w:eastAsia="zh-CN"/>
                    </w:rPr>
                    <w:t>项目利用钛石膏生产砖瓦，固废水浸重金属污染物可浸出浓度应满足GB/T30760-2014中表3的限值要求。</w:t>
                  </w:r>
                </w:p>
              </w:tc>
              <w:tc>
                <w:tcPr>
                  <w:tcW w:w="1676" w:type="dxa"/>
                  <w:noWrap w:val="0"/>
                  <w:vAlign w:val="center"/>
                </w:tcPr>
                <w:p>
                  <w:pPr>
                    <w:pStyle w:val="2"/>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eastAsia"/>
                      <w:b w:val="0"/>
                      <w:bCs w:val="0"/>
                      <w:color w:val="auto"/>
                      <w:sz w:val="18"/>
                      <w:szCs w:val="18"/>
                      <w:u w:val="single"/>
                      <w:vertAlign w:val="baseline"/>
                      <w:lang w:val="en-US" w:eastAsia="zh-CN"/>
                    </w:rPr>
                  </w:pPr>
                  <w:r>
                    <w:rPr>
                      <w:rFonts w:hint="eastAsia"/>
                      <w:b w:val="0"/>
                      <w:bCs w:val="0"/>
                      <w:color w:val="auto"/>
                      <w:sz w:val="18"/>
                      <w:szCs w:val="18"/>
                      <w:u w:val="single"/>
                      <w:vertAlign w:val="baseline"/>
                      <w:lang w:val="en-US" w:eastAsia="zh-CN"/>
                    </w:rPr>
                    <w:t>符合</w:t>
                  </w:r>
                </w:p>
              </w:tc>
            </w:tr>
          </w:tbl>
          <w:p>
            <w:pPr>
              <w:pStyle w:val="2"/>
              <w:keepNext w:val="0"/>
              <w:keepLines w:val="0"/>
              <w:pageBreakBefore w:val="0"/>
              <w:widowControl w:val="0"/>
              <w:kinsoku/>
              <w:wordWrap/>
              <w:overflowPunct/>
              <w:topLinePunct w:val="0"/>
              <w:autoSpaceDE w:val="0"/>
              <w:autoSpaceDN w:val="0"/>
              <w:bidi w:val="0"/>
              <w:adjustRightInd w:val="0"/>
              <w:snapToGrid/>
              <w:spacing w:line="360" w:lineRule="auto"/>
              <w:jc w:val="both"/>
              <w:textAlignment w:val="auto"/>
              <w:rPr>
                <w:rFonts w:hint="default"/>
                <w:b/>
                <w:bCs/>
                <w:color w:val="auto"/>
                <w:u w:val="none"/>
                <w:lang w:val="en-US" w:eastAsia="zh-CN"/>
              </w:rPr>
            </w:pPr>
          </w:p>
          <w:p>
            <w:pPr>
              <w:spacing w:line="360" w:lineRule="auto"/>
              <w:ind w:firstLine="482" w:firstLineChars="200"/>
              <w:rPr>
                <w:rFonts w:hint="eastAsia"/>
                <w:b/>
                <w:bCs/>
                <w:color w:val="auto"/>
                <w:sz w:val="24"/>
                <w:u w:val="none"/>
                <w:lang w:val="en-US" w:eastAsia="zh-CN"/>
              </w:rPr>
            </w:pPr>
            <w:r>
              <w:rPr>
                <w:rFonts w:hint="eastAsia"/>
                <w:b/>
                <w:bCs/>
                <w:color w:val="auto"/>
                <w:sz w:val="24"/>
                <w:u w:val="none"/>
                <w:lang w:val="en-US" w:eastAsia="zh-CN"/>
              </w:rPr>
              <w:t>8、与《一般工业固体废物贮存和填埋污染控制标准》（GB18599-2020）符合性分析</w:t>
            </w:r>
          </w:p>
          <w:p>
            <w:pPr>
              <w:spacing w:line="360" w:lineRule="auto"/>
              <w:ind w:firstLine="211" w:firstLineChars="100"/>
              <w:rPr>
                <w:rFonts w:hint="eastAsia"/>
                <w:b/>
                <w:bCs/>
                <w:color w:val="auto"/>
                <w:sz w:val="21"/>
                <w:szCs w:val="21"/>
                <w:u w:val="none"/>
                <w:lang w:val="en-US" w:eastAsia="zh-CN"/>
              </w:rPr>
            </w:pPr>
            <w:r>
              <w:rPr>
                <w:rFonts w:hint="eastAsia"/>
                <w:b/>
                <w:bCs/>
                <w:color w:val="auto"/>
                <w:sz w:val="21"/>
                <w:szCs w:val="21"/>
                <w:u w:val="none"/>
                <w:lang w:val="en-US" w:eastAsia="zh-CN"/>
              </w:rPr>
              <w:t>表1-6与《一般工业固体废物贮存和填埋污染控制标准》的符合性分析</w:t>
            </w:r>
          </w:p>
          <w:tbl>
            <w:tblPr>
              <w:tblStyle w:val="31"/>
              <w:tblW w:w="667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63"/>
              <w:gridCol w:w="2284"/>
              <w:gridCol w:w="14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2963" w:type="dxa"/>
                  <w:noWrap w:val="0"/>
                  <w:vAlign w:val="center"/>
                </w:tcPr>
                <w:p>
                  <w:pPr>
                    <w:pStyle w:val="2"/>
                    <w:spacing w:line="240" w:lineRule="auto"/>
                    <w:jc w:val="center"/>
                    <w:rPr>
                      <w:rFonts w:hint="eastAsia"/>
                      <w:color w:val="auto"/>
                      <w:sz w:val="18"/>
                      <w:szCs w:val="18"/>
                      <w:u w:val="none"/>
                      <w:vertAlign w:val="baseline"/>
                      <w:lang w:val="en-US" w:eastAsia="zh-CN"/>
                    </w:rPr>
                  </w:pPr>
                  <w:r>
                    <w:rPr>
                      <w:rFonts w:hint="eastAsia"/>
                      <w:color w:val="auto"/>
                      <w:sz w:val="18"/>
                      <w:szCs w:val="18"/>
                      <w:u w:val="none"/>
                      <w:vertAlign w:val="baseline"/>
                      <w:lang w:val="en-US" w:eastAsia="zh-CN"/>
                    </w:rPr>
                    <w:t>标准要求</w:t>
                  </w:r>
                </w:p>
              </w:tc>
              <w:tc>
                <w:tcPr>
                  <w:tcW w:w="2284" w:type="dxa"/>
                  <w:noWrap w:val="0"/>
                  <w:vAlign w:val="center"/>
                </w:tcPr>
                <w:p>
                  <w:pPr>
                    <w:pStyle w:val="2"/>
                    <w:jc w:val="center"/>
                    <w:rPr>
                      <w:rFonts w:hint="eastAsia"/>
                      <w:color w:val="auto"/>
                      <w:sz w:val="18"/>
                      <w:szCs w:val="18"/>
                      <w:u w:val="none"/>
                      <w:vertAlign w:val="baseline"/>
                      <w:lang w:val="en-US" w:eastAsia="zh-CN"/>
                    </w:rPr>
                  </w:pPr>
                  <w:r>
                    <w:rPr>
                      <w:rFonts w:hint="eastAsia"/>
                      <w:color w:val="auto"/>
                      <w:sz w:val="18"/>
                      <w:szCs w:val="18"/>
                      <w:u w:val="none"/>
                      <w:vertAlign w:val="baseline"/>
                      <w:lang w:val="en-US" w:eastAsia="zh-CN"/>
                    </w:rPr>
                    <w:t>项目情况</w:t>
                  </w:r>
                </w:p>
              </w:tc>
              <w:tc>
                <w:tcPr>
                  <w:tcW w:w="1431" w:type="dxa"/>
                  <w:noWrap w:val="0"/>
                  <w:vAlign w:val="center"/>
                </w:tcPr>
                <w:p>
                  <w:pPr>
                    <w:pStyle w:val="2"/>
                    <w:jc w:val="center"/>
                    <w:rPr>
                      <w:rFonts w:hint="eastAsia"/>
                      <w:color w:val="auto"/>
                      <w:sz w:val="18"/>
                      <w:szCs w:val="18"/>
                      <w:u w:val="none"/>
                      <w:vertAlign w:val="baseline"/>
                      <w:lang w:val="en-US" w:eastAsia="zh-CN"/>
                    </w:rPr>
                  </w:pPr>
                  <w:r>
                    <w:rPr>
                      <w:rFonts w:hint="eastAsia"/>
                      <w:color w:val="auto"/>
                      <w:sz w:val="18"/>
                      <w:szCs w:val="18"/>
                      <w:u w:val="none"/>
                      <w:vertAlign w:val="baseline"/>
                      <w:lang w:val="en-US" w:eastAsia="zh-CN"/>
                    </w:rPr>
                    <w:t>符合性分析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18" w:hRule="atLeast"/>
              </w:trPr>
              <w:tc>
                <w:tcPr>
                  <w:tcW w:w="2963" w:type="dxa"/>
                  <w:noWrap w:val="0"/>
                  <w:vAlign w:val="center"/>
                </w:tcPr>
                <w:p>
                  <w:pPr>
                    <w:pStyle w:val="2"/>
                    <w:keepNext w:val="0"/>
                    <w:keepLines w:val="0"/>
                    <w:pageBreakBefore w:val="0"/>
                    <w:widowControl w:val="0"/>
                    <w:kinsoku/>
                    <w:wordWrap/>
                    <w:overflowPunct/>
                    <w:topLinePunct w:val="0"/>
                    <w:autoSpaceDE w:val="0"/>
                    <w:autoSpaceDN w:val="0"/>
                    <w:bidi w:val="0"/>
                    <w:adjustRightInd w:val="0"/>
                    <w:snapToGrid/>
                    <w:spacing w:line="240" w:lineRule="auto"/>
                    <w:ind w:firstLine="360" w:firstLineChars="200"/>
                    <w:jc w:val="both"/>
                    <w:textAlignment w:val="auto"/>
                    <w:rPr>
                      <w:rFonts w:hint="eastAsia"/>
                      <w:color w:val="auto"/>
                      <w:sz w:val="18"/>
                      <w:szCs w:val="18"/>
                      <w:u w:val="none"/>
                      <w:vertAlign w:val="baseline"/>
                      <w:lang w:val="en-US" w:eastAsia="zh-CN"/>
                    </w:rPr>
                  </w:pPr>
                  <w:r>
                    <w:rPr>
                      <w:rFonts w:hint="eastAsia"/>
                      <w:color w:val="auto"/>
                      <w:sz w:val="18"/>
                      <w:szCs w:val="18"/>
                      <w:u w:val="none"/>
                      <w:vertAlign w:val="baseline"/>
                      <w:lang w:val="en-US" w:eastAsia="zh-CN"/>
                    </w:rPr>
                    <w:t>贮存场、填埋场的防洪标准应按重现期不小于50年一遇的洪水位设计，国家已有标准提出更高要求的除外。</w:t>
                  </w:r>
                </w:p>
              </w:tc>
              <w:tc>
                <w:tcPr>
                  <w:tcW w:w="2284" w:type="dxa"/>
                  <w:noWrap w:val="0"/>
                  <w:vAlign w:val="center"/>
                </w:tcPr>
                <w:p>
                  <w:pPr>
                    <w:pStyle w:val="2"/>
                    <w:keepNext w:val="0"/>
                    <w:keepLines w:val="0"/>
                    <w:pageBreakBefore w:val="0"/>
                    <w:widowControl w:val="0"/>
                    <w:kinsoku/>
                    <w:wordWrap/>
                    <w:overflowPunct/>
                    <w:topLinePunct w:val="0"/>
                    <w:autoSpaceDE w:val="0"/>
                    <w:autoSpaceDN w:val="0"/>
                    <w:bidi w:val="0"/>
                    <w:adjustRightInd w:val="0"/>
                    <w:snapToGrid/>
                    <w:ind w:firstLine="360" w:firstLineChars="200"/>
                    <w:jc w:val="both"/>
                    <w:textAlignment w:val="auto"/>
                    <w:rPr>
                      <w:rFonts w:hint="eastAsia" w:eastAsia="宋体"/>
                      <w:color w:val="auto"/>
                      <w:sz w:val="18"/>
                      <w:szCs w:val="18"/>
                      <w:u w:val="none"/>
                      <w:vertAlign w:val="baseline"/>
                      <w:lang w:val="en-US" w:eastAsia="zh-CN"/>
                    </w:rPr>
                  </w:pPr>
                  <w:r>
                    <w:rPr>
                      <w:rFonts w:hint="eastAsia"/>
                      <w:color w:val="auto"/>
                      <w:sz w:val="18"/>
                      <w:szCs w:val="18"/>
                      <w:u w:val="none"/>
                      <w:vertAlign w:val="baseline"/>
                      <w:lang w:val="en-US" w:eastAsia="zh-CN"/>
                    </w:rPr>
                    <w:t>本项目新增一般固废位于新建一般固废堆棚内，项目周边无河流。</w:t>
                  </w:r>
                </w:p>
              </w:tc>
              <w:tc>
                <w:tcPr>
                  <w:tcW w:w="1431" w:type="dxa"/>
                  <w:noWrap w:val="0"/>
                  <w:vAlign w:val="center"/>
                </w:tcPr>
                <w:p>
                  <w:pPr>
                    <w:pStyle w:val="2"/>
                    <w:jc w:val="center"/>
                    <w:rPr>
                      <w:rFonts w:hint="eastAsia"/>
                      <w:color w:val="auto"/>
                      <w:sz w:val="18"/>
                      <w:szCs w:val="18"/>
                      <w:u w:val="none"/>
                      <w:vertAlign w:val="baseline"/>
                      <w:lang w:val="en-US" w:eastAsia="zh-CN"/>
                    </w:rPr>
                  </w:pPr>
                  <w:r>
                    <w:rPr>
                      <w:rFonts w:hint="eastAsia"/>
                      <w:color w:val="auto"/>
                      <w:sz w:val="18"/>
                      <w:szCs w:val="18"/>
                      <w:u w:val="none"/>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6" w:hRule="atLeast"/>
              </w:trPr>
              <w:tc>
                <w:tcPr>
                  <w:tcW w:w="2963" w:type="dxa"/>
                  <w:noWrap w:val="0"/>
                  <w:vAlign w:val="center"/>
                </w:tcPr>
                <w:p>
                  <w:pPr>
                    <w:pStyle w:val="2"/>
                    <w:keepNext w:val="0"/>
                    <w:keepLines w:val="0"/>
                    <w:pageBreakBefore w:val="0"/>
                    <w:widowControl w:val="0"/>
                    <w:kinsoku/>
                    <w:wordWrap/>
                    <w:overflowPunct/>
                    <w:topLinePunct w:val="0"/>
                    <w:autoSpaceDE w:val="0"/>
                    <w:autoSpaceDN w:val="0"/>
                    <w:bidi w:val="0"/>
                    <w:adjustRightInd w:val="0"/>
                    <w:snapToGrid/>
                    <w:spacing w:line="240" w:lineRule="auto"/>
                    <w:ind w:firstLine="360" w:firstLineChars="200"/>
                    <w:jc w:val="both"/>
                    <w:textAlignment w:val="auto"/>
                    <w:rPr>
                      <w:rFonts w:hint="eastAsia"/>
                      <w:color w:val="auto"/>
                      <w:sz w:val="18"/>
                      <w:szCs w:val="18"/>
                      <w:u w:val="none"/>
                      <w:vertAlign w:val="baseline"/>
                      <w:lang w:val="en-US" w:eastAsia="zh-CN"/>
                    </w:rPr>
                  </w:pPr>
                  <w:r>
                    <w:rPr>
                      <w:rFonts w:hint="eastAsia"/>
                      <w:color w:val="auto"/>
                      <w:sz w:val="18"/>
                      <w:szCs w:val="18"/>
                      <w:u w:val="none"/>
                      <w:vertAlign w:val="baseline"/>
                      <w:lang w:val="en-US" w:eastAsia="zh-CN"/>
                    </w:rPr>
                    <w:t>贮存场及填埋场渗滤液收集池的防渗要求应不低于对应贮存场、填埋场的防渗要求。</w:t>
                  </w:r>
                </w:p>
              </w:tc>
              <w:tc>
                <w:tcPr>
                  <w:tcW w:w="2284" w:type="dxa"/>
                  <w:vMerge w:val="restart"/>
                  <w:noWrap w:val="0"/>
                  <w:vAlign w:val="center"/>
                </w:tcPr>
                <w:p>
                  <w:pPr>
                    <w:pStyle w:val="2"/>
                    <w:keepNext w:val="0"/>
                    <w:keepLines w:val="0"/>
                    <w:pageBreakBefore w:val="0"/>
                    <w:widowControl w:val="0"/>
                    <w:kinsoku/>
                    <w:wordWrap/>
                    <w:overflowPunct/>
                    <w:topLinePunct w:val="0"/>
                    <w:autoSpaceDE w:val="0"/>
                    <w:autoSpaceDN w:val="0"/>
                    <w:bidi w:val="0"/>
                    <w:adjustRightInd w:val="0"/>
                    <w:snapToGrid/>
                    <w:ind w:firstLine="360" w:firstLineChars="200"/>
                    <w:jc w:val="both"/>
                    <w:textAlignment w:val="auto"/>
                    <w:rPr>
                      <w:rFonts w:hint="eastAsia"/>
                      <w:color w:val="auto"/>
                      <w:sz w:val="18"/>
                      <w:szCs w:val="18"/>
                      <w:u w:val="none"/>
                      <w:vertAlign w:val="baseline"/>
                      <w:lang w:val="en-US" w:eastAsia="zh-CN"/>
                    </w:rPr>
                  </w:pPr>
                  <w:r>
                    <w:rPr>
                      <w:rFonts w:hint="eastAsia"/>
                      <w:color w:val="auto"/>
                      <w:sz w:val="18"/>
                      <w:szCs w:val="18"/>
                      <w:u w:val="none"/>
                      <w:vertAlign w:val="baseline"/>
                      <w:lang w:val="en-US" w:eastAsia="zh-CN"/>
                    </w:rPr>
                    <w:t>在本项目一般固废堆存区周边设置边沟和集水坑，场底采用高密度聚乙烯（HDPE）作为主要防渗材料的单层膜+素土（粘土）复合垫防渗层，应满足相应防渗漏（其防渗性能应至少相当于渗透系数为1.0×10</w:t>
                  </w:r>
                  <w:r>
                    <w:rPr>
                      <w:rFonts w:hint="eastAsia"/>
                      <w:color w:val="auto"/>
                      <w:sz w:val="18"/>
                      <w:szCs w:val="18"/>
                      <w:u w:val="none"/>
                      <w:vertAlign w:val="superscript"/>
                      <w:lang w:val="en-US" w:eastAsia="zh-CN"/>
                    </w:rPr>
                    <w:t>-7</w:t>
                  </w:r>
                  <w:r>
                    <w:rPr>
                      <w:rFonts w:hint="eastAsia"/>
                      <w:color w:val="auto"/>
                      <w:sz w:val="18"/>
                      <w:szCs w:val="18"/>
                      <w:u w:val="none"/>
                      <w:vertAlign w:val="baseline"/>
                      <w:lang w:val="en-US" w:eastAsia="zh-CN"/>
                    </w:rPr>
                    <w:t>cm/s且厚度为0.75m的天然基础层）。</w:t>
                  </w:r>
                </w:p>
              </w:tc>
              <w:tc>
                <w:tcPr>
                  <w:tcW w:w="1431" w:type="dxa"/>
                  <w:noWrap w:val="0"/>
                  <w:vAlign w:val="center"/>
                </w:tcPr>
                <w:p>
                  <w:pPr>
                    <w:pStyle w:val="2"/>
                    <w:jc w:val="center"/>
                    <w:rPr>
                      <w:rFonts w:hint="eastAsia"/>
                      <w:color w:val="auto"/>
                      <w:sz w:val="18"/>
                      <w:szCs w:val="18"/>
                      <w:u w:val="none"/>
                      <w:vertAlign w:val="baseline"/>
                      <w:lang w:val="en-US" w:eastAsia="zh-CN"/>
                    </w:rPr>
                  </w:pPr>
                  <w:r>
                    <w:rPr>
                      <w:rFonts w:hint="eastAsia"/>
                      <w:color w:val="auto"/>
                      <w:sz w:val="18"/>
                      <w:szCs w:val="18"/>
                      <w:u w:val="none"/>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2" w:hRule="atLeast"/>
              </w:trPr>
              <w:tc>
                <w:tcPr>
                  <w:tcW w:w="2963" w:type="dxa"/>
                  <w:noWrap w:val="0"/>
                  <w:vAlign w:val="center"/>
                </w:tcPr>
                <w:p>
                  <w:pPr>
                    <w:pStyle w:val="2"/>
                    <w:keepNext w:val="0"/>
                    <w:keepLines w:val="0"/>
                    <w:pageBreakBefore w:val="0"/>
                    <w:widowControl w:val="0"/>
                    <w:kinsoku/>
                    <w:wordWrap/>
                    <w:overflowPunct/>
                    <w:topLinePunct w:val="0"/>
                    <w:autoSpaceDE w:val="0"/>
                    <w:autoSpaceDN w:val="0"/>
                    <w:bidi w:val="0"/>
                    <w:adjustRightInd w:val="0"/>
                    <w:snapToGrid/>
                    <w:spacing w:line="240" w:lineRule="auto"/>
                    <w:ind w:firstLine="360" w:firstLineChars="200"/>
                    <w:jc w:val="both"/>
                    <w:textAlignment w:val="auto"/>
                    <w:rPr>
                      <w:rFonts w:hint="eastAsia"/>
                      <w:color w:val="auto"/>
                      <w:sz w:val="18"/>
                      <w:szCs w:val="18"/>
                      <w:u w:val="none"/>
                      <w:vertAlign w:val="baseline"/>
                      <w:lang w:val="en-US" w:eastAsia="zh-CN"/>
                    </w:rPr>
                  </w:pPr>
                  <w:r>
                    <w:rPr>
                      <w:rFonts w:hint="eastAsia"/>
                      <w:color w:val="auto"/>
                      <w:sz w:val="18"/>
                      <w:szCs w:val="18"/>
                      <w:u w:val="none"/>
                      <w:vertAlign w:val="baseline"/>
                      <w:lang w:val="en-US" w:eastAsia="zh-CN"/>
                    </w:rPr>
                    <w:t>a）人工合成材料应采用高密度聚乙烯膜，厚度不小于1.5mm，并满足GB/T17643规定的技术指标要求。采用其他人工合成材料的，其防渗性能至少相当于1.5mm高密度聚乙烯膜的防渗性能。</w:t>
                  </w:r>
                </w:p>
                <w:p>
                  <w:pPr>
                    <w:pStyle w:val="2"/>
                    <w:keepNext w:val="0"/>
                    <w:keepLines w:val="0"/>
                    <w:pageBreakBefore w:val="0"/>
                    <w:widowControl w:val="0"/>
                    <w:kinsoku/>
                    <w:wordWrap/>
                    <w:overflowPunct/>
                    <w:topLinePunct w:val="0"/>
                    <w:autoSpaceDE w:val="0"/>
                    <w:autoSpaceDN w:val="0"/>
                    <w:bidi w:val="0"/>
                    <w:adjustRightInd w:val="0"/>
                    <w:snapToGrid/>
                    <w:spacing w:line="240" w:lineRule="auto"/>
                    <w:ind w:firstLine="360" w:firstLineChars="200"/>
                    <w:jc w:val="both"/>
                    <w:textAlignment w:val="auto"/>
                    <w:rPr>
                      <w:rFonts w:hint="eastAsia"/>
                      <w:color w:val="auto"/>
                      <w:sz w:val="18"/>
                      <w:szCs w:val="18"/>
                      <w:u w:val="none"/>
                      <w:vertAlign w:val="baseline"/>
                      <w:lang w:val="en-US" w:eastAsia="zh-CN"/>
                    </w:rPr>
                  </w:pPr>
                  <w:r>
                    <w:rPr>
                      <w:rFonts w:hint="eastAsia"/>
                      <w:color w:val="auto"/>
                      <w:sz w:val="18"/>
                      <w:szCs w:val="18"/>
                      <w:u w:val="none"/>
                      <w:vertAlign w:val="baseline"/>
                      <w:lang w:val="en-US" w:eastAsia="zh-CN"/>
                    </w:rPr>
                    <w:t>b）粘土衬层厚度应不小于0.75m，且经压实、人工改性等措施处理后的饱和渗透系数不应大于1.0×10</w:t>
                  </w:r>
                  <w:r>
                    <w:rPr>
                      <w:rFonts w:hint="eastAsia"/>
                      <w:color w:val="auto"/>
                      <w:sz w:val="18"/>
                      <w:szCs w:val="18"/>
                      <w:u w:val="none"/>
                      <w:vertAlign w:val="superscript"/>
                      <w:lang w:val="en-US" w:eastAsia="zh-CN"/>
                    </w:rPr>
                    <w:t>-7</w:t>
                  </w:r>
                  <w:r>
                    <w:rPr>
                      <w:rFonts w:hint="eastAsia"/>
                      <w:color w:val="auto"/>
                      <w:sz w:val="18"/>
                      <w:szCs w:val="18"/>
                      <w:u w:val="none"/>
                      <w:vertAlign w:val="baseline"/>
                      <w:lang w:val="en-US" w:eastAsia="zh-CN"/>
                    </w:rPr>
                    <w:t>cm/s。使用其他粘土类防渗衬层材料时，应具有同等以上隔水效力。</w:t>
                  </w:r>
                </w:p>
                <w:p>
                  <w:pPr>
                    <w:rPr>
                      <w:rFonts w:hint="eastAsia"/>
                      <w:color w:val="auto"/>
                      <w:u w:val="none"/>
                      <w:lang w:val="en-US" w:eastAsia="zh-CN"/>
                    </w:rPr>
                  </w:pPr>
                </w:p>
              </w:tc>
              <w:tc>
                <w:tcPr>
                  <w:tcW w:w="2284" w:type="dxa"/>
                  <w:vMerge w:val="continue"/>
                  <w:noWrap w:val="0"/>
                  <w:vAlign w:val="center"/>
                </w:tcPr>
                <w:p>
                  <w:pPr>
                    <w:pStyle w:val="2"/>
                    <w:keepNext w:val="0"/>
                    <w:keepLines w:val="0"/>
                    <w:pageBreakBefore w:val="0"/>
                    <w:widowControl w:val="0"/>
                    <w:kinsoku/>
                    <w:wordWrap/>
                    <w:overflowPunct/>
                    <w:topLinePunct w:val="0"/>
                    <w:autoSpaceDE w:val="0"/>
                    <w:autoSpaceDN w:val="0"/>
                    <w:bidi w:val="0"/>
                    <w:adjustRightInd w:val="0"/>
                    <w:snapToGrid/>
                    <w:ind w:firstLine="360" w:firstLineChars="200"/>
                    <w:jc w:val="both"/>
                    <w:textAlignment w:val="auto"/>
                    <w:rPr>
                      <w:rFonts w:hint="eastAsia"/>
                      <w:color w:val="auto"/>
                      <w:sz w:val="18"/>
                      <w:szCs w:val="18"/>
                      <w:u w:val="none"/>
                      <w:vertAlign w:val="baseline"/>
                      <w:lang w:val="en-US" w:eastAsia="zh-CN"/>
                    </w:rPr>
                  </w:pPr>
                </w:p>
              </w:tc>
              <w:tc>
                <w:tcPr>
                  <w:tcW w:w="1431" w:type="dxa"/>
                  <w:noWrap w:val="0"/>
                  <w:vAlign w:val="center"/>
                </w:tcPr>
                <w:p>
                  <w:pPr>
                    <w:pStyle w:val="2"/>
                    <w:jc w:val="center"/>
                    <w:rPr>
                      <w:rFonts w:hint="eastAsia"/>
                      <w:color w:val="auto"/>
                      <w:sz w:val="18"/>
                      <w:szCs w:val="18"/>
                      <w:u w:val="none"/>
                      <w:vertAlign w:val="baseline"/>
                      <w:lang w:val="en-US" w:eastAsia="zh-CN"/>
                    </w:rPr>
                  </w:pPr>
                  <w:r>
                    <w:rPr>
                      <w:rFonts w:hint="eastAsia"/>
                      <w:color w:val="auto"/>
                      <w:sz w:val="18"/>
                      <w:szCs w:val="18"/>
                      <w:u w:val="none"/>
                      <w:vertAlign w:val="baseline"/>
                      <w:lang w:val="en-US" w:eastAsia="zh-CN"/>
                    </w:rPr>
                    <w:t>符合</w:t>
                  </w:r>
                </w:p>
              </w:tc>
            </w:tr>
          </w:tbl>
          <w:p>
            <w:pPr>
              <w:numPr>
                <w:ilvl w:val="0"/>
                <w:numId w:val="2"/>
              </w:numPr>
              <w:spacing w:line="360" w:lineRule="auto"/>
              <w:ind w:firstLine="482" w:firstLineChars="200"/>
              <w:rPr>
                <w:rFonts w:hint="eastAsia" w:ascii="Times New Roman" w:hAnsi="Times New Roman" w:eastAsia="宋体" w:cs="Times New Roman"/>
                <w:b/>
                <w:bCs/>
                <w:color w:val="auto"/>
                <w:sz w:val="24"/>
                <w:u w:val="single"/>
                <w:lang w:val="en-US" w:eastAsia="zh-CN"/>
              </w:rPr>
            </w:pPr>
            <w:r>
              <w:rPr>
                <w:rFonts w:hint="eastAsia" w:ascii="Times New Roman" w:hAnsi="Times New Roman" w:eastAsia="宋体" w:cs="Times New Roman"/>
                <w:b/>
                <w:bCs/>
                <w:color w:val="auto"/>
                <w:sz w:val="24"/>
                <w:u w:val="single"/>
                <w:lang w:val="en-US" w:eastAsia="zh-CN"/>
              </w:rPr>
              <w:t>与《国务院办公厅关于加快构建废弃物循环利用体系的意见》符合性分析</w:t>
            </w:r>
          </w:p>
          <w:p>
            <w:pPr>
              <w:spacing w:line="360" w:lineRule="auto"/>
              <w:ind w:firstLine="480" w:firstLineChars="200"/>
              <w:rPr>
                <w:rFonts w:hint="eastAsia"/>
                <w:b/>
                <w:bCs/>
                <w:color w:val="auto"/>
                <w:sz w:val="24"/>
                <w:szCs w:val="24"/>
                <w:u w:val="single"/>
              </w:rPr>
            </w:pPr>
            <w:r>
              <w:rPr>
                <w:rFonts w:hint="eastAsia"/>
                <w:color w:val="auto"/>
                <w:sz w:val="24"/>
                <w:szCs w:val="24"/>
                <w:u w:val="single"/>
                <w:lang w:val="en-US" w:eastAsia="zh-CN"/>
              </w:rPr>
              <w:t>根据《国务院办公厅关于加快构建废弃物循环利用体系的意见》一、总体要求，到2025年，初步建成覆盖各领域、各环节的废弃物循环利用体系，主要废弃物循环利用取得积极进展。尾矿、粉煤灰、煤矸石、冶炼渣、工业副产石膏、建筑垃圾、秸秆等大宗固体废弃物年利用量达到40亿吨，新增大宗固体废弃物综合利用率达到60%。废钢铁、废铜、废铝、废铅、废锌、废纸、废塑料、废橡胶、废玻璃等主要再生资源年利用量达到4.5亿吨。资源循环利用产业年产值达到5万亿元。三、提高废弃物资源化和再利用水平，四）强化大宗固体废弃物综合利用。进一步拓宽大宗固体废弃物综合利用渠道，在符合环境质量标准和要求前提下，加强综合利用产品在建筑领域推广应用，畅通井下充填、生态修复、路基材料等利用消纳渠道，促进尾矿、冶炼渣中有价组分高效提取和清洁利用。加大复杂难用工业固体废弃物规模化利用技术装备研发力度。持续推进秸秆综合利用工作。本项目利用中盐天友历史遗留废渣（一般工业固废）掺配制砖，符合《国务院办公厅关于加快构建废弃物循环利用体系的意见》</w:t>
            </w:r>
          </w:p>
          <w:p>
            <w:pPr>
              <w:spacing w:line="360" w:lineRule="auto"/>
              <w:ind w:firstLine="482" w:firstLineChars="200"/>
              <w:rPr>
                <w:rFonts w:hint="eastAsia" w:ascii="Times New Roman" w:hAnsi="Times New Roman" w:eastAsia="宋体" w:cs="Times New Roman"/>
                <w:b/>
                <w:bCs/>
                <w:color w:val="auto"/>
                <w:sz w:val="24"/>
                <w:u w:val="none"/>
                <w:lang w:val="en-US" w:eastAsia="zh-CN"/>
              </w:rPr>
            </w:pPr>
            <w:r>
              <w:rPr>
                <w:rFonts w:hint="eastAsia" w:ascii="Times New Roman" w:hAnsi="Times New Roman" w:eastAsia="宋体" w:cs="Times New Roman"/>
                <w:b/>
                <w:bCs/>
                <w:color w:val="auto"/>
                <w:sz w:val="24"/>
                <w:u w:val="none"/>
                <w:lang w:val="en-US" w:eastAsia="zh-CN"/>
              </w:rPr>
              <w:t>10、与《湖南省工业炉窑大气污染综合治理实施方案》符合性分析</w:t>
            </w:r>
          </w:p>
          <w:p>
            <w:pPr>
              <w:pStyle w:val="2"/>
              <w:jc w:val="center"/>
              <w:rPr>
                <w:rFonts w:hint="eastAsia"/>
                <w:color w:val="auto"/>
                <w:highlight w:val="none"/>
                <w:u w:val="none"/>
                <w:lang w:val="en-US" w:eastAsia="zh-CN"/>
              </w:rPr>
            </w:pPr>
            <w:r>
              <w:rPr>
                <w:rFonts w:hint="default" w:ascii="Times New Roman" w:hAnsi="Times New Roman" w:eastAsia="宋体" w:cs="Times New Roman"/>
                <w:b/>
                <w:bCs/>
                <w:color w:val="auto"/>
                <w:sz w:val="21"/>
                <w:szCs w:val="21"/>
                <w:highlight w:val="none"/>
                <w:u w:val="none"/>
                <w:lang w:val="en-US" w:eastAsia="zh-CN"/>
              </w:rPr>
              <w:t>表1-</w:t>
            </w:r>
            <w:r>
              <w:rPr>
                <w:rFonts w:hint="eastAsia" w:ascii="Times New Roman" w:hAnsi="Times New Roman" w:eastAsia="宋体" w:cs="Times New Roman"/>
                <w:b/>
                <w:bCs/>
                <w:color w:val="auto"/>
                <w:sz w:val="21"/>
                <w:szCs w:val="21"/>
                <w:highlight w:val="none"/>
                <w:u w:val="none"/>
                <w:lang w:val="en-US" w:eastAsia="zh-CN"/>
              </w:rPr>
              <w:t>7</w:t>
            </w:r>
            <w:r>
              <w:rPr>
                <w:rFonts w:hint="default" w:ascii="Times New Roman" w:hAnsi="Times New Roman" w:eastAsia="宋体" w:cs="Times New Roman"/>
                <w:b/>
                <w:bCs/>
                <w:color w:val="auto"/>
                <w:sz w:val="21"/>
                <w:szCs w:val="21"/>
                <w:highlight w:val="none"/>
                <w:u w:val="none"/>
                <w:lang w:val="en-US" w:eastAsia="zh-CN"/>
              </w:rPr>
              <w:t>与《湖南省工业炉窑大气污染综合治理实施方案》的符合性分析</w:t>
            </w:r>
          </w:p>
          <w:tbl>
            <w:tblPr>
              <w:tblStyle w:val="31"/>
              <w:tblW w:w="6679" w:type="dxa"/>
              <w:tblInd w:w="-5"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313"/>
              <w:gridCol w:w="313"/>
              <w:gridCol w:w="3287"/>
              <w:gridCol w:w="1898"/>
              <w:gridCol w:w="868"/>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3913" w:type="dxa"/>
                  <w:gridSpan w:val="3"/>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z w:val="18"/>
                      <w:szCs w:val="18"/>
                      <w:highlight w:val="none"/>
                      <w:u w:val="none"/>
                      <w:vertAlign w:val="baseline"/>
                      <w:lang w:val="en-US" w:eastAsia="zh-CN"/>
                    </w:rPr>
                  </w:pPr>
                  <w:r>
                    <w:rPr>
                      <w:rFonts w:hint="eastAsia" w:ascii="Times New Roman" w:hAnsi="Times New Roman" w:eastAsia="宋体" w:cs="Times New Roman"/>
                      <w:b w:val="0"/>
                      <w:bCs w:val="0"/>
                      <w:color w:val="auto"/>
                      <w:sz w:val="18"/>
                      <w:szCs w:val="18"/>
                      <w:highlight w:val="none"/>
                      <w:u w:val="none"/>
                      <w:vertAlign w:val="baseline"/>
                      <w:lang w:val="en-US" w:eastAsia="zh-CN"/>
                    </w:rPr>
                    <w:t>实施方案相关要求</w:t>
                  </w:r>
                </w:p>
              </w:tc>
              <w:tc>
                <w:tcPr>
                  <w:tcW w:w="189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z w:val="18"/>
                      <w:szCs w:val="18"/>
                      <w:highlight w:val="none"/>
                      <w:u w:val="none"/>
                      <w:vertAlign w:val="baseline"/>
                      <w:lang w:val="en-US" w:eastAsia="zh-CN"/>
                    </w:rPr>
                  </w:pPr>
                  <w:r>
                    <w:rPr>
                      <w:rFonts w:hint="eastAsia" w:ascii="Times New Roman" w:hAnsi="Times New Roman" w:eastAsia="宋体" w:cs="Times New Roman"/>
                      <w:b w:val="0"/>
                      <w:bCs w:val="0"/>
                      <w:color w:val="auto"/>
                      <w:sz w:val="18"/>
                      <w:szCs w:val="18"/>
                      <w:highlight w:val="none"/>
                      <w:u w:val="none"/>
                      <w:vertAlign w:val="baseline"/>
                      <w:lang w:val="en-US" w:eastAsia="zh-CN"/>
                    </w:rPr>
                    <w:t>本项目情况</w:t>
                  </w:r>
                </w:p>
              </w:tc>
              <w:tc>
                <w:tcPr>
                  <w:tcW w:w="86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z w:val="18"/>
                      <w:szCs w:val="18"/>
                      <w:highlight w:val="none"/>
                      <w:u w:val="none"/>
                      <w:vertAlign w:val="baseline"/>
                      <w:lang w:val="en-US" w:eastAsia="zh-CN"/>
                    </w:rPr>
                  </w:pPr>
                  <w:r>
                    <w:rPr>
                      <w:rFonts w:hint="eastAsia" w:ascii="Times New Roman" w:hAnsi="Times New Roman" w:eastAsia="宋体" w:cs="Times New Roman"/>
                      <w:b w:val="0"/>
                      <w:bCs w:val="0"/>
                      <w:color w:val="auto"/>
                      <w:sz w:val="18"/>
                      <w:szCs w:val="18"/>
                      <w:highlight w:val="none"/>
                      <w:u w:val="none"/>
                      <w:vertAlign w:val="baseline"/>
                      <w:lang w:val="en-US" w:eastAsia="zh-CN"/>
                    </w:rPr>
                    <w:t>符合情况</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88" w:hRule="atLeast"/>
              </w:trPr>
              <w:tc>
                <w:tcPr>
                  <w:tcW w:w="313"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z w:val="18"/>
                      <w:szCs w:val="18"/>
                      <w:highlight w:val="none"/>
                      <w:u w:val="none"/>
                      <w:vertAlign w:val="baseline"/>
                      <w:lang w:val="en-US" w:eastAsia="zh-CN"/>
                    </w:rPr>
                  </w:pPr>
                  <w:r>
                    <w:rPr>
                      <w:rFonts w:hint="eastAsia" w:ascii="Times New Roman" w:hAnsi="Times New Roman" w:eastAsia="宋体" w:cs="Times New Roman"/>
                      <w:b w:val="0"/>
                      <w:bCs w:val="0"/>
                      <w:color w:val="auto"/>
                      <w:sz w:val="18"/>
                      <w:szCs w:val="18"/>
                      <w:highlight w:val="none"/>
                      <w:u w:val="none"/>
                      <w:vertAlign w:val="baseline"/>
                      <w:lang w:val="en-US" w:eastAsia="zh-CN"/>
                    </w:rPr>
                    <w:t>总体要求</w:t>
                  </w:r>
                </w:p>
              </w:tc>
              <w:tc>
                <w:tcPr>
                  <w:tcW w:w="31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z w:val="18"/>
                      <w:szCs w:val="18"/>
                      <w:highlight w:val="none"/>
                      <w:u w:val="none"/>
                      <w:vertAlign w:val="baseline"/>
                      <w:lang w:val="en-US" w:eastAsia="zh-CN"/>
                    </w:rPr>
                  </w:pPr>
                  <w:r>
                    <w:rPr>
                      <w:rFonts w:hint="eastAsia" w:ascii="Times New Roman" w:hAnsi="Times New Roman" w:eastAsia="宋体" w:cs="Times New Roman"/>
                      <w:b w:val="0"/>
                      <w:bCs w:val="0"/>
                      <w:color w:val="auto"/>
                      <w:sz w:val="18"/>
                      <w:szCs w:val="18"/>
                      <w:highlight w:val="none"/>
                      <w:u w:val="none"/>
                      <w:vertAlign w:val="baseline"/>
                      <w:lang w:val="en-US" w:eastAsia="zh-CN"/>
                    </w:rPr>
                    <w:t>工作目标</w:t>
                  </w:r>
                </w:p>
              </w:tc>
              <w:tc>
                <w:tcPr>
                  <w:tcW w:w="328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360" w:firstLineChars="200"/>
                    <w:jc w:val="both"/>
                    <w:textAlignment w:val="auto"/>
                    <w:rPr>
                      <w:rFonts w:hint="eastAsia" w:ascii="Times New Roman" w:hAnsi="Times New Roman" w:eastAsia="宋体" w:cs="Times New Roman"/>
                      <w:b w:val="0"/>
                      <w:bCs w:val="0"/>
                      <w:color w:val="auto"/>
                      <w:sz w:val="18"/>
                      <w:szCs w:val="18"/>
                      <w:highlight w:val="none"/>
                      <w:u w:val="none"/>
                      <w:vertAlign w:val="baseline"/>
                      <w:lang w:val="en-US" w:eastAsia="zh-CN"/>
                    </w:rPr>
                  </w:pPr>
                  <w:r>
                    <w:rPr>
                      <w:rFonts w:hint="eastAsia" w:ascii="Times New Roman" w:hAnsi="Times New Roman" w:eastAsia="宋体" w:cs="Times New Roman"/>
                      <w:b w:val="0"/>
                      <w:bCs w:val="0"/>
                      <w:color w:val="auto"/>
                      <w:sz w:val="18"/>
                      <w:szCs w:val="18"/>
                      <w:highlight w:val="none"/>
                      <w:u w:val="none"/>
                      <w:vertAlign w:val="baseline"/>
                      <w:lang w:val="en-US" w:eastAsia="zh-CN"/>
                    </w:rPr>
                    <w:t>到2020年，全省建立相对完善的工业炉窑管理清单，加快制订工业炉窑大气污染物排放地方标准，完善我省工业炉窑大气污染综合治理管理体系，推进工业炉窑全面达标排放，全省工业炉窑装备和污染治理水平明显提高;到2022年，按照新发布的地方标准完成重点行业工业炉窑主要大气污染物提标改造，实现工业行业二氧化硫、氨氧化物、颗粒物等污染物排放量进一步下降，促进钢铁、建材等重点行业二氧化碳排放总量得到有效控制，推动环境空气质量持续改善和产业高质量发展。</w:t>
                  </w:r>
                </w:p>
              </w:tc>
              <w:tc>
                <w:tcPr>
                  <w:tcW w:w="189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360" w:firstLineChars="200"/>
                    <w:jc w:val="both"/>
                    <w:textAlignment w:val="auto"/>
                    <w:rPr>
                      <w:rFonts w:hint="eastAsia" w:ascii="Times New Roman" w:hAnsi="Times New Roman" w:eastAsia="宋体" w:cs="Times New Roman"/>
                      <w:b w:val="0"/>
                      <w:bCs w:val="0"/>
                      <w:color w:val="auto"/>
                      <w:sz w:val="18"/>
                      <w:szCs w:val="18"/>
                      <w:highlight w:val="none"/>
                      <w:u w:val="none"/>
                      <w:vertAlign w:val="baseline"/>
                      <w:lang w:val="en-US" w:eastAsia="zh-CN"/>
                    </w:rPr>
                  </w:pPr>
                  <w:r>
                    <w:rPr>
                      <w:rFonts w:hint="eastAsia" w:ascii="Times New Roman" w:hAnsi="Times New Roman" w:eastAsia="宋体" w:cs="Times New Roman"/>
                      <w:b w:val="0"/>
                      <w:bCs w:val="0"/>
                      <w:color w:val="auto"/>
                      <w:sz w:val="18"/>
                      <w:szCs w:val="18"/>
                      <w:highlight w:val="none"/>
                      <w:u w:val="none"/>
                      <w:vertAlign w:val="baseline"/>
                      <w:lang w:val="en-US" w:eastAsia="zh-CN"/>
                    </w:rPr>
                    <w:t>目前，湖南省已制定了相应的地方标准DB43/3082-2024，本项目二氧化硫、</w:t>
                  </w:r>
                  <w:r>
                    <w:rPr>
                      <w:rFonts w:hint="eastAsia" w:cs="Times New Roman"/>
                      <w:b w:val="0"/>
                      <w:bCs w:val="0"/>
                      <w:color w:val="auto"/>
                      <w:sz w:val="18"/>
                      <w:szCs w:val="18"/>
                      <w:highlight w:val="none"/>
                      <w:u w:val="none"/>
                      <w:vertAlign w:val="baseline"/>
                      <w:lang w:val="en-US" w:eastAsia="zh-CN"/>
                    </w:rPr>
                    <w:t>氮</w:t>
                  </w:r>
                  <w:r>
                    <w:rPr>
                      <w:rFonts w:hint="eastAsia" w:ascii="Times New Roman" w:hAnsi="Times New Roman" w:eastAsia="宋体" w:cs="Times New Roman"/>
                      <w:b w:val="0"/>
                      <w:bCs w:val="0"/>
                      <w:color w:val="auto"/>
                      <w:sz w:val="18"/>
                      <w:szCs w:val="18"/>
                      <w:highlight w:val="none"/>
                      <w:u w:val="none"/>
                      <w:vertAlign w:val="baseline"/>
                      <w:lang w:val="en-US" w:eastAsia="zh-CN"/>
                    </w:rPr>
                    <w:t>氧化物、颗粒物等污染物的排放浓度均未超过本省地标规定的排放限值。</w:t>
                  </w:r>
                </w:p>
              </w:tc>
              <w:tc>
                <w:tcPr>
                  <w:tcW w:w="86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z w:val="18"/>
                      <w:szCs w:val="18"/>
                      <w:highlight w:val="none"/>
                      <w:u w:val="none"/>
                      <w:vertAlign w:val="baseline"/>
                      <w:lang w:val="en-US" w:eastAsia="zh-CN"/>
                    </w:rPr>
                  </w:pPr>
                  <w:r>
                    <w:rPr>
                      <w:rFonts w:hint="eastAsia" w:ascii="Times New Roman" w:hAnsi="Times New Roman" w:eastAsia="宋体" w:cs="Times New Roman"/>
                      <w:b w:val="0"/>
                      <w:bCs w:val="0"/>
                      <w:color w:val="auto"/>
                      <w:sz w:val="18"/>
                      <w:szCs w:val="18"/>
                      <w:highlight w:val="none"/>
                      <w:u w:val="none"/>
                      <w:vertAlign w:val="baseline"/>
                      <w:lang w:val="en-US" w:eastAsia="zh-CN"/>
                    </w:rP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66" w:hRule="atLeast"/>
              </w:trPr>
              <w:tc>
                <w:tcPr>
                  <w:tcW w:w="313"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z w:val="18"/>
                      <w:szCs w:val="18"/>
                      <w:highlight w:val="none"/>
                      <w:u w:val="none"/>
                      <w:vertAlign w:val="baseline"/>
                      <w:lang w:val="en-US" w:eastAsia="zh-CN"/>
                    </w:rPr>
                  </w:pPr>
                </w:p>
              </w:tc>
              <w:tc>
                <w:tcPr>
                  <w:tcW w:w="313"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z w:val="18"/>
                      <w:szCs w:val="18"/>
                      <w:highlight w:val="none"/>
                      <w:u w:val="none"/>
                      <w:vertAlign w:val="baseline"/>
                      <w:lang w:val="en-US" w:eastAsia="zh-CN"/>
                    </w:rPr>
                  </w:pPr>
                  <w:r>
                    <w:rPr>
                      <w:rFonts w:hint="eastAsia" w:ascii="Times New Roman" w:hAnsi="Times New Roman" w:eastAsia="宋体" w:cs="Times New Roman"/>
                      <w:b w:val="0"/>
                      <w:bCs w:val="0"/>
                      <w:color w:val="auto"/>
                      <w:sz w:val="18"/>
                      <w:szCs w:val="18"/>
                      <w:highlight w:val="none"/>
                      <w:u w:val="none"/>
                      <w:vertAlign w:val="baseline"/>
                      <w:lang w:val="en-US" w:eastAsia="zh-CN"/>
                    </w:rPr>
                    <w:t>指标要求</w:t>
                  </w:r>
                </w:p>
              </w:tc>
              <w:tc>
                <w:tcPr>
                  <w:tcW w:w="328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eastAsia="宋体" w:cs="Times New Roman"/>
                      <w:b w:val="0"/>
                      <w:bCs w:val="0"/>
                      <w:color w:val="auto"/>
                      <w:sz w:val="18"/>
                      <w:szCs w:val="18"/>
                      <w:highlight w:val="none"/>
                      <w:u w:val="none"/>
                      <w:vertAlign w:val="baseline"/>
                      <w:lang w:val="en-US" w:eastAsia="zh-CN"/>
                    </w:rPr>
                  </w:pPr>
                  <w:r>
                    <w:rPr>
                      <w:rFonts w:hint="eastAsia" w:ascii="Times New Roman" w:hAnsi="Times New Roman" w:eastAsia="宋体" w:cs="Times New Roman"/>
                      <w:b w:val="0"/>
                      <w:bCs w:val="0"/>
                      <w:color w:val="auto"/>
                      <w:sz w:val="18"/>
                      <w:szCs w:val="18"/>
                      <w:highlight w:val="none"/>
                      <w:u w:val="none"/>
                      <w:vertAlign w:val="baseline"/>
                      <w:lang w:val="en-US" w:eastAsia="zh-CN"/>
                    </w:rPr>
                    <w:t>1.有组织排放控制要求</w:t>
                  </w:r>
                </w:p>
                <w:p>
                  <w:pPr>
                    <w:keepNext w:val="0"/>
                    <w:keepLines w:val="0"/>
                    <w:pageBreakBefore w:val="0"/>
                    <w:widowControl w:val="0"/>
                    <w:kinsoku/>
                    <w:wordWrap/>
                    <w:overflowPunct/>
                    <w:topLinePunct w:val="0"/>
                    <w:autoSpaceDE/>
                    <w:autoSpaceDN/>
                    <w:bidi w:val="0"/>
                    <w:adjustRightInd/>
                    <w:snapToGrid/>
                    <w:spacing w:line="240" w:lineRule="auto"/>
                    <w:ind w:firstLine="360" w:firstLineChars="200"/>
                    <w:jc w:val="both"/>
                    <w:textAlignment w:val="auto"/>
                    <w:rPr>
                      <w:rFonts w:hint="default" w:ascii="Times New Roman" w:hAnsi="Times New Roman" w:eastAsia="宋体" w:cs="Times New Roman"/>
                      <w:b w:val="0"/>
                      <w:bCs w:val="0"/>
                      <w:color w:val="auto"/>
                      <w:sz w:val="18"/>
                      <w:szCs w:val="18"/>
                      <w:highlight w:val="none"/>
                      <w:u w:val="none"/>
                      <w:vertAlign w:val="baseline"/>
                      <w:lang w:val="en-US" w:eastAsia="zh-CN"/>
                    </w:rPr>
                  </w:pPr>
                  <w:r>
                    <w:rPr>
                      <w:rFonts w:hint="eastAsia" w:ascii="Times New Roman" w:hAnsi="Times New Roman" w:eastAsia="宋体" w:cs="Times New Roman"/>
                      <w:b w:val="0"/>
                      <w:bCs w:val="0"/>
                      <w:color w:val="auto"/>
                      <w:sz w:val="18"/>
                      <w:szCs w:val="18"/>
                      <w:highlight w:val="none"/>
                      <w:u w:val="none"/>
                      <w:vertAlign w:val="baseline"/>
                      <w:lang w:val="en-US" w:eastAsia="zh-CN"/>
                    </w:rPr>
                    <w:t>已有行业排放标准的工业炉密，严格按行业排放标准执行，已发放排污许可证的，应严格执行排污许可要求。暂未制订行业排放标准的工业炉密，待地方标准出台后执行，现阶段长沙市、株洲市、湘潭市以及常德市、岳阳市、益阳市等传输通道城市按照颗粒物、二氧化硫、氧化物排放限值分别不高于30、200、300毫克/立方米实施改造，其中，日用玻璃、玻璃棉行业氮氧化物排放限值不高于400毫克/立方米，水泥生产企业氮氧化物排放限值不高于100毫克/立方米，铸造行业烧结、高炉工序污染排放控制按照钢铁行业相关标准要求执行。</w:t>
                  </w:r>
                </w:p>
              </w:tc>
              <w:tc>
                <w:tcPr>
                  <w:tcW w:w="189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360" w:firstLineChars="200"/>
                    <w:jc w:val="both"/>
                    <w:textAlignment w:val="auto"/>
                    <w:rPr>
                      <w:rFonts w:hint="eastAsia" w:ascii="Times New Roman" w:hAnsi="Times New Roman" w:eastAsia="宋体" w:cs="Times New Roman"/>
                      <w:b w:val="0"/>
                      <w:bCs w:val="0"/>
                      <w:color w:val="auto"/>
                      <w:sz w:val="18"/>
                      <w:szCs w:val="18"/>
                      <w:highlight w:val="none"/>
                      <w:u w:val="none"/>
                      <w:vertAlign w:val="baseline"/>
                      <w:lang w:val="en-US" w:eastAsia="zh-CN"/>
                    </w:rPr>
                  </w:pPr>
                  <w:r>
                    <w:rPr>
                      <w:rFonts w:hint="eastAsia" w:ascii="Times New Roman" w:hAnsi="Times New Roman" w:eastAsia="宋体" w:cs="Times New Roman"/>
                      <w:b w:val="0"/>
                      <w:bCs w:val="0"/>
                      <w:color w:val="auto"/>
                      <w:sz w:val="18"/>
                      <w:szCs w:val="18"/>
                      <w:highlight w:val="none"/>
                      <w:u w:val="none"/>
                      <w:vertAlign w:val="baseline"/>
                      <w:lang w:val="en-US" w:eastAsia="zh-CN"/>
                    </w:rPr>
                    <w:t>目前，湖南省已制定了相应的地方标准《工业炉窑主要大气污染物排放标准》DB43/3082-2024，本项目二氧化硫、氨氧化物、颗粒物等污染物的排放执行上述标准中提到的排放限值。</w:t>
                  </w:r>
                </w:p>
              </w:tc>
              <w:tc>
                <w:tcPr>
                  <w:tcW w:w="86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z w:val="18"/>
                      <w:szCs w:val="18"/>
                      <w:highlight w:val="none"/>
                      <w:u w:val="none"/>
                      <w:vertAlign w:val="baseline"/>
                      <w:lang w:val="en-US" w:eastAsia="zh-CN"/>
                    </w:rPr>
                  </w:pPr>
                  <w:r>
                    <w:rPr>
                      <w:rFonts w:hint="eastAsia" w:ascii="Times New Roman" w:hAnsi="Times New Roman" w:eastAsia="宋体" w:cs="Times New Roman"/>
                      <w:b w:val="0"/>
                      <w:bCs w:val="0"/>
                      <w:color w:val="auto"/>
                      <w:sz w:val="18"/>
                      <w:szCs w:val="18"/>
                      <w:highlight w:val="none"/>
                      <w:u w:val="none"/>
                      <w:vertAlign w:val="baseline"/>
                      <w:lang w:val="en-US" w:eastAsia="zh-CN"/>
                    </w:rP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13"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420" w:firstLineChars="200"/>
                    <w:jc w:val="both"/>
                    <w:textAlignment w:val="auto"/>
                    <w:rPr>
                      <w:b w:val="0"/>
                      <w:bCs w:val="0"/>
                      <w:color w:val="auto"/>
                      <w:highlight w:val="none"/>
                      <w:u w:val="none"/>
                    </w:rPr>
                  </w:pPr>
                </w:p>
              </w:tc>
              <w:tc>
                <w:tcPr>
                  <w:tcW w:w="313"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420" w:firstLineChars="200"/>
                    <w:jc w:val="both"/>
                    <w:textAlignment w:val="auto"/>
                    <w:rPr>
                      <w:b w:val="0"/>
                      <w:bCs w:val="0"/>
                      <w:color w:val="auto"/>
                      <w:highlight w:val="none"/>
                      <w:u w:val="none"/>
                    </w:rPr>
                  </w:pPr>
                </w:p>
              </w:tc>
              <w:tc>
                <w:tcPr>
                  <w:tcW w:w="328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Times New Roman" w:hAnsi="Times New Roman" w:eastAsia="宋体" w:cs="Times New Roman"/>
                      <w:b w:val="0"/>
                      <w:bCs w:val="0"/>
                      <w:color w:val="auto"/>
                      <w:sz w:val="18"/>
                      <w:szCs w:val="18"/>
                      <w:highlight w:val="none"/>
                      <w:u w:val="none"/>
                      <w:vertAlign w:val="baseline"/>
                      <w:lang w:val="en-US" w:eastAsia="zh-CN"/>
                    </w:rPr>
                  </w:pPr>
                  <w:r>
                    <w:rPr>
                      <w:rFonts w:hint="eastAsia" w:ascii="Times New Roman" w:hAnsi="Times New Roman" w:eastAsia="宋体" w:cs="Times New Roman"/>
                      <w:b w:val="0"/>
                      <w:bCs w:val="0"/>
                      <w:color w:val="auto"/>
                      <w:sz w:val="18"/>
                      <w:szCs w:val="18"/>
                      <w:highlight w:val="none"/>
                      <w:u w:val="none"/>
                      <w:vertAlign w:val="baseline"/>
                      <w:lang w:val="en-US" w:eastAsia="zh-CN"/>
                    </w:rPr>
                    <w:t>2.无组织排放控制要求</w:t>
                  </w:r>
                </w:p>
                <w:p>
                  <w:pPr>
                    <w:keepNext w:val="0"/>
                    <w:keepLines w:val="0"/>
                    <w:pageBreakBefore w:val="0"/>
                    <w:widowControl w:val="0"/>
                    <w:kinsoku/>
                    <w:wordWrap/>
                    <w:overflowPunct/>
                    <w:topLinePunct w:val="0"/>
                    <w:autoSpaceDE/>
                    <w:autoSpaceDN/>
                    <w:bidi w:val="0"/>
                    <w:adjustRightInd/>
                    <w:snapToGrid/>
                    <w:spacing w:line="240" w:lineRule="auto"/>
                    <w:ind w:firstLine="360" w:firstLineChars="200"/>
                    <w:jc w:val="left"/>
                    <w:textAlignment w:val="auto"/>
                    <w:rPr>
                      <w:rFonts w:hint="eastAsia" w:ascii="Times New Roman" w:hAnsi="Times New Roman" w:eastAsia="宋体" w:cs="Times New Roman"/>
                      <w:b w:val="0"/>
                      <w:bCs w:val="0"/>
                      <w:color w:val="auto"/>
                      <w:sz w:val="18"/>
                      <w:szCs w:val="18"/>
                      <w:highlight w:val="none"/>
                      <w:u w:val="none"/>
                      <w:vertAlign w:val="baseline"/>
                      <w:lang w:val="en-US" w:eastAsia="zh-CN"/>
                    </w:rPr>
                  </w:pPr>
                  <w:r>
                    <w:rPr>
                      <w:rFonts w:hint="eastAsia" w:ascii="Times New Roman" w:hAnsi="Times New Roman" w:eastAsia="宋体" w:cs="Times New Roman"/>
                      <w:b w:val="0"/>
                      <w:bCs w:val="0"/>
                      <w:color w:val="auto"/>
                      <w:sz w:val="18"/>
                      <w:szCs w:val="18"/>
                      <w:highlight w:val="none"/>
                      <w:u w:val="none"/>
                      <w:vertAlign w:val="baseline"/>
                      <w:lang w:val="en-US" w:eastAsia="zh-CN"/>
                    </w:rPr>
                    <w:t>严格控制工业炉窑生产过程及相关物料储存、输送等无组织排放，在保障生产安全的前提下，采取密闭、封闭等有效措施，有效提高废气收集率，产尘点及车间不得有可见烟粉尘外逸。生产工艺产尘点(装置)应采取密闭、封闭或设置集气罩等措施。煤粉、粉煤灰、石灰、除尘灰、脱硫灰等粉状物料应密闭或封闭储存，采用密闭皮带、封闭通廊、管状带式输送机或密闭车厢、真空罐车、气力输送等方式输送。粒状、块状物料应采用入棚入仓或建设防风抑尘网等方式进行储存，粒状物料采用密闭、封闭等方式输送。物料输送过程中产尘点应采取有效抑尘措施。</w:t>
                  </w:r>
                </w:p>
              </w:tc>
              <w:tc>
                <w:tcPr>
                  <w:tcW w:w="189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360" w:firstLineChars="200"/>
                    <w:jc w:val="both"/>
                    <w:textAlignment w:val="auto"/>
                    <w:rPr>
                      <w:rFonts w:hint="eastAsia" w:ascii="Times New Roman" w:hAnsi="Times New Roman" w:eastAsia="宋体" w:cs="Times New Roman"/>
                      <w:b w:val="0"/>
                      <w:bCs w:val="0"/>
                      <w:color w:val="auto"/>
                      <w:sz w:val="18"/>
                      <w:szCs w:val="18"/>
                      <w:highlight w:val="none"/>
                      <w:u w:val="none"/>
                      <w:vertAlign w:val="baseline"/>
                      <w:lang w:val="en-US" w:eastAsia="zh-CN"/>
                    </w:rPr>
                  </w:pPr>
                  <w:r>
                    <w:rPr>
                      <w:rFonts w:hint="eastAsia" w:ascii="Times New Roman" w:hAnsi="Times New Roman" w:eastAsia="宋体" w:cs="Times New Roman"/>
                      <w:b w:val="0"/>
                      <w:bCs w:val="0"/>
                      <w:color w:val="auto"/>
                      <w:sz w:val="18"/>
                      <w:szCs w:val="18"/>
                      <w:highlight w:val="none"/>
                      <w:u w:val="none"/>
                      <w:vertAlign w:val="baseline"/>
                      <w:lang w:val="en-US" w:eastAsia="zh-CN"/>
                    </w:rPr>
                    <w:t>本项目在项目易产尘的区域均采取了除尘抑尘措施：破碎区设有集气装置和布袋除尘装置，用于收集和处置该工序所产生的粉尘；原料堆场已进行三面围挡，并在场内配有洒水车进行抑尘；原料运输车辆采用篷布遮盖；场内道路已进行水泥硬化，同时设有洒水抑尘装置。</w:t>
                  </w:r>
                </w:p>
              </w:tc>
              <w:tc>
                <w:tcPr>
                  <w:tcW w:w="86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z w:val="18"/>
                      <w:szCs w:val="18"/>
                      <w:highlight w:val="none"/>
                      <w:u w:val="none"/>
                      <w:vertAlign w:val="baseline"/>
                      <w:lang w:val="en-US" w:eastAsia="zh-CN"/>
                    </w:rPr>
                  </w:pPr>
                  <w:r>
                    <w:rPr>
                      <w:rFonts w:hint="eastAsia" w:ascii="Times New Roman" w:hAnsi="Times New Roman" w:eastAsia="宋体" w:cs="Times New Roman"/>
                      <w:b w:val="0"/>
                      <w:bCs w:val="0"/>
                      <w:color w:val="auto"/>
                      <w:sz w:val="18"/>
                      <w:szCs w:val="18"/>
                      <w:highlight w:val="none"/>
                      <w:u w:val="none"/>
                      <w:vertAlign w:val="baseline"/>
                      <w:lang w:val="en-US" w:eastAsia="zh-CN"/>
                    </w:rP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8" w:hRule="atLeast"/>
              </w:trPr>
              <w:tc>
                <w:tcPr>
                  <w:tcW w:w="626" w:type="dxa"/>
                  <w:gridSpan w:val="2"/>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z w:val="18"/>
                      <w:szCs w:val="18"/>
                      <w:highlight w:val="none"/>
                      <w:u w:val="none"/>
                      <w:vertAlign w:val="baseline"/>
                      <w:lang w:val="en-US" w:eastAsia="zh-CN"/>
                    </w:rPr>
                  </w:pPr>
                  <w:r>
                    <w:rPr>
                      <w:rFonts w:hint="eastAsia" w:ascii="Times New Roman" w:hAnsi="Times New Roman" w:eastAsia="宋体" w:cs="Times New Roman"/>
                      <w:b w:val="0"/>
                      <w:bCs w:val="0"/>
                      <w:color w:val="auto"/>
                      <w:sz w:val="18"/>
                      <w:szCs w:val="18"/>
                      <w:highlight w:val="none"/>
                      <w:u w:val="none"/>
                      <w:vertAlign w:val="baseline"/>
                      <w:lang w:val="en-US" w:eastAsia="zh-CN"/>
                    </w:rPr>
                    <w:t>工</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z w:val="18"/>
                      <w:szCs w:val="18"/>
                      <w:highlight w:val="none"/>
                      <w:u w:val="none"/>
                      <w:vertAlign w:val="baseline"/>
                      <w:lang w:val="en-US" w:eastAsia="zh-CN"/>
                    </w:rPr>
                  </w:pPr>
                  <w:r>
                    <w:rPr>
                      <w:rFonts w:hint="eastAsia" w:ascii="Times New Roman" w:hAnsi="Times New Roman" w:eastAsia="宋体" w:cs="Times New Roman"/>
                      <w:b w:val="0"/>
                      <w:bCs w:val="0"/>
                      <w:color w:val="auto"/>
                      <w:sz w:val="18"/>
                      <w:szCs w:val="18"/>
                      <w:highlight w:val="none"/>
                      <w:u w:val="none"/>
                      <w:vertAlign w:val="baseline"/>
                      <w:lang w:val="en-US" w:eastAsia="zh-CN"/>
                    </w:rPr>
                    <w:t>作</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z w:val="18"/>
                      <w:szCs w:val="18"/>
                      <w:highlight w:val="none"/>
                      <w:u w:val="none"/>
                      <w:vertAlign w:val="baseline"/>
                      <w:lang w:val="en-US" w:eastAsia="zh-CN"/>
                    </w:rPr>
                  </w:pPr>
                  <w:r>
                    <w:rPr>
                      <w:rFonts w:hint="eastAsia" w:ascii="Times New Roman" w:hAnsi="Times New Roman" w:eastAsia="宋体" w:cs="Times New Roman"/>
                      <w:b w:val="0"/>
                      <w:bCs w:val="0"/>
                      <w:color w:val="auto"/>
                      <w:sz w:val="18"/>
                      <w:szCs w:val="18"/>
                      <w:highlight w:val="none"/>
                      <w:u w:val="none"/>
                      <w:vertAlign w:val="baseline"/>
                      <w:lang w:val="en-US" w:eastAsia="zh-CN"/>
                    </w:rPr>
                    <w:t>措</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z w:val="18"/>
                      <w:szCs w:val="18"/>
                      <w:highlight w:val="none"/>
                      <w:u w:val="none"/>
                      <w:vertAlign w:val="baseline"/>
                      <w:lang w:val="en-US" w:eastAsia="zh-CN"/>
                    </w:rPr>
                  </w:pPr>
                  <w:r>
                    <w:rPr>
                      <w:rFonts w:hint="eastAsia" w:ascii="Times New Roman" w:hAnsi="Times New Roman" w:eastAsia="宋体" w:cs="Times New Roman"/>
                      <w:b w:val="0"/>
                      <w:bCs w:val="0"/>
                      <w:color w:val="auto"/>
                      <w:sz w:val="18"/>
                      <w:szCs w:val="18"/>
                      <w:highlight w:val="none"/>
                      <w:u w:val="none"/>
                      <w:vertAlign w:val="baseline"/>
                      <w:lang w:val="en-US" w:eastAsia="zh-CN"/>
                    </w:rPr>
                    <w:t>施</w:t>
                  </w:r>
                </w:p>
              </w:tc>
              <w:tc>
                <w:tcPr>
                  <w:tcW w:w="328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360" w:firstLineChars="200"/>
                    <w:jc w:val="both"/>
                    <w:textAlignment w:val="auto"/>
                    <w:rPr>
                      <w:rFonts w:hint="eastAsia" w:ascii="Times New Roman" w:hAnsi="Times New Roman" w:eastAsia="宋体" w:cs="Times New Roman"/>
                      <w:b w:val="0"/>
                      <w:bCs w:val="0"/>
                      <w:color w:val="auto"/>
                      <w:sz w:val="18"/>
                      <w:szCs w:val="18"/>
                      <w:highlight w:val="none"/>
                      <w:u w:val="none"/>
                      <w:vertAlign w:val="baseline"/>
                      <w:lang w:val="en-US" w:eastAsia="zh-CN"/>
                    </w:rPr>
                  </w:pPr>
                  <w:r>
                    <w:rPr>
                      <w:rFonts w:hint="eastAsia" w:ascii="Times New Roman" w:hAnsi="Times New Roman" w:eastAsia="宋体" w:cs="Times New Roman"/>
                      <w:b w:val="0"/>
                      <w:bCs w:val="0"/>
                      <w:color w:val="auto"/>
                      <w:sz w:val="18"/>
                      <w:szCs w:val="18"/>
                      <w:highlight w:val="none"/>
                      <w:u w:val="none"/>
                      <w:vertAlign w:val="baseline"/>
                      <w:lang w:val="en-US" w:eastAsia="zh-CN"/>
                    </w:rPr>
                    <w:t>提升产业高质量发展水平。严格建设项目环境准入，新建涉及工业炉密的建设项目，原则上要入园区，配套建设高效环保治理设施。严格控制涉工业炉密建设项目，严格执行钢铁、水泥、平板玻璃等行业产能置换实施办法。加大落后产能和不达标工业炉窑淘汰力度，分行业清理《产业结构调整指导目录》(2019年)淘汰类工业炉窑。对热效率低下、敞开未封闭，装备简易落后、自动化程度低，无组织排放突出，以及无治理设施或治理设施工艺落后等严重污染环境的工业炉密，依法责令停业关闭。</w:t>
                  </w:r>
                </w:p>
              </w:tc>
              <w:tc>
                <w:tcPr>
                  <w:tcW w:w="189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360" w:firstLineChars="200"/>
                    <w:jc w:val="both"/>
                    <w:textAlignment w:val="auto"/>
                    <w:rPr>
                      <w:rFonts w:hint="eastAsia" w:ascii="Times New Roman" w:hAnsi="Times New Roman" w:eastAsia="宋体" w:cs="Times New Roman"/>
                      <w:b w:val="0"/>
                      <w:bCs w:val="0"/>
                      <w:color w:val="auto"/>
                      <w:sz w:val="18"/>
                      <w:szCs w:val="18"/>
                      <w:highlight w:val="none"/>
                      <w:u w:val="none"/>
                      <w:vertAlign w:val="baseline"/>
                      <w:lang w:val="en-US" w:eastAsia="zh-CN"/>
                    </w:rPr>
                  </w:pPr>
                  <w:r>
                    <w:rPr>
                      <w:rFonts w:hint="eastAsia" w:ascii="Times New Roman" w:hAnsi="Times New Roman" w:eastAsia="宋体" w:cs="Times New Roman"/>
                      <w:b w:val="0"/>
                      <w:bCs w:val="0"/>
                      <w:color w:val="auto"/>
                      <w:sz w:val="18"/>
                      <w:szCs w:val="18"/>
                      <w:highlight w:val="none"/>
                      <w:u w:val="none"/>
                      <w:vertAlign w:val="baseline"/>
                      <w:lang w:val="en-US" w:eastAsia="zh-CN"/>
                    </w:rPr>
                    <w:t>本项目隧道窑不属于《产业结构调整指导目录》中的淘汰类工业炉窑，且本项目在各产污工序均设置了污染治理设施，污染物可以达标排放。</w:t>
                  </w:r>
                </w:p>
              </w:tc>
              <w:tc>
                <w:tcPr>
                  <w:tcW w:w="86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z w:val="18"/>
                      <w:szCs w:val="18"/>
                      <w:highlight w:val="none"/>
                      <w:u w:val="none"/>
                      <w:vertAlign w:val="baseline"/>
                      <w:lang w:val="en-US" w:eastAsia="zh-CN"/>
                    </w:rPr>
                  </w:pPr>
                  <w:r>
                    <w:rPr>
                      <w:rFonts w:hint="eastAsia" w:ascii="Times New Roman" w:hAnsi="Times New Roman" w:eastAsia="宋体" w:cs="Times New Roman"/>
                      <w:b w:val="0"/>
                      <w:bCs w:val="0"/>
                      <w:color w:val="auto"/>
                      <w:sz w:val="18"/>
                      <w:szCs w:val="18"/>
                      <w:highlight w:val="none"/>
                      <w:u w:val="none"/>
                      <w:vertAlign w:val="baseline"/>
                      <w:lang w:val="en-US" w:eastAsia="zh-CN"/>
                    </w:rP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543" w:hRule="atLeast"/>
              </w:trPr>
              <w:tc>
                <w:tcPr>
                  <w:tcW w:w="626" w:type="dxa"/>
                  <w:gridSpan w:val="2"/>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z w:val="18"/>
                      <w:szCs w:val="18"/>
                      <w:highlight w:val="none"/>
                      <w:u w:val="none"/>
                      <w:vertAlign w:val="baseline"/>
                      <w:lang w:val="en-US" w:eastAsia="zh-CN"/>
                    </w:rPr>
                  </w:pPr>
                </w:p>
              </w:tc>
              <w:tc>
                <w:tcPr>
                  <w:tcW w:w="328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360" w:firstLineChars="200"/>
                    <w:jc w:val="both"/>
                    <w:textAlignment w:val="auto"/>
                    <w:rPr>
                      <w:rFonts w:hint="eastAsia" w:ascii="Times New Roman" w:hAnsi="Times New Roman" w:eastAsia="宋体" w:cs="Times New Roman"/>
                      <w:b w:val="0"/>
                      <w:bCs w:val="0"/>
                      <w:color w:val="auto"/>
                      <w:sz w:val="18"/>
                      <w:szCs w:val="18"/>
                      <w:highlight w:val="none"/>
                      <w:u w:val="none"/>
                      <w:vertAlign w:val="baseline"/>
                      <w:lang w:val="en-US" w:eastAsia="zh-CN"/>
                    </w:rPr>
                  </w:pPr>
                  <w:r>
                    <w:rPr>
                      <w:rFonts w:hint="eastAsia" w:ascii="Times New Roman" w:hAnsi="Times New Roman" w:eastAsia="宋体" w:cs="Times New Roman"/>
                      <w:b w:val="0"/>
                      <w:bCs w:val="0"/>
                      <w:color w:val="auto"/>
                      <w:sz w:val="18"/>
                      <w:szCs w:val="18"/>
                      <w:highlight w:val="none"/>
                      <w:u w:val="none"/>
                      <w:vertAlign w:val="baseline"/>
                      <w:lang w:val="en-US" w:eastAsia="zh-CN"/>
                    </w:rPr>
                    <w:t>分行业实施污染深度治理。</w:t>
                  </w:r>
                </w:p>
                <w:p>
                  <w:pPr>
                    <w:keepNext w:val="0"/>
                    <w:keepLines w:val="0"/>
                    <w:pageBreakBefore w:val="0"/>
                    <w:widowControl w:val="0"/>
                    <w:kinsoku/>
                    <w:wordWrap/>
                    <w:overflowPunct/>
                    <w:topLinePunct w:val="0"/>
                    <w:autoSpaceDE/>
                    <w:autoSpaceDN/>
                    <w:bidi w:val="0"/>
                    <w:adjustRightInd/>
                    <w:snapToGrid/>
                    <w:spacing w:line="240" w:lineRule="auto"/>
                    <w:ind w:firstLine="360" w:firstLineChars="200"/>
                    <w:jc w:val="both"/>
                    <w:textAlignment w:val="auto"/>
                    <w:rPr>
                      <w:rFonts w:hint="eastAsia" w:ascii="Times New Roman" w:hAnsi="Times New Roman" w:eastAsia="宋体" w:cs="Times New Roman"/>
                      <w:b w:val="0"/>
                      <w:bCs w:val="0"/>
                      <w:color w:val="auto"/>
                      <w:sz w:val="18"/>
                      <w:szCs w:val="18"/>
                      <w:highlight w:val="none"/>
                      <w:u w:val="none"/>
                      <w:vertAlign w:val="baseline"/>
                      <w:lang w:val="en-US" w:eastAsia="zh-CN"/>
                    </w:rPr>
                  </w:pPr>
                  <w:r>
                    <w:rPr>
                      <w:rFonts w:hint="eastAsia" w:ascii="Times New Roman" w:hAnsi="Times New Roman" w:eastAsia="宋体" w:cs="Times New Roman"/>
                      <w:b w:val="0"/>
                      <w:bCs w:val="0"/>
                      <w:color w:val="auto"/>
                      <w:sz w:val="18"/>
                      <w:szCs w:val="18"/>
                      <w:highlight w:val="none"/>
                      <w:u w:val="none"/>
                      <w:vertAlign w:val="baseline"/>
                      <w:lang w:val="en-US" w:eastAsia="zh-CN"/>
                    </w:rPr>
                    <w:t>砖瓦行业。以煤、煤矸石、柴油等为燃料的烧结砖瓦窑应配备高效除尘、高效脱硫设施；以生物质、天然气等为燃料的烧结砖瓦窑配备除尘设施。</w:t>
                  </w:r>
                </w:p>
              </w:tc>
              <w:tc>
                <w:tcPr>
                  <w:tcW w:w="189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360" w:firstLineChars="200"/>
                    <w:jc w:val="both"/>
                    <w:textAlignment w:val="auto"/>
                    <w:rPr>
                      <w:rFonts w:hint="eastAsia" w:ascii="Times New Roman" w:hAnsi="Times New Roman" w:eastAsia="宋体" w:cs="Times New Roman"/>
                      <w:b w:val="0"/>
                      <w:bCs w:val="0"/>
                      <w:color w:val="auto"/>
                      <w:sz w:val="18"/>
                      <w:szCs w:val="18"/>
                      <w:highlight w:val="none"/>
                      <w:u w:val="none"/>
                      <w:vertAlign w:val="baseline"/>
                      <w:lang w:val="en-US" w:eastAsia="zh-CN"/>
                    </w:rPr>
                  </w:pPr>
                  <w:r>
                    <w:rPr>
                      <w:rFonts w:hint="eastAsia" w:ascii="Times New Roman" w:hAnsi="Times New Roman" w:eastAsia="宋体" w:cs="Times New Roman"/>
                      <w:b w:val="0"/>
                      <w:bCs w:val="0"/>
                      <w:color w:val="auto"/>
                      <w:sz w:val="18"/>
                      <w:szCs w:val="18"/>
                      <w:highlight w:val="none"/>
                      <w:u w:val="none"/>
                      <w:vertAlign w:val="baseline"/>
                      <w:lang w:val="en-US" w:eastAsia="zh-CN"/>
                    </w:rPr>
                    <w:t>本项目隧道窑以</w:t>
                  </w:r>
                  <w:r>
                    <w:rPr>
                      <w:rFonts w:hint="eastAsia" w:cs="Times New Roman"/>
                      <w:b w:val="0"/>
                      <w:bCs w:val="0"/>
                      <w:color w:val="auto"/>
                      <w:sz w:val="18"/>
                      <w:szCs w:val="18"/>
                      <w:highlight w:val="none"/>
                      <w:u w:val="none"/>
                      <w:vertAlign w:val="baseline"/>
                      <w:lang w:val="en-US" w:eastAsia="zh-CN"/>
                    </w:rPr>
                    <w:t>煤矸石</w:t>
                  </w:r>
                  <w:r>
                    <w:rPr>
                      <w:rFonts w:hint="eastAsia" w:ascii="Times New Roman" w:hAnsi="Times New Roman" w:eastAsia="宋体" w:cs="Times New Roman"/>
                      <w:b w:val="0"/>
                      <w:bCs w:val="0"/>
                      <w:color w:val="auto"/>
                      <w:sz w:val="18"/>
                      <w:szCs w:val="18"/>
                      <w:highlight w:val="none"/>
                      <w:u w:val="none"/>
                      <w:vertAlign w:val="baseline"/>
                      <w:lang w:val="en-US" w:eastAsia="zh-CN"/>
                    </w:rPr>
                    <w:t>为燃料，并配备了高效除尘、高效脱硫设施</w:t>
                  </w:r>
                </w:p>
              </w:tc>
              <w:tc>
                <w:tcPr>
                  <w:tcW w:w="86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z w:val="18"/>
                      <w:szCs w:val="18"/>
                      <w:highlight w:val="none"/>
                      <w:u w:val="none"/>
                      <w:vertAlign w:val="baseline"/>
                      <w:lang w:val="en-US" w:eastAsia="zh-CN"/>
                    </w:rPr>
                  </w:pPr>
                  <w:r>
                    <w:rPr>
                      <w:rFonts w:hint="eastAsia" w:ascii="Times New Roman" w:hAnsi="Times New Roman" w:eastAsia="宋体" w:cs="Times New Roman"/>
                      <w:b w:val="0"/>
                      <w:bCs w:val="0"/>
                      <w:color w:val="auto"/>
                      <w:sz w:val="18"/>
                      <w:szCs w:val="18"/>
                      <w:highlight w:val="none"/>
                      <w:u w:val="none"/>
                      <w:vertAlign w:val="baseline"/>
                      <w:lang w:val="en-US" w:eastAsia="zh-CN"/>
                    </w:rP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23" w:hRule="atLeast"/>
              </w:trPr>
              <w:tc>
                <w:tcPr>
                  <w:tcW w:w="626" w:type="dxa"/>
                  <w:gridSpan w:val="2"/>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FF0000"/>
                      <w:sz w:val="18"/>
                      <w:szCs w:val="18"/>
                      <w:highlight w:val="none"/>
                      <w:u w:val="single"/>
                      <w:vertAlign w:val="baseline"/>
                      <w:lang w:val="en-US" w:eastAsia="zh-CN"/>
                    </w:rPr>
                  </w:pPr>
                </w:p>
              </w:tc>
              <w:tc>
                <w:tcPr>
                  <w:tcW w:w="328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360" w:firstLineChars="200"/>
                    <w:jc w:val="both"/>
                    <w:textAlignment w:val="auto"/>
                    <w:rPr>
                      <w:rFonts w:hint="eastAsia" w:ascii="Times New Roman" w:hAnsi="Times New Roman" w:eastAsia="宋体" w:cs="Times New Roman"/>
                      <w:b w:val="0"/>
                      <w:bCs w:val="0"/>
                      <w:color w:val="auto"/>
                      <w:sz w:val="18"/>
                      <w:szCs w:val="18"/>
                      <w:highlight w:val="none"/>
                      <w:u w:val="none"/>
                      <w:vertAlign w:val="baseline"/>
                      <w:lang w:val="en-US" w:eastAsia="zh-CN"/>
                    </w:rPr>
                  </w:pPr>
                  <w:r>
                    <w:rPr>
                      <w:rFonts w:hint="eastAsia" w:ascii="Times New Roman" w:hAnsi="Times New Roman" w:eastAsia="宋体" w:cs="Times New Roman"/>
                      <w:b w:val="0"/>
                      <w:bCs w:val="0"/>
                      <w:color w:val="auto"/>
                      <w:sz w:val="18"/>
                      <w:szCs w:val="18"/>
                      <w:highlight w:val="none"/>
                      <w:u w:val="none"/>
                      <w:vertAlign w:val="baseline"/>
                      <w:lang w:val="en-US" w:eastAsia="zh-CN"/>
                    </w:rPr>
                    <w:t>建立健全监测监控体系。加强重点污染源自动监控体系建设，排气口高度超过45米的高架源，纳入重点排污单位名录，督促企业安装烟气排放自动监控设施，已发放排污许可证的行业严格按照排污许可管理规定安装和运行自动监控设施，具备条件的企业，应通过分布式控制系统(DCS)等，自动连续记录工业炉密环保设施运行及相关生产过程主要参数，推进焦炉炉体等关键环节安装视频监控系统。强化监测数据质量控制，自动监控设施应与生态环境主管部门联网，加强自动监控设施运营维护，数据传输有效率达到90%以上。</w:t>
                  </w:r>
                </w:p>
              </w:tc>
              <w:tc>
                <w:tcPr>
                  <w:tcW w:w="189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360" w:firstLineChars="200"/>
                    <w:jc w:val="both"/>
                    <w:textAlignment w:val="auto"/>
                    <w:rPr>
                      <w:rFonts w:hint="eastAsia" w:ascii="Times New Roman" w:hAnsi="Times New Roman" w:eastAsia="宋体" w:cs="Times New Roman"/>
                      <w:b w:val="0"/>
                      <w:bCs w:val="0"/>
                      <w:color w:val="auto"/>
                      <w:sz w:val="18"/>
                      <w:szCs w:val="18"/>
                      <w:highlight w:val="none"/>
                      <w:u w:val="none"/>
                      <w:vertAlign w:val="baseline"/>
                      <w:lang w:val="en-US" w:eastAsia="zh-CN"/>
                    </w:rPr>
                  </w:pPr>
                  <w:r>
                    <w:rPr>
                      <w:rFonts w:hint="eastAsia" w:ascii="Times New Roman" w:hAnsi="Times New Roman" w:eastAsia="宋体" w:cs="Times New Roman"/>
                      <w:b w:val="0"/>
                      <w:bCs w:val="0"/>
                      <w:color w:val="auto"/>
                      <w:sz w:val="18"/>
                      <w:szCs w:val="18"/>
                      <w:highlight w:val="none"/>
                      <w:u w:val="none"/>
                      <w:vertAlign w:val="baseline"/>
                      <w:lang w:val="en-US" w:eastAsia="zh-CN"/>
                    </w:rPr>
                    <w:t>本项目在脱硫塔排放口处设置了烟气排放自动监控设施</w:t>
                  </w:r>
                </w:p>
              </w:tc>
              <w:tc>
                <w:tcPr>
                  <w:tcW w:w="86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z w:val="18"/>
                      <w:szCs w:val="18"/>
                      <w:highlight w:val="none"/>
                      <w:u w:val="none"/>
                      <w:vertAlign w:val="baseline"/>
                      <w:lang w:val="en-US" w:eastAsia="zh-CN"/>
                    </w:rPr>
                  </w:pPr>
                  <w:r>
                    <w:rPr>
                      <w:rFonts w:hint="eastAsia" w:ascii="Times New Roman" w:hAnsi="Times New Roman" w:eastAsia="宋体" w:cs="Times New Roman"/>
                      <w:b w:val="0"/>
                      <w:bCs w:val="0"/>
                      <w:color w:val="auto"/>
                      <w:sz w:val="18"/>
                      <w:szCs w:val="18"/>
                      <w:highlight w:val="none"/>
                      <w:u w:val="none"/>
                      <w:vertAlign w:val="baseline"/>
                      <w:lang w:val="en-US" w:eastAsia="zh-CN"/>
                    </w:rPr>
                    <w:t>符合</w:t>
                  </w:r>
                </w:p>
              </w:tc>
            </w:tr>
          </w:tbl>
          <w:p>
            <w:pPr>
              <w:keepNext w:val="0"/>
              <w:keepLines w:val="0"/>
              <w:pageBreakBefore w:val="0"/>
              <w:widowControl w:val="0"/>
              <w:kinsoku/>
              <w:wordWrap/>
              <w:overflowPunct/>
              <w:topLinePunct w:val="0"/>
              <w:autoSpaceDE/>
              <w:autoSpaceDN/>
              <w:bidi w:val="0"/>
              <w:adjustRightInd/>
              <w:snapToGrid/>
              <w:spacing w:line="160" w:lineRule="exact"/>
              <w:textAlignment w:val="auto"/>
              <w:rPr>
                <w:rFonts w:hint="eastAsia" w:ascii="Times New Roman" w:hAnsi="Times New Roman" w:eastAsia="宋体" w:cs="Times New Roman"/>
                <w:b/>
                <w:bCs/>
                <w:color w:val="FF0000"/>
                <w:sz w:val="24"/>
                <w:highlight w:val="none"/>
                <w:u w:val="single"/>
                <w:lang w:val="en-US" w:eastAsia="zh-CN"/>
              </w:rPr>
            </w:pPr>
          </w:p>
          <w:p>
            <w:pPr>
              <w:spacing w:line="360" w:lineRule="auto"/>
              <w:ind w:firstLine="482" w:firstLineChars="200"/>
              <w:rPr>
                <w:rFonts w:hint="eastAsia" w:ascii="Times New Roman" w:hAnsi="Times New Roman" w:eastAsia="宋体" w:cs="Times New Roman"/>
                <w:b/>
                <w:bCs/>
                <w:color w:val="auto"/>
                <w:sz w:val="24"/>
                <w:highlight w:val="none"/>
                <w:u w:val="none"/>
                <w:lang w:val="en-US" w:eastAsia="zh-CN"/>
              </w:rPr>
            </w:pPr>
            <w:r>
              <w:rPr>
                <w:rFonts w:hint="eastAsia" w:ascii="Times New Roman" w:hAnsi="Times New Roman" w:eastAsia="宋体" w:cs="Times New Roman"/>
                <w:b/>
                <w:bCs/>
                <w:color w:val="auto"/>
                <w:sz w:val="24"/>
                <w:highlight w:val="none"/>
                <w:u w:val="none"/>
                <w:lang w:val="en-US" w:eastAsia="zh-CN"/>
              </w:rPr>
              <w:t>11、与《湖南省空气质量持续改善行动计划实施方案》符合性分析</w:t>
            </w:r>
          </w:p>
          <w:p>
            <w:pPr>
              <w:pStyle w:val="2"/>
              <w:jc w:val="center"/>
              <w:rPr>
                <w:rFonts w:hint="eastAsia"/>
                <w:color w:val="auto"/>
                <w:highlight w:val="none"/>
                <w:u w:val="none"/>
                <w:lang w:val="en-US" w:eastAsia="zh-CN"/>
              </w:rPr>
            </w:pPr>
            <w:r>
              <w:rPr>
                <w:rFonts w:hint="default" w:ascii="Times New Roman" w:hAnsi="Times New Roman" w:eastAsia="宋体" w:cs="Times New Roman"/>
                <w:b/>
                <w:bCs/>
                <w:color w:val="auto"/>
                <w:sz w:val="21"/>
                <w:szCs w:val="21"/>
                <w:highlight w:val="none"/>
                <w:u w:val="none"/>
                <w:lang w:val="en-US" w:eastAsia="zh-CN"/>
              </w:rPr>
              <w:t>表1-</w:t>
            </w:r>
            <w:r>
              <w:rPr>
                <w:rFonts w:hint="eastAsia" w:ascii="Times New Roman" w:hAnsi="Times New Roman" w:eastAsia="宋体" w:cs="Times New Roman"/>
                <w:b/>
                <w:bCs/>
                <w:color w:val="auto"/>
                <w:sz w:val="21"/>
                <w:szCs w:val="21"/>
                <w:highlight w:val="none"/>
                <w:u w:val="none"/>
                <w:lang w:val="en-US" w:eastAsia="zh-CN"/>
              </w:rPr>
              <w:t>8</w:t>
            </w:r>
            <w:r>
              <w:rPr>
                <w:rFonts w:hint="default" w:ascii="Times New Roman" w:hAnsi="Times New Roman" w:eastAsia="宋体" w:cs="Times New Roman"/>
                <w:b/>
                <w:bCs/>
                <w:color w:val="auto"/>
                <w:sz w:val="21"/>
                <w:szCs w:val="21"/>
                <w:highlight w:val="none"/>
                <w:u w:val="none"/>
                <w:lang w:val="en-US" w:eastAsia="zh-CN"/>
              </w:rPr>
              <w:t>与《湖南省空气质量持续改善行动计划实施方案》的符合性分析</w:t>
            </w:r>
          </w:p>
          <w:tbl>
            <w:tblPr>
              <w:tblStyle w:val="31"/>
              <w:tblW w:w="7320" w:type="dxa"/>
              <w:tblInd w:w="-5"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3230"/>
              <w:gridCol w:w="3108"/>
              <w:gridCol w:w="982"/>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323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bCs/>
                      <w:color w:val="auto"/>
                      <w:sz w:val="18"/>
                      <w:szCs w:val="18"/>
                      <w:highlight w:val="none"/>
                      <w:u w:val="none"/>
                      <w:vertAlign w:val="baseline"/>
                      <w:lang w:val="en-US" w:eastAsia="zh-CN"/>
                    </w:rPr>
                  </w:pPr>
                  <w:r>
                    <w:rPr>
                      <w:rFonts w:hint="eastAsia" w:ascii="Times New Roman" w:hAnsi="Times New Roman" w:eastAsia="宋体" w:cs="Times New Roman"/>
                      <w:b/>
                      <w:bCs/>
                      <w:color w:val="auto"/>
                      <w:sz w:val="18"/>
                      <w:szCs w:val="18"/>
                      <w:highlight w:val="none"/>
                      <w:u w:val="none"/>
                      <w:vertAlign w:val="baseline"/>
                      <w:lang w:val="en-US" w:eastAsia="zh-CN"/>
                    </w:rPr>
                    <w:t>相关要求</w:t>
                  </w:r>
                </w:p>
              </w:tc>
              <w:tc>
                <w:tcPr>
                  <w:tcW w:w="310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bCs/>
                      <w:color w:val="auto"/>
                      <w:sz w:val="18"/>
                      <w:szCs w:val="18"/>
                      <w:highlight w:val="none"/>
                      <w:u w:val="none"/>
                      <w:vertAlign w:val="baseline"/>
                      <w:lang w:val="en-US" w:eastAsia="zh-CN"/>
                    </w:rPr>
                  </w:pPr>
                  <w:r>
                    <w:rPr>
                      <w:rFonts w:hint="eastAsia" w:ascii="Times New Roman" w:hAnsi="Times New Roman" w:eastAsia="宋体" w:cs="Times New Roman"/>
                      <w:b/>
                      <w:bCs/>
                      <w:color w:val="auto"/>
                      <w:sz w:val="18"/>
                      <w:szCs w:val="18"/>
                      <w:highlight w:val="none"/>
                      <w:u w:val="none"/>
                      <w:vertAlign w:val="baseline"/>
                      <w:lang w:val="en-US" w:eastAsia="zh-CN"/>
                    </w:rPr>
                    <w:t>本项目情况</w:t>
                  </w:r>
                </w:p>
              </w:tc>
              <w:tc>
                <w:tcPr>
                  <w:tcW w:w="98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bCs/>
                      <w:color w:val="auto"/>
                      <w:sz w:val="18"/>
                      <w:szCs w:val="18"/>
                      <w:highlight w:val="none"/>
                      <w:u w:val="none"/>
                      <w:vertAlign w:val="baseline"/>
                      <w:lang w:val="en-US" w:eastAsia="zh-CN"/>
                    </w:rPr>
                  </w:pPr>
                  <w:r>
                    <w:rPr>
                      <w:rFonts w:hint="eastAsia" w:ascii="Times New Roman" w:hAnsi="Times New Roman" w:eastAsia="宋体" w:cs="Times New Roman"/>
                      <w:b/>
                      <w:bCs/>
                      <w:color w:val="auto"/>
                      <w:sz w:val="18"/>
                      <w:szCs w:val="18"/>
                      <w:highlight w:val="none"/>
                      <w:u w:val="none"/>
                      <w:vertAlign w:val="baseline"/>
                      <w:lang w:val="en-US" w:eastAsia="zh-CN"/>
                    </w:rPr>
                    <w:t>符合情况</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323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360" w:firstLineChars="200"/>
                    <w:jc w:val="both"/>
                    <w:textAlignment w:val="auto"/>
                    <w:rPr>
                      <w:rFonts w:hint="eastAsia" w:ascii="Times New Roman" w:hAnsi="Times New Roman" w:eastAsia="宋体" w:cs="Times New Roman"/>
                      <w:b w:val="0"/>
                      <w:bCs w:val="0"/>
                      <w:color w:val="auto"/>
                      <w:sz w:val="18"/>
                      <w:szCs w:val="18"/>
                      <w:highlight w:val="none"/>
                      <w:u w:val="none"/>
                      <w:vertAlign w:val="baseline"/>
                      <w:lang w:val="en-US" w:eastAsia="zh-CN"/>
                    </w:rPr>
                  </w:pPr>
                  <w:r>
                    <w:rPr>
                      <w:rFonts w:hint="eastAsia" w:ascii="Times New Roman" w:hAnsi="Times New Roman" w:eastAsia="宋体" w:cs="Times New Roman"/>
                      <w:b w:val="0"/>
                      <w:bCs w:val="0"/>
                      <w:color w:val="auto"/>
                      <w:sz w:val="18"/>
                      <w:szCs w:val="18"/>
                      <w:highlight w:val="none"/>
                      <w:u w:val="none"/>
                      <w:vertAlign w:val="baseline"/>
                      <w:lang w:val="en-US" w:eastAsia="zh-CN"/>
                    </w:rPr>
                    <w:t>加强“两高”项目管理。新改扩建项目严格落实国家和省级产业规划、产业政策、生态环境分区管控方案、规划环评、项目环评、节能审查、产能置换、重点污染物总量控制、污染物排放区域削减、碳排放达峰目标等相关要求，原则上达到国内清洁生产先进水平、采用清洁运输方式，主要产品能效达到标杆水平。涉及产能置换、能耗替代、煤耗替代和污染物总量控制的项目，被置换产能及其配套设施关停，能耗、煤耗、新增污染物总量削减替代措施落实后，新建项目方可投产。严禁新增钢铁产能，建立多元化废钢资源保障体系，持续提升钢铁工业的废钢使用量。</w:t>
                  </w:r>
                </w:p>
              </w:tc>
              <w:tc>
                <w:tcPr>
                  <w:tcW w:w="310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360" w:firstLineChars="200"/>
                    <w:jc w:val="both"/>
                    <w:textAlignment w:val="auto"/>
                    <w:rPr>
                      <w:rFonts w:hint="eastAsia" w:ascii="Times New Roman" w:hAnsi="Times New Roman" w:eastAsia="宋体" w:cs="Times New Roman"/>
                      <w:b w:val="0"/>
                      <w:bCs w:val="0"/>
                      <w:color w:val="auto"/>
                      <w:sz w:val="18"/>
                      <w:szCs w:val="18"/>
                      <w:highlight w:val="none"/>
                      <w:u w:val="none"/>
                      <w:vertAlign w:val="baseline"/>
                      <w:lang w:val="en-US" w:eastAsia="zh-CN"/>
                    </w:rPr>
                  </w:pPr>
                  <w:r>
                    <w:rPr>
                      <w:rFonts w:hint="eastAsia" w:ascii="Times New Roman" w:hAnsi="Times New Roman" w:eastAsia="宋体" w:cs="Times New Roman"/>
                      <w:b w:val="0"/>
                      <w:bCs w:val="0"/>
                      <w:color w:val="auto"/>
                      <w:sz w:val="18"/>
                      <w:szCs w:val="18"/>
                      <w:highlight w:val="none"/>
                      <w:u w:val="none"/>
                      <w:vertAlign w:val="baseline"/>
                      <w:lang w:val="en-US" w:eastAsia="zh-CN"/>
                    </w:rPr>
                    <w:t>本项目属于“两高”项目</w:t>
                  </w:r>
                  <w:r>
                    <w:rPr>
                      <w:rFonts w:hint="eastAsia" w:cs="Times New Roman"/>
                      <w:b w:val="0"/>
                      <w:bCs w:val="0"/>
                      <w:color w:val="auto"/>
                      <w:sz w:val="18"/>
                      <w:szCs w:val="18"/>
                      <w:highlight w:val="none"/>
                      <w:u w:val="none"/>
                      <w:vertAlign w:val="baseline"/>
                      <w:lang w:val="en-US" w:eastAsia="zh-CN"/>
                    </w:rPr>
                    <w:t>名录中资源综合利用项目</w:t>
                  </w:r>
                  <w:r>
                    <w:rPr>
                      <w:rFonts w:hint="eastAsia" w:ascii="Times New Roman" w:hAnsi="Times New Roman" w:eastAsia="宋体" w:cs="Times New Roman"/>
                      <w:b w:val="0"/>
                      <w:bCs w:val="0"/>
                      <w:color w:val="auto"/>
                      <w:sz w:val="18"/>
                      <w:szCs w:val="18"/>
                      <w:highlight w:val="none"/>
                      <w:u w:val="none"/>
                      <w:vertAlign w:val="baseline"/>
                      <w:lang w:val="en-US" w:eastAsia="zh-CN"/>
                    </w:rPr>
                    <w:t>，且本项目各污染物均能达标排放，并且二氧化硫和氮氧化物排放量均</w:t>
                  </w:r>
                  <w:r>
                    <w:rPr>
                      <w:rFonts w:hint="eastAsia" w:cs="Times New Roman"/>
                      <w:b w:val="0"/>
                      <w:bCs w:val="0"/>
                      <w:color w:val="auto"/>
                      <w:sz w:val="18"/>
                      <w:szCs w:val="18"/>
                      <w:highlight w:val="none"/>
                      <w:u w:val="none"/>
                      <w:vertAlign w:val="baseline"/>
                      <w:lang w:val="en-US" w:eastAsia="zh-CN"/>
                    </w:rPr>
                    <w:t>未</w:t>
                  </w:r>
                  <w:r>
                    <w:rPr>
                      <w:rFonts w:hint="eastAsia" w:ascii="Times New Roman" w:hAnsi="Times New Roman" w:eastAsia="宋体" w:cs="Times New Roman"/>
                      <w:b w:val="0"/>
                      <w:bCs w:val="0"/>
                      <w:color w:val="auto"/>
                      <w:sz w:val="18"/>
                      <w:szCs w:val="18"/>
                      <w:highlight w:val="none"/>
                      <w:u w:val="none"/>
                      <w:vertAlign w:val="baseline"/>
                      <w:lang w:val="en-US" w:eastAsia="zh-CN"/>
                    </w:rPr>
                    <w:t>超过总量控制指标。</w:t>
                  </w:r>
                </w:p>
              </w:tc>
              <w:tc>
                <w:tcPr>
                  <w:tcW w:w="98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z w:val="18"/>
                      <w:szCs w:val="18"/>
                      <w:highlight w:val="none"/>
                      <w:u w:val="none"/>
                      <w:vertAlign w:val="baseline"/>
                      <w:lang w:val="en-US" w:eastAsia="zh-CN"/>
                    </w:rPr>
                  </w:pPr>
                  <w:r>
                    <w:rPr>
                      <w:rFonts w:hint="eastAsia" w:ascii="Times New Roman" w:hAnsi="Times New Roman" w:eastAsia="宋体" w:cs="Times New Roman"/>
                      <w:b w:val="0"/>
                      <w:bCs w:val="0"/>
                      <w:color w:val="auto"/>
                      <w:sz w:val="18"/>
                      <w:szCs w:val="18"/>
                      <w:highlight w:val="none"/>
                      <w:u w:val="none"/>
                      <w:vertAlign w:val="baseline"/>
                      <w:lang w:val="en-US" w:eastAsia="zh-CN"/>
                    </w:rP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70" w:hRule="atLeast"/>
              </w:trPr>
              <w:tc>
                <w:tcPr>
                  <w:tcW w:w="323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360" w:firstLineChars="200"/>
                    <w:jc w:val="both"/>
                    <w:textAlignment w:val="auto"/>
                    <w:rPr>
                      <w:rFonts w:hint="eastAsia" w:ascii="Times New Roman" w:hAnsi="Times New Roman" w:eastAsia="宋体" w:cs="Times New Roman"/>
                      <w:b w:val="0"/>
                      <w:bCs w:val="0"/>
                      <w:color w:val="auto"/>
                      <w:sz w:val="18"/>
                      <w:szCs w:val="18"/>
                      <w:highlight w:val="none"/>
                      <w:u w:val="none"/>
                      <w:vertAlign w:val="baseline"/>
                      <w:lang w:val="en-US" w:eastAsia="zh-CN"/>
                    </w:rPr>
                  </w:pPr>
                  <w:r>
                    <w:rPr>
                      <w:rFonts w:hint="eastAsia" w:ascii="Times New Roman" w:hAnsi="Times New Roman" w:eastAsia="宋体" w:cs="Times New Roman"/>
                      <w:b w:val="0"/>
                      <w:bCs w:val="0"/>
                      <w:color w:val="auto"/>
                      <w:sz w:val="18"/>
                      <w:szCs w:val="18"/>
                      <w:highlight w:val="none"/>
                      <w:u w:val="none"/>
                      <w:vertAlign w:val="baseline"/>
                      <w:lang w:val="en-US" w:eastAsia="zh-CN"/>
                    </w:rPr>
                    <w:t>加快退出重点行业落后产能。严格执行《产业结构调整指导目录》，制定实施利用能耗、环保、质量、安全、技术等标准推动落后产能退出年度工作方案，加大重点行业落后产能淘汰力度，推动大规模设备更新，开展小型生物质锅炉清理整合。到2025年，全省砖瓦窑企业全部完成综合整治，基本完成2蒸吨/小时及以下生物质锅炉淘汰。</w:t>
                  </w:r>
                </w:p>
              </w:tc>
              <w:tc>
                <w:tcPr>
                  <w:tcW w:w="310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360" w:firstLineChars="200"/>
                    <w:jc w:val="both"/>
                    <w:textAlignment w:val="auto"/>
                    <w:rPr>
                      <w:rFonts w:hint="eastAsia" w:ascii="Times New Roman" w:hAnsi="Times New Roman" w:eastAsia="宋体" w:cs="Times New Roman"/>
                      <w:b w:val="0"/>
                      <w:bCs w:val="0"/>
                      <w:color w:val="auto"/>
                      <w:sz w:val="18"/>
                      <w:szCs w:val="18"/>
                      <w:highlight w:val="none"/>
                      <w:u w:val="none"/>
                      <w:vertAlign w:val="baseline"/>
                      <w:lang w:val="en-US" w:eastAsia="zh-CN"/>
                    </w:rPr>
                  </w:pPr>
                  <w:r>
                    <w:rPr>
                      <w:rFonts w:hint="eastAsia" w:ascii="Times New Roman" w:hAnsi="Times New Roman" w:eastAsia="宋体" w:cs="Times New Roman"/>
                      <w:b w:val="0"/>
                      <w:bCs w:val="0"/>
                      <w:color w:val="auto"/>
                      <w:sz w:val="18"/>
                      <w:szCs w:val="18"/>
                      <w:highlight w:val="none"/>
                      <w:u w:val="none"/>
                      <w:vertAlign w:val="baseline"/>
                      <w:lang w:val="en-US" w:eastAsia="zh-CN"/>
                    </w:rPr>
                    <w:t>本项目</w:t>
                  </w:r>
                  <w:r>
                    <w:rPr>
                      <w:rFonts w:hint="eastAsia" w:cs="Times New Roman"/>
                      <w:b w:val="0"/>
                      <w:bCs w:val="0"/>
                      <w:color w:val="auto"/>
                      <w:sz w:val="18"/>
                      <w:szCs w:val="18"/>
                      <w:highlight w:val="none"/>
                      <w:u w:val="none"/>
                      <w:vertAlign w:val="baseline"/>
                      <w:lang w:val="en-US" w:eastAsia="zh-CN"/>
                    </w:rPr>
                    <w:t>掺配</w:t>
                  </w:r>
                  <w:r>
                    <w:rPr>
                      <w:rFonts w:hint="eastAsia" w:ascii="Times New Roman" w:hAnsi="Times New Roman" w:eastAsia="宋体" w:cs="Times New Roman"/>
                      <w:b w:val="0"/>
                      <w:bCs w:val="0"/>
                      <w:color w:val="auto"/>
                      <w:sz w:val="18"/>
                      <w:szCs w:val="18"/>
                      <w:highlight w:val="none"/>
                      <w:u w:val="none"/>
                      <w:vertAlign w:val="baseline"/>
                      <w:lang w:val="en-US" w:eastAsia="zh-CN"/>
                    </w:rPr>
                    <w:t>一般固废作为制砖原料，实现一般固废的综合利用，属于鼓励类建设项目。</w:t>
                  </w:r>
                </w:p>
                <w:p>
                  <w:pPr>
                    <w:keepNext w:val="0"/>
                    <w:keepLines w:val="0"/>
                    <w:pageBreakBefore w:val="0"/>
                    <w:widowControl w:val="0"/>
                    <w:kinsoku/>
                    <w:wordWrap/>
                    <w:overflowPunct/>
                    <w:topLinePunct w:val="0"/>
                    <w:autoSpaceDE/>
                    <w:autoSpaceDN/>
                    <w:bidi w:val="0"/>
                    <w:adjustRightInd/>
                    <w:snapToGrid/>
                    <w:spacing w:line="240" w:lineRule="auto"/>
                    <w:ind w:firstLine="360" w:firstLineChars="200"/>
                    <w:jc w:val="both"/>
                    <w:textAlignment w:val="auto"/>
                    <w:rPr>
                      <w:rFonts w:hint="eastAsia" w:ascii="Times New Roman" w:hAnsi="Times New Roman" w:eastAsia="宋体" w:cs="Times New Roman"/>
                      <w:b w:val="0"/>
                      <w:bCs w:val="0"/>
                      <w:color w:val="auto"/>
                      <w:sz w:val="18"/>
                      <w:szCs w:val="18"/>
                      <w:highlight w:val="none"/>
                      <w:u w:val="none"/>
                      <w:vertAlign w:val="baseline"/>
                      <w:lang w:val="en-US" w:eastAsia="zh-CN"/>
                    </w:rPr>
                  </w:pPr>
                  <w:r>
                    <w:rPr>
                      <w:rFonts w:hint="eastAsia" w:ascii="Times New Roman" w:hAnsi="Times New Roman" w:eastAsia="宋体" w:cs="Times New Roman"/>
                      <w:b w:val="0"/>
                      <w:bCs w:val="0"/>
                      <w:color w:val="auto"/>
                      <w:sz w:val="18"/>
                      <w:szCs w:val="18"/>
                      <w:highlight w:val="none"/>
                      <w:u w:val="none"/>
                      <w:vertAlign w:val="baseline"/>
                      <w:lang w:val="en-US" w:eastAsia="zh-CN"/>
                    </w:rPr>
                    <w:t>本项目所用设备不属于《部分工业行业淘汰落后工艺装备和产品指导目录（2010年本）》中所列项目，因此，本项目符合国家、地方产业政策。</w:t>
                  </w:r>
                </w:p>
              </w:tc>
              <w:tc>
                <w:tcPr>
                  <w:tcW w:w="98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z w:val="18"/>
                      <w:szCs w:val="18"/>
                      <w:highlight w:val="none"/>
                      <w:u w:val="none"/>
                      <w:vertAlign w:val="baseline"/>
                      <w:lang w:val="en-US" w:eastAsia="zh-CN"/>
                    </w:rPr>
                  </w:pPr>
                  <w:r>
                    <w:rPr>
                      <w:rFonts w:hint="eastAsia" w:cs="Times New Roman"/>
                      <w:b w:val="0"/>
                      <w:bCs w:val="0"/>
                      <w:color w:val="auto"/>
                      <w:sz w:val="18"/>
                      <w:szCs w:val="18"/>
                      <w:highlight w:val="none"/>
                      <w:u w:val="none"/>
                      <w:vertAlign w:val="baseline"/>
                      <w:lang w:val="en-US" w:eastAsia="zh-CN"/>
                    </w:rPr>
                    <w:t>符</w:t>
                  </w:r>
                  <w:r>
                    <w:rPr>
                      <w:rFonts w:hint="eastAsia" w:ascii="Times New Roman" w:hAnsi="Times New Roman" w:eastAsia="宋体" w:cs="Times New Roman"/>
                      <w:b w:val="0"/>
                      <w:bCs w:val="0"/>
                      <w:color w:val="auto"/>
                      <w:sz w:val="18"/>
                      <w:szCs w:val="18"/>
                      <w:highlight w:val="none"/>
                      <w:u w:val="none"/>
                      <w:vertAlign w:val="baseline"/>
                      <w:lang w:val="en-US" w:eastAsia="zh-CN"/>
                    </w:rPr>
                    <w:t>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711" w:hRule="atLeast"/>
              </w:trPr>
              <w:tc>
                <w:tcPr>
                  <w:tcW w:w="323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360" w:firstLineChars="200"/>
                    <w:jc w:val="both"/>
                    <w:textAlignment w:val="auto"/>
                    <w:rPr>
                      <w:rFonts w:hint="eastAsia" w:ascii="Times New Roman" w:hAnsi="Times New Roman" w:eastAsia="宋体" w:cs="Times New Roman"/>
                      <w:b w:val="0"/>
                      <w:bCs w:val="0"/>
                      <w:color w:val="auto"/>
                      <w:sz w:val="18"/>
                      <w:szCs w:val="18"/>
                      <w:highlight w:val="none"/>
                      <w:u w:val="none"/>
                      <w:vertAlign w:val="baseline"/>
                      <w:lang w:val="en-US" w:eastAsia="zh-CN"/>
                    </w:rPr>
                  </w:pPr>
                  <w:r>
                    <w:rPr>
                      <w:rFonts w:hint="eastAsia" w:ascii="Times New Roman" w:hAnsi="Times New Roman" w:eastAsia="宋体" w:cs="Times New Roman"/>
                      <w:b w:val="0"/>
                      <w:bCs w:val="0"/>
                      <w:color w:val="auto"/>
                      <w:sz w:val="18"/>
                      <w:szCs w:val="18"/>
                      <w:highlight w:val="none"/>
                      <w:u w:val="none"/>
                      <w:vertAlign w:val="baseline"/>
                      <w:lang w:val="en-US" w:eastAsia="zh-CN"/>
                    </w:rPr>
                    <w:t>推进重点行业污染深度治理。新改扩建钢铁冶炼、石化化工、电解铝、水泥、陶瓷、平板玻璃项目须达到环保绩效A级水平。2025年年底前全面完成4家钢铁企业、65蒸吨/小时及以上燃煤锅炉、重点城市30条水泥熟料线以及湖南煤化新能源超低排放改造。全面开展锅炉窑简易低效污染治理设施排查和分类处置，确保工业企业全面稳定达标排放，大力推进砖瓦、陶瓷、玻璃、有色等行业深度治理。开展燃气锅炉低氮燃烧改造，新建燃气锅炉全部采用低氮燃烧器。严格工业源烟气脱硫脱硝氨逃逸防控，加强烟气和含VOCs废气旁路管理。</w:t>
                  </w:r>
                </w:p>
              </w:tc>
              <w:tc>
                <w:tcPr>
                  <w:tcW w:w="310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360" w:firstLineChars="200"/>
                    <w:jc w:val="both"/>
                    <w:textAlignment w:val="auto"/>
                    <w:rPr>
                      <w:rFonts w:hint="eastAsia"/>
                      <w:color w:val="auto"/>
                      <w:highlight w:val="none"/>
                      <w:u w:val="none"/>
                      <w:lang w:val="en-US" w:eastAsia="zh-CN"/>
                    </w:rPr>
                  </w:pPr>
                  <w:r>
                    <w:rPr>
                      <w:rFonts w:hint="eastAsia" w:ascii="Times New Roman" w:hAnsi="Times New Roman" w:eastAsia="宋体" w:cs="Times New Roman"/>
                      <w:b w:val="0"/>
                      <w:bCs w:val="0"/>
                      <w:color w:val="auto"/>
                      <w:sz w:val="18"/>
                      <w:szCs w:val="18"/>
                      <w:highlight w:val="none"/>
                      <w:u w:val="none"/>
                      <w:vertAlign w:val="baseline"/>
                      <w:lang w:val="en-US" w:eastAsia="zh-CN"/>
                    </w:rPr>
                    <w:t>本项目厂区配置高效除尘设施，同时定期洒水抑尘，粉尘治理措施完善；采用</w:t>
                  </w:r>
                  <w:r>
                    <w:rPr>
                      <w:rFonts w:hint="eastAsia" w:cs="Times New Roman"/>
                      <w:b w:val="0"/>
                      <w:bCs w:val="0"/>
                      <w:color w:val="auto"/>
                      <w:sz w:val="18"/>
                      <w:szCs w:val="18"/>
                      <w:highlight w:val="none"/>
                      <w:u w:val="none"/>
                      <w:vertAlign w:val="baseline"/>
                      <w:lang w:val="en-US" w:eastAsia="zh-CN"/>
                    </w:rPr>
                    <w:t>氢氧化钠</w:t>
                  </w:r>
                  <w:r>
                    <w:rPr>
                      <w:rFonts w:hint="eastAsia" w:ascii="Times New Roman" w:hAnsi="Times New Roman" w:eastAsia="宋体" w:cs="Times New Roman"/>
                      <w:b w:val="0"/>
                      <w:bCs w:val="0"/>
                      <w:color w:val="auto"/>
                      <w:sz w:val="18"/>
                      <w:szCs w:val="18"/>
                      <w:highlight w:val="none"/>
                      <w:u w:val="none"/>
                      <w:vertAlign w:val="baseline"/>
                      <w:lang w:val="en-US" w:eastAsia="zh-CN"/>
                    </w:rPr>
                    <w:t>作为脱硫剂进行湿法脱硫除尘，使隧道窑废气得到有效处理。厂内无工艺废水外排，生活废水经收集后引至化粪池中，后用作农肥或周边绿化。项目产生的生活垃圾由环卫部门统一清运，废砖坯和砖块、除尘灰等一般固废回用于生产，废机油等危废交由有资质单位进行处置。项目污染物均能妥善处理并达标排放。</w:t>
                  </w:r>
                </w:p>
              </w:tc>
              <w:tc>
                <w:tcPr>
                  <w:tcW w:w="98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z w:val="18"/>
                      <w:szCs w:val="18"/>
                      <w:highlight w:val="none"/>
                      <w:u w:val="none"/>
                      <w:vertAlign w:val="baseline"/>
                      <w:lang w:val="en-US" w:eastAsia="zh-CN"/>
                    </w:rPr>
                  </w:pPr>
                  <w:r>
                    <w:rPr>
                      <w:rFonts w:hint="eastAsia" w:ascii="Times New Roman" w:hAnsi="Times New Roman" w:eastAsia="宋体" w:cs="Times New Roman"/>
                      <w:b w:val="0"/>
                      <w:bCs w:val="0"/>
                      <w:color w:val="auto"/>
                      <w:sz w:val="18"/>
                      <w:szCs w:val="18"/>
                      <w:highlight w:val="none"/>
                      <w:u w:val="none"/>
                      <w:vertAlign w:val="baseline"/>
                      <w:lang w:val="en-US" w:eastAsia="zh-CN"/>
                    </w:rPr>
                    <w:t>符合</w:t>
                  </w:r>
                </w:p>
              </w:tc>
            </w:tr>
          </w:tbl>
          <w:p>
            <w:pPr>
              <w:spacing w:line="360" w:lineRule="auto"/>
              <w:ind w:firstLine="482" w:firstLineChars="200"/>
              <w:rPr>
                <w:rFonts w:hint="eastAsia" w:ascii="Times New Roman" w:hAnsi="Times New Roman" w:eastAsia="宋体" w:cs="Times New Roman"/>
                <w:b/>
                <w:bCs/>
                <w:color w:val="auto"/>
                <w:sz w:val="24"/>
                <w:highlight w:val="none"/>
                <w:u w:val="none"/>
                <w:lang w:val="en-US" w:eastAsia="zh-CN"/>
              </w:rPr>
            </w:pPr>
            <w:r>
              <w:rPr>
                <w:rFonts w:hint="eastAsia" w:ascii="Times New Roman" w:hAnsi="Times New Roman" w:eastAsia="宋体" w:cs="Times New Roman"/>
                <w:b/>
                <w:bCs/>
                <w:color w:val="auto"/>
                <w:sz w:val="24"/>
                <w:highlight w:val="none"/>
                <w:u w:val="none"/>
                <w:lang w:val="en-US" w:eastAsia="zh-CN"/>
              </w:rPr>
              <w:t>12、与《衡阳市“十四五”生态环境保护规划》符合性分析</w:t>
            </w:r>
          </w:p>
          <w:p>
            <w:pPr>
              <w:pStyle w:val="2"/>
              <w:jc w:val="center"/>
              <w:rPr>
                <w:rFonts w:hint="eastAsia"/>
                <w:color w:val="auto"/>
                <w:highlight w:val="none"/>
                <w:u w:val="none"/>
                <w:lang w:val="en-US" w:eastAsia="zh-CN"/>
              </w:rPr>
            </w:pPr>
            <w:r>
              <w:rPr>
                <w:rFonts w:hint="default" w:ascii="Times New Roman" w:hAnsi="Times New Roman" w:eastAsia="宋体" w:cs="Times New Roman"/>
                <w:b/>
                <w:bCs/>
                <w:color w:val="auto"/>
                <w:sz w:val="21"/>
                <w:szCs w:val="21"/>
                <w:highlight w:val="none"/>
                <w:u w:val="none"/>
                <w:lang w:val="en-US" w:eastAsia="zh-CN"/>
              </w:rPr>
              <w:t>表1-</w:t>
            </w:r>
            <w:r>
              <w:rPr>
                <w:rFonts w:hint="eastAsia" w:ascii="Times New Roman" w:hAnsi="Times New Roman" w:eastAsia="宋体" w:cs="Times New Roman"/>
                <w:b/>
                <w:bCs/>
                <w:color w:val="auto"/>
                <w:sz w:val="21"/>
                <w:szCs w:val="21"/>
                <w:highlight w:val="none"/>
                <w:u w:val="none"/>
                <w:lang w:val="en-US" w:eastAsia="zh-CN"/>
              </w:rPr>
              <w:t>9</w:t>
            </w:r>
            <w:r>
              <w:rPr>
                <w:rFonts w:hint="default" w:ascii="Times New Roman" w:hAnsi="Times New Roman" w:eastAsia="宋体" w:cs="Times New Roman"/>
                <w:b/>
                <w:bCs/>
                <w:color w:val="auto"/>
                <w:sz w:val="21"/>
                <w:szCs w:val="21"/>
                <w:highlight w:val="none"/>
                <w:u w:val="none"/>
                <w:lang w:val="en-US" w:eastAsia="zh-CN"/>
              </w:rPr>
              <w:t>与《衡阳市“十四五”生态环境保护规划》的符合性分析</w:t>
            </w:r>
          </w:p>
          <w:tbl>
            <w:tblPr>
              <w:tblStyle w:val="31"/>
              <w:tblW w:w="6638" w:type="dxa"/>
              <w:tblInd w:w="-5"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2866"/>
              <w:gridCol w:w="2591"/>
              <w:gridCol w:w="1181"/>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21" w:hRule="atLeast"/>
              </w:trPr>
              <w:tc>
                <w:tcPr>
                  <w:tcW w:w="2866" w:type="dxa"/>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bCs/>
                      <w:color w:val="auto"/>
                      <w:sz w:val="18"/>
                      <w:szCs w:val="18"/>
                      <w:highlight w:val="none"/>
                      <w:u w:val="none"/>
                      <w:vertAlign w:val="baseline"/>
                      <w:lang w:val="en-US" w:eastAsia="zh-CN"/>
                    </w:rPr>
                  </w:pPr>
                  <w:r>
                    <w:rPr>
                      <w:rFonts w:hint="eastAsia" w:ascii="Times New Roman" w:hAnsi="Times New Roman" w:eastAsia="宋体" w:cs="Times New Roman"/>
                      <w:b/>
                      <w:bCs/>
                      <w:color w:val="auto"/>
                      <w:sz w:val="18"/>
                      <w:szCs w:val="18"/>
                      <w:highlight w:val="none"/>
                      <w:u w:val="none"/>
                      <w:vertAlign w:val="baseline"/>
                      <w:lang w:val="en-US" w:eastAsia="zh-CN"/>
                    </w:rPr>
                    <w:t>相关要求</w:t>
                  </w:r>
                </w:p>
              </w:tc>
              <w:tc>
                <w:tcPr>
                  <w:tcW w:w="2591" w:type="dxa"/>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bCs/>
                      <w:color w:val="auto"/>
                      <w:sz w:val="18"/>
                      <w:szCs w:val="18"/>
                      <w:highlight w:val="none"/>
                      <w:u w:val="none"/>
                      <w:vertAlign w:val="baseline"/>
                      <w:lang w:val="en-US" w:eastAsia="zh-CN"/>
                    </w:rPr>
                  </w:pPr>
                  <w:r>
                    <w:rPr>
                      <w:rFonts w:hint="eastAsia" w:ascii="Times New Roman" w:hAnsi="Times New Roman" w:eastAsia="宋体" w:cs="Times New Roman"/>
                      <w:b/>
                      <w:bCs/>
                      <w:color w:val="auto"/>
                      <w:sz w:val="18"/>
                      <w:szCs w:val="18"/>
                      <w:highlight w:val="none"/>
                      <w:u w:val="none"/>
                      <w:vertAlign w:val="baseline"/>
                      <w:lang w:val="en-US" w:eastAsia="zh-CN"/>
                    </w:rPr>
                    <w:t>本项目情况</w:t>
                  </w:r>
                </w:p>
              </w:tc>
              <w:tc>
                <w:tcPr>
                  <w:tcW w:w="1181" w:type="dxa"/>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bCs/>
                      <w:color w:val="auto"/>
                      <w:sz w:val="18"/>
                      <w:szCs w:val="18"/>
                      <w:highlight w:val="none"/>
                      <w:u w:val="none"/>
                      <w:vertAlign w:val="baseline"/>
                      <w:lang w:val="en-US" w:eastAsia="zh-CN"/>
                    </w:rPr>
                  </w:pPr>
                  <w:r>
                    <w:rPr>
                      <w:rFonts w:hint="eastAsia" w:ascii="Times New Roman" w:hAnsi="Times New Roman" w:eastAsia="宋体" w:cs="Times New Roman"/>
                      <w:b/>
                      <w:bCs/>
                      <w:color w:val="auto"/>
                      <w:sz w:val="18"/>
                      <w:szCs w:val="18"/>
                      <w:highlight w:val="none"/>
                      <w:u w:val="none"/>
                      <w:vertAlign w:val="baseline"/>
                      <w:lang w:val="en-US" w:eastAsia="zh-CN"/>
                    </w:rPr>
                    <w:t>符合情况</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42" w:hRule="atLeast"/>
              </w:trPr>
              <w:tc>
                <w:tcPr>
                  <w:tcW w:w="286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360" w:firstLineChars="200"/>
                    <w:jc w:val="both"/>
                    <w:textAlignment w:val="auto"/>
                    <w:rPr>
                      <w:rFonts w:hint="eastAsia" w:ascii="Times New Roman" w:hAnsi="Times New Roman" w:eastAsia="宋体" w:cs="Times New Roman"/>
                      <w:b w:val="0"/>
                      <w:bCs w:val="0"/>
                      <w:color w:val="auto"/>
                      <w:sz w:val="18"/>
                      <w:szCs w:val="18"/>
                      <w:highlight w:val="none"/>
                      <w:u w:val="none"/>
                      <w:vertAlign w:val="baseline"/>
                      <w:lang w:val="en-US" w:eastAsia="zh-CN"/>
                    </w:rPr>
                  </w:pPr>
                  <w:r>
                    <w:rPr>
                      <w:rFonts w:hint="eastAsia" w:ascii="Times New Roman" w:hAnsi="Times New Roman" w:eastAsia="宋体" w:cs="Times New Roman"/>
                      <w:b w:val="0"/>
                      <w:bCs w:val="0"/>
                      <w:color w:val="auto"/>
                      <w:sz w:val="18"/>
                      <w:szCs w:val="18"/>
                      <w:highlight w:val="none"/>
                      <w:u w:val="none"/>
                      <w:vertAlign w:val="baseline"/>
                      <w:lang w:val="en-US" w:eastAsia="zh-CN"/>
                    </w:rPr>
                    <w:t>严格生态环境监管和准入。探索构建以“三线一单”为环境空间管控基础，以规划环评和项目环评为环境准入关口，以排污许可为企业运行守法依据，以执法督察为环境监管兜底的全过程环境管理框架。严格执行以环评制度为主体的生态环境源头预防体系，以国土空间规划、区域规划、行业发展规划引导经济社会发展，全面推进重点区域、重点流域、重点行业规划环评。严格落实建设项目环评，对新增排放项目实施严格的总量前置审核。全面落实对环境质量不达标或控制单元实施区域限批、特别排放限值。</w:t>
                  </w:r>
                </w:p>
              </w:tc>
              <w:tc>
                <w:tcPr>
                  <w:tcW w:w="259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360" w:firstLineChars="200"/>
                    <w:jc w:val="both"/>
                    <w:textAlignment w:val="auto"/>
                    <w:rPr>
                      <w:rFonts w:hint="eastAsia" w:ascii="Times New Roman" w:hAnsi="Times New Roman" w:eastAsia="宋体" w:cs="Times New Roman"/>
                      <w:b w:val="0"/>
                      <w:bCs w:val="0"/>
                      <w:color w:val="auto"/>
                      <w:sz w:val="18"/>
                      <w:szCs w:val="18"/>
                      <w:highlight w:val="none"/>
                      <w:u w:val="none"/>
                      <w:vertAlign w:val="baseline"/>
                      <w:lang w:val="en-US" w:eastAsia="zh-CN"/>
                    </w:rPr>
                  </w:pPr>
                  <w:r>
                    <w:rPr>
                      <w:rFonts w:hint="eastAsia" w:ascii="Times New Roman" w:hAnsi="Times New Roman" w:eastAsia="宋体" w:cs="Times New Roman"/>
                      <w:b w:val="0"/>
                      <w:bCs w:val="0"/>
                      <w:color w:val="auto"/>
                      <w:sz w:val="18"/>
                      <w:szCs w:val="18"/>
                      <w:highlight w:val="none"/>
                      <w:u w:val="none"/>
                      <w:vertAlign w:val="baseline"/>
                      <w:lang w:val="en-US" w:eastAsia="zh-CN"/>
                    </w:rPr>
                    <w:t>本项目位于</w:t>
                  </w:r>
                  <w:r>
                    <w:rPr>
                      <w:rFonts w:hint="eastAsia" w:cs="Times New Roman"/>
                      <w:b w:val="0"/>
                      <w:bCs w:val="0"/>
                      <w:color w:val="auto"/>
                      <w:sz w:val="18"/>
                      <w:szCs w:val="18"/>
                      <w:highlight w:val="none"/>
                      <w:u w:val="none"/>
                      <w:vertAlign w:val="baseline"/>
                      <w:lang w:val="en-US" w:eastAsia="zh-CN"/>
                    </w:rPr>
                    <w:t>衡阳县西渡镇正大村枣子组</w:t>
                  </w:r>
                  <w:r>
                    <w:rPr>
                      <w:rFonts w:hint="eastAsia" w:ascii="Times New Roman" w:hAnsi="Times New Roman" w:eastAsia="宋体" w:cs="Times New Roman"/>
                      <w:b w:val="0"/>
                      <w:bCs w:val="0"/>
                      <w:color w:val="auto"/>
                      <w:sz w:val="18"/>
                      <w:szCs w:val="18"/>
                      <w:highlight w:val="none"/>
                      <w:u w:val="none"/>
                      <w:vertAlign w:val="baseline"/>
                      <w:lang w:val="en-US" w:eastAsia="zh-CN"/>
                    </w:rPr>
                    <w:t>，评价范围内不涉及自然保护区、饮用水源保护区、风景名胜区和其他生态环境敏感区域，项目不涉及生态红线。</w:t>
                  </w:r>
                </w:p>
                <w:p>
                  <w:pPr>
                    <w:pStyle w:val="2"/>
                    <w:ind w:firstLine="360" w:firstLineChars="200"/>
                    <w:rPr>
                      <w:rFonts w:hint="eastAsia"/>
                      <w:color w:val="auto"/>
                      <w:sz w:val="18"/>
                      <w:szCs w:val="18"/>
                      <w:highlight w:val="none"/>
                      <w:u w:val="none"/>
                      <w:lang w:val="en-US" w:eastAsia="zh-CN"/>
                    </w:rPr>
                  </w:pPr>
                  <w:r>
                    <w:rPr>
                      <w:rFonts w:hint="eastAsia"/>
                      <w:color w:val="auto"/>
                      <w:sz w:val="18"/>
                      <w:szCs w:val="18"/>
                      <w:highlight w:val="none"/>
                      <w:u w:val="none"/>
                      <w:lang w:val="en-US" w:eastAsia="zh-CN"/>
                    </w:rPr>
                    <w:t>项目所在地环境质量现状较好，各环境要素能够满足相应的环境功能区划要求。项目产生的污染物经采取相应的防护措施后可做到达标排放，不会降低区域环境质量等级，对区域环境影响较小。</w:t>
                  </w:r>
                </w:p>
                <w:p>
                  <w:pPr>
                    <w:pStyle w:val="2"/>
                    <w:ind w:firstLine="360" w:firstLineChars="200"/>
                    <w:rPr>
                      <w:rFonts w:hint="eastAsia"/>
                      <w:color w:val="auto"/>
                      <w:highlight w:val="none"/>
                      <w:u w:val="none"/>
                      <w:lang w:val="en-US" w:eastAsia="zh-CN"/>
                    </w:rPr>
                  </w:pPr>
                  <w:r>
                    <w:rPr>
                      <w:rFonts w:hint="eastAsia"/>
                      <w:color w:val="auto"/>
                      <w:sz w:val="18"/>
                      <w:szCs w:val="18"/>
                      <w:highlight w:val="none"/>
                      <w:u w:val="none"/>
                      <w:lang w:val="en-US" w:eastAsia="zh-CN"/>
                    </w:rPr>
                    <w:t>项目资源消耗量相对区域资源利用总量较少，项目生产原料资源条件有保障，符合资源利用上线要求。</w:t>
                  </w:r>
                </w:p>
              </w:tc>
              <w:tc>
                <w:tcPr>
                  <w:tcW w:w="118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z w:val="18"/>
                      <w:szCs w:val="18"/>
                      <w:highlight w:val="none"/>
                      <w:u w:val="none"/>
                      <w:vertAlign w:val="baseline"/>
                      <w:lang w:val="en-US" w:eastAsia="zh-CN"/>
                    </w:rPr>
                  </w:pPr>
                  <w:r>
                    <w:rPr>
                      <w:rFonts w:hint="eastAsia" w:ascii="Times New Roman" w:hAnsi="Times New Roman" w:eastAsia="宋体" w:cs="Times New Roman"/>
                      <w:b w:val="0"/>
                      <w:bCs w:val="0"/>
                      <w:color w:val="auto"/>
                      <w:sz w:val="18"/>
                      <w:szCs w:val="18"/>
                      <w:highlight w:val="none"/>
                      <w:u w:val="none"/>
                      <w:vertAlign w:val="baseline"/>
                      <w:lang w:val="en-US" w:eastAsia="zh-CN"/>
                    </w:rP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27" w:hRule="atLeast"/>
              </w:trPr>
              <w:tc>
                <w:tcPr>
                  <w:tcW w:w="286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360" w:firstLineChars="200"/>
                    <w:jc w:val="both"/>
                    <w:textAlignment w:val="auto"/>
                    <w:rPr>
                      <w:rFonts w:hint="eastAsia" w:ascii="Times New Roman" w:hAnsi="Times New Roman" w:eastAsia="宋体" w:cs="Times New Roman"/>
                      <w:b w:val="0"/>
                      <w:bCs w:val="0"/>
                      <w:color w:val="auto"/>
                      <w:sz w:val="18"/>
                      <w:szCs w:val="18"/>
                      <w:highlight w:val="none"/>
                      <w:u w:val="none"/>
                      <w:vertAlign w:val="baseline"/>
                      <w:lang w:val="en-US" w:eastAsia="zh-CN"/>
                    </w:rPr>
                  </w:pPr>
                  <w:r>
                    <w:rPr>
                      <w:rFonts w:hint="eastAsia" w:ascii="Times New Roman" w:hAnsi="Times New Roman" w:eastAsia="宋体" w:cs="Times New Roman"/>
                      <w:b w:val="0"/>
                      <w:bCs w:val="0"/>
                      <w:color w:val="auto"/>
                      <w:sz w:val="18"/>
                      <w:szCs w:val="18"/>
                      <w:highlight w:val="none"/>
                      <w:u w:val="none"/>
                      <w:vertAlign w:val="baseline"/>
                      <w:lang w:val="en-US" w:eastAsia="zh-CN"/>
                    </w:rPr>
                    <w:t>淘汰压减落后产能。持续推进工业新兴优势产业链建设，加速化解、淘汰低效和落后产能。持续推进清洁生产改造，推广应用先进适用的清洁生产技术，以钢铁、水泥、有色、化工、砖瓦、陶瓷等资源消耗大、能耗高、污染重的行业为重点，从技术工艺改造、原辅料替代、资源能源梯级利用等方面降低能耗和污染物排放，引导企业通过清洁化改造实现从源头削减污染物的产生，全面推行工业企业清洁生产审核。完善绿色信贷、工业企业技术改造奖补等政策，支持工业节能与绿色发展项目。继续提高战略性新兴产业增加值占规模工业增加值比重。</w:t>
                  </w:r>
                </w:p>
              </w:tc>
              <w:tc>
                <w:tcPr>
                  <w:tcW w:w="259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360" w:firstLineChars="200"/>
                    <w:jc w:val="both"/>
                    <w:textAlignment w:val="auto"/>
                    <w:rPr>
                      <w:rFonts w:hint="eastAsia" w:ascii="Times New Roman" w:hAnsi="Times New Roman" w:eastAsia="宋体" w:cs="Times New Roman"/>
                      <w:b w:val="0"/>
                      <w:bCs w:val="0"/>
                      <w:color w:val="auto"/>
                      <w:sz w:val="18"/>
                      <w:szCs w:val="18"/>
                      <w:highlight w:val="none"/>
                      <w:u w:val="none"/>
                      <w:vertAlign w:val="baseline"/>
                      <w:lang w:val="en-US" w:eastAsia="zh-CN"/>
                    </w:rPr>
                  </w:pPr>
                  <w:r>
                    <w:rPr>
                      <w:rFonts w:hint="eastAsia" w:ascii="Times New Roman" w:hAnsi="Times New Roman" w:eastAsia="宋体" w:cs="Times New Roman"/>
                      <w:b w:val="0"/>
                      <w:bCs w:val="0"/>
                      <w:color w:val="auto"/>
                      <w:sz w:val="18"/>
                      <w:szCs w:val="18"/>
                      <w:highlight w:val="none"/>
                      <w:u w:val="none"/>
                      <w:vertAlign w:val="baseline"/>
                      <w:lang w:val="en-US" w:eastAsia="zh-CN"/>
                    </w:rPr>
                    <w:t>本项目</w:t>
                  </w:r>
                  <w:r>
                    <w:rPr>
                      <w:rFonts w:hint="eastAsia" w:cs="Times New Roman"/>
                      <w:b w:val="0"/>
                      <w:bCs w:val="0"/>
                      <w:color w:val="auto"/>
                      <w:sz w:val="18"/>
                      <w:szCs w:val="18"/>
                      <w:highlight w:val="none"/>
                      <w:u w:val="none"/>
                      <w:vertAlign w:val="baseline"/>
                      <w:lang w:val="en-US" w:eastAsia="zh-CN"/>
                    </w:rPr>
                    <w:t>掺配</w:t>
                  </w:r>
                  <w:r>
                    <w:rPr>
                      <w:rFonts w:hint="eastAsia" w:ascii="Times New Roman" w:hAnsi="Times New Roman" w:eastAsia="宋体" w:cs="Times New Roman"/>
                      <w:b w:val="0"/>
                      <w:bCs w:val="0"/>
                      <w:color w:val="auto"/>
                      <w:sz w:val="18"/>
                      <w:szCs w:val="18"/>
                      <w:highlight w:val="none"/>
                      <w:u w:val="none"/>
                      <w:vertAlign w:val="baseline"/>
                      <w:lang w:val="en-US" w:eastAsia="zh-CN"/>
                    </w:rPr>
                    <w:t>一般固废作为制砖原料，实现一般固废的综合利用，属于鼓励类建设项目。具体见“第一类鼓励类”中“十二、建材，9、不低于20万块/日（含）新型烧结砖瓦生产线协同处置大宗废弃物工艺技术及产品的研发与应用”；以及“四十二、环境保护与资源节约综合利用，8、燃煤、粉煤灰、尾矿（共伴生矿）、冶炼渣、工业副产石膏、赤泥、建筑垃圾等工业废弃物循环利用”。</w:t>
                  </w:r>
                </w:p>
                <w:p>
                  <w:pPr>
                    <w:keepNext w:val="0"/>
                    <w:keepLines w:val="0"/>
                    <w:pageBreakBefore w:val="0"/>
                    <w:widowControl w:val="0"/>
                    <w:kinsoku/>
                    <w:wordWrap/>
                    <w:overflowPunct/>
                    <w:topLinePunct w:val="0"/>
                    <w:autoSpaceDE/>
                    <w:autoSpaceDN/>
                    <w:bidi w:val="0"/>
                    <w:adjustRightInd/>
                    <w:snapToGrid/>
                    <w:spacing w:line="240" w:lineRule="auto"/>
                    <w:ind w:firstLine="360" w:firstLineChars="200"/>
                    <w:jc w:val="both"/>
                    <w:textAlignment w:val="auto"/>
                    <w:rPr>
                      <w:rFonts w:hint="eastAsia" w:ascii="Times New Roman" w:hAnsi="Times New Roman" w:eastAsia="宋体" w:cs="Times New Roman"/>
                      <w:b w:val="0"/>
                      <w:bCs w:val="0"/>
                      <w:color w:val="auto"/>
                      <w:sz w:val="18"/>
                      <w:szCs w:val="18"/>
                      <w:highlight w:val="none"/>
                      <w:u w:val="none"/>
                      <w:vertAlign w:val="baseline"/>
                      <w:lang w:val="en-US" w:eastAsia="zh-CN"/>
                    </w:rPr>
                  </w:pPr>
                  <w:r>
                    <w:rPr>
                      <w:rFonts w:hint="eastAsia" w:ascii="Times New Roman" w:hAnsi="Times New Roman" w:eastAsia="宋体" w:cs="Times New Roman"/>
                      <w:b w:val="0"/>
                      <w:bCs w:val="0"/>
                      <w:color w:val="auto"/>
                      <w:sz w:val="18"/>
                      <w:szCs w:val="18"/>
                      <w:highlight w:val="none"/>
                      <w:u w:val="none"/>
                      <w:vertAlign w:val="baseline"/>
                      <w:lang w:val="en-US" w:eastAsia="zh-CN"/>
                    </w:rPr>
                    <w:t>本项目所用设备不属于《部分工业行业淘汰落后工艺装备和产品指导目录（2010年本）》中所列项目，因此，本项目符合国家、地方产业政策。</w:t>
                  </w:r>
                </w:p>
              </w:tc>
              <w:tc>
                <w:tcPr>
                  <w:tcW w:w="118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z w:val="18"/>
                      <w:szCs w:val="18"/>
                      <w:highlight w:val="none"/>
                      <w:u w:val="none"/>
                      <w:vertAlign w:val="baseline"/>
                      <w:lang w:val="en-US" w:eastAsia="zh-CN"/>
                    </w:rPr>
                  </w:pPr>
                  <w:r>
                    <w:rPr>
                      <w:rFonts w:hint="eastAsia" w:ascii="Times New Roman" w:hAnsi="Times New Roman" w:eastAsia="宋体" w:cs="Times New Roman"/>
                      <w:b w:val="0"/>
                      <w:bCs w:val="0"/>
                      <w:color w:val="auto"/>
                      <w:sz w:val="18"/>
                      <w:szCs w:val="18"/>
                      <w:highlight w:val="none"/>
                      <w:u w:val="none"/>
                      <w:vertAlign w:val="baseline"/>
                      <w:lang w:val="en-US" w:eastAsia="zh-CN"/>
                    </w:rP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42" w:hRule="atLeast"/>
              </w:trPr>
              <w:tc>
                <w:tcPr>
                  <w:tcW w:w="286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360" w:firstLineChars="200"/>
                    <w:jc w:val="both"/>
                    <w:textAlignment w:val="auto"/>
                    <w:rPr>
                      <w:rFonts w:hint="eastAsia" w:ascii="Times New Roman" w:hAnsi="Times New Roman" w:eastAsia="宋体" w:cs="Times New Roman"/>
                      <w:b w:val="0"/>
                      <w:bCs w:val="0"/>
                      <w:color w:val="auto"/>
                      <w:sz w:val="18"/>
                      <w:szCs w:val="18"/>
                      <w:highlight w:val="none"/>
                      <w:u w:val="none"/>
                      <w:vertAlign w:val="baseline"/>
                      <w:lang w:val="en-US" w:eastAsia="zh-CN"/>
                    </w:rPr>
                  </w:pPr>
                  <w:r>
                    <w:rPr>
                      <w:rFonts w:hint="eastAsia" w:ascii="Times New Roman" w:hAnsi="Times New Roman" w:eastAsia="宋体" w:cs="Times New Roman"/>
                      <w:b w:val="0"/>
                      <w:bCs w:val="0"/>
                      <w:color w:val="auto"/>
                      <w:sz w:val="18"/>
                      <w:szCs w:val="18"/>
                      <w:highlight w:val="none"/>
                      <w:u w:val="none"/>
                      <w:vertAlign w:val="baseline"/>
                      <w:lang w:val="en-US" w:eastAsia="zh-CN"/>
                    </w:rPr>
                    <w:t>推进一般工业固体废物综合利用。有序推进建筑垃圾资源化利用项目建设，力争建筑垃圾资源化综合利用率达到35%，全市培育1个以上建筑垃圾管理和资源化利用示范县（市、区），打造一批建筑垃圾资源化利用示范企业。鼓励县级以上地方人民政府统筹或联合规划建设一般工业固体废物集中处置设施，支持资源化利用新技术、新设备、新产品的研发与应用；在环境风险可控下，充分利用工业窑炉、水泥窑等设施消纳采选尾矿、粉煤灰、炉渣、冶炼废渣、脱硫石膏等大宗工业固体废物；构建以水泥、建材、冶金等行业为核心的工业固体废物综合利用系统。</w:t>
                  </w:r>
                </w:p>
              </w:tc>
              <w:tc>
                <w:tcPr>
                  <w:tcW w:w="259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360" w:firstLineChars="200"/>
                    <w:jc w:val="both"/>
                    <w:textAlignment w:val="auto"/>
                    <w:rPr>
                      <w:rFonts w:hint="eastAsia" w:ascii="Times New Roman" w:hAnsi="Times New Roman" w:eastAsia="宋体" w:cs="Times New Roman"/>
                      <w:b w:val="0"/>
                      <w:bCs w:val="0"/>
                      <w:color w:val="auto"/>
                      <w:sz w:val="18"/>
                      <w:szCs w:val="18"/>
                      <w:highlight w:val="none"/>
                      <w:u w:val="none"/>
                      <w:vertAlign w:val="baseline"/>
                      <w:lang w:val="en-US" w:eastAsia="zh-CN"/>
                    </w:rPr>
                  </w:pPr>
                  <w:r>
                    <w:rPr>
                      <w:rFonts w:hint="eastAsia" w:ascii="Times New Roman" w:hAnsi="Times New Roman" w:eastAsia="宋体" w:cs="Times New Roman"/>
                      <w:b w:val="0"/>
                      <w:bCs w:val="0"/>
                      <w:color w:val="auto"/>
                      <w:sz w:val="18"/>
                      <w:szCs w:val="18"/>
                      <w:highlight w:val="none"/>
                      <w:u w:val="none"/>
                      <w:vertAlign w:val="baseline"/>
                      <w:lang w:val="en-US" w:eastAsia="zh-CN"/>
                    </w:rPr>
                    <w:t>本项目添加中盐天友及学宫路遗留固废（一般工业固废）进行制砖，并且相关试验结果表明该技术路线可行，这是一般工业固体废物有效处理方式，充分满足衡阳市“十四五”规划中提出的一般工业固体废物资源化综合利用的要求。</w:t>
                  </w:r>
                </w:p>
              </w:tc>
              <w:tc>
                <w:tcPr>
                  <w:tcW w:w="118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z w:val="18"/>
                      <w:szCs w:val="18"/>
                      <w:highlight w:val="none"/>
                      <w:u w:val="none"/>
                      <w:vertAlign w:val="baseline"/>
                      <w:lang w:val="en-US" w:eastAsia="zh-CN"/>
                    </w:rPr>
                  </w:pPr>
                  <w:r>
                    <w:rPr>
                      <w:rFonts w:hint="eastAsia" w:ascii="Times New Roman" w:hAnsi="Times New Roman" w:eastAsia="宋体" w:cs="Times New Roman"/>
                      <w:b w:val="0"/>
                      <w:bCs w:val="0"/>
                      <w:color w:val="auto"/>
                      <w:sz w:val="18"/>
                      <w:szCs w:val="18"/>
                      <w:highlight w:val="none"/>
                      <w:u w:val="none"/>
                      <w:vertAlign w:val="baseline"/>
                      <w:lang w:val="en-US" w:eastAsia="zh-CN"/>
                    </w:rPr>
                    <w:t>符合</w:t>
                  </w:r>
                </w:p>
              </w:tc>
            </w:tr>
          </w:tbl>
          <w:p>
            <w:pPr>
              <w:spacing w:line="360" w:lineRule="auto"/>
              <w:rPr>
                <w:rFonts w:hint="eastAsia" w:ascii="Times New Roman" w:hAnsi="Times New Roman" w:eastAsia="宋体" w:cs="Times New Roman"/>
                <w:b/>
                <w:bCs/>
                <w:color w:val="FF0000"/>
                <w:sz w:val="24"/>
                <w:u w:val="none"/>
                <w:lang w:val="en-US" w:eastAsia="zh-CN"/>
              </w:rPr>
            </w:pPr>
          </w:p>
          <w:p>
            <w:pPr>
              <w:spacing w:line="360" w:lineRule="auto"/>
              <w:ind w:firstLine="482" w:firstLineChars="200"/>
              <w:rPr>
                <w:color w:val="auto"/>
                <w:sz w:val="24"/>
                <w:u w:val="none"/>
              </w:rPr>
            </w:pPr>
            <w:r>
              <w:rPr>
                <w:rFonts w:hint="eastAsia" w:ascii="Times New Roman" w:hAnsi="Times New Roman" w:eastAsia="宋体" w:cs="Times New Roman"/>
                <w:b/>
                <w:bCs/>
                <w:color w:val="auto"/>
                <w:sz w:val="24"/>
                <w:u w:val="none"/>
                <w:lang w:val="en-US" w:eastAsia="zh-CN"/>
              </w:rPr>
              <w:t>1</w:t>
            </w:r>
            <w:r>
              <w:rPr>
                <w:rFonts w:hint="eastAsia" w:cs="Times New Roman"/>
                <w:b/>
                <w:bCs/>
                <w:color w:val="auto"/>
                <w:sz w:val="24"/>
                <w:u w:val="none"/>
                <w:lang w:val="en-US" w:eastAsia="zh-CN"/>
              </w:rPr>
              <w:t>3</w:t>
            </w:r>
            <w:r>
              <w:rPr>
                <w:rFonts w:hint="eastAsia" w:ascii="Times New Roman" w:hAnsi="Times New Roman" w:eastAsia="宋体" w:cs="Times New Roman"/>
                <w:b/>
                <w:bCs/>
                <w:color w:val="auto"/>
                <w:sz w:val="24"/>
                <w:u w:val="none"/>
                <w:lang w:val="en-US" w:eastAsia="zh-CN"/>
              </w:rPr>
              <w:t>、选址</w:t>
            </w:r>
            <w:r>
              <w:rPr>
                <w:rFonts w:hint="eastAsia"/>
                <w:b/>
                <w:bCs/>
                <w:color w:val="auto"/>
                <w:sz w:val="24"/>
                <w:u w:val="none"/>
              </w:rPr>
              <w:t>合理性分析</w:t>
            </w:r>
          </w:p>
          <w:p>
            <w:pPr>
              <w:spacing w:line="360" w:lineRule="auto"/>
              <w:ind w:firstLine="480" w:firstLineChars="200"/>
              <w:rPr>
                <w:color w:val="auto"/>
                <w:sz w:val="24"/>
                <w:u w:val="none"/>
              </w:rPr>
            </w:pPr>
            <w:r>
              <w:rPr>
                <w:color w:val="auto"/>
                <w:sz w:val="24"/>
                <w:u w:val="none"/>
              </w:rPr>
              <w:t>本项目位于湖南省衡阳市</w:t>
            </w:r>
            <w:r>
              <w:rPr>
                <w:rFonts w:hint="eastAsia"/>
                <w:color w:val="auto"/>
                <w:sz w:val="24"/>
                <w:u w:val="none"/>
                <w:lang w:eastAsia="zh-CN"/>
              </w:rPr>
              <w:t>衡阳县西渡镇正大村枣子组</w:t>
            </w:r>
            <w:r>
              <w:rPr>
                <w:color w:val="auto"/>
                <w:sz w:val="24"/>
                <w:u w:val="none"/>
              </w:rPr>
              <w:t>，对照《国土资源部国家发展和改革委员会关于发布实施《限制用地项目目录（2012年本）》和《禁止用地项目目录（2012年本）》的通知》，本项目不属于《限制用地项目目录（2012年本）》和《禁止用地项目目录（2012年本）》中限制及禁止用地项目，因此符合国家土地供应政策。</w:t>
            </w:r>
          </w:p>
          <w:p>
            <w:pPr>
              <w:spacing w:line="360" w:lineRule="auto"/>
              <w:ind w:firstLine="480" w:firstLineChars="200"/>
              <w:rPr>
                <w:color w:val="auto"/>
                <w:sz w:val="24"/>
                <w:u w:val="none"/>
              </w:rPr>
            </w:pPr>
            <w:r>
              <w:rPr>
                <w:color w:val="auto"/>
                <w:sz w:val="24"/>
                <w:u w:val="none"/>
              </w:rPr>
              <w:t>本项目为</w:t>
            </w:r>
            <w:r>
              <w:rPr>
                <w:rFonts w:hint="eastAsia"/>
                <w:color w:val="auto"/>
                <w:sz w:val="24"/>
                <w:highlight w:val="none"/>
                <w:u w:val="none"/>
                <w:lang w:val="en-US" w:eastAsia="zh-CN"/>
              </w:rPr>
              <w:t>新建</w:t>
            </w:r>
            <w:r>
              <w:rPr>
                <w:color w:val="auto"/>
                <w:sz w:val="24"/>
                <w:highlight w:val="none"/>
                <w:u w:val="none"/>
              </w:rPr>
              <w:t>项目</w:t>
            </w:r>
            <w:r>
              <w:rPr>
                <w:color w:val="auto"/>
                <w:sz w:val="24"/>
                <w:u w:val="none"/>
              </w:rPr>
              <w:t>，</w:t>
            </w:r>
            <w:r>
              <w:rPr>
                <w:rFonts w:hint="eastAsia"/>
                <w:color w:val="auto"/>
                <w:sz w:val="24"/>
                <w:u w:val="none"/>
                <w:lang w:val="en-US" w:eastAsia="zh-CN"/>
              </w:rPr>
              <w:t>新增用地为原采矿区，增加煤矸石堆棚、一般工业固废贮存堆棚</w:t>
            </w:r>
            <w:r>
              <w:rPr>
                <w:color w:val="auto"/>
                <w:sz w:val="24"/>
                <w:u w:val="none"/>
              </w:rPr>
              <w:t>，</w:t>
            </w:r>
            <w:r>
              <w:rPr>
                <w:rFonts w:hint="eastAsia"/>
                <w:color w:val="auto"/>
                <w:sz w:val="24"/>
                <w:u w:val="none"/>
                <w:lang w:val="en-US" w:eastAsia="zh-CN"/>
              </w:rPr>
              <w:t>主要</w:t>
            </w:r>
            <w:r>
              <w:rPr>
                <w:color w:val="auto"/>
                <w:sz w:val="24"/>
                <w:u w:val="none"/>
              </w:rPr>
              <w:t>依托原有项目的生产设施，</w:t>
            </w:r>
            <w:r>
              <w:rPr>
                <w:rFonts w:hint="eastAsia"/>
                <w:color w:val="auto"/>
                <w:sz w:val="24"/>
                <w:u w:val="none"/>
                <w:lang w:val="en-US" w:eastAsia="zh-CN"/>
              </w:rPr>
              <w:t>项目临近336省</w:t>
            </w:r>
            <w:r>
              <w:rPr>
                <w:color w:val="auto"/>
                <w:sz w:val="24"/>
                <w:u w:val="none"/>
              </w:rPr>
              <w:t>道，区域交通运输较为便利，有利于原料、产品的运输。项目在严格落实报告提出的环保措施后，</w:t>
            </w:r>
            <w:r>
              <w:rPr>
                <w:rFonts w:hint="eastAsia" w:ascii="宋体" w:hAnsi="宋体" w:cs="宋体"/>
                <w:color w:val="auto"/>
                <w:sz w:val="24"/>
                <w:u w:val="none"/>
              </w:rPr>
              <w:t>“三废”</w:t>
            </w:r>
            <w:r>
              <w:rPr>
                <w:color w:val="auto"/>
                <w:sz w:val="24"/>
                <w:u w:val="none"/>
              </w:rPr>
              <w:t>可得到有效治理，根据噪声预测结果，项目噪声预测值能达到相关标准，对周边环境影响较小。</w:t>
            </w:r>
          </w:p>
          <w:p>
            <w:pPr>
              <w:spacing w:line="360" w:lineRule="auto"/>
              <w:ind w:firstLine="480" w:firstLineChars="200"/>
              <w:rPr>
                <w:rFonts w:hint="eastAsia" w:eastAsia="宋体"/>
                <w:color w:val="auto"/>
                <w:sz w:val="24"/>
                <w:u w:val="none"/>
                <w:lang w:eastAsia="zh-CN"/>
              </w:rPr>
            </w:pPr>
            <w:r>
              <w:rPr>
                <w:color w:val="auto"/>
                <w:sz w:val="24"/>
                <w:u w:val="none"/>
              </w:rPr>
              <w:t>综上所述，本项目周边制约因素较少，用地性质符合相关规划，项目污染物在经过预防治理措施后能够达到相关标准要求，因此本项目选址可行</w:t>
            </w:r>
            <w:r>
              <w:rPr>
                <w:rFonts w:hint="eastAsia"/>
                <w:color w:val="auto"/>
                <w:sz w:val="24"/>
                <w:u w:val="none"/>
                <w:lang w:eastAsia="zh-CN"/>
              </w:rPr>
              <w:t>。</w:t>
            </w:r>
          </w:p>
          <w:p>
            <w:pPr>
              <w:autoSpaceDE w:val="0"/>
              <w:autoSpaceDN w:val="0"/>
              <w:adjustRightInd w:val="0"/>
              <w:snapToGrid w:val="0"/>
              <w:spacing w:line="360" w:lineRule="auto"/>
              <w:jc w:val="left"/>
              <w:rPr>
                <w:rFonts w:cs="宋体"/>
                <w:color w:val="FF0000"/>
                <w:kern w:val="0"/>
                <w:sz w:val="24"/>
                <w:u w:val="none"/>
              </w:rPr>
            </w:pPr>
          </w:p>
        </w:tc>
      </w:tr>
    </w:tbl>
    <w:p>
      <w:pPr>
        <w:spacing w:line="360" w:lineRule="auto"/>
        <w:outlineLvl w:val="0"/>
        <w:rPr>
          <w:rFonts w:eastAsia="黑体"/>
          <w:color w:val="FF0000"/>
          <w:sz w:val="30"/>
          <w:u w:val="none"/>
        </w:rPr>
        <w:sectPr>
          <w:footerReference r:id="rId4" w:type="default"/>
          <w:pgSz w:w="11906" w:h="16838"/>
          <w:pgMar w:top="1440" w:right="1417" w:bottom="1440" w:left="1417" w:header="992" w:footer="850" w:gutter="0"/>
          <w:pgBorders>
            <w:top w:val="none" w:sz="0" w:space="0"/>
            <w:left w:val="none" w:sz="0" w:space="0"/>
            <w:bottom w:val="none" w:sz="0" w:space="0"/>
            <w:right w:val="none" w:sz="0" w:space="0"/>
          </w:pgBorders>
          <w:pgNumType w:fmt="decimal" w:start="1"/>
          <w:cols w:space="720" w:num="1"/>
          <w:docGrid w:type="lines" w:linePitch="312" w:charSpace="0"/>
        </w:sectPr>
      </w:pPr>
    </w:p>
    <w:p>
      <w:pPr>
        <w:pStyle w:val="26"/>
        <w:spacing w:before="0" w:beforeAutospacing="0" w:after="0" w:afterAutospacing="0"/>
        <w:jc w:val="center"/>
        <w:outlineLvl w:val="0"/>
        <w:rPr>
          <w:rFonts w:hint="eastAsia" w:ascii="Times New Roman" w:hAnsi="Times New Roman" w:eastAsia="黑体"/>
          <w:snapToGrid w:val="0"/>
          <w:color w:val="000000"/>
          <w:sz w:val="30"/>
          <w:szCs w:val="30"/>
          <w:u w:val="none"/>
        </w:rPr>
      </w:pPr>
      <w:bookmarkStart w:id="5" w:name="_Toc8920"/>
      <w:r>
        <w:rPr>
          <w:rFonts w:hint="eastAsia" w:ascii="Times New Roman" w:hAnsi="Times New Roman" w:eastAsia="黑体"/>
          <w:snapToGrid w:val="0"/>
          <w:color w:val="000000"/>
          <w:sz w:val="30"/>
          <w:szCs w:val="30"/>
          <w:u w:val="none"/>
        </w:rPr>
        <w:t>二、建设项目工程分析</w:t>
      </w:r>
      <w:bookmarkEnd w:id="5"/>
    </w:p>
    <w:tbl>
      <w:tblPr>
        <w:tblStyle w:val="30"/>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31"/>
        <w:gridCol w:w="829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87" w:hRule="atLeast"/>
          <w:jc w:val="center"/>
        </w:trPr>
        <w:tc>
          <w:tcPr>
            <w:tcW w:w="831" w:type="dxa"/>
            <w:noWrap w:val="0"/>
            <w:vAlign w:val="center"/>
          </w:tcPr>
          <w:p>
            <w:pPr>
              <w:pStyle w:val="26"/>
              <w:adjustRightInd w:val="0"/>
              <w:snapToGrid w:val="0"/>
              <w:spacing w:before="0" w:beforeAutospacing="0" w:after="0" w:afterAutospacing="0"/>
              <w:jc w:val="center"/>
              <w:rPr>
                <w:rFonts w:ascii="Times New Roman" w:hAnsi="Times New Roman"/>
                <w:color w:val="auto"/>
                <w:sz w:val="21"/>
                <w:szCs w:val="21"/>
                <w:u w:val="none" w:color="auto"/>
              </w:rPr>
            </w:pPr>
            <w:r>
              <w:rPr>
                <w:rFonts w:ascii="Times New Roman" w:hAnsi="Times New Roman"/>
                <w:color w:val="auto"/>
                <w:sz w:val="21"/>
                <w:szCs w:val="21"/>
                <w:u w:val="none" w:color="auto"/>
              </w:rPr>
              <w:t>建设内容</w:t>
            </w:r>
          </w:p>
        </w:tc>
        <w:tc>
          <w:tcPr>
            <w:tcW w:w="8296" w:type="dxa"/>
            <w:noWrap w:val="0"/>
            <w:vAlign w:val="top"/>
          </w:tcPr>
          <w:p>
            <w:pPr>
              <w:pStyle w:val="26"/>
              <w:spacing w:before="0" w:beforeAutospacing="0" w:after="0" w:afterAutospacing="0" w:line="360" w:lineRule="auto"/>
              <w:ind w:firstLine="482" w:firstLineChars="200"/>
              <w:rPr>
                <w:rFonts w:ascii="Times New Roman" w:hAnsi="Times New Roman"/>
                <w:b/>
                <w:bCs/>
                <w:color w:val="auto"/>
                <w:szCs w:val="24"/>
                <w:highlight w:val="none"/>
                <w:u w:val="none" w:color="auto"/>
                <w:shd w:val="clear" w:color="auto" w:fill="FFFFFF"/>
              </w:rPr>
            </w:pPr>
            <w:r>
              <w:rPr>
                <w:rFonts w:ascii="Times New Roman" w:hAnsi="Times New Roman"/>
                <w:b/>
                <w:bCs/>
                <w:color w:val="auto"/>
                <w:szCs w:val="24"/>
                <w:highlight w:val="none"/>
                <w:u w:val="none" w:color="auto"/>
                <w:shd w:val="clear" w:color="auto" w:fill="FFFFFF"/>
              </w:rPr>
              <w:t>1、项目由来</w:t>
            </w:r>
          </w:p>
          <w:p>
            <w:pPr>
              <w:spacing w:line="360" w:lineRule="auto"/>
              <w:ind w:firstLine="480" w:firstLineChars="200"/>
              <w:jc w:val="both"/>
              <w:rPr>
                <w:rFonts w:hint="default" w:ascii="Times New Roman" w:hAnsi="Times New Roman" w:eastAsia="宋体" w:cs="Times New Roman"/>
                <w:color w:val="auto"/>
                <w:sz w:val="24"/>
                <w:szCs w:val="24"/>
                <w:highlight w:val="none"/>
                <w:u w:val="none" w:color="auto"/>
                <w:shd w:val="clear" w:color="auto" w:fill="FFFFFF"/>
                <w:lang w:eastAsia="zh-CN"/>
              </w:rPr>
            </w:pPr>
            <w:r>
              <w:rPr>
                <w:rFonts w:hint="default" w:ascii="Times New Roman" w:hAnsi="Times New Roman" w:eastAsia="宋体" w:cs="Times New Roman"/>
                <w:color w:val="auto"/>
                <w:sz w:val="24"/>
                <w:szCs w:val="24"/>
                <w:highlight w:val="none"/>
                <w:u w:val="none" w:color="auto"/>
                <w:shd w:val="clear" w:color="auto" w:fill="FFFFFF"/>
                <w:lang w:eastAsia="zh-CN"/>
              </w:rPr>
              <w:t>（</w:t>
            </w:r>
            <w:r>
              <w:rPr>
                <w:rFonts w:hint="default" w:ascii="Times New Roman" w:hAnsi="Times New Roman" w:eastAsia="宋体" w:cs="Times New Roman"/>
                <w:color w:val="auto"/>
                <w:sz w:val="24"/>
                <w:szCs w:val="24"/>
                <w:highlight w:val="none"/>
                <w:u w:val="none" w:color="auto"/>
                <w:shd w:val="clear" w:color="auto" w:fill="FFFFFF"/>
                <w:lang w:val="en-US" w:eastAsia="zh-CN"/>
              </w:rPr>
              <w:t>1</w:t>
            </w:r>
            <w:r>
              <w:rPr>
                <w:rFonts w:hint="eastAsia" w:ascii="Times New Roman" w:hAnsi="Times New Roman" w:eastAsia="宋体" w:cs="Times New Roman"/>
                <w:color w:val="auto"/>
                <w:sz w:val="24"/>
                <w:szCs w:val="24"/>
                <w:highlight w:val="none"/>
                <w:u w:val="none" w:color="auto"/>
                <w:shd w:val="clear" w:color="auto" w:fill="FFFFFF"/>
                <w:lang w:val="en-US" w:eastAsia="zh-CN"/>
              </w:rPr>
              <w:t>）本</w:t>
            </w:r>
            <w:r>
              <w:rPr>
                <w:rFonts w:hint="eastAsia" w:ascii="Times New Roman" w:hAnsi="Times New Roman" w:eastAsia="宋体" w:cs="Times New Roman"/>
                <w:color w:val="auto"/>
                <w:sz w:val="24"/>
                <w:szCs w:val="24"/>
                <w:highlight w:val="none"/>
                <w:u w:val="none" w:color="auto"/>
                <w:shd w:val="clear" w:color="auto" w:fill="FFFFFF"/>
                <w:lang w:eastAsia="zh-CN"/>
              </w:rPr>
              <w:t>项目</w:t>
            </w:r>
            <w:r>
              <w:rPr>
                <w:rFonts w:hint="eastAsia" w:cs="Times New Roman"/>
                <w:color w:val="auto"/>
                <w:sz w:val="24"/>
                <w:szCs w:val="24"/>
                <w:highlight w:val="none"/>
                <w:u w:val="none" w:color="auto"/>
                <w:shd w:val="clear" w:color="auto" w:fill="FFFFFF"/>
                <w:lang w:eastAsia="zh-CN"/>
              </w:rPr>
              <w:t>掺配</w:t>
            </w:r>
            <w:r>
              <w:rPr>
                <w:rFonts w:hint="default" w:ascii="Times New Roman" w:hAnsi="Times New Roman" w:eastAsia="宋体" w:cs="Times New Roman"/>
                <w:color w:val="auto"/>
                <w:sz w:val="24"/>
                <w:szCs w:val="24"/>
                <w:highlight w:val="none"/>
                <w:u w:val="none" w:color="auto"/>
                <w:shd w:val="clear" w:color="auto" w:fill="FFFFFF"/>
                <w:lang w:eastAsia="zh-CN"/>
              </w:rPr>
              <w:t>一般工业固废</w:t>
            </w:r>
            <w:r>
              <w:rPr>
                <w:rFonts w:hint="eastAsia" w:ascii="Times New Roman" w:hAnsi="Times New Roman" w:eastAsia="宋体" w:cs="Times New Roman"/>
                <w:color w:val="auto"/>
                <w:sz w:val="24"/>
                <w:szCs w:val="24"/>
                <w:highlight w:val="none"/>
                <w:u w:val="none" w:color="auto"/>
                <w:shd w:val="clear" w:color="auto" w:fill="FFFFFF"/>
                <w:lang w:eastAsia="zh-CN"/>
              </w:rPr>
              <w:t>的</w:t>
            </w:r>
            <w:r>
              <w:rPr>
                <w:rFonts w:hint="default" w:ascii="Times New Roman" w:hAnsi="Times New Roman" w:eastAsia="宋体" w:cs="Times New Roman"/>
                <w:color w:val="auto"/>
                <w:sz w:val="24"/>
                <w:szCs w:val="24"/>
                <w:highlight w:val="none"/>
                <w:u w:val="none" w:color="auto"/>
                <w:shd w:val="clear" w:color="auto" w:fill="FFFFFF"/>
                <w:lang w:eastAsia="zh-CN"/>
              </w:rPr>
              <w:t>来源</w:t>
            </w:r>
            <w:r>
              <w:rPr>
                <w:rFonts w:hint="eastAsia" w:ascii="Times New Roman" w:hAnsi="Times New Roman" w:eastAsia="宋体" w:cs="Times New Roman"/>
                <w:color w:val="auto"/>
                <w:sz w:val="24"/>
                <w:szCs w:val="24"/>
                <w:highlight w:val="none"/>
                <w:u w:val="none" w:color="auto"/>
                <w:shd w:val="clear" w:color="auto" w:fill="FFFFFF"/>
                <w:lang w:eastAsia="zh-CN"/>
              </w:rPr>
              <w:t>及背景</w:t>
            </w:r>
          </w:p>
          <w:p>
            <w:pPr>
              <w:spacing w:line="360" w:lineRule="auto"/>
              <w:ind w:firstLine="480" w:firstLineChars="200"/>
              <w:jc w:val="both"/>
              <w:rPr>
                <w:rFonts w:hint="default" w:ascii="Times New Roman" w:hAnsi="Times New Roman" w:eastAsia="宋体" w:cs="Times New Roman"/>
                <w:color w:val="auto"/>
                <w:sz w:val="24"/>
                <w:u w:val="none" w:color="auto"/>
                <w:shd w:val="clear" w:color="auto" w:fill="FFFFFF"/>
              </w:rPr>
            </w:pPr>
            <w:r>
              <w:rPr>
                <w:rFonts w:hint="eastAsia" w:ascii="Times New Roman" w:hAnsi="Times New Roman" w:eastAsia="宋体" w:cs="Times New Roman"/>
                <w:color w:val="auto"/>
                <w:sz w:val="24"/>
                <w:szCs w:val="24"/>
                <w:highlight w:val="none"/>
                <w:u w:val="none" w:color="auto"/>
                <w:shd w:val="clear" w:color="auto" w:fill="FFFFFF"/>
                <w:lang w:eastAsia="zh-CN"/>
              </w:rPr>
              <w:t>本项目</w:t>
            </w:r>
            <w:r>
              <w:rPr>
                <w:rFonts w:hint="eastAsia" w:cs="Times New Roman"/>
                <w:color w:val="auto"/>
                <w:sz w:val="24"/>
                <w:szCs w:val="24"/>
                <w:highlight w:val="none"/>
                <w:u w:val="none" w:color="auto"/>
                <w:shd w:val="clear" w:color="auto" w:fill="FFFFFF"/>
                <w:lang w:eastAsia="zh-CN"/>
              </w:rPr>
              <w:t>掺配</w:t>
            </w:r>
            <w:r>
              <w:rPr>
                <w:rFonts w:hint="eastAsia" w:ascii="Times New Roman" w:hAnsi="Times New Roman" w:eastAsia="宋体" w:cs="Times New Roman"/>
                <w:color w:val="auto"/>
                <w:sz w:val="24"/>
                <w:szCs w:val="24"/>
                <w:highlight w:val="none"/>
                <w:u w:val="none" w:color="auto"/>
                <w:shd w:val="clear" w:color="auto" w:fill="FFFFFF"/>
                <w:lang w:eastAsia="zh-CN"/>
              </w:rPr>
              <w:t>的一般固废为</w:t>
            </w:r>
            <w:r>
              <w:rPr>
                <w:rFonts w:hint="default" w:ascii="Times New Roman" w:hAnsi="Times New Roman" w:eastAsia="宋体" w:cs="Times New Roman"/>
                <w:color w:val="auto"/>
                <w:sz w:val="24"/>
                <w:highlight w:val="none"/>
                <w:u w:val="none" w:color="auto"/>
                <w:shd w:val="clear" w:color="auto" w:fill="FFFFFF"/>
              </w:rPr>
              <w:t>原中盐天友化工有限公司遗留废渣、学宫路附近</w:t>
            </w:r>
            <w:r>
              <w:rPr>
                <w:rFonts w:hint="eastAsia" w:ascii="Times New Roman" w:hAnsi="Times New Roman" w:eastAsia="宋体" w:cs="Times New Roman"/>
                <w:color w:val="auto"/>
                <w:sz w:val="24"/>
                <w:highlight w:val="none"/>
                <w:u w:val="none" w:color="auto"/>
                <w:shd w:val="clear" w:color="auto" w:fill="FFFFFF"/>
                <w:lang w:eastAsia="zh-CN"/>
              </w:rPr>
              <w:t>遗留废渣，不得</w:t>
            </w:r>
            <w:r>
              <w:rPr>
                <w:rFonts w:hint="eastAsia" w:cs="Times New Roman"/>
                <w:color w:val="auto"/>
                <w:sz w:val="24"/>
                <w:highlight w:val="none"/>
                <w:u w:val="none" w:color="auto"/>
                <w:shd w:val="clear" w:color="auto" w:fill="FFFFFF"/>
                <w:lang w:eastAsia="zh-CN"/>
              </w:rPr>
              <w:t>掺配</w:t>
            </w:r>
            <w:r>
              <w:rPr>
                <w:rFonts w:hint="eastAsia" w:ascii="Times New Roman" w:hAnsi="Times New Roman" w:eastAsia="宋体" w:cs="Times New Roman"/>
                <w:color w:val="auto"/>
                <w:sz w:val="24"/>
                <w:highlight w:val="none"/>
                <w:u w:val="none" w:color="auto"/>
                <w:shd w:val="clear" w:color="auto" w:fill="FFFFFF"/>
                <w:lang w:eastAsia="zh-CN"/>
              </w:rPr>
              <w:t>其他来源的废渣。</w:t>
            </w:r>
            <w:r>
              <w:rPr>
                <w:rFonts w:hint="default" w:ascii="Times New Roman" w:hAnsi="Times New Roman" w:eastAsia="宋体" w:cs="Times New Roman"/>
                <w:color w:val="auto"/>
                <w:sz w:val="24"/>
                <w:highlight w:val="none"/>
                <w:u w:val="none" w:color="auto"/>
                <w:shd w:val="clear" w:color="auto" w:fill="FFFFFF"/>
              </w:rPr>
              <w:t>原中盐天友化工有限公司遗留废渣</w:t>
            </w:r>
            <w:r>
              <w:rPr>
                <w:rFonts w:hint="default" w:ascii="Times New Roman" w:hAnsi="Times New Roman" w:eastAsia="宋体" w:cs="Times New Roman"/>
                <w:color w:val="auto"/>
                <w:sz w:val="24"/>
                <w:szCs w:val="24"/>
                <w:highlight w:val="none"/>
                <w:u w:val="none" w:color="auto"/>
                <w:shd w:val="clear" w:color="auto" w:fill="FFFFFF"/>
                <w:lang w:eastAsia="zh-CN"/>
              </w:rPr>
              <w:t>位于衡阳市珠晖区东阳渡</w:t>
            </w:r>
            <w:r>
              <w:rPr>
                <w:rFonts w:hint="eastAsia" w:ascii="Times New Roman" w:hAnsi="Times New Roman" w:eastAsia="宋体" w:cs="Times New Roman"/>
                <w:color w:val="auto"/>
                <w:sz w:val="24"/>
                <w:szCs w:val="24"/>
                <w:highlight w:val="none"/>
                <w:u w:val="none" w:color="auto"/>
                <w:shd w:val="clear" w:color="auto" w:fill="FFFFFF"/>
                <w:lang w:eastAsia="zh-CN"/>
              </w:rPr>
              <w:t>街道</w:t>
            </w:r>
            <w:r>
              <w:rPr>
                <w:rFonts w:hint="default" w:ascii="Times New Roman" w:hAnsi="Times New Roman" w:eastAsia="宋体" w:cs="Times New Roman"/>
                <w:color w:val="auto"/>
                <w:sz w:val="24"/>
                <w:szCs w:val="24"/>
                <w:highlight w:val="none"/>
                <w:u w:val="none" w:color="auto"/>
                <w:shd w:val="clear" w:color="auto" w:fill="FFFFFF"/>
                <w:lang w:eastAsia="zh-CN"/>
              </w:rPr>
              <w:t>，遗留废渣</w:t>
            </w:r>
            <w:r>
              <w:rPr>
                <w:rFonts w:hint="eastAsia" w:ascii="Times New Roman" w:hAnsi="Times New Roman" w:eastAsia="宋体" w:cs="Times New Roman"/>
                <w:color w:val="auto"/>
                <w:sz w:val="24"/>
                <w:szCs w:val="24"/>
                <w:highlight w:val="none"/>
                <w:u w:val="none" w:color="auto"/>
                <w:shd w:val="clear" w:color="auto" w:fill="FFFFFF"/>
                <w:lang w:eastAsia="zh-CN"/>
              </w:rPr>
              <w:t>堆存</w:t>
            </w:r>
            <w:r>
              <w:rPr>
                <w:rFonts w:hint="default" w:ascii="Times New Roman" w:hAnsi="Times New Roman" w:eastAsia="宋体" w:cs="Times New Roman"/>
                <w:color w:val="auto"/>
                <w:sz w:val="24"/>
                <w:szCs w:val="24"/>
                <w:highlight w:val="none"/>
                <w:u w:val="none" w:color="auto"/>
                <w:shd w:val="clear" w:color="auto" w:fill="FFFFFF"/>
                <w:lang w:eastAsia="zh-CN"/>
              </w:rPr>
              <w:t>面积约4980m</w:t>
            </w:r>
            <w:r>
              <w:rPr>
                <w:rFonts w:hint="default" w:ascii="Times New Roman" w:hAnsi="Times New Roman" w:eastAsia="宋体" w:cs="Times New Roman"/>
                <w:color w:val="auto"/>
                <w:sz w:val="24"/>
                <w:szCs w:val="24"/>
                <w:highlight w:val="none"/>
                <w:u w:val="none" w:color="auto"/>
                <w:shd w:val="clear" w:color="auto" w:fill="FFFFFF"/>
                <w:vertAlign w:val="superscript"/>
                <w:lang w:val="en-US" w:eastAsia="zh-CN"/>
              </w:rPr>
              <w:t>2</w:t>
            </w:r>
            <w:r>
              <w:rPr>
                <w:rFonts w:hint="default" w:ascii="Times New Roman" w:hAnsi="Times New Roman" w:eastAsia="宋体" w:cs="Times New Roman"/>
                <w:color w:val="auto"/>
                <w:sz w:val="24"/>
                <w:szCs w:val="24"/>
                <w:highlight w:val="none"/>
                <w:u w:val="none" w:color="auto"/>
                <w:shd w:val="clear" w:color="auto" w:fill="FFFFFF"/>
                <w:lang w:eastAsia="zh-CN"/>
              </w:rPr>
              <w:t>，方量约55826</w:t>
            </w:r>
            <w:r>
              <w:rPr>
                <w:rFonts w:hint="eastAsia" w:cs="Times New Roman"/>
                <w:color w:val="auto"/>
                <w:sz w:val="24"/>
                <w:szCs w:val="24"/>
                <w:highlight w:val="none"/>
                <w:u w:val="none" w:color="auto"/>
                <w:shd w:val="clear" w:color="auto" w:fill="FFFFFF"/>
                <w:lang w:eastAsia="zh-CN"/>
              </w:rPr>
              <w:t>m³</w:t>
            </w:r>
            <w:r>
              <w:rPr>
                <w:rFonts w:hint="default" w:ascii="Times New Roman" w:hAnsi="Times New Roman" w:eastAsia="宋体" w:cs="Times New Roman"/>
                <w:color w:val="auto"/>
                <w:sz w:val="24"/>
                <w:szCs w:val="24"/>
                <w:highlight w:val="none"/>
                <w:u w:val="none" w:color="auto"/>
                <w:shd w:val="clear" w:color="auto" w:fill="FFFFFF"/>
                <w:lang w:eastAsia="zh-CN"/>
              </w:rPr>
              <w:t>。2023年9月，湖南省第一生态环境保护督察组对衡阳市开展督察期间,指出该场地历史遗留废渣问题十分突出，风险管控措施落实不到位等问题，并将该问题地作为典型案例进行通报。珠晖区人民政府积极落实督察整改，举一反三，对珠晖区范围内学官路附近堆存约1650</w:t>
            </w:r>
            <w:r>
              <w:rPr>
                <w:rFonts w:hint="eastAsia" w:cs="Times New Roman"/>
                <w:color w:val="auto"/>
                <w:sz w:val="24"/>
                <w:szCs w:val="24"/>
                <w:highlight w:val="none"/>
                <w:u w:val="none" w:color="auto"/>
                <w:shd w:val="clear" w:color="auto" w:fill="FFFFFF"/>
                <w:lang w:eastAsia="zh-CN"/>
              </w:rPr>
              <w:t>m³</w:t>
            </w:r>
            <w:r>
              <w:rPr>
                <w:rFonts w:hint="default" w:ascii="Times New Roman" w:hAnsi="Times New Roman" w:eastAsia="宋体" w:cs="Times New Roman"/>
                <w:color w:val="auto"/>
                <w:sz w:val="24"/>
                <w:szCs w:val="24"/>
                <w:highlight w:val="none"/>
                <w:u w:val="none" w:color="auto"/>
                <w:shd w:val="clear" w:color="auto" w:fill="FFFFFF"/>
                <w:lang w:eastAsia="zh-CN"/>
              </w:rPr>
              <w:t>废渣一并纳入整治范围。</w:t>
            </w:r>
            <w:r>
              <w:rPr>
                <w:rFonts w:hint="default" w:ascii="Times New Roman" w:hAnsi="Times New Roman" w:eastAsia="宋体" w:cs="Times New Roman"/>
                <w:color w:val="auto"/>
                <w:sz w:val="24"/>
                <w:u w:val="none" w:color="auto"/>
                <w:shd w:val="clear" w:color="auto" w:fill="FFFFFF"/>
              </w:rPr>
              <w:t>根据</w:t>
            </w:r>
            <w:r>
              <w:rPr>
                <w:rFonts w:hint="default" w:ascii="Times New Roman" w:hAnsi="Times New Roman" w:eastAsia="宋体" w:cs="Times New Roman"/>
                <w:color w:val="auto"/>
                <w:sz w:val="24"/>
                <w:u w:val="none" w:color="auto"/>
                <w:shd w:val="clear" w:color="auto" w:fill="FFFFFF"/>
                <w:lang w:eastAsia="zh-CN"/>
              </w:rPr>
              <w:t>前期场地污染状况调查</w:t>
            </w:r>
            <w:r>
              <w:rPr>
                <w:rFonts w:hint="default" w:ascii="Times New Roman" w:hAnsi="Times New Roman" w:eastAsia="宋体" w:cs="Times New Roman"/>
                <w:color w:val="auto"/>
                <w:sz w:val="24"/>
                <w:u w:val="none" w:color="auto"/>
                <w:shd w:val="clear" w:color="auto" w:fill="FFFFFF"/>
              </w:rPr>
              <w:t>结果，原中盐天友化工有限公司遗留废渣、学宫路附近堆渣为一般</w:t>
            </w:r>
            <w:r>
              <w:rPr>
                <w:rFonts w:hint="eastAsia" w:ascii="Times New Roman" w:hAnsi="Times New Roman" w:eastAsia="宋体" w:cs="Times New Roman"/>
                <w:color w:val="auto"/>
                <w:sz w:val="24"/>
                <w:u w:val="none" w:color="auto"/>
                <w:shd w:val="clear" w:color="auto" w:fill="FFFFFF"/>
                <w:lang w:val="en-US" w:eastAsia="zh-CN"/>
              </w:rPr>
              <w:t>II</w:t>
            </w:r>
            <w:r>
              <w:rPr>
                <w:rFonts w:hint="default" w:ascii="Times New Roman" w:hAnsi="Times New Roman" w:eastAsia="宋体" w:cs="Times New Roman"/>
                <w:color w:val="auto"/>
                <w:sz w:val="24"/>
                <w:u w:val="none" w:color="auto"/>
                <w:shd w:val="clear" w:color="auto" w:fill="FFFFFF"/>
              </w:rPr>
              <w:t>类固体废物。</w:t>
            </w:r>
          </w:p>
          <w:p>
            <w:pPr>
              <w:spacing w:line="360" w:lineRule="auto"/>
              <w:ind w:firstLine="480" w:firstLineChars="200"/>
              <w:jc w:val="both"/>
              <w:rPr>
                <w:rFonts w:hint="eastAsia" w:ascii="Times New Roman" w:hAnsi="Times New Roman" w:eastAsia="宋体" w:cs="Times New Roman"/>
                <w:color w:val="auto"/>
                <w:sz w:val="24"/>
                <w:u w:val="none" w:color="auto"/>
                <w:shd w:val="clear" w:color="auto" w:fill="FFFFFF"/>
                <w:lang w:val="en-US" w:eastAsia="zh-CN"/>
              </w:rPr>
            </w:pPr>
            <w:r>
              <w:rPr>
                <w:rFonts w:hint="eastAsia" w:ascii="Times New Roman" w:hAnsi="Times New Roman" w:eastAsia="宋体" w:cs="Times New Roman"/>
                <w:color w:val="auto"/>
                <w:sz w:val="24"/>
                <w:u w:val="none" w:color="auto"/>
                <w:shd w:val="clear" w:color="auto" w:fill="FFFFFF"/>
                <w:lang w:val="en-US" w:eastAsia="zh-CN"/>
              </w:rPr>
              <w:t>根据</w:t>
            </w:r>
            <w:r>
              <w:rPr>
                <w:rFonts w:hint="default" w:ascii="Times New Roman" w:hAnsi="Times New Roman" w:eastAsia="宋体" w:cs="Times New Roman"/>
                <w:color w:val="auto"/>
                <w:sz w:val="24"/>
                <w:u w:val="none" w:color="auto"/>
                <w:shd w:val="clear" w:color="auto" w:fill="FFFFFF"/>
                <w:lang w:val="en-US" w:eastAsia="zh-CN"/>
              </w:rPr>
              <w:t>《衡阳市珠晖区原中盐天友化工有限公司及学宫路附近遗留废渣整治项目实施方案》</w:t>
            </w:r>
            <w:r>
              <w:rPr>
                <w:rFonts w:hint="eastAsia" w:ascii="Times New Roman" w:hAnsi="Times New Roman" w:eastAsia="宋体" w:cs="Times New Roman"/>
                <w:color w:val="auto"/>
                <w:sz w:val="24"/>
                <w:u w:val="none" w:color="auto"/>
                <w:shd w:val="clear" w:color="auto" w:fill="FFFFFF"/>
                <w:lang w:val="en-US" w:eastAsia="zh-CN"/>
              </w:rPr>
              <w:t>，确定了将原中盐天友化工有限公司约55826</w:t>
            </w:r>
            <w:r>
              <w:rPr>
                <w:rFonts w:hint="eastAsia" w:cs="Times New Roman"/>
                <w:color w:val="auto"/>
                <w:sz w:val="24"/>
                <w:u w:val="none" w:color="auto"/>
                <w:shd w:val="clear" w:color="auto" w:fill="FFFFFF"/>
                <w:lang w:val="en-US" w:eastAsia="zh-CN"/>
              </w:rPr>
              <w:t>m³</w:t>
            </w:r>
            <w:r>
              <w:rPr>
                <w:rFonts w:hint="eastAsia" w:ascii="Times New Roman" w:hAnsi="Times New Roman" w:eastAsia="宋体" w:cs="Times New Roman"/>
                <w:color w:val="auto"/>
                <w:sz w:val="24"/>
                <w:u w:val="none" w:color="auto"/>
                <w:shd w:val="clear" w:color="auto" w:fill="FFFFFF"/>
                <w:lang w:val="en-US" w:eastAsia="zh-CN"/>
              </w:rPr>
              <w:t>废渣、学宫路附近约1650</w:t>
            </w:r>
            <w:r>
              <w:rPr>
                <w:rFonts w:hint="eastAsia" w:cs="Times New Roman"/>
                <w:color w:val="auto"/>
                <w:sz w:val="24"/>
                <w:u w:val="none" w:color="auto"/>
                <w:shd w:val="clear" w:color="auto" w:fill="FFFFFF"/>
                <w:lang w:val="en-US" w:eastAsia="zh-CN"/>
              </w:rPr>
              <w:t>m³</w:t>
            </w:r>
            <w:r>
              <w:rPr>
                <w:rFonts w:hint="eastAsia" w:ascii="Times New Roman" w:hAnsi="Times New Roman" w:eastAsia="宋体" w:cs="Times New Roman"/>
                <w:color w:val="auto"/>
                <w:sz w:val="24"/>
                <w:u w:val="none" w:color="auto"/>
                <w:shd w:val="clear" w:color="auto" w:fill="FFFFFF"/>
                <w:lang w:val="en-US" w:eastAsia="zh-CN"/>
              </w:rPr>
              <w:t>废渣，六方电镀约190方废渣清运至周边砖厂资源化利用路线，并对此进行了中试试验。</w:t>
            </w:r>
          </w:p>
          <w:p>
            <w:pPr>
              <w:spacing w:line="360" w:lineRule="auto"/>
              <w:ind w:firstLine="480" w:firstLineChars="200"/>
              <w:jc w:val="both"/>
              <w:rPr>
                <w:rFonts w:hint="default" w:ascii="Times New Roman" w:hAnsi="Times New Roman" w:eastAsia="宋体" w:cs="Times New Roman"/>
                <w:color w:val="auto"/>
                <w:sz w:val="24"/>
                <w:u w:val="none" w:color="auto"/>
                <w:shd w:val="clear" w:color="auto" w:fill="FFFFFF"/>
                <w:lang w:val="en-US" w:eastAsia="zh-CN"/>
              </w:rPr>
            </w:pPr>
            <w:r>
              <w:rPr>
                <w:rFonts w:hint="default" w:ascii="Times New Roman" w:hAnsi="Times New Roman" w:eastAsia="宋体" w:cs="Times New Roman"/>
                <w:color w:val="auto"/>
                <w:sz w:val="24"/>
                <w:u w:val="none" w:color="auto"/>
                <w:shd w:val="clear" w:color="auto" w:fill="FFFFFF"/>
                <w:lang w:val="en-US" w:eastAsia="zh-CN"/>
              </w:rPr>
              <w:t>衡阳市生态环境局于2024年6月24日出具了《关于&lt;衡阳市珠晖区原中盐天友化工有限公司及学宫路附近遗留废渣整治项目实施方案&gt;的审查意见》，原则同意项目组织实施。</w:t>
            </w:r>
            <w:r>
              <w:rPr>
                <w:rFonts w:hint="eastAsia" w:ascii="Times New Roman" w:hAnsi="Times New Roman" w:eastAsia="宋体" w:cs="Times New Roman"/>
                <w:color w:val="auto"/>
                <w:sz w:val="24"/>
                <w:u w:val="none" w:color="auto"/>
                <w:shd w:val="clear" w:color="auto" w:fill="FFFFFF"/>
                <w:lang w:val="en-US" w:eastAsia="zh-CN"/>
              </w:rPr>
              <w:t>该废渣治理项目已将部分废渣清运至湖南九渡建材有限公司掺配制砖，目前六方电镀及原中盐天友</w:t>
            </w:r>
            <w:r>
              <w:rPr>
                <w:rFonts w:hint="default" w:ascii="Times New Roman" w:hAnsi="Times New Roman" w:eastAsia="宋体" w:cs="Times New Roman"/>
                <w:color w:val="auto"/>
                <w:sz w:val="24"/>
                <w:u w:val="none" w:color="auto"/>
                <w:shd w:val="clear" w:color="auto" w:fill="FFFFFF"/>
                <w:lang w:val="en-US" w:eastAsia="zh-CN"/>
              </w:rPr>
              <w:t>化工有限公司</w:t>
            </w:r>
            <w:r>
              <w:rPr>
                <w:rFonts w:hint="eastAsia" w:ascii="Times New Roman" w:hAnsi="Times New Roman" w:eastAsia="宋体" w:cs="Times New Roman"/>
                <w:color w:val="auto"/>
                <w:sz w:val="24"/>
                <w:u w:val="none" w:color="auto"/>
                <w:shd w:val="clear" w:color="auto" w:fill="FFFFFF"/>
                <w:lang w:val="en-US" w:eastAsia="zh-CN"/>
              </w:rPr>
              <w:t>现场遗留的</w:t>
            </w:r>
            <w:r>
              <w:rPr>
                <w:rFonts w:hint="eastAsia" w:ascii="Times New Roman" w:hAnsi="Times New Roman" w:eastAsia="宋体" w:cs="Times New Roman"/>
                <w:color w:val="auto"/>
                <w:sz w:val="24"/>
                <w:szCs w:val="24"/>
                <w:highlight w:val="none"/>
                <w:u w:val="none" w:color="auto"/>
                <w:shd w:val="clear" w:color="auto" w:fill="FFFFFF"/>
                <w:lang w:eastAsia="zh-CN"/>
              </w:rPr>
              <w:t>少量氟石膏和电石渣已清理完成。本项目掺配的一般固废为</w:t>
            </w:r>
            <w:r>
              <w:rPr>
                <w:rFonts w:hint="default" w:ascii="Times New Roman" w:hAnsi="Times New Roman" w:eastAsia="宋体" w:cs="Times New Roman"/>
                <w:color w:val="auto"/>
                <w:sz w:val="24"/>
                <w:highlight w:val="none"/>
                <w:u w:val="none" w:color="auto"/>
                <w:shd w:val="clear" w:color="auto" w:fill="FFFFFF"/>
              </w:rPr>
              <w:t>原中盐天友化工有限公司遗留废渣</w:t>
            </w:r>
            <w:r>
              <w:rPr>
                <w:rFonts w:hint="eastAsia" w:ascii="Times New Roman" w:hAnsi="Times New Roman" w:eastAsia="宋体" w:cs="Times New Roman"/>
                <w:color w:val="auto"/>
                <w:sz w:val="24"/>
                <w:highlight w:val="none"/>
                <w:u w:val="none" w:color="auto"/>
                <w:shd w:val="clear" w:color="auto" w:fill="FFFFFF"/>
                <w:lang w:eastAsia="zh-CN"/>
              </w:rPr>
              <w:t>中的黑泥和钛石膏以及</w:t>
            </w:r>
            <w:r>
              <w:rPr>
                <w:rFonts w:hint="default" w:ascii="Times New Roman" w:hAnsi="Times New Roman" w:eastAsia="宋体" w:cs="Times New Roman"/>
                <w:color w:val="auto"/>
                <w:sz w:val="24"/>
                <w:highlight w:val="none"/>
                <w:u w:val="none" w:color="auto"/>
                <w:shd w:val="clear" w:color="auto" w:fill="FFFFFF"/>
              </w:rPr>
              <w:t>学宫路附近</w:t>
            </w:r>
            <w:r>
              <w:rPr>
                <w:rFonts w:hint="eastAsia" w:ascii="Times New Roman" w:hAnsi="Times New Roman" w:eastAsia="宋体" w:cs="Times New Roman"/>
                <w:color w:val="auto"/>
                <w:sz w:val="24"/>
                <w:highlight w:val="none"/>
                <w:u w:val="none" w:color="auto"/>
                <w:shd w:val="clear" w:color="auto" w:fill="FFFFFF"/>
                <w:lang w:eastAsia="zh-CN"/>
              </w:rPr>
              <w:t>遗留废渣。</w:t>
            </w:r>
          </w:p>
          <w:p>
            <w:pPr>
              <w:spacing w:line="360" w:lineRule="auto"/>
              <w:ind w:firstLine="480" w:firstLineChars="200"/>
              <w:jc w:val="both"/>
              <w:rPr>
                <w:rFonts w:hint="default" w:ascii="Times New Roman" w:hAnsi="Times New Roman" w:eastAsia="宋体" w:cs="Times New Roman"/>
                <w:color w:val="auto"/>
                <w:sz w:val="24"/>
                <w:szCs w:val="24"/>
                <w:highlight w:val="none"/>
                <w:u w:val="none" w:color="auto"/>
                <w:shd w:val="clear" w:color="auto" w:fill="FFFFFF"/>
                <w:lang w:val="en-US" w:eastAsia="zh-CN"/>
              </w:rPr>
            </w:pPr>
            <w:r>
              <w:rPr>
                <w:rFonts w:hint="eastAsia" w:ascii="Times New Roman" w:hAnsi="Times New Roman" w:eastAsia="宋体" w:cs="Times New Roman"/>
                <w:color w:val="auto"/>
                <w:sz w:val="24"/>
                <w:szCs w:val="24"/>
                <w:highlight w:val="none"/>
                <w:u w:val="none" w:color="auto"/>
                <w:shd w:val="clear" w:color="auto" w:fill="FFFFFF"/>
                <w:lang w:val="en-US" w:eastAsia="zh-CN"/>
              </w:rPr>
              <w:t>（2）建设单位情况</w:t>
            </w:r>
          </w:p>
          <w:p>
            <w:pPr>
              <w:pStyle w:val="26"/>
              <w:spacing w:before="0" w:beforeAutospacing="0" w:after="0" w:afterAutospacing="0" w:line="360" w:lineRule="auto"/>
              <w:ind w:firstLine="480" w:firstLineChars="200"/>
              <w:rPr>
                <w:rFonts w:hint="default" w:eastAsia="宋体"/>
                <w:color w:val="auto"/>
                <w:w w:val="105"/>
                <w:u w:val="none" w:color="auto"/>
                <w:lang w:val="en-US" w:eastAsia="zh-CN"/>
              </w:rPr>
            </w:pPr>
            <w:r>
              <w:rPr>
                <w:rFonts w:hint="eastAsia" w:ascii="Times New Roman" w:hAnsi="Times New Roman"/>
                <w:color w:val="auto"/>
                <w:szCs w:val="24"/>
                <w:highlight w:val="none"/>
                <w:u w:val="none" w:color="auto"/>
                <w:shd w:val="clear" w:color="auto" w:fill="FFFFFF"/>
                <w:lang w:val="en-US" w:eastAsia="zh-CN"/>
              </w:rPr>
              <w:t>衡阳县财源页岩砖有限公司</w:t>
            </w:r>
            <w:r>
              <w:rPr>
                <w:rFonts w:ascii="Times New Roman" w:hAnsi="Times New Roman"/>
                <w:color w:val="auto"/>
                <w:szCs w:val="24"/>
                <w:highlight w:val="none"/>
                <w:u w:val="none" w:color="auto"/>
                <w:shd w:val="clear" w:color="auto" w:fill="FFFFFF"/>
              </w:rPr>
              <w:t>201</w:t>
            </w:r>
            <w:r>
              <w:rPr>
                <w:rFonts w:hint="eastAsia" w:ascii="Times New Roman" w:hAnsi="Times New Roman"/>
                <w:color w:val="auto"/>
                <w:szCs w:val="24"/>
                <w:highlight w:val="none"/>
                <w:u w:val="none" w:color="auto"/>
                <w:shd w:val="clear" w:color="auto" w:fill="FFFFFF"/>
                <w:lang w:val="en-US" w:eastAsia="zh-CN"/>
              </w:rPr>
              <w:t>2</w:t>
            </w:r>
            <w:r>
              <w:rPr>
                <w:rFonts w:ascii="Times New Roman" w:hAnsi="Times New Roman"/>
                <w:color w:val="auto"/>
                <w:szCs w:val="24"/>
                <w:highlight w:val="none"/>
                <w:u w:val="none" w:color="auto"/>
                <w:shd w:val="clear" w:color="auto" w:fill="FFFFFF"/>
              </w:rPr>
              <w:t>年在</w:t>
            </w:r>
            <w:r>
              <w:rPr>
                <w:rFonts w:hint="eastAsia" w:ascii="Times New Roman" w:hAnsi="Times New Roman"/>
                <w:color w:val="auto"/>
                <w:szCs w:val="24"/>
                <w:highlight w:val="none"/>
                <w:u w:val="none" w:color="auto"/>
                <w:shd w:val="clear" w:color="auto" w:fill="FFFFFF"/>
                <w:lang w:eastAsia="zh-CN"/>
              </w:rPr>
              <w:t>衡阳县西渡镇正大村枣子组</w:t>
            </w:r>
            <w:r>
              <w:rPr>
                <w:rFonts w:ascii="Times New Roman" w:hAnsi="Times New Roman"/>
                <w:color w:val="auto"/>
                <w:szCs w:val="24"/>
                <w:highlight w:val="none"/>
                <w:u w:val="none" w:color="auto"/>
                <w:shd w:val="clear" w:color="auto" w:fill="FFFFFF"/>
              </w:rPr>
              <w:t>建设了年产3000万块页岩砖</w:t>
            </w:r>
            <w:r>
              <w:rPr>
                <w:rFonts w:hint="eastAsia" w:ascii="Times New Roman" w:hAnsi="Times New Roman"/>
                <w:color w:val="auto"/>
                <w:szCs w:val="24"/>
                <w:highlight w:val="none"/>
                <w:u w:val="none" w:color="auto"/>
                <w:shd w:val="clear" w:color="auto" w:fill="FFFFFF"/>
                <w:lang w:val="en-US" w:eastAsia="zh-CN"/>
              </w:rPr>
              <w:t>建设项目</w:t>
            </w:r>
            <w:r>
              <w:rPr>
                <w:rFonts w:ascii="Times New Roman" w:hAnsi="Times New Roman"/>
                <w:color w:val="auto"/>
                <w:szCs w:val="24"/>
                <w:highlight w:val="none"/>
                <w:u w:val="none" w:color="auto"/>
                <w:shd w:val="clear" w:color="auto" w:fill="FFFFFF"/>
              </w:rPr>
              <w:t>，项目占地</w:t>
            </w:r>
            <w:r>
              <w:rPr>
                <w:rFonts w:hint="eastAsia" w:ascii="Times New Roman" w:hAnsi="Times New Roman"/>
                <w:color w:val="auto"/>
                <w:highlight w:val="none"/>
                <w:u w:val="none" w:color="auto"/>
                <w:shd w:val="clear" w:color="auto" w:fill="FFFFFF"/>
                <w:lang w:val="en-US" w:eastAsia="zh-CN"/>
              </w:rPr>
              <w:t>16000</w:t>
            </w:r>
            <w:r>
              <w:rPr>
                <w:rFonts w:ascii="Times New Roman" w:hAnsi="Times New Roman"/>
                <w:color w:val="auto"/>
                <w:szCs w:val="24"/>
                <w:highlight w:val="none"/>
                <w:u w:val="none" w:color="auto"/>
                <w:shd w:val="clear" w:color="auto" w:fill="FFFFFF"/>
              </w:rPr>
              <w:t>m</w:t>
            </w:r>
            <w:r>
              <w:rPr>
                <w:rFonts w:ascii="Times New Roman" w:hAnsi="Times New Roman"/>
                <w:color w:val="auto"/>
                <w:szCs w:val="24"/>
                <w:highlight w:val="none"/>
                <w:u w:val="none" w:color="auto"/>
                <w:shd w:val="clear" w:color="auto" w:fill="FFFFFF"/>
                <w:vertAlign w:val="superscript"/>
              </w:rPr>
              <w:t>2</w:t>
            </w:r>
            <w:r>
              <w:rPr>
                <w:rFonts w:hint="eastAsia" w:ascii="Times New Roman" w:hAnsi="Times New Roman"/>
                <w:color w:val="auto"/>
                <w:szCs w:val="24"/>
                <w:highlight w:val="none"/>
                <w:u w:val="none" w:color="auto"/>
                <w:shd w:val="clear" w:color="auto" w:fill="FFFFFF"/>
                <w:vertAlign w:val="baseline"/>
                <w:lang w:eastAsia="zh-CN"/>
              </w:rPr>
              <w:t>，</w:t>
            </w:r>
            <w:r>
              <w:rPr>
                <w:color w:val="auto"/>
                <w:w w:val="104"/>
                <w:u w:val="none" w:color="auto"/>
              </w:rPr>
              <w:t>项目</w:t>
            </w:r>
            <w:r>
              <w:rPr>
                <w:rFonts w:hint="eastAsia"/>
                <w:color w:val="auto"/>
                <w:w w:val="104"/>
                <w:u w:val="none" w:color="auto"/>
                <w:lang w:val="en-US" w:eastAsia="zh-CN"/>
              </w:rPr>
              <w:t>原厂窑型为有顶轮窑，因产业政策调整，于2019年全部拆除重建进行技术改造，将原有轮窑改为隧道窑，总生产规模仍为年产3000万块页岩砖，项目未新增占地，工程建设总占地面积仍为16000m</w:t>
            </w:r>
            <w:r>
              <w:rPr>
                <w:rFonts w:hint="eastAsia"/>
                <w:color w:val="auto"/>
                <w:w w:val="104"/>
                <w:u w:val="none" w:color="auto"/>
                <w:vertAlign w:val="superscript"/>
                <w:lang w:val="en-US" w:eastAsia="zh-CN"/>
              </w:rPr>
              <w:t>2</w:t>
            </w:r>
            <w:r>
              <w:rPr>
                <w:rFonts w:hint="eastAsia"/>
                <w:color w:val="auto"/>
                <w:w w:val="105"/>
                <w:u w:val="none" w:color="auto"/>
                <w:lang w:eastAsia="zh-CN"/>
              </w:rPr>
              <w:t>，</w:t>
            </w:r>
            <w:r>
              <w:rPr>
                <w:rFonts w:hint="eastAsia"/>
                <w:color w:val="auto"/>
                <w:w w:val="105"/>
                <w:u w:val="none" w:color="auto"/>
                <w:lang w:val="en-US" w:eastAsia="zh-CN"/>
              </w:rPr>
              <w:t>主要建设有隧道窑、坯道、陈化库、成型车间、破碎车间、成品堆场、原料棚、员工宿舍及办公生活区。</w:t>
            </w:r>
          </w:p>
          <w:p>
            <w:pPr>
              <w:pStyle w:val="26"/>
              <w:spacing w:before="0" w:beforeAutospacing="0" w:after="0" w:afterAutospacing="0" w:line="360" w:lineRule="auto"/>
              <w:ind w:firstLine="504" w:firstLineChars="200"/>
              <w:rPr>
                <w:rFonts w:hint="default"/>
                <w:color w:val="auto"/>
                <w:w w:val="105"/>
                <w:u w:val="none" w:color="auto"/>
                <w:lang w:val="en-US" w:eastAsia="zh-CN"/>
              </w:rPr>
            </w:pPr>
            <w:r>
              <w:rPr>
                <w:rFonts w:hint="eastAsia"/>
                <w:color w:val="auto"/>
                <w:w w:val="105"/>
                <w:u w:val="none" w:color="auto"/>
                <w:lang w:val="en-US" w:eastAsia="zh-CN"/>
              </w:rPr>
              <w:t>由于项目属于2012年12月31日前已建成，未经环评审批或验收，按照湖南省人民政府《关于清理整治环保违规建设项目的通知》（湘政办法[2015]111号）文件要求予以补办手续，衡阳县财源页岩砖有限公司2016年12月委托长沙振华环境保护开发有限公司编制了《年产3000万块环保页岩砖建设项目》，并且由衡阳县环保局于2016年12月26日进行了批复，批复文号为蒸环评函【2016】70号文件；2017年8月由湖南省亿美有害物质检测有限公司编制了《衡阳县财源页岩砖有限公司年产3000万块页岩砖建设项目竣工环境保护验收检测报告》；2018年10月委托宁夏智诚安环技术咨询有限公司编制了技术改造项目环评《衡阳县财源页岩砖有限公司年产3000万块页岩砖建设项目》，2019年3月4日由衡阳县环境保护局对其进行了批复，批复文号为蒸环评[2019]06号。2020年1月进行了建设项目竣工环境保护验收。</w:t>
            </w:r>
          </w:p>
          <w:p>
            <w:pPr>
              <w:pStyle w:val="26"/>
              <w:spacing w:before="0" w:beforeAutospacing="0" w:after="0" w:afterAutospacing="0" w:line="360" w:lineRule="auto"/>
              <w:ind w:firstLine="504" w:firstLineChars="200"/>
              <w:rPr>
                <w:rFonts w:hint="default"/>
                <w:color w:val="auto"/>
                <w:w w:val="105"/>
                <w:u w:val="none" w:color="auto"/>
                <w:lang w:val="en-US" w:eastAsia="zh-CN"/>
              </w:rPr>
            </w:pPr>
            <w:r>
              <w:rPr>
                <w:rFonts w:hint="eastAsia"/>
                <w:color w:val="auto"/>
                <w:w w:val="105"/>
                <w:u w:val="none" w:color="auto"/>
                <w:lang w:val="en-US" w:eastAsia="zh-CN"/>
              </w:rPr>
              <w:t>并于2023年5月25日通过</w:t>
            </w:r>
            <w:r>
              <w:rPr>
                <w:rFonts w:hint="eastAsia" w:ascii="Times New Roman" w:hAnsi="Times New Roman" w:cs="Times New Roman"/>
                <w:color w:val="auto"/>
                <w:sz w:val="24"/>
                <w:u w:val="none" w:color="auto"/>
                <w:lang w:eastAsia="zh-CN"/>
              </w:rPr>
              <w:t>全国排污许可证管理信息平台取得排污许可证</w:t>
            </w:r>
            <w:r>
              <w:rPr>
                <w:rFonts w:hint="eastAsia"/>
                <w:color w:val="auto"/>
                <w:w w:val="105"/>
                <w:u w:val="none" w:color="auto"/>
                <w:lang w:val="en-US" w:eastAsia="zh-CN"/>
              </w:rPr>
              <w:t>，排污许可证编号为91430421338375491U001V。</w:t>
            </w:r>
          </w:p>
          <w:p>
            <w:pPr>
              <w:pStyle w:val="2"/>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textAlignment w:val="auto"/>
              <w:rPr>
                <w:rFonts w:hint="default" w:ascii="Times New Roman" w:hAnsi="Times New Roman" w:eastAsia="宋体" w:cs="Times New Roman"/>
                <w:bCs/>
                <w:color w:val="auto"/>
                <w:sz w:val="24"/>
                <w:highlight w:val="none"/>
                <w:u w:val="none" w:color="auto"/>
                <w:lang w:eastAsia="zh-CN"/>
              </w:rPr>
            </w:pPr>
            <w:r>
              <w:rPr>
                <w:rFonts w:hint="default" w:ascii="Times New Roman" w:hAnsi="Times New Roman" w:eastAsia="宋体" w:cs="Times New Roman"/>
                <w:color w:val="auto"/>
                <w:u w:val="none" w:color="auto"/>
                <w:lang w:val="en-US"/>
              </w:rPr>
              <w:t>为了贯彻中央生态文明建设战略部署，坚持创新、协调、绿色、开放、共享的发展理念和节土、节能、利废、保护环境的方针，充分利用固体废物，发展循环经济，实现可持续发展；积极响应国家及衡阳市资源综合利用和节能减排等有关政策，结合自身发展情况，建设单位拟投资</w:t>
            </w:r>
            <w:r>
              <w:rPr>
                <w:rFonts w:hint="eastAsia" w:ascii="Times New Roman" w:hAnsi="Times New Roman" w:cs="Times New Roman"/>
                <w:color w:val="auto"/>
                <w:u w:val="none" w:color="auto"/>
                <w:lang w:val="en-US" w:eastAsia="zh-CN"/>
              </w:rPr>
              <w:t>101.7</w:t>
            </w:r>
            <w:r>
              <w:rPr>
                <w:rFonts w:hint="default" w:ascii="Times New Roman" w:hAnsi="Times New Roman" w:eastAsia="宋体" w:cs="Times New Roman"/>
                <w:color w:val="auto"/>
                <w:u w:val="none" w:color="auto"/>
                <w:lang w:val="en-US"/>
              </w:rPr>
              <w:t>万元</w:t>
            </w:r>
            <w:r>
              <w:rPr>
                <w:rFonts w:hint="default" w:ascii="Times New Roman" w:hAnsi="Times New Roman" w:eastAsia="宋体" w:cs="Times New Roman"/>
                <w:color w:val="auto"/>
                <w:u w:val="none" w:color="auto"/>
                <w:lang w:val="en-US" w:eastAsia="zh-CN"/>
              </w:rPr>
              <w:t>进行</w:t>
            </w:r>
            <w:r>
              <w:rPr>
                <w:rFonts w:hint="eastAsia" w:ascii="Times New Roman" w:hAnsi="Times New Roman" w:eastAsia="宋体" w:cs="Times New Roman"/>
                <w:color w:val="auto"/>
                <w:u w:val="none" w:color="auto"/>
                <w:lang w:val="en-US" w:eastAsia="zh-CN"/>
              </w:rPr>
              <w:t>掺配</w:t>
            </w:r>
            <w:r>
              <w:rPr>
                <w:rFonts w:hint="default" w:ascii="Times New Roman" w:hAnsi="Times New Roman" w:eastAsia="宋体" w:cs="Times New Roman"/>
                <w:color w:val="auto"/>
                <w:u w:val="none" w:color="auto"/>
                <w:lang w:val="en-US" w:eastAsia="zh-CN"/>
              </w:rPr>
              <w:t>一般工业固废生产页岩砖项目</w:t>
            </w:r>
            <w:r>
              <w:rPr>
                <w:rFonts w:hint="default" w:ascii="Times New Roman" w:hAnsi="Times New Roman" w:eastAsia="宋体" w:cs="Times New Roman"/>
                <w:color w:val="auto"/>
                <w:u w:val="none" w:color="auto"/>
                <w:lang w:val="en-US"/>
              </w:rPr>
              <w:t>，</w:t>
            </w:r>
            <w:r>
              <w:rPr>
                <w:rFonts w:hint="eastAsia" w:ascii="Times New Roman" w:hAnsi="Times New Roman" w:eastAsia="宋体" w:cs="Times New Roman"/>
                <w:color w:val="auto"/>
                <w:u w:val="none" w:color="auto"/>
                <w:lang w:val="en-US" w:eastAsia="zh-CN"/>
              </w:rPr>
              <w:t>掺配的一般固废为珠晖区原中盐天友及学宫路遗留废渣</w:t>
            </w:r>
            <w:r>
              <w:rPr>
                <w:rFonts w:hint="default" w:ascii="Times New Roman" w:hAnsi="Times New Roman" w:eastAsia="宋体" w:cs="Times New Roman"/>
                <w:color w:val="auto"/>
                <w:sz w:val="24"/>
                <w:szCs w:val="24"/>
                <w:highlight w:val="none"/>
                <w:u w:val="none" w:color="auto"/>
                <w:shd w:val="clear" w:color="auto" w:fill="FFFFFF"/>
                <w:lang w:eastAsia="zh-CN"/>
              </w:rPr>
              <w:t>，</w:t>
            </w:r>
            <w:r>
              <w:rPr>
                <w:rFonts w:hint="default" w:ascii="Times New Roman" w:hAnsi="Times New Roman" w:eastAsia="宋体" w:cs="Times New Roman"/>
                <w:color w:val="auto"/>
                <w:sz w:val="24"/>
                <w:szCs w:val="24"/>
                <w:highlight w:val="none"/>
                <w:u w:val="none" w:color="auto"/>
                <w:shd w:val="clear" w:color="auto" w:fill="FFFFFF"/>
              </w:rPr>
              <w:t>按照</w:t>
            </w:r>
            <w:r>
              <w:rPr>
                <w:rFonts w:hint="eastAsia" w:ascii="Times New Roman" w:hAnsi="Times New Roman" w:eastAsia="宋体" w:cs="Times New Roman"/>
                <w:color w:val="auto"/>
                <w:sz w:val="24"/>
                <w:szCs w:val="24"/>
                <w:highlight w:val="none"/>
                <w:u w:val="none" w:color="auto"/>
                <w:shd w:val="clear" w:color="auto" w:fill="FFFFFF"/>
                <w:lang w:eastAsia="zh-CN"/>
              </w:rPr>
              <w:t>掺配</w:t>
            </w:r>
            <w:r>
              <w:rPr>
                <w:rFonts w:hint="default" w:ascii="Times New Roman" w:hAnsi="Times New Roman" w:eastAsia="宋体" w:cs="Times New Roman"/>
                <w:color w:val="auto"/>
                <w:sz w:val="24"/>
                <w:szCs w:val="24"/>
                <w:highlight w:val="none"/>
                <w:u w:val="none" w:color="auto"/>
                <w:shd w:val="clear" w:color="auto" w:fill="FFFFFF"/>
              </w:rPr>
              <w:t>比例作为原料进行资源化利用。</w:t>
            </w:r>
            <w:r>
              <w:rPr>
                <w:rFonts w:hint="default" w:ascii="Times New Roman" w:hAnsi="Times New Roman" w:eastAsia="宋体" w:cs="Times New Roman"/>
                <w:color w:val="auto"/>
                <w:u w:val="none" w:color="auto"/>
                <w:lang w:val="en-US"/>
              </w:rPr>
              <w:t>项目</w:t>
            </w:r>
            <w:r>
              <w:rPr>
                <w:rFonts w:hint="default" w:ascii="Times New Roman" w:hAnsi="Times New Roman" w:eastAsia="宋体" w:cs="Times New Roman"/>
                <w:color w:val="auto"/>
                <w:u w:val="none" w:color="auto"/>
                <w:lang w:val="en-US" w:eastAsia="zh-CN"/>
              </w:rPr>
              <w:t>完成</w:t>
            </w:r>
            <w:r>
              <w:rPr>
                <w:rFonts w:hint="default" w:ascii="Times New Roman" w:hAnsi="Times New Roman" w:eastAsia="宋体" w:cs="Times New Roman"/>
                <w:color w:val="auto"/>
                <w:u w:val="none" w:color="auto"/>
                <w:lang w:val="en-US"/>
              </w:rPr>
              <w:t>后生产规模不变，仍为</w:t>
            </w:r>
            <w:r>
              <w:rPr>
                <w:rFonts w:hint="default" w:ascii="Times New Roman" w:hAnsi="Times New Roman" w:eastAsia="宋体" w:cs="Times New Roman"/>
                <w:color w:val="auto"/>
                <w:u w:val="none" w:color="auto"/>
                <w:lang w:val="en-US" w:eastAsia="zh-CN"/>
              </w:rPr>
              <w:t>年产</w:t>
            </w:r>
            <w:r>
              <w:rPr>
                <w:rFonts w:hint="eastAsia" w:ascii="Times New Roman" w:hAnsi="Times New Roman" w:cs="Times New Roman"/>
                <w:color w:val="auto"/>
                <w:u w:val="none" w:color="auto"/>
                <w:lang w:val="en-US" w:eastAsia="zh-CN"/>
              </w:rPr>
              <w:t>30</w:t>
            </w:r>
            <w:r>
              <w:rPr>
                <w:rFonts w:hint="default" w:ascii="Times New Roman" w:hAnsi="Times New Roman" w:eastAsia="宋体" w:cs="Times New Roman"/>
                <w:color w:val="auto"/>
                <w:u w:val="none" w:color="auto"/>
                <w:lang w:val="en-US" w:eastAsia="zh-CN"/>
              </w:rPr>
              <w:t>00</w:t>
            </w:r>
            <w:r>
              <w:rPr>
                <w:rFonts w:hint="default" w:ascii="Times New Roman" w:hAnsi="Times New Roman" w:eastAsia="宋体" w:cs="Times New Roman"/>
                <w:color w:val="auto"/>
                <w:u w:val="none" w:color="auto"/>
                <w:lang w:val="en-US"/>
              </w:rPr>
              <w:t>万块烧结砖的生产能力。</w:t>
            </w:r>
          </w:p>
          <w:p>
            <w:pPr>
              <w:pStyle w:val="2"/>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textAlignment w:val="auto"/>
              <w:rPr>
                <w:rFonts w:hint="default" w:ascii="Times New Roman" w:hAnsi="Times New Roman" w:eastAsia="宋体" w:cs="Times New Roman"/>
                <w:b/>
                <w:bCs/>
                <w:color w:val="auto"/>
                <w:sz w:val="24"/>
                <w:highlight w:val="none"/>
                <w:u w:val="none" w:color="auto"/>
              </w:rPr>
            </w:pPr>
            <w:r>
              <w:rPr>
                <w:rFonts w:hint="default" w:ascii="Times New Roman" w:hAnsi="Times New Roman" w:eastAsia="宋体" w:cs="Times New Roman"/>
                <w:bCs/>
                <w:color w:val="auto"/>
                <w:sz w:val="24"/>
                <w:highlight w:val="none"/>
                <w:u w:val="none" w:color="auto"/>
              </w:rPr>
              <w:t>根据《建设项目环境影响评价分类管理名录</w:t>
            </w:r>
            <w:r>
              <w:rPr>
                <w:rFonts w:hint="eastAsia" w:ascii="Times New Roman" w:hAnsi="Times New Roman" w:eastAsia="宋体" w:cs="Times New Roman"/>
                <w:bCs/>
                <w:color w:val="auto"/>
                <w:sz w:val="24"/>
                <w:highlight w:val="none"/>
                <w:u w:val="none" w:color="auto"/>
                <w:lang w:eastAsia="zh-CN"/>
              </w:rPr>
              <w:t>（</w:t>
            </w:r>
            <w:r>
              <w:rPr>
                <w:rFonts w:hint="eastAsia" w:ascii="Times New Roman" w:hAnsi="Times New Roman" w:eastAsia="宋体" w:cs="Times New Roman"/>
                <w:bCs/>
                <w:color w:val="auto"/>
                <w:sz w:val="24"/>
                <w:highlight w:val="none"/>
                <w:u w:val="none" w:color="auto"/>
                <w:lang w:val="en-US" w:eastAsia="zh-CN"/>
              </w:rPr>
              <w:t>2021年版</w:t>
            </w:r>
            <w:r>
              <w:rPr>
                <w:rFonts w:hint="eastAsia" w:ascii="Times New Roman" w:hAnsi="Times New Roman" w:eastAsia="宋体" w:cs="Times New Roman"/>
                <w:bCs/>
                <w:color w:val="auto"/>
                <w:sz w:val="24"/>
                <w:highlight w:val="none"/>
                <w:u w:val="none" w:color="auto"/>
                <w:lang w:eastAsia="zh-CN"/>
              </w:rPr>
              <w:t>）</w:t>
            </w:r>
            <w:r>
              <w:rPr>
                <w:rFonts w:hint="default" w:ascii="Times New Roman" w:hAnsi="Times New Roman" w:eastAsia="宋体" w:cs="Times New Roman"/>
                <w:bCs/>
                <w:color w:val="auto"/>
                <w:sz w:val="24"/>
                <w:highlight w:val="none"/>
                <w:u w:val="none" w:color="auto"/>
              </w:rPr>
              <w:t>》</w:t>
            </w:r>
            <w:r>
              <w:rPr>
                <w:rFonts w:hint="eastAsia" w:ascii="Times New Roman" w:hAnsi="Times New Roman" w:eastAsia="宋体" w:cs="Times New Roman"/>
                <w:bCs/>
                <w:color w:val="auto"/>
                <w:sz w:val="24"/>
                <w:highlight w:val="none"/>
                <w:u w:val="none" w:color="auto"/>
                <w:lang w:eastAsia="zh-CN"/>
              </w:rPr>
              <w:t>（部令第</w:t>
            </w:r>
            <w:r>
              <w:rPr>
                <w:rFonts w:hint="eastAsia" w:ascii="Times New Roman" w:hAnsi="Times New Roman" w:eastAsia="宋体" w:cs="Times New Roman"/>
                <w:bCs/>
                <w:color w:val="auto"/>
                <w:sz w:val="24"/>
                <w:highlight w:val="none"/>
                <w:u w:val="none" w:color="auto"/>
                <w:lang w:val="en-US" w:eastAsia="zh-CN"/>
              </w:rPr>
              <w:t>16号</w:t>
            </w:r>
            <w:r>
              <w:rPr>
                <w:rFonts w:hint="eastAsia" w:ascii="Times New Roman" w:hAnsi="Times New Roman" w:eastAsia="宋体" w:cs="Times New Roman"/>
                <w:bCs/>
                <w:color w:val="auto"/>
                <w:sz w:val="24"/>
                <w:highlight w:val="none"/>
                <w:u w:val="none" w:color="auto"/>
                <w:lang w:eastAsia="zh-CN"/>
              </w:rPr>
              <w:t>）相关规定，本项目属于“</w:t>
            </w:r>
            <w:r>
              <w:rPr>
                <w:rFonts w:hint="eastAsia" w:ascii="Times New Roman" w:hAnsi="Times New Roman" w:eastAsia="宋体" w:cs="Times New Roman"/>
                <w:bCs/>
                <w:color w:val="auto"/>
                <w:sz w:val="24"/>
                <w:highlight w:val="none"/>
                <w:u w:val="none" w:color="auto"/>
                <w:lang w:val="en-US" w:eastAsia="zh-CN"/>
              </w:rPr>
              <w:t>47-103一般工业固体废物（含污水处理污泥）、建筑施工废弃物处置及综合利用”，该名录规定</w:t>
            </w:r>
            <w:r>
              <w:rPr>
                <w:rFonts w:hint="eastAsia" w:ascii="Times New Roman" w:hAnsi="Times New Roman" w:eastAsia="宋体" w:cs="Times New Roman"/>
                <w:bCs/>
                <w:color w:val="auto"/>
                <w:sz w:val="24"/>
                <w:highlight w:val="none"/>
                <w:u w:val="none" w:color="auto"/>
                <w:lang w:eastAsia="zh-CN"/>
              </w:rPr>
              <w:t>“一般工业固体废物（含污水处理污泥）采取填埋、焚烧（水泥窑协同处置的改造项目除外）方式的”编制环境影响报告书，“其他”项目编制报告环境影响报告表。本项目掺配一般固废进行制砖处置，与水泥窑协同处置一般固废类似，但制砖的隧道窑温度较水泥窑更低，且本项目掺配的一般固废为工业遗留废渣，废渣中可无可燃在机物，无法采用焚烧处置方式。综上所述，本项目适用</w:t>
            </w:r>
            <w:r>
              <w:rPr>
                <w:rFonts w:hint="default" w:ascii="Times New Roman" w:hAnsi="Times New Roman" w:eastAsia="宋体" w:cs="Times New Roman"/>
                <w:bCs/>
                <w:color w:val="auto"/>
                <w:sz w:val="24"/>
                <w:highlight w:val="none"/>
                <w:u w:val="none" w:color="auto"/>
              </w:rPr>
              <w:t>《建设项目环境影响评价分类管理名录》</w:t>
            </w:r>
            <w:r>
              <w:rPr>
                <w:rFonts w:hint="eastAsia" w:ascii="Times New Roman" w:hAnsi="Times New Roman" w:eastAsia="宋体" w:cs="Times New Roman"/>
                <w:bCs/>
                <w:color w:val="auto"/>
                <w:sz w:val="24"/>
                <w:highlight w:val="none"/>
                <w:u w:val="none" w:color="auto"/>
                <w:lang w:eastAsia="zh-CN"/>
              </w:rPr>
              <w:t>（</w:t>
            </w:r>
            <w:r>
              <w:rPr>
                <w:rFonts w:hint="eastAsia" w:ascii="Times New Roman" w:hAnsi="Times New Roman" w:eastAsia="宋体" w:cs="Times New Roman"/>
                <w:bCs/>
                <w:color w:val="auto"/>
                <w:sz w:val="24"/>
                <w:highlight w:val="none"/>
                <w:u w:val="none" w:color="auto"/>
                <w:lang w:val="en-US" w:eastAsia="zh-CN"/>
              </w:rPr>
              <w:t>2021年版</w:t>
            </w:r>
            <w:r>
              <w:rPr>
                <w:rFonts w:hint="eastAsia" w:ascii="Times New Roman" w:hAnsi="Times New Roman" w:eastAsia="宋体" w:cs="Times New Roman"/>
                <w:bCs/>
                <w:color w:val="auto"/>
                <w:sz w:val="24"/>
                <w:highlight w:val="none"/>
                <w:u w:val="none" w:color="auto"/>
                <w:lang w:eastAsia="zh-CN"/>
              </w:rPr>
              <w:t>）中“</w:t>
            </w:r>
            <w:r>
              <w:rPr>
                <w:rFonts w:hint="eastAsia" w:ascii="Times New Roman" w:hAnsi="Times New Roman" w:eastAsia="宋体" w:cs="Times New Roman"/>
                <w:bCs/>
                <w:color w:val="auto"/>
                <w:sz w:val="24"/>
                <w:highlight w:val="none"/>
                <w:u w:val="none" w:color="auto"/>
                <w:lang w:val="en-US" w:eastAsia="zh-CN"/>
              </w:rPr>
              <w:t>47-103一般工业固体废物（含污水处理污泥）、建筑施工废弃物处置及综合利用-其他”</w:t>
            </w:r>
            <w:r>
              <w:rPr>
                <w:rFonts w:hint="eastAsia" w:ascii="Times New Roman" w:hAnsi="Times New Roman" w:eastAsia="宋体" w:cs="Times New Roman"/>
                <w:bCs/>
                <w:color w:val="auto"/>
                <w:sz w:val="24"/>
                <w:highlight w:val="none"/>
                <w:u w:val="none" w:color="auto"/>
                <w:lang w:eastAsia="zh-CN"/>
              </w:rPr>
              <w:t>，应</w:t>
            </w:r>
            <w:r>
              <w:rPr>
                <w:rFonts w:hint="default" w:ascii="Times New Roman" w:hAnsi="Times New Roman" w:eastAsia="宋体" w:cs="Times New Roman"/>
                <w:bCs/>
                <w:color w:val="auto"/>
                <w:sz w:val="24"/>
                <w:highlight w:val="none"/>
                <w:u w:val="none" w:color="auto"/>
              </w:rPr>
              <w:t>编制环境影响报告表</w:t>
            </w:r>
            <w:r>
              <w:rPr>
                <w:rFonts w:hint="default" w:ascii="Times New Roman" w:hAnsi="Times New Roman" w:eastAsia="宋体" w:cs="Times New Roman"/>
                <w:color w:val="auto"/>
                <w:u w:val="none" w:color="auto"/>
                <w:lang w:val="en-US" w:eastAsia="zh-CN"/>
              </w:rPr>
              <w:t>。</w:t>
            </w:r>
          </w:p>
          <w:p>
            <w:pPr>
              <w:spacing w:line="360" w:lineRule="auto"/>
              <w:ind w:firstLine="482" w:firstLineChars="200"/>
              <w:rPr>
                <w:b/>
                <w:bCs/>
                <w:color w:val="auto"/>
                <w:sz w:val="24"/>
                <w:highlight w:val="none"/>
                <w:u w:val="none" w:color="auto"/>
              </w:rPr>
            </w:pPr>
            <w:r>
              <w:rPr>
                <w:b/>
                <w:bCs/>
                <w:color w:val="auto"/>
                <w:sz w:val="24"/>
                <w:highlight w:val="none"/>
                <w:u w:val="none" w:color="auto"/>
              </w:rPr>
              <w:t>2、建设内容</w:t>
            </w:r>
          </w:p>
          <w:p>
            <w:pPr>
              <w:pStyle w:val="2"/>
              <w:spacing w:line="360" w:lineRule="auto"/>
              <w:ind w:firstLine="480" w:firstLineChars="200"/>
              <w:rPr>
                <w:rFonts w:hint="default" w:ascii="Times New Roman" w:hAnsi="Times New Roman" w:eastAsia="宋体"/>
                <w:color w:val="auto"/>
                <w:highlight w:val="none"/>
                <w:u w:val="none" w:color="auto"/>
                <w:lang w:val="en-US" w:eastAsia="zh-CN"/>
              </w:rPr>
            </w:pPr>
            <w:r>
              <w:rPr>
                <w:rFonts w:hint="default" w:ascii="Times New Roman" w:hAnsi="Times New Roman"/>
                <w:color w:val="auto"/>
                <w:highlight w:val="none"/>
                <w:u w:val="none" w:color="auto"/>
              </w:rPr>
              <w:t>本项目位于</w:t>
            </w:r>
            <w:r>
              <w:rPr>
                <w:rFonts w:hint="eastAsia" w:ascii="Times New Roman" w:hAnsi="Times New Roman"/>
                <w:color w:val="auto"/>
                <w:highlight w:val="none"/>
                <w:u w:val="none" w:color="auto"/>
                <w:lang w:eastAsia="zh-CN"/>
              </w:rPr>
              <w:t>衡阳县西渡镇正大村枣子组</w:t>
            </w:r>
            <w:r>
              <w:rPr>
                <w:rFonts w:hint="default" w:ascii="Times New Roman" w:hAnsi="Times New Roman"/>
                <w:color w:val="auto"/>
                <w:highlight w:val="none"/>
                <w:u w:val="none" w:color="auto"/>
              </w:rPr>
              <w:t>，</w:t>
            </w:r>
            <w:r>
              <w:rPr>
                <w:rFonts w:ascii="Times New Roman" w:hAnsi="Times New Roman"/>
                <w:color w:val="auto"/>
                <w:highlight w:val="none"/>
                <w:u w:val="none" w:color="auto"/>
              </w:rPr>
              <w:t>项目</w:t>
            </w:r>
            <w:r>
              <w:rPr>
                <w:rFonts w:hint="default" w:ascii="Times New Roman" w:hAnsi="Times New Roman"/>
                <w:color w:val="auto"/>
                <w:highlight w:val="none"/>
                <w:u w:val="none" w:color="auto"/>
              </w:rPr>
              <w:t>总占地面积</w:t>
            </w:r>
            <w:r>
              <w:rPr>
                <w:rFonts w:hint="eastAsia" w:ascii="Times New Roman" w:hAnsi="Times New Roman"/>
                <w:color w:val="auto"/>
                <w:highlight w:val="none"/>
                <w:u w:val="none" w:color="auto"/>
                <w:shd w:val="clear" w:color="auto" w:fill="FFFFFF"/>
                <w:lang w:val="en-US" w:eastAsia="zh-CN"/>
              </w:rPr>
              <w:t>19000</w:t>
            </w:r>
            <w:r>
              <w:rPr>
                <w:rFonts w:hint="default" w:ascii="Times New Roman" w:hAnsi="Times New Roman"/>
                <w:color w:val="auto"/>
                <w:highlight w:val="none"/>
                <w:u w:val="none" w:color="auto"/>
              </w:rPr>
              <w:t>m</w:t>
            </w:r>
            <w:r>
              <w:rPr>
                <w:rFonts w:hint="default" w:ascii="Times New Roman" w:hAnsi="Times New Roman"/>
                <w:color w:val="auto"/>
                <w:highlight w:val="none"/>
                <w:u w:val="none" w:color="auto"/>
                <w:vertAlign w:val="superscript"/>
              </w:rPr>
              <w:t>2</w:t>
            </w:r>
            <w:r>
              <w:rPr>
                <w:rFonts w:hint="default" w:ascii="Times New Roman" w:hAnsi="Times New Roman"/>
                <w:color w:val="auto"/>
                <w:highlight w:val="none"/>
                <w:u w:val="none" w:color="auto"/>
              </w:rPr>
              <w:t>。</w:t>
            </w:r>
            <w:r>
              <w:rPr>
                <w:rFonts w:hint="eastAsia" w:ascii="Times New Roman" w:hAnsi="Times New Roman"/>
                <w:color w:val="auto"/>
                <w:highlight w:val="none"/>
                <w:u w:val="none" w:color="auto"/>
                <w:lang w:val="en-US" w:eastAsia="zh-CN"/>
              </w:rPr>
              <w:t>建筑面积为19000</w:t>
            </w:r>
            <w:r>
              <w:rPr>
                <w:rFonts w:hint="default" w:ascii="Times New Roman" w:hAnsi="Times New Roman"/>
                <w:color w:val="auto"/>
                <w:highlight w:val="none"/>
                <w:u w:val="none" w:color="auto"/>
              </w:rPr>
              <w:t>m</w:t>
            </w:r>
            <w:r>
              <w:rPr>
                <w:rFonts w:hint="default" w:ascii="Times New Roman" w:hAnsi="Times New Roman"/>
                <w:color w:val="auto"/>
                <w:highlight w:val="none"/>
                <w:u w:val="none" w:color="auto"/>
                <w:vertAlign w:val="superscript"/>
              </w:rPr>
              <w:t>2</w:t>
            </w:r>
            <w:r>
              <w:rPr>
                <w:rFonts w:hint="eastAsia" w:ascii="Times New Roman" w:hAnsi="Times New Roman"/>
                <w:color w:val="auto"/>
                <w:highlight w:val="none"/>
                <w:u w:val="none" w:color="auto"/>
                <w:vertAlign w:val="baseline"/>
                <w:lang w:eastAsia="zh-CN"/>
              </w:rPr>
              <w:t>，</w:t>
            </w:r>
            <w:r>
              <w:rPr>
                <w:rFonts w:hint="eastAsia" w:ascii="Times New Roman" w:hAnsi="Times New Roman"/>
                <w:color w:val="auto"/>
                <w:highlight w:val="none"/>
                <w:u w:val="none" w:color="auto"/>
                <w:vertAlign w:val="baseline"/>
                <w:lang w:val="en-US" w:eastAsia="zh-CN"/>
              </w:rPr>
              <w:t>本项目</w:t>
            </w:r>
            <w:r>
              <w:rPr>
                <w:rFonts w:hint="default" w:ascii="Times New Roman" w:hAnsi="Times New Roman"/>
                <w:color w:val="auto"/>
                <w:highlight w:val="none"/>
                <w:u w:val="none" w:color="auto"/>
              </w:rPr>
              <w:t>建设</w:t>
            </w:r>
            <w:r>
              <w:rPr>
                <w:rFonts w:hint="eastAsia" w:ascii="Times New Roman" w:hAnsi="Times New Roman"/>
                <w:color w:val="auto"/>
                <w:highlight w:val="none"/>
                <w:u w:val="none" w:color="auto"/>
                <w:lang w:val="en-US" w:eastAsia="zh-CN"/>
              </w:rPr>
              <w:t>为依托现有砖厂生产线，</w:t>
            </w:r>
            <w:r>
              <w:rPr>
                <w:rFonts w:hint="eastAsia" w:ascii="Times New Roman" w:hAnsi="Times New Roman"/>
                <w:color w:val="auto"/>
                <w:highlight w:val="none"/>
                <w:u w:val="single" w:color="auto"/>
                <w:lang w:val="en-US" w:eastAsia="zh-CN"/>
              </w:rPr>
              <w:t>增加一般固废（珠晖区原中盐天友及学宫路遗留废渣）替代部分（10%）页岩原料进行生产，</w:t>
            </w:r>
            <w:r>
              <w:rPr>
                <w:rFonts w:hint="eastAsia" w:ascii="Times New Roman" w:hAnsi="Times New Roman"/>
                <w:color w:val="auto"/>
                <w:highlight w:val="none"/>
                <w:u w:val="none" w:color="auto"/>
                <w:lang w:val="en-US" w:eastAsia="zh-CN"/>
              </w:rPr>
              <w:t>新建煤矸石堆棚、一般固废堆棚，新增</w:t>
            </w:r>
            <w:r>
              <w:rPr>
                <w:rFonts w:hint="default" w:ascii="Times New Roman" w:hAnsi="Times New Roman"/>
                <w:color w:val="auto"/>
                <w:highlight w:val="none"/>
                <w:u w:val="none" w:color="auto"/>
              </w:rPr>
              <w:t>占地</w:t>
            </w:r>
            <w:r>
              <w:rPr>
                <w:rFonts w:hint="eastAsia" w:ascii="Times New Roman" w:hAnsi="Times New Roman"/>
                <w:color w:val="auto"/>
                <w:highlight w:val="none"/>
                <w:u w:val="none" w:color="auto"/>
                <w:lang w:val="en-US" w:eastAsia="zh-CN"/>
              </w:rPr>
              <w:t>3000</w:t>
            </w:r>
            <w:r>
              <w:rPr>
                <w:rFonts w:hint="default" w:ascii="Times New Roman" w:hAnsi="Times New Roman"/>
                <w:color w:val="auto"/>
                <w:highlight w:val="none"/>
                <w:u w:val="none" w:color="auto"/>
              </w:rPr>
              <w:t>m</w:t>
            </w:r>
            <w:r>
              <w:rPr>
                <w:rFonts w:hint="default" w:ascii="Times New Roman" w:hAnsi="Times New Roman"/>
                <w:color w:val="auto"/>
                <w:highlight w:val="none"/>
                <w:u w:val="none" w:color="auto"/>
                <w:vertAlign w:val="superscript"/>
              </w:rPr>
              <w:t>2</w:t>
            </w:r>
            <w:r>
              <w:rPr>
                <w:rFonts w:hint="eastAsia" w:ascii="Times New Roman" w:hAnsi="Times New Roman"/>
                <w:color w:val="auto"/>
                <w:highlight w:val="none"/>
                <w:u w:val="none" w:color="auto"/>
                <w:lang w:eastAsia="zh-CN"/>
              </w:rPr>
              <w:t>，</w:t>
            </w:r>
            <w:r>
              <w:rPr>
                <w:rFonts w:hint="eastAsia" w:ascii="Times New Roman" w:hAnsi="Times New Roman"/>
                <w:color w:val="auto"/>
                <w:highlight w:val="none"/>
                <w:u w:val="none" w:color="auto"/>
                <w:lang w:val="en-US" w:eastAsia="zh-CN"/>
              </w:rPr>
              <w:t>新建建筑物占地为原采矿区。</w:t>
            </w:r>
          </w:p>
          <w:p>
            <w:pPr>
              <w:pStyle w:val="2"/>
              <w:spacing w:line="360" w:lineRule="auto"/>
              <w:ind w:firstLine="480" w:firstLineChars="200"/>
              <w:rPr>
                <w:rFonts w:hint="default" w:ascii="Times New Roman" w:hAnsi="Times New Roman"/>
                <w:color w:val="auto"/>
                <w:highlight w:val="none"/>
                <w:u w:val="none" w:color="auto"/>
              </w:rPr>
            </w:pPr>
            <w:r>
              <w:rPr>
                <w:rFonts w:hint="eastAsia" w:ascii="Times New Roman" w:hAnsi="Times New Roman"/>
                <w:color w:val="auto"/>
                <w:highlight w:val="none"/>
                <w:u w:val="none" w:color="auto"/>
                <w:lang w:val="en-US" w:eastAsia="zh-CN"/>
              </w:rPr>
              <w:t>项目依托内容和新建内容</w:t>
            </w:r>
            <w:r>
              <w:rPr>
                <w:rFonts w:hint="default" w:ascii="Times New Roman" w:hAnsi="Times New Roman"/>
                <w:color w:val="auto"/>
                <w:highlight w:val="none"/>
                <w:u w:val="none" w:color="auto"/>
              </w:rPr>
              <w:t>见表2-</w:t>
            </w:r>
            <w:r>
              <w:rPr>
                <w:rFonts w:hint="eastAsia" w:ascii="Times New Roman" w:hAnsi="Times New Roman"/>
                <w:color w:val="auto"/>
                <w:highlight w:val="none"/>
                <w:u w:val="none" w:color="auto"/>
                <w:lang w:val="en-US" w:eastAsia="zh-CN"/>
              </w:rPr>
              <w:t>1和表2-2</w:t>
            </w:r>
            <w:r>
              <w:rPr>
                <w:rFonts w:hint="default" w:ascii="Times New Roman" w:hAnsi="Times New Roman"/>
                <w:color w:val="auto"/>
                <w:highlight w:val="none"/>
                <w:u w:val="none" w:color="auto"/>
              </w:rPr>
              <w:t>：</w:t>
            </w:r>
          </w:p>
          <w:p>
            <w:pPr>
              <w:jc w:val="center"/>
              <w:rPr>
                <w:b/>
                <w:bCs/>
                <w:color w:val="auto"/>
                <w:szCs w:val="21"/>
                <w:highlight w:val="none"/>
                <w:u w:val="single" w:color="auto"/>
              </w:rPr>
            </w:pPr>
            <w:r>
              <w:rPr>
                <w:b/>
                <w:bCs/>
                <w:color w:val="auto"/>
                <w:szCs w:val="21"/>
                <w:highlight w:val="none"/>
                <w:u w:val="single" w:color="auto"/>
              </w:rPr>
              <w:t>表2-</w:t>
            </w:r>
            <w:r>
              <w:rPr>
                <w:rFonts w:hint="eastAsia"/>
                <w:b/>
                <w:bCs/>
                <w:color w:val="auto"/>
                <w:szCs w:val="21"/>
                <w:highlight w:val="none"/>
                <w:u w:val="single" w:color="auto"/>
                <w:lang w:val="en-US" w:eastAsia="zh-CN"/>
              </w:rPr>
              <w:t>1</w:t>
            </w:r>
            <w:r>
              <w:rPr>
                <w:b/>
                <w:bCs/>
                <w:color w:val="auto"/>
                <w:szCs w:val="21"/>
                <w:highlight w:val="none"/>
                <w:u w:val="single" w:color="auto"/>
              </w:rPr>
              <w:t>项目</w:t>
            </w:r>
            <w:r>
              <w:rPr>
                <w:rFonts w:hint="eastAsia"/>
                <w:b/>
                <w:bCs/>
                <w:color w:val="auto"/>
                <w:szCs w:val="21"/>
                <w:highlight w:val="none"/>
                <w:u w:val="single" w:color="auto"/>
                <w:lang w:val="en-US" w:eastAsia="zh-CN"/>
              </w:rPr>
              <w:t>依托</w:t>
            </w:r>
            <w:r>
              <w:rPr>
                <w:b/>
                <w:bCs/>
                <w:color w:val="auto"/>
                <w:szCs w:val="21"/>
                <w:highlight w:val="none"/>
                <w:u w:val="single" w:color="auto"/>
              </w:rPr>
              <w:t>组成一览表</w:t>
            </w:r>
          </w:p>
          <w:tbl>
            <w:tblPr>
              <w:tblStyle w:val="30"/>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521"/>
              <w:gridCol w:w="300"/>
              <w:gridCol w:w="1065"/>
              <w:gridCol w:w="4605"/>
              <w:gridCol w:w="960"/>
              <w:gridCol w:w="59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1" w:type="dxa"/>
                  <w:noWrap w:val="0"/>
                  <w:vAlign w:val="center"/>
                </w:tcPr>
                <w:p>
                  <w:pPr>
                    <w:spacing w:line="300" w:lineRule="exact"/>
                    <w:ind w:left="-53" w:leftChars="-25" w:right="-53" w:rightChars="-25"/>
                    <w:jc w:val="center"/>
                    <w:rPr>
                      <w:color w:val="auto"/>
                      <w:sz w:val="18"/>
                      <w:szCs w:val="18"/>
                      <w:highlight w:val="none"/>
                      <w:u w:val="single" w:color="auto"/>
                    </w:rPr>
                  </w:pPr>
                  <w:r>
                    <w:rPr>
                      <w:color w:val="auto"/>
                      <w:sz w:val="18"/>
                      <w:szCs w:val="18"/>
                      <w:highlight w:val="none"/>
                      <w:u w:val="single" w:color="auto"/>
                    </w:rPr>
                    <w:t>类别</w:t>
                  </w:r>
                </w:p>
              </w:tc>
              <w:tc>
                <w:tcPr>
                  <w:tcW w:w="1365" w:type="dxa"/>
                  <w:gridSpan w:val="2"/>
                  <w:noWrap w:val="0"/>
                  <w:vAlign w:val="center"/>
                </w:tcPr>
                <w:p>
                  <w:pPr>
                    <w:spacing w:line="300" w:lineRule="exact"/>
                    <w:ind w:left="-53" w:leftChars="-25" w:right="-53" w:rightChars="-25"/>
                    <w:jc w:val="center"/>
                    <w:rPr>
                      <w:color w:val="auto"/>
                      <w:sz w:val="18"/>
                      <w:szCs w:val="18"/>
                      <w:highlight w:val="none"/>
                      <w:u w:val="single" w:color="auto"/>
                    </w:rPr>
                  </w:pPr>
                  <w:r>
                    <w:rPr>
                      <w:color w:val="auto"/>
                      <w:sz w:val="18"/>
                      <w:szCs w:val="18"/>
                      <w:highlight w:val="none"/>
                      <w:u w:val="single" w:color="auto"/>
                    </w:rPr>
                    <w:t>项目名称</w:t>
                  </w:r>
                </w:p>
              </w:tc>
              <w:tc>
                <w:tcPr>
                  <w:tcW w:w="4605" w:type="dxa"/>
                  <w:noWrap w:val="0"/>
                  <w:vAlign w:val="center"/>
                </w:tcPr>
                <w:p>
                  <w:pPr>
                    <w:spacing w:line="300" w:lineRule="exact"/>
                    <w:ind w:left="-53" w:leftChars="-25" w:right="-53" w:rightChars="-25"/>
                    <w:jc w:val="center"/>
                    <w:rPr>
                      <w:color w:val="auto"/>
                      <w:sz w:val="18"/>
                      <w:szCs w:val="18"/>
                      <w:highlight w:val="none"/>
                      <w:u w:val="single" w:color="auto"/>
                    </w:rPr>
                  </w:pPr>
                  <w:r>
                    <w:rPr>
                      <w:color w:val="auto"/>
                      <w:sz w:val="18"/>
                      <w:szCs w:val="18"/>
                      <w:highlight w:val="none"/>
                      <w:u w:val="single" w:color="auto"/>
                    </w:rPr>
                    <w:t>项目内容</w:t>
                  </w:r>
                </w:p>
              </w:tc>
              <w:tc>
                <w:tcPr>
                  <w:tcW w:w="960" w:type="dxa"/>
                  <w:noWrap w:val="0"/>
                  <w:vAlign w:val="center"/>
                </w:tcPr>
                <w:p>
                  <w:pPr>
                    <w:spacing w:line="300" w:lineRule="exact"/>
                    <w:ind w:left="-53" w:leftChars="-25" w:right="-53" w:rightChars="-25"/>
                    <w:jc w:val="center"/>
                    <w:rPr>
                      <w:color w:val="auto"/>
                      <w:sz w:val="18"/>
                      <w:szCs w:val="18"/>
                      <w:highlight w:val="none"/>
                      <w:u w:val="single" w:color="auto"/>
                    </w:rPr>
                  </w:pPr>
                  <w:r>
                    <w:rPr>
                      <w:color w:val="auto"/>
                      <w:sz w:val="18"/>
                      <w:szCs w:val="18"/>
                      <w:highlight w:val="none"/>
                      <w:u w:val="single" w:color="auto"/>
                    </w:rPr>
                    <w:t>污染物</w:t>
                  </w:r>
                </w:p>
              </w:tc>
              <w:tc>
                <w:tcPr>
                  <w:tcW w:w="599" w:type="dxa"/>
                  <w:noWrap w:val="0"/>
                  <w:vAlign w:val="center"/>
                </w:tcPr>
                <w:p>
                  <w:pPr>
                    <w:spacing w:line="300" w:lineRule="exact"/>
                    <w:ind w:left="-53" w:leftChars="-25" w:right="-53" w:rightChars="-25"/>
                    <w:jc w:val="center"/>
                    <w:rPr>
                      <w:color w:val="auto"/>
                      <w:sz w:val="18"/>
                      <w:szCs w:val="18"/>
                      <w:highlight w:val="none"/>
                      <w:u w:val="single" w:color="auto"/>
                    </w:rPr>
                  </w:pPr>
                  <w:r>
                    <w:rPr>
                      <w:color w:val="auto"/>
                      <w:sz w:val="18"/>
                      <w:szCs w:val="18"/>
                      <w:highlight w:val="none"/>
                      <w:u w:val="single" w:color="auto"/>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11" w:hRule="atLeast"/>
                <w:jc w:val="center"/>
              </w:trPr>
              <w:tc>
                <w:tcPr>
                  <w:tcW w:w="521" w:type="dxa"/>
                  <w:vMerge w:val="restart"/>
                  <w:noWrap w:val="0"/>
                  <w:vAlign w:val="center"/>
                </w:tcPr>
                <w:p>
                  <w:pPr>
                    <w:spacing w:line="300" w:lineRule="exact"/>
                    <w:ind w:left="-53" w:leftChars="-25" w:right="-53" w:rightChars="-25"/>
                    <w:jc w:val="center"/>
                    <w:rPr>
                      <w:color w:val="auto"/>
                      <w:sz w:val="18"/>
                      <w:szCs w:val="18"/>
                      <w:highlight w:val="none"/>
                      <w:u w:val="single" w:color="auto"/>
                    </w:rPr>
                  </w:pPr>
                  <w:r>
                    <w:rPr>
                      <w:color w:val="auto"/>
                      <w:sz w:val="18"/>
                      <w:szCs w:val="18"/>
                      <w:highlight w:val="none"/>
                      <w:u w:val="single" w:color="auto"/>
                    </w:rPr>
                    <w:t>主体工程</w:t>
                  </w:r>
                </w:p>
              </w:tc>
              <w:tc>
                <w:tcPr>
                  <w:tcW w:w="1365" w:type="dxa"/>
                  <w:gridSpan w:val="2"/>
                  <w:noWrap w:val="0"/>
                  <w:vAlign w:val="center"/>
                </w:tcPr>
                <w:p>
                  <w:pPr>
                    <w:spacing w:line="300" w:lineRule="exact"/>
                    <w:ind w:left="-53" w:leftChars="-25" w:right="-53" w:rightChars="-25"/>
                    <w:jc w:val="center"/>
                    <w:rPr>
                      <w:rFonts w:hint="default" w:eastAsia="宋体"/>
                      <w:color w:val="auto"/>
                      <w:sz w:val="18"/>
                      <w:szCs w:val="18"/>
                      <w:highlight w:val="none"/>
                      <w:u w:val="single" w:color="auto"/>
                      <w:lang w:val="en-US" w:eastAsia="zh-CN"/>
                    </w:rPr>
                  </w:pPr>
                  <w:r>
                    <w:rPr>
                      <w:rFonts w:hint="eastAsia"/>
                      <w:color w:val="auto"/>
                      <w:sz w:val="18"/>
                      <w:szCs w:val="18"/>
                      <w:highlight w:val="none"/>
                      <w:u w:val="single" w:color="auto"/>
                      <w:lang w:val="en-US" w:eastAsia="zh-CN"/>
                    </w:rPr>
                    <w:t>隧道窑</w:t>
                  </w:r>
                </w:p>
              </w:tc>
              <w:tc>
                <w:tcPr>
                  <w:tcW w:w="4605" w:type="dxa"/>
                  <w:noWrap w:val="0"/>
                  <w:vAlign w:val="center"/>
                </w:tcPr>
                <w:p>
                  <w:pPr>
                    <w:spacing w:line="300" w:lineRule="exact"/>
                    <w:ind w:left="-53" w:leftChars="-25" w:right="-53" w:rightChars="-25"/>
                    <w:jc w:val="center"/>
                    <w:rPr>
                      <w:rFonts w:hint="default" w:eastAsia="宋体"/>
                      <w:color w:val="auto"/>
                      <w:sz w:val="18"/>
                      <w:szCs w:val="18"/>
                      <w:highlight w:val="none"/>
                      <w:u w:val="single" w:color="auto"/>
                      <w:lang w:val="en-US" w:eastAsia="zh-CN"/>
                    </w:rPr>
                  </w:pPr>
                  <w:r>
                    <w:rPr>
                      <w:rFonts w:hint="eastAsia"/>
                      <w:color w:val="auto"/>
                      <w:sz w:val="18"/>
                      <w:szCs w:val="18"/>
                      <w:highlight w:val="none"/>
                      <w:u w:val="single" w:color="auto"/>
                      <w:lang w:val="en-US" w:eastAsia="zh-CN"/>
                    </w:rPr>
                    <w:t>钢架结构，2条隧道窑生产线，两烘两烧，每条隧道窑参数为144.0m×14m×4.2m，位于厂区中部，占地面积4000</w:t>
                  </w:r>
                  <w:r>
                    <w:rPr>
                      <w:color w:val="auto"/>
                      <w:sz w:val="18"/>
                      <w:szCs w:val="18"/>
                      <w:highlight w:val="none"/>
                      <w:u w:val="single" w:color="auto"/>
                    </w:rPr>
                    <w:t>m</w:t>
                  </w:r>
                  <w:r>
                    <w:rPr>
                      <w:color w:val="auto"/>
                      <w:sz w:val="18"/>
                      <w:szCs w:val="18"/>
                      <w:highlight w:val="none"/>
                      <w:u w:val="single" w:color="auto"/>
                      <w:vertAlign w:val="superscript"/>
                    </w:rPr>
                    <w:t>2</w:t>
                  </w:r>
                  <w:r>
                    <w:rPr>
                      <w:rFonts w:hint="eastAsia"/>
                      <w:color w:val="auto"/>
                      <w:sz w:val="18"/>
                      <w:szCs w:val="18"/>
                      <w:highlight w:val="none"/>
                      <w:u w:val="single" w:color="auto"/>
                      <w:vertAlign w:val="baseline"/>
                      <w:lang w:eastAsia="zh-CN"/>
                    </w:rPr>
                    <w:t>，</w:t>
                  </w:r>
                  <w:r>
                    <w:rPr>
                      <w:rFonts w:hint="eastAsia"/>
                      <w:color w:val="auto"/>
                      <w:sz w:val="18"/>
                      <w:szCs w:val="18"/>
                      <w:highlight w:val="none"/>
                      <w:u w:val="single" w:color="auto"/>
                      <w:vertAlign w:val="baseline"/>
                      <w:lang w:val="en-US" w:eastAsia="zh-CN"/>
                    </w:rPr>
                    <w:t>对砖坯进行</w:t>
                  </w:r>
                  <w:r>
                    <w:rPr>
                      <w:color w:val="auto"/>
                      <w:sz w:val="18"/>
                      <w:szCs w:val="18"/>
                      <w:highlight w:val="none"/>
                      <w:u w:val="single" w:color="auto"/>
                    </w:rPr>
                    <w:t>焙烧制造成品砖</w:t>
                  </w:r>
                </w:p>
              </w:tc>
              <w:tc>
                <w:tcPr>
                  <w:tcW w:w="960" w:type="dxa"/>
                  <w:shd w:val="clear" w:color="auto" w:fill="auto"/>
                  <w:noWrap w:val="0"/>
                  <w:vAlign w:val="center"/>
                </w:tcPr>
                <w:p>
                  <w:pPr>
                    <w:spacing w:line="300" w:lineRule="exact"/>
                    <w:ind w:left="-53" w:leftChars="-25" w:right="-53" w:rightChars="-25"/>
                    <w:jc w:val="center"/>
                    <w:rPr>
                      <w:rFonts w:hint="eastAsia" w:ascii="Times New Roman" w:hAnsi="Times New Roman" w:eastAsia="宋体" w:cs="Times New Roman"/>
                      <w:color w:val="auto"/>
                      <w:kern w:val="2"/>
                      <w:sz w:val="18"/>
                      <w:szCs w:val="18"/>
                      <w:highlight w:val="none"/>
                      <w:u w:val="single" w:color="auto"/>
                      <w:lang w:val="en-US" w:eastAsia="zh-CN" w:bidi="ar-SA"/>
                    </w:rPr>
                  </w:pPr>
                  <w:r>
                    <w:rPr>
                      <w:color w:val="auto"/>
                      <w:sz w:val="18"/>
                      <w:szCs w:val="18"/>
                      <w:highlight w:val="none"/>
                      <w:u w:val="single" w:color="auto"/>
                    </w:rPr>
                    <w:t>废气、噪声、固废</w:t>
                  </w:r>
                </w:p>
              </w:tc>
              <w:tc>
                <w:tcPr>
                  <w:tcW w:w="599" w:type="dxa"/>
                  <w:shd w:val="clear" w:color="auto" w:fill="auto"/>
                  <w:noWrap w:val="0"/>
                  <w:vAlign w:val="center"/>
                </w:tcPr>
                <w:p>
                  <w:pPr>
                    <w:spacing w:line="300" w:lineRule="exact"/>
                    <w:ind w:left="-53" w:leftChars="-25" w:right="-53" w:rightChars="-25"/>
                    <w:jc w:val="center"/>
                    <w:rPr>
                      <w:rFonts w:hint="eastAsia" w:ascii="Times New Roman" w:hAnsi="Times New Roman" w:eastAsia="宋体" w:cs="Times New Roman"/>
                      <w:color w:val="auto"/>
                      <w:kern w:val="2"/>
                      <w:sz w:val="18"/>
                      <w:szCs w:val="18"/>
                      <w:highlight w:val="none"/>
                      <w:u w:val="single" w:color="auto"/>
                      <w:lang w:val="en-US" w:eastAsia="zh-CN" w:bidi="ar-SA"/>
                    </w:rPr>
                  </w:pPr>
                  <w:r>
                    <w:rPr>
                      <w:rFonts w:hint="eastAsia"/>
                      <w:color w:val="auto"/>
                      <w:sz w:val="18"/>
                      <w:szCs w:val="18"/>
                      <w:highlight w:val="none"/>
                      <w:u w:val="single" w:color="auto"/>
                      <w:lang w:val="en-US" w:eastAsia="zh-CN"/>
                    </w:rPr>
                    <w:t>依托</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11" w:hRule="atLeast"/>
                <w:jc w:val="center"/>
              </w:trPr>
              <w:tc>
                <w:tcPr>
                  <w:tcW w:w="521" w:type="dxa"/>
                  <w:vMerge w:val="continue"/>
                  <w:noWrap w:val="0"/>
                  <w:vAlign w:val="center"/>
                </w:tcPr>
                <w:p>
                  <w:pPr>
                    <w:spacing w:line="300" w:lineRule="exact"/>
                    <w:ind w:left="-53" w:leftChars="-25" w:right="-53" w:rightChars="-25"/>
                    <w:jc w:val="center"/>
                    <w:rPr>
                      <w:color w:val="auto"/>
                      <w:sz w:val="18"/>
                      <w:szCs w:val="18"/>
                      <w:highlight w:val="none"/>
                      <w:u w:val="single" w:color="auto"/>
                    </w:rPr>
                  </w:pPr>
                </w:p>
              </w:tc>
              <w:tc>
                <w:tcPr>
                  <w:tcW w:w="1365" w:type="dxa"/>
                  <w:gridSpan w:val="2"/>
                  <w:noWrap w:val="0"/>
                  <w:vAlign w:val="center"/>
                </w:tcPr>
                <w:p>
                  <w:pPr>
                    <w:spacing w:line="300" w:lineRule="exact"/>
                    <w:ind w:left="-53" w:leftChars="-25" w:right="-53" w:rightChars="-25"/>
                    <w:jc w:val="center"/>
                    <w:rPr>
                      <w:rFonts w:hint="default" w:eastAsia="宋体"/>
                      <w:color w:val="auto"/>
                      <w:sz w:val="18"/>
                      <w:szCs w:val="18"/>
                      <w:highlight w:val="none"/>
                      <w:u w:val="single" w:color="auto"/>
                      <w:lang w:val="en-US" w:eastAsia="zh-CN"/>
                    </w:rPr>
                  </w:pPr>
                  <w:r>
                    <w:rPr>
                      <w:rFonts w:hint="eastAsia"/>
                      <w:color w:val="auto"/>
                      <w:sz w:val="18"/>
                      <w:szCs w:val="18"/>
                      <w:highlight w:val="none"/>
                      <w:u w:val="single" w:color="auto"/>
                      <w:lang w:val="en-US" w:eastAsia="zh-CN"/>
                    </w:rPr>
                    <w:t>坯道</w:t>
                  </w:r>
                </w:p>
              </w:tc>
              <w:tc>
                <w:tcPr>
                  <w:tcW w:w="4605" w:type="dxa"/>
                  <w:noWrap w:val="0"/>
                  <w:vAlign w:val="center"/>
                </w:tcPr>
                <w:p>
                  <w:pPr>
                    <w:spacing w:line="300" w:lineRule="exact"/>
                    <w:ind w:left="-53" w:leftChars="-25" w:right="-53" w:rightChars="-25"/>
                    <w:jc w:val="center"/>
                    <w:rPr>
                      <w:rFonts w:hint="default" w:eastAsia="宋体"/>
                      <w:color w:val="auto"/>
                      <w:sz w:val="18"/>
                      <w:szCs w:val="18"/>
                      <w:highlight w:val="none"/>
                      <w:u w:val="single" w:color="auto"/>
                      <w:vertAlign w:val="baseline"/>
                      <w:lang w:val="en-US" w:eastAsia="zh-CN"/>
                    </w:rPr>
                  </w:pPr>
                  <w:r>
                    <w:rPr>
                      <w:rFonts w:hint="eastAsia"/>
                      <w:color w:val="auto"/>
                      <w:sz w:val="18"/>
                      <w:szCs w:val="18"/>
                      <w:highlight w:val="none"/>
                      <w:u w:val="single" w:color="auto"/>
                      <w:lang w:val="en-US" w:eastAsia="zh-CN"/>
                    </w:rPr>
                    <w:t>钢架结构，2400</w:t>
                  </w:r>
                  <w:r>
                    <w:rPr>
                      <w:color w:val="auto"/>
                      <w:sz w:val="18"/>
                      <w:szCs w:val="18"/>
                      <w:highlight w:val="none"/>
                      <w:u w:val="single" w:color="auto"/>
                    </w:rPr>
                    <w:t>m</w:t>
                  </w:r>
                  <w:r>
                    <w:rPr>
                      <w:color w:val="auto"/>
                      <w:sz w:val="18"/>
                      <w:szCs w:val="18"/>
                      <w:highlight w:val="none"/>
                      <w:u w:val="single" w:color="auto"/>
                      <w:vertAlign w:val="superscript"/>
                    </w:rPr>
                    <w:t>2</w:t>
                  </w:r>
                  <w:r>
                    <w:rPr>
                      <w:rFonts w:hint="eastAsia"/>
                      <w:color w:val="auto"/>
                      <w:sz w:val="18"/>
                      <w:szCs w:val="18"/>
                      <w:highlight w:val="none"/>
                      <w:u w:val="single" w:color="auto"/>
                      <w:vertAlign w:val="baseline"/>
                      <w:lang w:eastAsia="zh-CN"/>
                    </w:rPr>
                    <w:t>，</w:t>
                  </w:r>
                  <w:r>
                    <w:rPr>
                      <w:rFonts w:hint="eastAsia"/>
                      <w:color w:val="auto"/>
                      <w:sz w:val="18"/>
                      <w:szCs w:val="18"/>
                      <w:highlight w:val="none"/>
                      <w:u w:val="single" w:color="auto"/>
                      <w:vertAlign w:val="baseline"/>
                      <w:lang w:val="en-US" w:eastAsia="zh-CN"/>
                    </w:rPr>
                    <w:t>位于隧道窑北南两侧，用于砖坯的转运。</w:t>
                  </w:r>
                </w:p>
              </w:tc>
              <w:tc>
                <w:tcPr>
                  <w:tcW w:w="960" w:type="dxa"/>
                  <w:noWrap w:val="0"/>
                  <w:vAlign w:val="center"/>
                </w:tcPr>
                <w:p>
                  <w:pPr>
                    <w:spacing w:line="300" w:lineRule="exact"/>
                    <w:ind w:left="-53" w:leftChars="-25" w:right="-53" w:rightChars="-25"/>
                    <w:jc w:val="center"/>
                    <w:rPr>
                      <w:rFonts w:hint="eastAsia" w:eastAsia="宋体"/>
                      <w:color w:val="auto"/>
                      <w:sz w:val="18"/>
                      <w:szCs w:val="18"/>
                      <w:highlight w:val="none"/>
                      <w:u w:val="single" w:color="auto"/>
                      <w:lang w:val="en-US" w:eastAsia="zh-CN"/>
                    </w:rPr>
                  </w:pPr>
                  <w:r>
                    <w:rPr>
                      <w:rFonts w:hint="eastAsia"/>
                      <w:color w:val="auto"/>
                      <w:sz w:val="18"/>
                      <w:szCs w:val="18"/>
                      <w:highlight w:val="none"/>
                      <w:u w:val="single" w:color="auto"/>
                      <w:lang w:val="en-US" w:eastAsia="zh-CN"/>
                    </w:rPr>
                    <w:t>噪声</w:t>
                  </w:r>
                </w:p>
              </w:tc>
              <w:tc>
                <w:tcPr>
                  <w:tcW w:w="599" w:type="dxa"/>
                  <w:noWrap w:val="0"/>
                  <w:vAlign w:val="center"/>
                </w:tcPr>
                <w:p>
                  <w:pPr>
                    <w:spacing w:line="300" w:lineRule="exact"/>
                    <w:ind w:left="-53" w:leftChars="-25" w:right="-53" w:rightChars="-25"/>
                    <w:jc w:val="center"/>
                    <w:rPr>
                      <w:rFonts w:hint="default"/>
                      <w:color w:val="auto"/>
                      <w:sz w:val="18"/>
                      <w:szCs w:val="18"/>
                      <w:highlight w:val="none"/>
                      <w:u w:val="single" w:color="auto"/>
                      <w:lang w:val="en-US" w:eastAsia="zh-CN"/>
                    </w:rPr>
                  </w:pPr>
                  <w:r>
                    <w:rPr>
                      <w:rFonts w:hint="eastAsia"/>
                      <w:color w:val="auto"/>
                      <w:sz w:val="18"/>
                      <w:szCs w:val="18"/>
                      <w:highlight w:val="none"/>
                      <w:u w:val="single" w:color="auto"/>
                      <w:lang w:val="en-US" w:eastAsia="zh-CN"/>
                    </w:rPr>
                    <w:t>依托</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11" w:hRule="atLeast"/>
                <w:jc w:val="center"/>
              </w:trPr>
              <w:tc>
                <w:tcPr>
                  <w:tcW w:w="521" w:type="dxa"/>
                  <w:vMerge w:val="continue"/>
                  <w:noWrap w:val="0"/>
                  <w:vAlign w:val="center"/>
                </w:tcPr>
                <w:p>
                  <w:pPr>
                    <w:spacing w:line="300" w:lineRule="exact"/>
                    <w:ind w:left="-53" w:leftChars="-25" w:right="-53" w:rightChars="-25"/>
                    <w:jc w:val="center"/>
                    <w:rPr>
                      <w:color w:val="auto"/>
                      <w:sz w:val="18"/>
                      <w:szCs w:val="18"/>
                      <w:highlight w:val="none"/>
                      <w:u w:val="single" w:color="auto"/>
                    </w:rPr>
                  </w:pPr>
                </w:p>
              </w:tc>
              <w:tc>
                <w:tcPr>
                  <w:tcW w:w="1365" w:type="dxa"/>
                  <w:gridSpan w:val="2"/>
                  <w:noWrap w:val="0"/>
                  <w:vAlign w:val="center"/>
                </w:tcPr>
                <w:p>
                  <w:pPr>
                    <w:spacing w:line="300" w:lineRule="exact"/>
                    <w:ind w:left="-53" w:leftChars="-25" w:right="-53" w:rightChars="-25"/>
                    <w:jc w:val="center"/>
                    <w:rPr>
                      <w:rFonts w:hint="default" w:eastAsia="宋体"/>
                      <w:color w:val="auto"/>
                      <w:sz w:val="18"/>
                      <w:szCs w:val="18"/>
                      <w:highlight w:val="none"/>
                      <w:u w:val="single" w:color="auto"/>
                      <w:lang w:val="en-US" w:eastAsia="zh-CN"/>
                    </w:rPr>
                  </w:pPr>
                  <w:r>
                    <w:rPr>
                      <w:rFonts w:hint="eastAsia"/>
                      <w:color w:val="auto"/>
                      <w:sz w:val="18"/>
                      <w:szCs w:val="18"/>
                      <w:highlight w:val="none"/>
                      <w:u w:val="single" w:color="auto"/>
                      <w:lang w:val="en-US" w:eastAsia="zh-CN"/>
                    </w:rPr>
                    <w:t>陈化库</w:t>
                  </w:r>
                </w:p>
              </w:tc>
              <w:tc>
                <w:tcPr>
                  <w:tcW w:w="4605" w:type="dxa"/>
                  <w:noWrap w:val="0"/>
                  <w:vAlign w:val="center"/>
                </w:tcPr>
                <w:p>
                  <w:pPr>
                    <w:spacing w:line="300" w:lineRule="exact"/>
                    <w:ind w:left="-53" w:leftChars="-25" w:right="-53" w:rightChars="-25"/>
                    <w:jc w:val="center"/>
                    <w:rPr>
                      <w:rFonts w:hint="default" w:eastAsia="宋体"/>
                      <w:color w:val="auto"/>
                      <w:sz w:val="18"/>
                      <w:szCs w:val="18"/>
                      <w:highlight w:val="none"/>
                      <w:u w:val="single" w:color="auto"/>
                      <w:lang w:val="en-US" w:eastAsia="zh-CN"/>
                    </w:rPr>
                  </w:pPr>
                  <w:r>
                    <w:rPr>
                      <w:rFonts w:hint="eastAsia"/>
                      <w:color w:val="auto"/>
                      <w:sz w:val="18"/>
                      <w:szCs w:val="18"/>
                      <w:highlight w:val="none"/>
                      <w:u w:val="single" w:color="auto"/>
                      <w:lang w:val="en-US" w:eastAsia="zh-CN"/>
                    </w:rPr>
                    <w:t>钢架结构，1000</w:t>
                  </w:r>
                  <w:r>
                    <w:rPr>
                      <w:color w:val="auto"/>
                      <w:sz w:val="18"/>
                      <w:szCs w:val="18"/>
                      <w:highlight w:val="none"/>
                      <w:u w:val="single" w:color="auto"/>
                    </w:rPr>
                    <w:t>m</w:t>
                  </w:r>
                  <w:r>
                    <w:rPr>
                      <w:color w:val="auto"/>
                      <w:sz w:val="18"/>
                      <w:szCs w:val="18"/>
                      <w:highlight w:val="none"/>
                      <w:u w:val="single" w:color="auto"/>
                      <w:vertAlign w:val="superscript"/>
                    </w:rPr>
                    <w:t>2</w:t>
                  </w:r>
                  <w:r>
                    <w:rPr>
                      <w:rFonts w:hint="eastAsia"/>
                      <w:color w:val="auto"/>
                      <w:sz w:val="18"/>
                      <w:szCs w:val="18"/>
                      <w:highlight w:val="none"/>
                      <w:u w:val="single" w:color="auto"/>
                      <w:vertAlign w:val="baseline"/>
                      <w:lang w:eastAsia="zh-CN"/>
                    </w:rPr>
                    <w:t>，</w:t>
                  </w:r>
                  <w:r>
                    <w:rPr>
                      <w:rFonts w:hint="eastAsia"/>
                      <w:color w:val="auto"/>
                      <w:sz w:val="18"/>
                      <w:szCs w:val="18"/>
                      <w:highlight w:val="none"/>
                      <w:u w:val="single" w:color="auto"/>
                      <w:vertAlign w:val="baseline"/>
                      <w:lang w:val="en-US" w:eastAsia="zh-CN"/>
                    </w:rPr>
                    <w:t>位于破碎车间北侧</w:t>
                  </w:r>
                </w:p>
              </w:tc>
              <w:tc>
                <w:tcPr>
                  <w:tcW w:w="960" w:type="dxa"/>
                  <w:noWrap w:val="0"/>
                  <w:vAlign w:val="center"/>
                </w:tcPr>
                <w:p>
                  <w:pPr>
                    <w:spacing w:line="300" w:lineRule="exact"/>
                    <w:ind w:left="-53" w:leftChars="-25" w:right="-53" w:rightChars="-25"/>
                    <w:jc w:val="center"/>
                    <w:rPr>
                      <w:rFonts w:hint="eastAsia" w:eastAsia="宋体"/>
                      <w:color w:val="auto"/>
                      <w:sz w:val="18"/>
                      <w:szCs w:val="18"/>
                      <w:highlight w:val="none"/>
                      <w:u w:val="single" w:color="auto"/>
                      <w:lang w:val="en-US" w:eastAsia="zh-CN"/>
                    </w:rPr>
                  </w:pPr>
                  <w:r>
                    <w:rPr>
                      <w:rFonts w:hint="eastAsia"/>
                      <w:color w:val="auto"/>
                      <w:sz w:val="18"/>
                      <w:szCs w:val="18"/>
                      <w:highlight w:val="none"/>
                      <w:u w:val="single" w:color="auto"/>
                      <w:lang w:val="en-US" w:eastAsia="zh-CN"/>
                    </w:rPr>
                    <w:t>/</w:t>
                  </w:r>
                </w:p>
              </w:tc>
              <w:tc>
                <w:tcPr>
                  <w:tcW w:w="599" w:type="dxa"/>
                  <w:noWrap w:val="0"/>
                  <w:vAlign w:val="center"/>
                </w:tcPr>
                <w:p>
                  <w:pPr>
                    <w:spacing w:line="300" w:lineRule="exact"/>
                    <w:ind w:left="-53" w:leftChars="-25" w:right="-53" w:rightChars="-25"/>
                    <w:jc w:val="center"/>
                    <w:rPr>
                      <w:rFonts w:hint="default"/>
                      <w:color w:val="auto"/>
                      <w:sz w:val="18"/>
                      <w:szCs w:val="18"/>
                      <w:highlight w:val="none"/>
                      <w:u w:val="single" w:color="auto"/>
                      <w:lang w:val="en-US" w:eastAsia="zh-CN"/>
                    </w:rPr>
                  </w:pPr>
                  <w:r>
                    <w:rPr>
                      <w:rFonts w:hint="eastAsia"/>
                      <w:color w:val="auto"/>
                      <w:sz w:val="18"/>
                      <w:szCs w:val="18"/>
                      <w:highlight w:val="none"/>
                      <w:u w:val="single" w:color="auto"/>
                      <w:lang w:val="en-US" w:eastAsia="zh-CN"/>
                    </w:rPr>
                    <w:t>依托</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11" w:hRule="atLeast"/>
                <w:jc w:val="center"/>
              </w:trPr>
              <w:tc>
                <w:tcPr>
                  <w:tcW w:w="521" w:type="dxa"/>
                  <w:vMerge w:val="continue"/>
                  <w:noWrap w:val="0"/>
                  <w:vAlign w:val="center"/>
                </w:tcPr>
                <w:p>
                  <w:pPr>
                    <w:spacing w:line="300" w:lineRule="exact"/>
                    <w:ind w:left="-53" w:leftChars="-25" w:right="-53" w:rightChars="-25"/>
                    <w:jc w:val="center"/>
                    <w:rPr>
                      <w:color w:val="auto"/>
                      <w:sz w:val="18"/>
                      <w:szCs w:val="18"/>
                      <w:highlight w:val="none"/>
                      <w:u w:val="single" w:color="auto"/>
                    </w:rPr>
                  </w:pPr>
                </w:p>
              </w:tc>
              <w:tc>
                <w:tcPr>
                  <w:tcW w:w="1365" w:type="dxa"/>
                  <w:gridSpan w:val="2"/>
                  <w:noWrap w:val="0"/>
                  <w:vAlign w:val="center"/>
                </w:tcPr>
                <w:p>
                  <w:pPr>
                    <w:spacing w:line="300" w:lineRule="exact"/>
                    <w:ind w:left="-53" w:leftChars="-25" w:right="-53" w:rightChars="-25"/>
                    <w:jc w:val="center"/>
                    <w:rPr>
                      <w:rFonts w:hint="default" w:eastAsia="宋体"/>
                      <w:color w:val="auto"/>
                      <w:sz w:val="18"/>
                      <w:szCs w:val="18"/>
                      <w:highlight w:val="none"/>
                      <w:u w:val="single" w:color="auto"/>
                      <w:lang w:val="en-US" w:eastAsia="zh-CN"/>
                    </w:rPr>
                  </w:pPr>
                  <w:r>
                    <w:rPr>
                      <w:rFonts w:hint="eastAsia"/>
                      <w:color w:val="auto"/>
                      <w:sz w:val="18"/>
                      <w:szCs w:val="18"/>
                      <w:highlight w:val="none"/>
                      <w:u w:val="single" w:color="auto"/>
                      <w:lang w:val="en-US" w:eastAsia="zh-CN"/>
                    </w:rPr>
                    <w:t>成型车间</w:t>
                  </w:r>
                </w:p>
              </w:tc>
              <w:tc>
                <w:tcPr>
                  <w:tcW w:w="4605" w:type="dxa"/>
                  <w:noWrap w:val="0"/>
                  <w:vAlign w:val="center"/>
                </w:tcPr>
                <w:p>
                  <w:pPr>
                    <w:spacing w:line="300" w:lineRule="exact"/>
                    <w:ind w:left="-53" w:leftChars="-25" w:right="-53" w:rightChars="-25"/>
                    <w:jc w:val="center"/>
                    <w:rPr>
                      <w:rFonts w:hint="eastAsia" w:eastAsia="宋体"/>
                      <w:color w:val="auto"/>
                      <w:sz w:val="18"/>
                      <w:szCs w:val="18"/>
                      <w:highlight w:val="none"/>
                      <w:u w:val="single" w:color="auto"/>
                      <w:lang w:val="en-US" w:eastAsia="zh-CN"/>
                    </w:rPr>
                  </w:pPr>
                  <w:r>
                    <w:rPr>
                      <w:rFonts w:hint="eastAsia"/>
                      <w:color w:val="auto"/>
                      <w:sz w:val="18"/>
                      <w:szCs w:val="18"/>
                      <w:highlight w:val="none"/>
                      <w:u w:val="single" w:color="auto"/>
                      <w:lang w:val="en-US" w:eastAsia="zh-CN"/>
                    </w:rPr>
                    <w:t>钢架结构，1000</w:t>
                  </w:r>
                  <w:r>
                    <w:rPr>
                      <w:color w:val="auto"/>
                      <w:sz w:val="18"/>
                      <w:szCs w:val="18"/>
                      <w:highlight w:val="none"/>
                      <w:u w:val="single" w:color="auto"/>
                    </w:rPr>
                    <w:t>m</w:t>
                  </w:r>
                  <w:r>
                    <w:rPr>
                      <w:color w:val="auto"/>
                      <w:sz w:val="18"/>
                      <w:szCs w:val="18"/>
                      <w:highlight w:val="none"/>
                      <w:u w:val="single" w:color="auto"/>
                      <w:vertAlign w:val="superscript"/>
                    </w:rPr>
                    <w:t>2</w:t>
                  </w:r>
                  <w:r>
                    <w:rPr>
                      <w:rFonts w:hint="eastAsia"/>
                      <w:color w:val="auto"/>
                      <w:sz w:val="18"/>
                      <w:szCs w:val="18"/>
                      <w:highlight w:val="none"/>
                      <w:u w:val="single" w:color="auto"/>
                      <w:vertAlign w:val="baseline"/>
                      <w:lang w:eastAsia="zh-CN"/>
                    </w:rPr>
                    <w:t>，</w:t>
                  </w:r>
                  <w:r>
                    <w:rPr>
                      <w:rFonts w:hint="eastAsia"/>
                      <w:color w:val="auto"/>
                      <w:sz w:val="18"/>
                      <w:szCs w:val="18"/>
                      <w:highlight w:val="none"/>
                      <w:u w:val="single" w:color="auto"/>
                      <w:vertAlign w:val="baseline"/>
                      <w:lang w:val="en-US" w:eastAsia="zh-CN"/>
                    </w:rPr>
                    <w:t>位于破碎车间西侧，</w:t>
                  </w:r>
                  <w:r>
                    <w:rPr>
                      <w:color w:val="auto"/>
                      <w:sz w:val="18"/>
                      <w:szCs w:val="18"/>
                      <w:highlight w:val="none"/>
                      <w:u w:val="single" w:color="auto"/>
                    </w:rPr>
                    <w:t>主要设备有搅拌机、挤砖机、切坯机、输送机</w:t>
                  </w:r>
                  <w:r>
                    <w:rPr>
                      <w:rFonts w:hint="eastAsia"/>
                      <w:color w:val="auto"/>
                      <w:sz w:val="18"/>
                      <w:szCs w:val="18"/>
                      <w:highlight w:val="none"/>
                      <w:u w:val="single" w:color="auto"/>
                      <w:lang w:val="en-US" w:eastAsia="zh-CN"/>
                    </w:rPr>
                    <w:t>等</w:t>
                  </w:r>
                </w:p>
              </w:tc>
              <w:tc>
                <w:tcPr>
                  <w:tcW w:w="960" w:type="dxa"/>
                  <w:noWrap w:val="0"/>
                  <w:vAlign w:val="center"/>
                </w:tcPr>
                <w:p>
                  <w:pPr>
                    <w:spacing w:line="300" w:lineRule="exact"/>
                    <w:ind w:left="-53" w:leftChars="-25" w:right="-53" w:rightChars="-25"/>
                    <w:jc w:val="center"/>
                    <w:rPr>
                      <w:rFonts w:hint="default" w:eastAsia="宋体"/>
                      <w:color w:val="auto"/>
                      <w:sz w:val="18"/>
                      <w:szCs w:val="18"/>
                      <w:highlight w:val="none"/>
                      <w:u w:val="single" w:color="auto"/>
                      <w:lang w:val="en-US" w:eastAsia="zh-CN"/>
                    </w:rPr>
                  </w:pPr>
                  <w:r>
                    <w:rPr>
                      <w:rFonts w:hint="eastAsia"/>
                      <w:color w:val="auto"/>
                      <w:sz w:val="18"/>
                      <w:szCs w:val="18"/>
                      <w:highlight w:val="none"/>
                      <w:u w:val="single" w:color="auto"/>
                      <w:lang w:val="en-US" w:eastAsia="zh-CN"/>
                    </w:rPr>
                    <w:t>粉尘、噪声、固废</w:t>
                  </w:r>
                </w:p>
              </w:tc>
              <w:tc>
                <w:tcPr>
                  <w:tcW w:w="599" w:type="dxa"/>
                  <w:noWrap w:val="0"/>
                  <w:vAlign w:val="center"/>
                </w:tcPr>
                <w:p>
                  <w:pPr>
                    <w:spacing w:line="300" w:lineRule="exact"/>
                    <w:ind w:left="-53" w:leftChars="-25" w:right="-53" w:rightChars="-25"/>
                    <w:jc w:val="center"/>
                    <w:rPr>
                      <w:rFonts w:hint="default"/>
                      <w:color w:val="auto"/>
                      <w:sz w:val="18"/>
                      <w:szCs w:val="18"/>
                      <w:highlight w:val="none"/>
                      <w:u w:val="single" w:color="auto"/>
                      <w:lang w:val="en-US" w:eastAsia="zh-CN"/>
                    </w:rPr>
                  </w:pPr>
                  <w:r>
                    <w:rPr>
                      <w:rFonts w:hint="eastAsia"/>
                      <w:color w:val="auto"/>
                      <w:sz w:val="18"/>
                      <w:szCs w:val="18"/>
                      <w:highlight w:val="none"/>
                      <w:u w:val="single" w:color="auto"/>
                      <w:lang w:val="en-US" w:eastAsia="zh-CN"/>
                    </w:rPr>
                    <w:t>依托</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11" w:hRule="atLeast"/>
                <w:jc w:val="center"/>
              </w:trPr>
              <w:tc>
                <w:tcPr>
                  <w:tcW w:w="521" w:type="dxa"/>
                  <w:vMerge w:val="continue"/>
                  <w:noWrap w:val="0"/>
                  <w:vAlign w:val="center"/>
                </w:tcPr>
                <w:p>
                  <w:pPr>
                    <w:spacing w:line="300" w:lineRule="exact"/>
                    <w:ind w:left="-53" w:leftChars="-25" w:right="-53" w:rightChars="-25"/>
                    <w:jc w:val="center"/>
                    <w:rPr>
                      <w:color w:val="auto"/>
                      <w:sz w:val="18"/>
                      <w:szCs w:val="18"/>
                      <w:highlight w:val="none"/>
                      <w:u w:val="single" w:color="auto"/>
                    </w:rPr>
                  </w:pPr>
                </w:p>
              </w:tc>
              <w:tc>
                <w:tcPr>
                  <w:tcW w:w="1365" w:type="dxa"/>
                  <w:gridSpan w:val="2"/>
                  <w:noWrap w:val="0"/>
                  <w:vAlign w:val="center"/>
                </w:tcPr>
                <w:p>
                  <w:pPr>
                    <w:spacing w:line="300" w:lineRule="exact"/>
                    <w:ind w:left="-53" w:leftChars="-25" w:right="-53" w:rightChars="-25"/>
                    <w:jc w:val="center"/>
                    <w:rPr>
                      <w:color w:val="auto"/>
                      <w:sz w:val="18"/>
                      <w:szCs w:val="18"/>
                      <w:highlight w:val="none"/>
                      <w:u w:val="single" w:color="auto"/>
                    </w:rPr>
                  </w:pPr>
                  <w:r>
                    <w:rPr>
                      <w:color w:val="auto"/>
                      <w:sz w:val="18"/>
                      <w:szCs w:val="18"/>
                      <w:highlight w:val="none"/>
                      <w:u w:val="single" w:color="auto"/>
                    </w:rPr>
                    <w:t>破碎车间</w:t>
                  </w:r>
                </w:p>
              </w:tc>
              <w:tc>
                <w:tcPr>
                  <w:tcW w:w="4605" w:type="dxa"/>
                  <w:noWrap w:val="0"/>
                  <w:vAlign w:val="center"/>
                </w:tcPr>
                <w:p>
                  <w:pPr>
                    <w:spacing w:line="300" w:lineRule="exact"/>
                    <w:ind w:left="-53" w:leftChars="-25" w:right="-53" w:rightChars="-25"/>
                    <w:jc w:val="center"/>
                    <w:rPr>
                      <w:color w:val="auto"/>
                      <w:sz w:val="18"/>
                      <w:szCs w:val="18"/>
                      <w:highlight w:val="none"/>
                      <w:u w:val="single" w:color="auto"/>
                    </w:rPr>
                  </w:pPr>
                  <w:r>
                    <w:rPr>
                      <w:color w:val="auto"/>
                      <w:sz w:val="18"/>
                      <w:szCs w:val="18"/>
                      <w:highlight w:val="none"/>
                      <w:u w:val="single" w:color="auto"/>
                    </w:rPr>
                    <w:t>钢架结构</w:t>
                  </w:r>
                  <w:r>
                    <w:rPr>
                      <w:rFonts w:hint="eastAsia"/>
                      <w:color w:val="auto"/>
                      <w:sz w:val="18"/>
                      <w:szCs w:val="18"/>
                      <w:highlight w:val="none"/>
                      <w:u w:val="single" w:color="auto"/>
                      <w:lang w:eastAsia="zh-CN"/>
                    </w:rPr>
                    <w:t>，</w:t>
                  </w:r>
                  <w:r>
                    <w:rPr>
                      <w:rFonts w:hint="eastAsia"/>
                      <w:color w:val="auto"/>
                      <w:sz w:val="18"/>
                      <w:szCs w:val="18"/>
                      <w:highlight w:val="none"/>
                      <w:u w:val="single" w:color="auto"/>
                      <w:lang w:val="en-US" w:eastAsia="zh-CN"/>
                    </w:rPr>
                    <w:t>88</w:t>
                  </w:r>
                  <w:r>
                    <w:rPr>
                      <w:color w:val="auto"/>
                      <w:sz w:val="18"/>
                      <w:szCs w:val="18"/>
                      <w:highlight w:val="none"/>
                      <w:u w:val="single" w:color="auto"/>
                    </w:rPr>
                    <w:t>0m</w:t>
                  </w:r>
                  <w:r>
                    <w:rPr>
                      <w:color w:val="auto"/>
                      <w:sz w:val="18"/>
                      <w:szCs w:val="18"/>
                      <w:highlight w:val="none"/>
                      <w:u w:val="single" w:color="auto"/>
                      <w:vertAlign w:val="superscript"/>
                    </w:rPr>
                    <w:t>2</w:t>
                  </w:r>
                  <w:r>
                    <w:rPr>
                      <w:color w:val="auto"/>
                      <w:sz w:val="18"/>
                      <w:szCs w:val="18"/>
                      <w:highlight w:val="none"/>
                      <w:u w:val="single" w:color="auto"/>
                    </w:rPr>
                    <w:t>，位于</w:t>
                  </w:r>
                  <w:r>
                    <w:rPr>
                      <w:rFonts w:hint="eastAsia"/>
                      <w:color w:val="auto"/>
                      <w:sz w:val="18"/>
                      <w:szCs w:val="18"/>
                      <w:highlight w:val="none"/>
                      <w:u w:val="single" w:color="auto"/>
                      <w:lang w:val="en-US" w:eastAsia="zh-CN"/>
                    </w:rPr>
                    <w:t>制砖区东南</w:t>
                  </w:r>
                  <w:r>
                    <w:rPr>
                      <w:color w:val="auto"/>
                      <w:sz w:val="18"/>
                      <w:szCs w:val="18"/>
                      <w:highlight w:val="none"/>
                      <w:u w:val="single" w:color="auto"/>
                    </w:rPr>
                    <w:t>侧，主要设备有破碎机、搅拌机、筛分机等，用于原料的破碎和初混</w:t>
                  </w:r>
                </w:p>
              </w:tc>
              <w:tc>
                <w:tcPr>
                  <w:tcW w:w="960" w:type="dxa"/>
                  <w:noWrap w:val="0"/>
                  <w:vAlign w:val="center"/>
                </w:tcPr>
                <w:p>
                  <w:pPr>
                    <w:spacing w:line="300" w:lineRule="exact"/>
                    <w:ind w:left="-53" w:leftChars="-25" w:right="-53" w:rightChars="-25"/>
                    <w:jc w:val="left"/>
                    <w:rPr>
                      <w:color w:val="auto"/>
                      <w:sz w:val="18"/>
                      <w:szCs w:val="18"/>
                      <w:highlight w:val="none"/>
                      <w:u w:val="single" w:color="auto"/>
                    </w:rPr>
                  </w:pPr>
                  <w:r>
                    <w:rPr>
                      <w:color w:val="auto"/>
                      <w:sz w:val="18"/>
                      <w:szCs w:val="18"/>
                      <w:highlight w:val="none"/>
                      <w:u w:val="single" w:color="auto"/>
                    </w:rPr>
                    <w:t>粉尘、噪声</w:t>
                  </w:r>
                </w:p>
              </w:tc>
              <w:tc>
                <w:tcPr>
                  <w:tcW w:w="599" w:type="dxa"/>
                  <w:noWrap w:val="0"/>
                  <w:vAlign w:val="center"/>
                </w:tcPr>
                <w:p>
                  <w:pPr>
                    <w:spacing w:line="300" w:lineRule="exact"/>
                    <w:ind w:left="-53" w:leftChars="-25" w:right="-53" w:rightChars="-25"/>
                    <w:jc w:val="center"/>
                    <w:rPr>
                      <w:rFonts w:hint="eastAsia" w:eastAsia="宋体"/>
                      <w:color w:val="auto"/>
                      <w:sz w:val="18"/>
                      <w:szCs w:val="18"/>
                      <w:highlight w:val="none"/>
                      <w:u w:val="single" w:color="auto"/>
                      <w:lang w:eastAsia="zh-CN"/>
                    </w:rPr>
                  </w:pPr>
                  <w:r>
                    <w:rPr>
                      <w:rFonts w:hint="eastAsia"/>
                      <w:color w:val="auto"/>
                      <w:sz w:val="18"/>
                      <w:szCs w:val="18"/>
                      <w:highlight w:val="none"/>
                      <w:u w:val="single" w:color="auto"/>
                      <w:lang w:val="en-US" w:eastAsia="zh-CN"/>
                    </w:rPr>
                    <w:t>依托</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1" w:type="dxa"/>
                  <w:vMerge w:val="restart"/>
                  <w:noWrap w:val="0"/>
                  <w:vAlign w:val="center"/>
                </w:tcPr>
                <w:p>
                  <w:pPr>
                    <w:spacing w:line="300" w:lineRule="exact"/>
                    <w:ind w:left="-53" w:leftChars="-25" w:right="-53" w:rightChars="-25"/>
                    <w:jc w:val="center"/>
                    <w:rPr>
                      <w:rFonts w:hint="eastAsia"/>
                      <w:color w:val="auto"/>
                      <w:sz w:val="18"/>
                      <w:szCs w:val="18"/>
                      <w:highlight w:val="none"/>
                      <w:u w:val="single" w:color="auto"/>
                      <w:lang w:eastAsia="zh-CN"/>
                    </w:rPr>
                  </w:pPr>
                  <w:r>
                    <w:rPr>
                      <w:rFonts w:hint="eastAsia"/>
                      <w:color w:val="auto"/>
                      <w:sz w:val="18"/>
                      <w:szCs w:val="18"/>
                      <w:highlight w:val="none"/>
                      <w:u w:val="single" w:color="auto"/>
                      <w:lang w:eastAsia="zh-CN"/>
                    </w:rPr>
                    <w:t>辅助工程</w:t>
                  </w:r>
                </w:p>
                <w:p>
                  <w:pPr>
                    <w:spacing w:line="300" w:lineRule="exact"/>
                    <w:ind w:left="-53" w:leftChars="-25" w:right="-53" w:rightChars="-25"/>
                    <w:jc w:val="center"/>
                    <w:rPr>
                      <w:color w:val="auto"/>
                      <w:sz w:val="18"/>
                      <w:szCs w:val="18"/>
                      <w:highlight w:val="none"/>
                      <w:u w:val="single" w:color="auto"/>
                    </w:rPr>
                  </w:pPr>
                  <w:r>
                    <w:rPr>
                      <w:color w:val="auto"/>
                      <w:sz w:val="18"/>
                      <w:szCs w:val="18"/>
                      <w:highlight w:val="none"/>
                      <w:u w:val="single" w:color="auto"/>
                    </w:rPr>
                    <w:t>储运工程</w:t>
                  </w:r>
                </w:p>
              </w:tc>
              <w:tc>
                <w:tcPr>
                  <w:tcW w:w="1365" w:type="dxa"/>
                  <w:gridSpan w:val="2"/>
                  <w:noWrap w:val="0"/>
                  <w:vAlign w:val="center"/>
                </w:tcPr>
                <w:p>
                  <w:pPr>
                    <w:spacing w:line="300" w:lineRule="exact"/>
                    <w:ind w:left="-53" w:leftChars="-25" w:right="-53" w:rightChars="-25"/>
                    <w:jc w:val="center"/>
                    <w:rPr>
                      <w:rFonts w:hint="default" w:eastAsia="宋体"/>
                      <w:color w:val="auto"/>
                      <w:sz w:val="18"/>
                      <w:szCs w:val="18"/>
                      <w:highlight w:val="none"/>
                      <w:u w:val="single" w:color="auto"/>
                      <w:lang w:val="en-US" w:eastAsia="zh-CN"/>
                    </w:rPr>
                  </w:pPr>
                  <w:r>
                    <w:rPr>
                      <w:color w:val="auto"/>
                      <w:sz w:val="18"/>
                      <w:szCs w:val="18"/>
                      <w:highlight w:val="none"/>
                      <w:u w:val="single" w:color="auto"/>
                    </w:rPr>
                    <w:t>办公</w:t>
                  </w:r>
                  <w:r>
                    <w:rPr>
                      <w:rFonts w:hint="eastAsia"/>
                      <w:color w:val="auto"/>
                      <w:sz w:val="18"/>
                      <w:szCs w:val="18"/>
                      <w:highlight w:val="none"/>
                      <w:u w:val="single" w:color="auto"/>
                      <w:lang w:val="en-US" w:eastAsia="zh-CN"/>
                    </w:rPr>
                    <w:t>区员工宿舍</w:t>
                  </w:r>
                </w:p>
              </w:tc>
              <w:tc>
                <w:tcPr>
                  <w:tcW w:w="4605" w:type="dxa"/>
                  <w:noWrap w:val="0"/>
                  <w:vAlign w:val="center"/>
                </w:tcPr>
                <w:p>
                  <w:pPr>
                    <w:spacing w:line="300" w:lineRule="exact"/>
                    <w:ind w:left="-53" w:leftChars="-25" w:right="-53" w:rightChars="-25"/>
                    <w:jc w:val="center"/>
                    <w:rPr>
                      <w:color w:val="auto"/>
                      <w:sz w:val="18"/>
                      <w:szCs w:val="18"/>
                      <w:highlight w:val="none"/>
                      <w:u w:val="single" w:color="auto"/>
                    </w:rPr>
                  </w:pPr>
                  <w:r>
                    <w:rPr>
                      <w:color w:val="auto"/>
                      <w:sz w:val="18"/>
                      <w:szCs w:val="18"/>
                      <w:highlight w:val="none"/>
                      <w:u w:val="single" w:color="auto"/>
                    </w:rPr>
                    <w:t>厂区</w:t>
                  </w:r>
                  <w:r>
                    <w:rPr>
                      <w:rFonts w:hint="eastAsia"/>
                      <w:color w:val="auto"/>
                      <w:sz w:val="18"/>
                      <w:szCs w:val="18"/>
                      <w:highlight w:val="none"/>
                      <w:u w:val="single" w:color="auto"/>
                      <w:lang w:val="en-US" w:eastAsia="zh-CN"/>
                    </w:rPr>
                    <w:t>西北</w:t>
                  </w:r>
                  <w:r>
                    <w:rPr>
                      <w:color w:val="auto"/>
                      <w:sz w:val="18"/>
                      <w:szCs w:val="18"/>
                      <w:highlight w:val="none"/>
                      <w:u w:val="single" w:color="auto"/>
                    </w:rPr>
                    <w:t>侧，砖混结构，占地</w:t>
                  </w:r>
                  <w:r>
                    <w:rPr>
                      <w:rFonts w:hint="eastAsia"/>
                      <w:color w:val="auto"/>
                      <w:sz w:val="18"/>
                      <w:szCs w:val="18"/>
                      <w:highlight w:val="none"/>
                      <w:u w:val="single" w:color="auto"/>
                      <w:lang w:val="en-US" w:eastAsia="zh-CN"/>
                    </w:rPr>
                    <w:t>1500</w:t>
                  </w:r>
                  <w:r>
                    <w:rPr>
                      <w:color w:val="auto"/>
                      <w:sz w:val="18"/>
                      <w:szCs w:val="18"/>
                      <w:highlight w:val="none"/>
                      <w:u w:val="single" w:color="auto"/>
                    </w:rPr>
                    <w:t>m</w:t>
                  </w:r>
                  <w:r>
                    <w:rPr>
                      <w:color w:val="auto"/>
                      <w:sz w:val="18"/>
                      <w:szCs w:val="18"/>
                      <w:highlight w:val="none"/>
                      <w:u w:val="single" w:color="auto"/>
                      <w:vertAlign w:val="superscript"/>
                    </w:rPr>
                    <w:t>2</w:t>
                  </w:r>
                  <w:r>
                    <w:rPr>
                      <w:color w:val="auto"/>
                      <w:sz w:val="18"/>
                      <w:szCs w:val="18"/>
                      <w:highlight w:val="none"/>
                      <w:u w:val="single" w:color="auto"/>
                    </w:rPr>
                    <w:t>，</w:t>
                  </w:r>
                  <w:r>
                    <w:rPr>
                      <w:rFonts w:hint="eastAsia"/>
                      <w:color w:val="auto"/>
                      <w:sz w:val="18"/>
                      <w:szCs w:val="18"/>
                      <w:highlight w:val="none"/>
                      <w:u w:val="single" w:color="auto"/>
                      <w:lang w:val="en-US" w:eastAsia="zh-CN"/>
                    </w:rPr>
                    <w:t>1</w:t>
                  </w:r>
                  <w:r>
                    <w:rPr>
                      <w:color w:val="auto"/>
                      <w:sz w:val="18"/>
                      <w:szCs w:val="18"/>
                      <w:highlight w:val="none"/>
                      <w:u w:val="single" w:color="auto"/>
                    </w:rPr>
                    <w:t>层</w:t>
                  </w:r>
                </w:p>
              </w:tc>
              <w:tc>
                <w:tcPr>
                  <w:tcW w:w="960" w:type="dxa"/>
                  <w:noWrap w:val="0"/>
                  <w:vAlign w:val="center"/>
                </w:tcPr>
                <w:p>
                  <w:pPr>
                    <w:spacing w:line="300" w:lineRule="exact"/>
                    <w:ind w:left="-53" w:leftChars="-25" w:right="-53" w:rightChars="-25"/>
                    <w:jc w:val="center"/>
                    <w:rPr>
                      <w:color w:val="auto"/>
                      <w:sz w:val="18"/>
                      <w:szCs w:val="18"/>
                      <w:highlight w:val="none"/>
                      <w:u w:val="single" w:color="auto"/>
                    </w:rPr>
                  </w:pPr>
                  <w:r>
                    <w:rPr>
                      <w:color w:val="auto"/>
                      <w:sz w:val="18"/>
                      <w:szCs w:val="18"/>
                      <w:highlight w:val="none"/>
                      <w:u w:val="single" w:color="auto"/>
                    </w:rPr>
                    <w:t>生活污水、</w:t>
                  </w:r>
                </w:p>
                <w:p>
                  <w:pPr>
                    <w:spacing w:line="300" w:lineRule="exact"/>
                    <w:ind w:left="-53" w:leftChars="-25" w:right="-53" w:rightChars="-25"/>
                    <w:jc w:val="center"/>
                    <w:rPr>
                      <w:color w:val="auto"/>
                      <w:sz w:val="18"/>
                      <w:szCs w:val="18"/>
                      <w:highlight w:val="none"/>
                      <w:u w:val="single" w:color="auto"/>
                    </w:rPr>
                  </w:pPr>
                  <w:r>
                    <w:rPr>
                      <w:color w:val="auto"/>
                      <w:sz w:val="18"/>
                      <w:szCs w:val="18"/>
                      <w:highlight w:val="none"/>
                      <w:u w:val="single" w:color="auto"/>
                    </w:rPr>
                    <w:t>生活垃圾</w:t>
                  </w:r>
                </w:p>
              </w:tc>
              <w:tc>
                <w:tcPr>
                  <w:tcW w:w="599" w:type="dxa"/>
                  <w:noWrap w:val="0"/>
                  <w:vAlign w:val="center"/>
                </w:tcPr>
                <w:p>
                  <w:pPr>
                    <w:spacing w:line="300" w:lineRule="exact"/>
                    <w:ind w:left="-53" w:leftChars="-25" w:right="-53" w:rightChars="-25"/>
                    <w:jc w:val="center"/>
                    <w:rPr>
                      <w:rFonts w:hint="eastAsia" w:eastAsia="宋体"/>
                      <w:color w:val="auto"/>
                      <w:sz w:val="18"/>
                      <w:szCs w:val="18"/>
                      <w:highlight w:val="none"/>
                      <w:u w:val="single" w:color="auto"/>
                      <w:lang w:eastAsia="zh-CN"/>
                    </w:rPr>
                  </w:pPr>
                  <w:r>
                    <w:rPr>
                      <w:rFonts w:hint="eastAsia"/>
                      <w:color w:val="auto"/>
                      <w:sz w:val="18"/>
                      <w:szCs w:val="18"/>
                      <w:highlight w:val="none"/>
                      <w:u w:val="single" w:color="auto"/>
                      <w:lang w:val="en-US" w:eastAsia="zh-CN"/>
                    </w:rPr>
                    <w:t>依托</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1" w:type="dxa"/>
                  <w:vMerge w:val="continue"/>
                  <w:noWrap w:val="0"/>
                  <w:vAlign w:val="center"/>
                </w:tcPr>
                <w:p>
                  <w:pPr>
                    <w:spacing w:line="300" w:lineRule="exact"/>
                    <w:ind w:left="-53" w:leftChars="-25" w:right="-53" w:rightChars="-25"/>
                    <w:jc w:val="center"/>
                    <w:rPr>
                      <w:color w:val="auto"/>
                      <w:sz w:val="18"/>
                      <w:szCs w:val="18"/>
                      <w:highlight w:val="none"/>
                      <w:u w:val="single" w:color="auto"/>
                    </w:rPr>
                  </w:pPr>
                </w:p>
              </w:tc>
              <w:tc>
                <w:tcPr>
                  <w:tcW w:w="1365" w:type="dxa"/>
                  <w:gridSpan w:val="2"/>
                  <w:noWrap w:val="0"/>
                  <w:vAlign w:val="center"/>
                </w:tcPr>
                <w:p>
                  <w:pPr>
                    <w:spacing w:line="300" w:lineRule="exact"/>
                    <w:ind w:left="-53" w:leftChars="-25" w:right="-53" w:rightChars="-25"/>
                    <w:jc w:val="center"/>
                    <w:rPr>
                      <w:rFonts w:hint="default" w:eastAsia="宋体"/>
                      <w:color w:val="auto"/>
                      <w:sz w:val="18"/>
                      <w:szCs w:val="18"/>
                      <w:highlight w:val="none"/>
                      <w:u w:val="single" w:color="auto"/>
                      <w:lang w:val="en-US" w:eastAsia="zh-CN"/>
                    </w:rPr>
                  </w:pPr>
                  <w:r>
                    <w:rPr>
                      <w:rFonts w:hint="eastAsia"/>
                      <w:color w:val="auto"/>
                      <w:sz w:val="18"/>
                      <w:szCs w:val="18"/>
                      <w:highlight w:val="none"/>
                      <w:u w:val="single" w:color="auto"/>
                      <w:lang w:val="en-US" w:eastAsia="zh-CN"/>
                    </w:rPr>
                    <w:t>员工休息室</w:t>
                  </w:r>
                </w:p>
              </w:tc>
              <w:tc>
                <w:tcPr>
                  <w:tcW w:w="4605" w:type="dxa"/>
                  <w:noWrap w:val="0"/>
                  <w:vAlign w:val="center"/>
                </w:tcPr>
                <w:p>
                  <w:pPr>
                    <w:spacing w:line="300" w:lineRule="exact"/>
                    <w:ind w:left="-53" w:leftChars="-25" w:right="-53" w:rightChars="-25"/>
                    <w:jc w:val="center"/>
                    <w:rPr>
                      <w:rFonts w:hint="default" w:eastAsia="宋体"/>
                      <w:color w:val="auto"/>
                      <w:sz w:val="18"/>
                      <w:szCs w:val="18"/>
                      <w:highlight w:val="none"/>
                      <w:u w:val="single" w:color="auto"/>
                      <w:lang w:val="en-US" w:eastAsia="zh-CN"/>
                    </w:rPr>
                  </w:pPr>
                  <w:r>
                    <w:rPr>
                      <w:color w:val="auto"/>
                      <w:sz w:val="18"/>
                      <w:szCs w:val="18"/>
                      <w:highlight w:val="none"/>
                      <w:u w:val="single" w:color="auto"/>
                    </w:rPr>
                    <w:t>厂区</w:t>
                  </w:r>
                  <w:r>
                    <w:rPr>
                      <w:rFonts w:hint="eastAsia"/>
                      <w:color w:val="auto"/>
                      <w:sz w:val="18"/>
                      <w:szCs w:val="18"/>
                      <w:highlight w:val="none"/>
                      <w:u w:val="single" w:color="auto"/>
                      <w:lang w:val="en-US" w:eastAsia="zh-CN"/>
                    </w:rPr>
                    <w:t>西北</w:t>
                  </w:r>
                  <w:r>
                    <w:rPr>
                      <w:color w:val="auto"/>
                      <w:sz w:val="18"/>
                      <w:szCs w:val="18"/>
                      <w:highlight w:val="none"/>
                      <w:u w:val="single" w:color="auto"/>
                    </w:rPr>
                    <w:t>侧，砖混结构</w:t>
                  </w:r>
                  <w:r>
                    <w:rPr>
                      <w:rFonts w:hint="eastAsia"/>
                      <w:color w:val="auto"/>
                      <w:sz w:val="18"/>
                      <w:szCs w:val="18"/>
                      <w:highlight w:val="none"/>
                      <w:u w:val="single" w:color="auto"/>
                      <w:lang w:eastAsia="zh-CN"/>
                    </w:rPr>
                    <w:t>，</w:t>
                  </w:r>
                  <w:r>
                    <w:rPr>
                      <w:rFonts w:hint="eastAsia"/>
                      <w:color w:val="auto"/>
                      <w:sz w:val="18"/>
                      <w:szCs w:val="18"/>
                      <w:highlight w:val="none"/>
                      <w:u w:val="single" w:color="auto"/>
                      <w:lang w:val="en-US" w:eastAsia="zh-CN"/>
                    </w:rPr>
                    <w:t>占地100</w:t>
                  </w:r>
                  <w:r>
                    <w:rPr>
                      <w:color w:val="auto"/>
                      <w:sz w:val="18"/>
                      <w:szCs w:val="18"/>
                      <w:highlight w:val="none"/>
                      <w:u w:val="single" w:color="auto"/>
                    </w:rPr>
                    <w:t>m</w:t>
                  </w:r>
                  <w:r>
                    <w:rPr>
                      <w:color w:val="auto"/>
                      <w:sz w:val="18"/>
                      <w:szCs w:val="18"/>
                      <w:highlight w:val="none"/>
                      <w:u w:val="single" w:color="auto"/>
                      <w:vertAlign w:val="superscript"/>
                    </w:rPr>
                    <w:t>2</w:t>
                  </w:r>
                  <w:r>
                    <w:rPr>
                      <w:color w:val="auto"/>
                      <w:sz w:val="18"/>
                      <w:szCs w:val="18"/>
                      <w:highlight w:val="none"/>
                      <w:u w:val="single" w:color="auto"/>
                    </w:rPr>
                    <w:t>，</w:t>
                  </w:r>
                  <w:r>
                    <w:rPr>
                      <w:rFonts w:hint="eastAsia"/>
                      <w:color w:val="auto"/>
                      <w:sz w:val="18"/>
                      <w:szCs w:val="18"/>
                      <w:highlight w:val="none"/>
                      <w:u w:val="single" w:color="auto"/>
                      <w:lang w:val="en-US" w:eastAsia="zh-CN"/>
                    </w:rPr>
                    <w:t>1</w:t>
                  </w:r>
                  <w:r>
                    <w:rPr>
                      <w:color w:val="auto"/>
                      <w:sz w:val="18"/>
                      <w:szCs w:val="18"/>
                      <w:highlight w:val="none"/>
                      <w:u w:val="single" w:color="auto"/>
                    </w:rPr>
                    <w:t>层</w:t>
                  </w:r>
                </w:p>
              </w:tc>
              <w:tc>
                <w:tcPr>
                  <w:tcW w:w="960" w:type="dxa"/>
                  <w:noWrap w:val="0"/>
                  <w:vAlign w:val="center"/>
                </w:tcPr>
                <w:p>
                  <w:pPr>
                    <w:spacing w:line="300" w:lineRule="exact"/>
                    <w:ind w:left="-53" w:leftChars="-25" w:right="-53" w:rightChars="-25"/>
                    <w:jc w:val="center"/>
                    <w:rPr>
                      <w:rFonts w:hint="default" w:eastAsia="宋体"/>
                      <w:color w:val="auto"/>
                      <w:sz w:val="18"/>
                      <w:szCs w:val="18"/>
                      <w:highlight w:val="none"/>
                      <w:u w:val="single" w:color="auto"/>
                      <w:lang w:val="en-US" w:eastAsia="zh-CN"/>
                    </w:rPr>
                  </w:pPr>
                  <w:r>
                    <w:rPr>
                      <w:rFonts w:hint="eastAsia"/>
                      <w:color w:val="auto"/>
                      <w:sz w:val="18"/>
                      <w:szCs w:val="18"/>
                      <w:highlight w:val="none"/>
                      <w:u w:val="single" w:color="auto"/>
                      <w:lang w:val="en-US" w:eastAsia="zh-CN"/>
                    </w:rPr>
                    <w:t>生活废水、生活垃圾</w:t>
                  </w:r>
                </w:p>
              </w:tc>
              <w:tc>
                <w:tcPr>
                  <w:tcW w:w="599" w:type="dxa"/>
                  <w:noWrap w:val="0"/>
                  <w:vAlign w:val="center"/>
                </w:tcPr>
                <w:p>
                  <w:pPr>
                    <w:spacing w:line="300" w:lineRule="exact"/>
                    <w:ind w:left="-53" w:leftChars="-25" w:right="-53" w:rightChars="-25"/>
                    <w:jc w:val="center"/>
                    <w:rPr>
                      <w:rFonts w:hint="default"/>
                      <w:color w:val="auto"/>
                      <w:sz w:val="18"/>
                      <w:szCs w:val="18"/>
                      <w:highlight w:val="none"/>
                      <w:u w:val="single" w:color="auto"/>
                      <w:lang w:val="en-US" w:eastAsia="zh-CN"/>
                    </w:rPr>
                  </w:pPr>
                  <w:r>
                    <w:rPr>
                      <w:rFonts w:hint="eastAsia"/>
                      <w:color w:val="auto"/>
                      <w:sz w:val="18"/>
                      <w:szCs w:val="18"/>
                      <w:highlight w:val="none"/>
                      <w:u w:val="single" w:color="auto"/>
                      <w:lang w:val="en-US" w:eastAsia="zh-CN"/>
                    </w:rPr>
                    <w:t>依托</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21" w:type="dxa"/>
                  <w:vMerge w:val="continue"/>
                  <w:noWrap w:val="0"/>
                  <w:vAlign w:val="center"/>
                </w:tcPr>
                <w:p>
                  <w:pPr>
                    <w:spacing w:line="300" w:lineRule="exact"/>
                    <w:ind w:left="-53" w:leftChars="-25" w:right="-53" w:rightChars="-25"/>
                    <w:jc w:val="center"/>
                    <w:rPr>
                      <w:color w:val="auto"/>
                      <w:sz w:val="18"/>
                      <w:szCs w:val="18"/>
                      <w:highlight w:val="none"/>
                      <w:u w:val="single" w:color="auto"/>
                    </w:rPr>
                  </w:pPr>
                </w:p>
              </w:tc>
              <w:tc>
                <w:tcPr>
                  <w:tcW w:w="1365" w:type="dxa"/>
                  <w:gridSpan w:val="2"/>
                  <w:noWrap w:val="0"/>
                  <w:vAlign w:val="center"/>
                </w:tcPr>
                <w:p>
                  <w:pPr>
                    <w:spacing w:line="300" w:lineRule="exact"/>
                    <w:ind w:left="-53" w:leftChars="-25" w:right="-53" w:rightChars="-25"/>
                    <w:jc w:val="center"/>
                    <w:rPr>
                      <w:rFonts w:hint="eastAsia" w:eastAsia="宋体"/>
                      <w:color w:val="auto"/>
                      <w:sz w:val="18"/>
                      <w:szCs w:val="18"/>
                      <w:highlight w:val="none"/>
                      <w:u w:val="single" w:color="auto"/>
                      <w:lang w:eastAsia="zh-CN"/>
                    </w:rPr>
                  </w:pPr>
                  <w:r>
                    <w:rPr>
                      <w:rFonts w:hint="eastAsia"/>
                      <w:color w:val="auto"/>
                      <w:sz w:val="18"/>
                      <w:szCs w:val="18"/>
                      <w:highlight w:val="none"/>
                      <w:u w:val="single" w:color="auto"/>
                      <w:lang w:val="en-US" w:eastAsia="zh-CN"/>
                    </w:rPr>
                    <w:t>原料堆棚</w:t>
                  </w:r>
                </w:p>
              </w:tc>
              <w:tc>
                <w:tcPr>
                  <w:tcW w:w="4605" w:type="dxa"/>
                  <w:noWrap w:val="0"/>
                  <w:vAlign w:val="center"/>
                </w:tcPr>
                <w:p>
                  <w:pPr>
                    <w:spacing w:line="300" w:lineRule="exact"/>
                    <w:ind w:left="-53" w:leftChars="-25" w:right="-53" w:rightChars="-25"/>
                    <w:jc w:val="center"/>
                    <w:rPr>
                      <w:color w:val="auto"/>
                      <w:sz w:val="18"/>
                      <w:szCs w:val="18"/>
                      <w:highlight w:val="none"/>
                      <w:u w:val="single" w:color="auto"/>
                    </w:rPr>
                  </w:pPr>
                  <w:r>
                    <w:rPr>
                      <w:rFonts w:hint="eastAsia"/>
                      <w:color w:val="auto"/>
                      <w:sz w:val="18"/>
                      <w:szCs w:val="18"/>
                      <w:highlight w:val="none"/>
                      <w:u w:val="single" w:color="auto"/>
                      <w:lang w:val="en-US" w:eastAsia="zh-CN"/>
                    </w:rPr>
                    <w:t>钢架结构1600</w:t>
                  </w:r>
                  <w:r>
                    <w:rPr>
                      <w:color w:val="auto"/>
                      <w:sz w:val="18"/>
                      <w:szCs w:val="18"/>
                      <w:highlight w:val="none"/>
                      <w:u w:val="single" w:color="auto"/>
                    </w:rPr>
                    <w:t>m</w:t>
                  </w:r>
                  <w:r>
                    <w:rPr>
                      <w:color w:val="auto"/>
                      <w:sz w:val="18"/>
                      <w:szCs w:val="18"/>
                      <w:highlight w:val="none"/>
                      <w:u w:val="single" w:color="auto"/>
                      <w:vertAlign w:val="superscript"/>
                    </w:rPr>
                    <w:t>2</w:t>
                  </w:r>
                  <w:r>
                    <w:rPr>
                      <w:color w:val="auto"/>
                      <w:sz w:val="18"/>
                      <w:szCs w:val="18"/>
                      <w:highlight w:val="none"/>
                      <w:u w:val="single" w:color="auto"/>
                    </w:rPr>
                    <w:t>，位于厂区</w:t>
                  </w:r>
                  <w:r>
                    <w:rPr>
                      <w:rFonts w:hint="eastAsia"/>
                      <w:color w:val="auto"/>
                      <w:sz w:val="18"/>
                      <w:szCs w:val="18"/>
                      <w:highlight w:val="none"/>
                      <w:u w:val="single" w:color="auto"/>
                      <w:lang w:val="en-US" w:eastAsia="zh-CN"/>
                    </w:rPr>
                    <w:t>东</w:t>
                  </w:r>
                  <w:r>
                    <w:rPr>
                      <w:color w:val="auto"/>
                      <w:sz w:val="18"/>
                      <w:szCs w:val="18"/>
                      <w:highlight w:val="none"/>
                      <w:u w:val="single" w:color="auto"/>
                    </w:rPr>
                    <w:t>侧，</w:t>
                  </w:r>
                  <w:r>
                    <w:rPr>
                      <w:rFonts w:hint="eastAsia"/>
                      <w:color w:val="auto"/>
                      <w:sz w:val="18"/>
                      <w:szCs w:val="18"/>
                      <w:highlight w:val="none"/>
                      <w:u w:val="single" w:color="auto"/>
                      <w:lang w:eastAsia="zh-CN"/>
                    </w:rPr>
                    <w:t>三面围挡，设置门帘</w:t>
                  </w:r>
                  <w:r>
                    <w:rPr>
                      <w:color w:val="auto"/>
                      <w:sz w:val="18"/>
                      <w:szCs w:val="18"/>
                      <w:highlight w:val="none"/>
                      <w:u w:val="single" w:color="auto"/>
                    </w:rPr>
                    <w:t>，用于堆放页岩</w:t>
                  </w:r>
                </w:p>
              </w:tc>
              <w:tc>
                <w:tcPr>
                  <w:tcW w:w="960" w:type="dxa"/>
                  <w:noWrap w:val="0"/>
                  <w:vAlign w:val="center"/>
                </w:tcPr>
                <w:p>
                  <w:pPr>
                    <w:spacing w:line="300" w:lineRule="exact"/>
                    <w:ind w:left="-53" w:leftChars="-25" w:right="-53" w:rightChars="-25"/>
                    <w:jc w:val="center"/>
                    <w:rPr>
                      <w:color w:val="auto"/>
                      <w:sz w:val="18"/>
                      <w:szCs w:val="18"/>
                      <w:highlight w:val="none"/>
                      <w:u w:val="single" w:color="auto"/>
                    </w:rPr>
                  </w:pPr>
                  <w:r>
                    <w:rPr>
                      <w:color w:val="auto"/>
                      <w:sz w:val="18"/>
                      <w:szCs w:val="18"/>
                      <w:highlight w:val="none"/>
                      <w:u w:val="single" w:color="auto"/>
                    </w:rPr>
                    <w:t>粉尘、噪声</w:t>
                  </w:r>
                </w:p>
              </w:tc>
              <w:tc>
                <w:tcPr>
                  <w:tcW w:w="599" w:type="dxa"/>
                  <w:noWrap w:val="0"/>
                  <w:vAlign w:val="center"/>
                </w:tcPr>
                <w:p>
                  <w:pPr>
                    <w:spacing w:line="300" w:lineRule="exact"/>
                    <w:ind w:left="-53" w:leftChars="-25" w:right="-53" w:rightChars="-25"/>
                    <w:jc w:val="center"/>
                    <w:rPr>
                      <w:rFonts w:hint="eastAsia" w:eastAsia="宋体"/>
                      <w:color w:val="auto"/>
                      <w:sz w:val="18"/>
                      <w:szCs w:val="18"/>
                      <w:highlight w:val="none"/>
                      <w:u w:val="single" w:color="auto"/>
                      <w:lang w:eastAsia="zh-CN"/>
                    </w:rPr>
                  </w:pPr>
                  <w:r>
                    <w:rPr>
                      <w:rFonts w:hint="eastAsia"/>
                      <w:color w:val="auto"/>
                      <w:sz w:val="18"/>
                      <w:szCs w:val="18"/>
                      <w:highlight w:val="none"/>
                      <w:u w:val="single" w:color="auto"/>
                      <w:lang w:val="en-US" w:eastAsia="zh-CN"/>
                    </w:rPr>
                    <w:t>依托</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1" w:type="dxa"/>
                  <w:vMerge w:val="continue"/>
                  <w:noWrap w:val="0"/>
                  <w:vAlign w:val="center"/>
                </w:tcPr>
                <w:p>
                  <w:pPr>
                    <w:spacing w:line="300" w:lineRule="exact"/>
                    <w:ind w:left="-53" w:leftChars="-25" w:right="-53" w:rightChars="-25"/>
                    <w:jc w:val="center"/>
                    <w:rPr>
                      <w:color w:val="auto"/>
                      <w:sz w:val="18"/>
                      <w:szCs w:val="18"/>
                      <w:highlight w:val="none"/>
                      <w:u w:val="single" w:color="auto"/>
                    </w:rPr>
                  </w:pPr>
                </w:p>
              </w:tc>
              <w:tc>
                <w:tcPr>
                  <w:tcW w:w="1365" w:type="dxa"/>
                  <w:gridSpan w:val="2"/>
                  <w:noWrap w:val="0"/>
                  <w:vAlign w:val="center"/>
                </w:tcPr>
                <w:p>
                  <w:pPr>
                    <w:spacing w:line="300" w:lineRule="exact"/>
                    <w:ind w:left="-53" w:leftChars="-25" w:right="-53" w:rightChars="-25"/>
                    <w:jc w:val="center"/>
                    <w:rPr>
                      <w:rFonts w:hint="eastAsia" w:eastAsia="宋体"/>
                      <w:color w:val="auto"/>
                      <w:sz w:val="18"/>
                      <w:szCs w:val="18"/>
                      <w:highlight w:val="none"/>
                      <w:u w:val="single" w:color="auto"/>
                      <w:lang w:val="en-US" w:eastAsia="zh-CN"/>
                    </w:rPr>
                  </w:pPr>
                  <w:r>
                    <w:rPr>
                      <w:color w:val="auto"/>
                      <w:sz w:val="18"/>
                      <w:szCs w:val="18"/>
                      <w:highlight w:val="none"/>
                      <w:u w:val="single" w:color="auto"/>
                    </w:rPr>
                    <w:t>成品堆</w:t>
                  </w:r>
                  <w:r>
                    <w:rPr>
                      <w:rFonts w:hint="eastAsia"/>
                      <w:color w:val="auto"/>
                      <w:sz w:val="18"/>
                      <w:szCs w:val="18"/>
                      <w:highlight w:val="none"/>
                      <w:u w:val="single" w:color="auto"/>
                      <w:lang w:val="en-US" w:eastAsia="zh-CN"/>
                    </w:rPr>
                    <w:t>场</w:t>
                  </w:r>
                </w:p>
              </w:tc>
              <w:tc>
                <w:tcPr>
                  <w:tcW w:w="4605" w:type="dxa"/>
                  <w:noWrap w:val="0"/>
                  <w:vAlign w:val="center"/>
                </w:tcPr>
                <w:p>
                  <w:pPr>
                    <w:spacing w:line="300" w:lineRule="exact"/>
                    <w:ind w:left="-53" w:leftChars="-25" w:right="-53" w:rightChars="-25"/>
                    <w:jc w:val="center"/>
                    <w:rPr>
                      <w:rFonts w:hint="default" w:eastAsia="宋体"/>
                      <w:color w:val="auto"/>
                      <w:sz w:val="18"/>
                      <w:szCs w:val="18"/>
                      <w:highlight w:val="none"/>
                      <w:u w:val="single" w:color="auto"/>
                      <w:lang w:val="en-US" w:eastAsia="zh-CN"/>
                    </w:rPr>
                  </w:pPr>
                  <w:r>
                    <w:rPr>
                      <w:rFonts w:hint="eastAsia"/>
                      <w:color w:val="auto"/>
                      <w:sz w:val="18"/>
                      <w:szCs w:val="18"/>
                      <w:highlight w:val="none"/>
                      <w:u w:val="single" w:color="auto"/>
                      <w:lang w:val="en-US" w:eastAsia="zh-CN"/>
                    </w:rPr>
                    <w:t>钢架结构，25</w:t>
                  </w:r>
                  <w:r>
                    <w:rPr>
                      <w:color w:val="auto"/>
                      <w:sz w:val="18"/>
                      <w:szCs w:val="18"/>
                      <w:highlight w:val="none"/>
                      <w:u w:val="single" w:color="auto"/>
                    </w:rPr>
                    <w:t>00m</w:t>
                  </w:r>
                  <w:r>
                    <w:rPr>
                      <w:color w:val="auto"/>
                      <w:sz w:val="18"/>
                      <w:szCs w:val="18"/>
                      <w:highlight w:val="none"/>
                      <w:u w:val="single" w:color="auto"/>
                      <w:vertAlign w:val="superscript"/>
                    </w:rPr>
                    <w:t>2</w:t>
                  </w:r>
                  <w:r>
                    <w:rPr>
                      <w:color w:val="auto"/>
                      <w:sz w:val="18"/>
                      <w:szCs w:val="18"/>
                      <w:highlight w:val="none"/>
                      <w:u w:val="single" w:color="auto"/>
                    </w:rPr>
                    <w:t>，位于</w:t>
                  </w:r>
                  <w:r>
                    <w:rPr>
                      <w:rFonts w:hint="eastAsia"/>
                      <w:color w:val="auto"/>
                      <w:sz w:val="18"/>
                      <w:szCs w:val="18"/>
                      <w:highlight w:val="none"/>
                      <w:u w:val="single" w:color="auto"/>
                      <w:lang w:val="en-US" w:eastAsia="zh-CN"/>
                    </w:rPr>
                    <w:t>隧道窑南侧</w:t>
                  </w:r>
                </w:p>
              </w:tc>
              <w:tc>
                <w:tcPr>
                  <w:tcW w:w="960" w:type="dxa"/>
                  <w:noWrap w:val="0"/>
                  <w:vAlign w:val="center"/>
                </w:tcPr>
                <w:p>
                  <w:pPr>
                    <w:spacing w:line="300" w:lineRule="exact"/>
                    <w:ind w:left="-53" w:leftChars="-25" w:right="-53" w:rightChars="-25"/>
                    <w:jc w:val="center"/>
                    <w:rPr>
                      <w:color w:val="auto"/>
                      <w:sz w:val="18"/>
                      <w:szCs w:val="18"/>
                      <w:highlight w:val="none"/>
                      <w:u w:val="single" w:color="auto"/>
                    </w:rPr>
                  </w:pPr>
                  <w:r>
                    <w:rPr>
                      <w:color w:val="auto"/>
                      <w:sz w:val="18"/>
                      <w:szCs w:val="18"/>
                      <w:highlight w:val="none"/>
                      <w:u w:val="single" w:color="auto"/>
                    </w:rPr>
                    <w:t>粉尘、噪声</w:t>
                  </w:r>
                </w:p>
              </w:tc>
              <w:tc>
                <w:tcPr>
                  <w:tcW w:w="599" w:type="dxa"/>
                  <w:noWrap w:val="0"/>
                  <w:vAlign w:val="center"/>
                </w:tcPr>
                <w:p>
                  <w:pPr>
                    <w:spacing w:line="300" w:lineRule="exact"/>
                    <w:ind w:left="-53" w:leftChars="-25" w:right="-53" w:rightChars="-25"/>
                    <w:jc w:val="center"/>
                    <w:rPr>
                      <w:rFonts w:hint="eastAsia" w:eastAsia="宋体"/>
                      <w:color w:val="auto"/>
                      <w:sz w:val="18"/>
                      <w:szCs w:val="18"/>
                      <w:highlight w:val="none"/>
                      <w:u w:val="single" w:color="auto"/>
                      <w:lang w:eastAsia="zh-CN"/>
                    </w:rPr>
                  </w:pPr>
                  <w:r>
                    <w:rPr>
                      <w:rFonts w:hint="eastAsia"/>
                      <w:color w:val="auto"/>
                      <w:sz w:val="18"/>
                      <w:szCs w:val="18"/>
                      <w:highlight w:val="none"/>
                      <w:u w:val="single" w:color="auto"/>
                      <w:lang w:val="en-US" w:eastAsia="zh-CN"/>
                    </w:rPr>
                    <w:t>依托</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1" w:type="dxa"/>
                  <w:vMerge w:val="restart"/>
                  <w:noWrap w:val="0"/>
                  <w:vAlign w:val="center"/>
                </w:tcPr>
                <w:p>
                  <w:pPr>
                    <w:spacing w:line="300" w:lineRule="exact"/>
                    <w:ind w:left="-53" w:leftChars="-25" w:right="-53" w:rightChars="-25"/>
                    <w:jc w:val="center"/>
                    <w:rPr>
                      <w:color w:val="auto"/>
                      <w:sz w:val="18"/>
                      <w:szCs w:val="18"/>
                      <w:highlight w:val="none"/>
                      <w:u w:val="single" w:color="auto"/>
                    </w:rPr>
                  </w:pPr>
                  <w:r>
                    <w:rPr>
                      <w:color w:val="auto"/>
                      <w:sz w:val="18"/>
                      <w:szCs w:val="18"/>
                      <w:highlight w:val="none"/>
                      <w:u w:val="single" w:color="auto"/>
                    </w:rPr>
                    <w:t>公用工程</w:t>
                  </w:r>
                </w:p>
              </w:tc>
              <w:tc>
                <w:tcPr>
                  <w:tcW w:w="1365" w:type="dxa"/>
                  <w:gridSpan w:val="2"/>
                  <w:noWrap w:val="0"/>
                  <w:vAlign w:val="center"/>
                </w:tcPr>
                <w:p>
                  <w:pPr>
                    <w:spacing w:line="300" w:lineRule="exact"/>
                    <w:ind w:left="-53" w:leftChars="-25" w:right="-53" w:rightChars="-25"/>
                    <w:jc w:val="center"/>
                    <w:rPr>
                      <w:color w:val="auto"/>
                      <w:sz w:val="18"/>
                      <w:szCs w:val="18"/>
                      <w:highlight w:val="none"/>
                      <w:u w:val="single" w:color="auto"/>
                    </w:rPr>
                  </w:pPr>
                  <w:r>
                    <w:rPr>
                      <w:color w:val="auto"/>
                      <w:sz w:val="18"/>
                      <w:szCs w:val="18"/>
                      <w:highlight w:val="none"/>
                      <w:u w:val="single" w:color="auto"/>
                    </w:rPr>
                    <w:t>供水</w:t>
                  </w:r>
                </w:p>
              </w:tc>
              <w:tc>
                <w:tcPr>
                  <w:tcW w:w="4605" w:type="dxa"/>
                  <w:noWrap w:val="0"/>
                  <w:vAlign w:val="center"/>
                </w:tcPr>
                <w:p>
                  <w:pPr>
                    <w:spacing w:line="300" w:lineRule="exact"/>
                    <w:ind w:left="-53" w:leftChars="-25" w:right="-53" w:rightChars="-25"/>
                    <w:jc w:val="center"/>
                    <w:rPr>
                      <w:color w:val="auto"/>
                      <w:sz w:val="18"/>
                      <w:szCs w:val="18"/>
                      <w:highlight w:val="none"/>
                      <w:u w:val="single" w:color="auto"/>
                    </w:rPr>
                  </w:pPr>
                  <w:r>
                    <w:rPr>
                      <w:color w:val="auto"/>
                      <w:sz w:val="18"/>
                      <w:szCs w:val="18"/>
                      <w:highlight w:val="none"/>
                      <w:u w:val="single" w:color="auto"/>
                    </w:rPr>
                    <w:t>厂区自有水井、厂区</w:t>
                  </w:r>
                  <w:r>
                    <w:rPr>
                      <w:rFonts w:hint="eastAsia"/>
                      <w:color w:val="auto"/>
                      <w:sz w:val="18"/>
                      <w:szCs w:val="18"/>
                      <w:highlight w:val="none"/>
                      <w:u w:val="single" w:color="auto"/>
                      <w:lang w:val="en-US" w:eastAsia="zh-CN"/>
                    </w:rPr>
                    <w:t>东</w:t>
                  </w:r>
                  <w:r>
                    <w:rPr>
                      <w:color w:val="auto"/>
                      <w:sz w:val="18"/>
                      <w:szCs w:val="18"/>
                      <w:highlight w:val="none"/>
                      <w:u w:val="single" w:color="auto"/>
                    </w:rPr>
                    <w:t>侧水塘供水</w:t>
                  </w:r>
                </w:p>
              </w:tc>
              <w:tc>
                <w:tcPr>
                  <w:tcW w:w="960" w:type="dxa"/>
                  <w:noWrap w:val="0"/>
                  <w:vAlign w:val="center"/>
                </w:tcPr>
                <w:p>
                  <w:pPr>
                    <w:spacing w:line="300" w:lineRule="exact"/>
                    <w:ind w:left="-53" w:leftChars="-25" w:right="-53" w:rightChars="-25"/>
                    <w:jc w:val="center"/>
                    <w:rPr>
                      <w:color w:val="auto"/>
                      <w:sz w:val="18"/>
                      <w:szCs w:val="18"/>
                      <w:highlight w:val="none"/>
                      <w:u w:val="single" w:color="auto"/>
                    </w:rPr>
                  </w:pPr>
                  <w:r>
                    <w:rPr>
                      <w:color w:val="auto"/>
                      <w:sz w:val="18"/>
                      <w:szCs w:val="18"/>
                      <w:highlight w:val="none"/>
                      <w:u w:val="single" w:color="auto"/>
                    </w:rPr>
                    <w:t>/</w:t>
                  </w:r>
                </w:p>
              </w:tc>
              <w:tc>
                <w:tcPr>
                  <w:tcW w:w="599" w:type="dxa"/>
                  <w:noWrap w:val="0"/>
                  <w:vAlign w:val="center"/>
                </w:tcPr>
                <w:p>
                  <w:pPr>
                    <w:spacing w:line="300" w:lineRule="exact"/>
                    <w:ind w:left="-53" w:leftChars="-25" w:right="-53" w:rightChars="-25"/>
                    <w:jc w:val="center"/>
                    <w:rPr>
                      <w:color w:val="auto"/>
                      <w:sz w:val="18"/>
                      <w:szCs w:val="18"/>
                      <w:highlight w:val="none"/>
                      <w:u w:val="single" w:color="auto"/>
                    </w:rPr>
                  </w:pPr>
                  <w:r>
                    <w:rPr>
                      <w:color w:val="auto"/>
                      <w:sz w:val="18"/>
                      <w:szCs w:val="18"/>
                      <w:highlight w:val="none"/>
                      <w:u w:val="single" w:color="auto"/>
                    </w:rPr>
                    <w:t>依托</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1" w:type="dxa"/>
                  <w:vMerge w:val="continue"/>
                  <w:noWrap w:val="0"/>
                  <w:vAlign w:val="center"/>
                </w:tcPr>
                <w:p>
                  <w:pPr>
                    <w:spacing w:line="300" w:lineRule="exact"/>
                    <w:ind w:left="-53" w:leftChars="-25" w:right="-53" w:rightChars="-25"/>
                    <w:jc w:val="center"/>
                    <w:rPr>
                      <w:color w:val="auto"/>
                      <w:sz w:val="18"/>
                      <w:szCs w:val="18"/>
                      <w:highlight w:val="none"/>
                      <w:u w:val="single" w:color="auto"/>
                    </w:rPr>
                  </w:pPr>
                </w:p>
              </w:tc>
              <w:tc>
                <w:tcPr>
                  <w:tcW w:w="1365" w:type="dxa"/>
                  <w:gridSpan w:val="2"/>
                  <w:noWrap w:val="0"/>
                  <w:vAlign w:val="center"/>
                </w:tcPr>
                <w:p>
                  <w:pPr>
                    <w:spacing w:line="300" w:lineRule="exact"/>
                    <w:ind w:left="-53" w:leftChars="-25" w:right="-53" w:rightChars="-25"/>
                    <w:jc w:val="center"/>
                    <w:rPr>
                      <w:color w:val="auto"/>
                      <w:sz w:val="18"/>
                      <w:szCs w:val="18"/>
                      <w:highlight w:val="none"/>
                      <w:u w:val="single" w:color="auto"/>
                    </w:rPr>
                  </w:pPr>
                  <w:r>
                    <w:rPr>
                      <w:color w:val="auto"/>
                      <w:sz w:val="18"/>
                      <w:szCs w:val="18"/>
                      <w:highlight w:val="none"/>
                      <w:u w:val="single" w:color="auto"/>
                    </w:rPr>
                    <w:t>供电</w:t>
                  </w:r>
                </w:p>
              </w:tc>
              <w:tc>
                <w:tcPr>
                  <w:tcW w:w="4605" w:type="dxa"/>
                  <w:noWrap w:val="0"/>
                  <w:vAlign w:val="center"/>
                </w:tcPr>
                <w:p>
                  <w:pPr>
                    <w:spacing w:line="300" w:lineRule="exact"/>
                    <w:ind w:left="-53" w:leftChars="-25" w:right="-53" w:rightChars="-25"/>
                    <w:jc w:val="center"/>
                    <w:rPr>
                      <w:rFonts w:hint="default" w:eastAsia="宋体"/>
                      <w:color w:val="auto"/>
                      <w:sz w:val="18"/>
                      <w:szCs w:val="18"/>
                      <w:highlight w:val="none"/>
                      <w:u w:val="single" w:color="auto"/>
                      <w:lang w:val="en-US" w:eastAsia="zh-CN"/>
                    </w:rPr>
                  </w:pPr>
                  <w:r>
                    <w:rPr>
                      <w:color w:val="auto"/>
                      <w:sz w:val="18"/>
                      <w:szCs w:val="18"/>
                      <w:highlight w:val="none"/>
                      <w:u w:val="single" w:color="auto"/>
                    </w:rPr>
                    <w:t>由</w:t>
                  </w:r>
                  <w:r>
                    <w:rPr>
                      <w:rFonts w:hint="eastAsia"/>
                      <w:color w:val="auto"/>
                      <w:sz w:val="18"/>
                      <w:szCs w:val="18"/>
                      <w:highlight w:val="none"/>
                      <w:u w:val="single" w:color="auto"/>
                      <w:lang w:val="en-US" w:eastAsia="zh-CN"/>
                    </w:rPr>
                    <w:t>当地</w:t>
                  </w:r>
                  <w:r>
                    <w:rPr>
                      <w:color w:val="auto"/>
                      <w:sz w:val="18"/>
                      <w:szCs w:val="18"/>
                      <w:highlight w:val="none"/>
                      <w:u w:val="single" w:color="auto"/>
                    </w:rPr>
                    <w:t>村镇电网引入专门供电电源</w:t>
                  </w:r>
                  <w:r>
                    <w:rPr>
                      <w:rFonts w:hint="eastAsia"/>
                      <w:color w:val="auto"/>
                      <w:sz w:val="18"/>
                      <w:szCs w:val="18"/>
                      <w:highlight w:val="none"/>
                      <w:u w:val="single" w:color="auto"/>
                      <w:lang w:eastAsia="zh-CN"/>
                    </w:rPr>
                    <w:t>，</w:t>
                  </w:r>
                  <w:r>
                    <w:rPr>
                      <w:rFonts w:hint="eastAsia"/>
                      <w:color w:val="auto"/>
                      <w:sz w:val="18"/>
                      <w:szCs w:val="18"/>
                      <w:highlight w:val="none"/>
                      <w:u w:val="single" w:color="auto"/>
                      <w:lang w:val="en-US" w:eastAsia="zh-CN"/>
                    </w:rPr>
                    <w:t>厂内设配电箱</w:t>
                  </w:r>
                </w:p>
              </w:tc>
              <w:tc>
                <w:tcPr>
                  <w:tcW w:w="960" w:type="dxa"/>
                  <w:noWrap w:val="0"/>
                  <w:vAlign w:val="center"/>
                </w:tcPr>
                <w:p>
                  <w:pPr>
                    <w:spacing w:line="300" w:lineRule="exact"/>
                    <w:ind w:left="-53" w:leftChars="-25" w:right="-53" w:rightChars="-25"/>
                    <w:jc w:val="center"/>
                    <w:rPr>
                      <w:color w:val="auto"/>
                      <w:sz w:val="18"/>
                      <w:szCs w:val="18"/>
                      <w:highlight w:val="none"/>
                      <w:u w:val="single" w:color="auto"/>
                    </w:rPr>
                  </w:pPr>
                  <w:r>
                    <w:rPr>
                      <w:color w:val="auto"/>
                      <w:sz w:val="18"/>
                      <w:szCs w:val="18"/>
                      <w:highlight w:val="none"/>
                      <w:u w:val="single" w:color="auto"/>
                    </w:rPr>
                    <w:t>/</w:t>
                  </w:r>
                </w:p>
              </w:tc>
              <w:tc>
                <w:tcPr>
                  <w:tcW w:w="599" w:type="dxa"/>
                  <w:noWrap w:val="0"/>
                  <w:vAlign w:val="center"/>
                </w:tcPr>
                <w:p>
                  <w:pPr>
                    <w:spacing w:line="300" w:lineRule="exact"/>
                    <w:ind w:left="-53" w:leftChars="-25" w:right="-53" w:rightChars="-25"/>
                    <w:jc w:val="center"/>
                    <w:rPr>
                      <w:color w:val="auto"/>
                      <w:sz w:val="18"/>
                      <w:szCs w:val="18"/>
                      <w:highlight w:val="none"/>
                      <w:u w:val="single" w:color="auto"/>
                    </w:rPr>
                  </w:pPr>
                  <w:r>
                    <w:rPr>
                      <w:color w:val="auto"/>
                      <w:sz w:val="18"/>
                      <w:szCs w:val="18"/>
                      <w:highlight w:val="none"/>
                      <w:u w:val="single" w:color="auto"/>
                    </w:rPr>
                    <w:t>依托</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1" w:type="dxa"/>
                  <w:vMerge w:val="restart"/>
                  <w:noWrap w:val="0"/>
                  <w:vAlign w:val="center"/>
                </w:tcPr>
                <w:p>
                  <w:pPr>
                    <w:spacing w:line="300" w:lineRule="exact"/>
                    <w:ind w:left="-53" w:leftChars="-25" w:right="-53" w:rightChars="-25"/>
                    <w:jc w:val="center"/>
                    <w:rPr>
                      <w:color w:val="auto"/>
                      <w:sz w:val="18"/>
                      <w:szCs w:val="18"/>
                      <w:highlight w:val="none"/>
                      <w:u w:val="single" w:color="auto"/>
                    </w:rPr>
                  </w:pPr>
                  <w:r>
                    <w:rPr>
                      <w:color w:val="auto"/>
                      <w:sz w:val="18"/>
                      <w:szCs w:val="18"/>
                      <w:highlight w:val="none"/>
                      <w:u w:val="single" w:color="auto"/>
                    </w:rPr>
                    <w:t>环保设施</w:t>
                  </w:r>
                </w:p>
              </w:tc>
              <w:tc>
                <w:tcPr>
                  <w:tcW w:w="300" w:type="dxa"/>
                  <w:vMerge w:val="restart"/>
                  <w:tcBorders>
                    <w:right w:val="single" w:color="000000" w:sz="4" w:space="0"/>
                  </w:tcBorders>
                  <w:noWrap w:val="0"/>
                  <w:vAlign w:val="center"/>
                </w:tcPr>
                <w:p>
                  <w:pPr>
                    <w:spacing w:line="300" w:lineRule="exact"/>
                    <w:ind w:left="-53" w:leftChars="-25" w:right="-53" w:rightChars="-25"/>
                    <w:jc w:val="center"/>
                    <w:rPr>
                      <w:color w:val="auto"/>
                      <w:sz w:val="18"/>
                      <w:szCs w:val="18"/>
                      <w:highlight w:val="none"/>
                      <w:u w:val="single" w:color="auto"/>
                    </w:rPr>
                  </w:pPr>
                  <w:r>
                    <w:rPr>
                      <w:color w:val="auto"/>
                      <w:sz w:val="18"/>
                      <w:szCs w:val="18"/>
                      <w:highlight w:val="none"/>
                      <w:u w:val="single" w:color="auto"/>
                    </w:rPr>
                    <w:t>废水</w:t>
                  </w:r>
                </w:p>
              </w:tc>
              <w:tc>
                <w:tcPr>
                  <w:tcW w:w="1065" w:type="dxa"/>
                  <w:tcBorders>
                    <w:left w:val="single" w:color="000000" w:sz="4" w:space="0"/>
                  </w:tcBorders>
                  <w:noWrap w:val="0"/>
                  <w:vAlign w:val="center"/>
                </w:tcPr>
                <w:p>
                  <w:pPr>
                    <w:spacing w:line="300" w:lineRule="exact"/>
                    <w:ind w:left="-53" w:leftChars="-25" w:right="-53" w:rightChars="-25"/>
                    <w:jc w:val="center"/>
                    <w:rPr>
                      <w:color w:val="auto"/>
                      <w:sz w:val="18"/>
                      <w:szCs w:val="18"/>
                      <w:highlight w:val="none"/>
                      <w:u w:val="single" w:color="auto"/>
                    </w:rPr>
                  </w:pPr>
                  <w:r>
                    <w:rPr>
                      <w:color w:val="auto"/>
                      <w:sz w:val="18"/>
                      <w:szCs w:val="18"/>
                      <w:highlight w:val="none"/>
                      <w:u w:val="single" w:color="auto"/>
                    </w:rPr>
                    <w:t>生活污水</w:t>
                  </w:r>
                </w:p>
              </w:tc>
              <w:tc>
                <w:tcPr>
                  <w:tcW w:w="4605" w:type="dxa"/>
                  <w:noWrap w:val="0"/>
                  <w:vAlign w:val="center"/>
                </w:tcPr>
                <w:p>
                  <w:pPr>
                    <w:spacing w:line="300" w:lineRule="exact"/>
                    <w:ind w:left="-53" w:leftChars="-25" w:right="-53" w:rightChars="-25"/>
                    <w:jc w:val="center"/>
                    <w:rPr>
                      <w:rFonts w:hint="eastAsia" w:eastAsia="宋体"/>
                      <w:color w:val="auto"/>
                      <w:sz w:val="18"/>
                      <w:szCs w:val="18"/>
                      <w:highlight w:val="none"/>
                      <w:u w:val="single" w:color="auto"/>
                      <w:lang w:eastAsia="zh-CN"/>
                    </w:rPr>
                  </w:pPr>
                  <w:r>
                    <w:rPr>
                      <w:rFonts w:hint="eastAsia"/>
                      <w:color w:val="auto"/>
                      <w:sz w:val="18"/>
                      <w:szCs w:val="18"/>
                      <w:highlight w:val="none"/>
                      <w:u w:val="single" w:color="auto"/>
                      <w:lang w:val="en-US" w:eastAsia="zh-CN"/>
                    </w:rPr>
                    <w:t>隔油池+</w:t>
                  </w:r>
                  <w:r>
                    <w:rPr>
                      <w:color w:val="auto"/>
                      <w:sz w:val="18"/>
                      <w:szCs w:val="18"/>
                      <w:highlight w:val="none"/>
                      <w:u w:val="single" w:color="auto"/>
                    </w:rPr>
                    <w:t>化粪池1座，生活污水经</w:t>
                  </w:r>
                  <w:r>
                    <w:rPr>
                      <w:rFonts w:hint="eastAsia"/>
                      <w:color w:val="auto"/>
                      <w:sz w:val="18"/>
                      <w:szCs w:val="18"/>
                      <w:highlight w:val="none"/>
                      <w:u w:val="single" w:color="auto"/>
                      <w:lang w:val="en-US" w:eastAsia="zh-CN"/>
                    </w:rPr>
                    <w:t>隔油池+</w:t>
                  </w:r>
                  <w:r>
                    <w:rPr>
                      <w:color w:val="auto"/>
                      <w:sz w:val="18"/>
                      <w:szCs w:val="18"/>
                      <w:highlight w:val="none"/>
                      <w:u w:val="single" w:color="auto"/>
                    </w:rPr>
                    <w:t>化粪池收集处理后用作</w:t>
                  </w:r>
                  <w:r>
                    <w:rPr>
                      <w:rFonts w:hint="eastAsia"/>
                      <w:color w:val="auto"/>
                      <w:sz w:val="18"/>
                      <w:szCs w:val="18"/>
                      <w:highlight w:val="none"/>
                      <w:u w:val="single" w:color="auto"/>
                      <w:lang w:eastAsia="zh-CN"/>
                    </w:rPr>
                    <w:t>农肥</w:t>
                  </w:r>
                </w:p>
              </w:tc>
              <w:tc>
                <w:tcPr>
                  <w:tcW w:w="960" w:type="dxa"/>
                  <w:noWrap w:val="0"/>
                  <w:vAlign w:val="center"/>
                </w:tcPr>
                <w:p>
                  <w:pPr>
                    <w:spacing w:line="300" w:lineRule="exact"/>
                    <w:ind w:left="-53" w:leftChars="-25" w:right="-53" w:rightChars="-25"/>
                    <w:jc w:val="center"/>
                    <w:rPr>
                      <w:color w:val="auto"/>
                      <w:sz w:val="18"/>
                      <w:szCs w:val="18"/>
                      <w:highlight w:val="none"/>
                      <w:u w:val="single" w:color="auto"/>
                    </w:rPr>
                  </w:pPr>
                  <w:r>
                    <w:rPr>
                      <w:color w:val="auto"/>
                      <w:sz w:val="18"/>
                      <w:szCs w:val="18"/>
                      <w:highlight w:val="none"/>
                      <w:u w:val="single" w:color="auto"/>
                    </w:rPr>
                    <w:t>/</w:t>
                  </w:r>
                </w:p>
              </w:tc>
              <w:tc>
                <w:tcPr>
                  <w:tcW w:w="599" w:type="dxa"/>
                  <w:noWrap w:val="0"/>
                  <w:vAlign w:val="center"/>
                </w:tcPr>
                <w:p>
                  <w:pPr>
                    <w:spacing w:line="300" w:lineRule="exact"/>
                    <w:ind w:left="-53" w:leftChars="-25" w:right="-53" w:rightChars="-25"/>
                    <w:jc w:val="center"/>
                    <w:rPr>
                      <w:rFonts w:hint="eastAsia" w:eastAsia="宋体"/>
                      <w:color w:val="auto"/>
                      <w:sz w:val="18"/>
                      <w:szCs w:val="18"/>
                      <w:highlight w:val="none"/>
                      <w:u w:val="single" w:color="auto"/>
                      <w:lang w:eastAsia="zh-CN"/>
                    </w:rPr>
                  </w:pPr>
                  <w:r>
                    <w:rPr>
                      <w:rFonts w:hint="eastAsia"/>
                      <w:color w:val="auto"/>
                      <w:sz w:val="18"/>
                      <w:szCs w:val="18"/>
                      <w:highlight w:val="none"/>
                      <w:u w:val="single" w:color="auto"/>
                      <w:lang w:val="en-US" w:eastAsia="zh-CN"/>
                    </w:rPr>
                    <w:t>依托</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1" w:type="dxa"/>
                  <w:vMerge w:val="continue"/>
                  <w:noWrap w:val="0"/>
                  <w:vAlign w:val="center"/>
                </w:tcPr>
                <w:p>
                  <w:pPr>
                    <w:spacing w:line="300" w:lineRule="exact"/>
                    <w:ind w:left="-53" w:leftChars="-25" w:right="-53" w:rightChars="-25"/>
                    <w:jc w:val="center"/>
                    <w:rPr>
                      <w:color w:val="auto"/>
                      <w:sz w:val="18"/>
                      <w:szCs w:val="18"/>
                      <w:highlight w:val="none"/>
                      <w:u w:val="single" w:color="auto"/>
                    </w:rPr>
                  </w:pPr>
                </w:p>
              </w:tc>
              <w:tc>
                <w:tcPr>
                  <w:tcW w:w="300" w:type="dxa"/>
                  <w:vMerge w:val="continue"/>
                  <w:tcBorders>
                    <w:right w:val="single" w:color="000000" w:sz="4" w:space="0"/>
                  </w:tcBorders>
                  <w:noWrap w:val="0"/>
                  <w:vAlign w:val="center"/>
                </w:tcPr>
                <w:p>
                  <w:pPr>
                    <w:spacing w:line="300" w:lineRule="exact"/>
                    <w:ind w:left="-53" w:leftChars="-25" w:right="-53" w:rightChars="-25"/>
                    <w:jc w:val="center"/>
                    <w:rPr>
                      <w:color w:val="auto"/>
                      <w:sz w:val="18"/>
                      <w:szCs w:val="18"/>
                      <w:highlight w:val="none"/>
                      <w:u w:val="single" w:color="auto"/>
                    </w:rPr>
                  </w:pPr>
                </w:p>
              </w:tc>
              <w:tc>
                <w:tcPr>
                  <w:tcW w:w="1065" w:type="dxa"/>
                  <w:tcBorders>
                    <w:left w:val="single" w:color="000000" w:sz="4" w:space="0"/>
                  </w:tcBorders>
                  <w:shd w:val="clear" w:color="auto" w:fill="auto"/>
                  <w:noWrap w:val="0"/>
                  <w:vAlign w:val="center"/>
                </w:tcPr>
                <w:p>
                  <w:pPr>
                    <w:spacing w:line="300" w:lineRule="exact"/>
                    <w:ind w:left="-53" w:leftChars="-25" w:right="-53" w:rightChars="-25"/>
                    <w:jc w:val="center"/>
                    <w:rPr>
                      <w:rFonts w:ascii="Times New Roman" w:hAnsi="Times New Roman" w:eastAsia="宋体" w:cs="Times New Roman"/>
                      <w:color w:val="auto"/>
                      <w:kern w:val="2"/>
                      <w:sz w:val="18"/>
                      <w:szCs w:val="18"/>
                      <w:highlight w:val="none"/>
                      <w:u w:val="single" w:color="auto"/>
                      <w:lang w:val="en-US" w:eastAsia="zh-CN" w:bidi="ar-SA"/>
                    </w:rPr>
                  </w:pPr>
                  <w:r>
                    <w:rPr>
                      <w:color w:val="auto"/>
                      <w:sz w:val="18"/>
                      <w:szCs w:val="18"/>
                      <w:highlight w:val="none"/>
                      <w:u w:val="single" w:color="auto"/>
                    </w:rPr>
                    <w:t>生产废水</w:t>
                  </w:r>
                </w:p>
              </w:tc>
              <w:tc>
                <w:tcPr>
                  <w:tcW w:w="4605" w:type="dxa"/>
                  <w:shd w:val="clear" w:color="auto" w:fill="auto"/>
                  <w:noWrap w:val="0"/>
                  <w:vAlign w:val="center"/>
                </w:tcPr>
                <w:p>
                  <w:pPr>
                    <w:spacing w:line="300" w:lineRule="exact"/>
                    <w:ind w:left="-53" w:leftChars="-25" w:right="-53" w:rightChars="-25"/>
                    <w:jc w:val="center"/>
                    <w:rPr>
                      <w:rFonts w:hint="eastAsia" w:ascii="Times New Roman" w:hAnsi="Times New Roman" w:eastAsia="宋体" w:cs="Times New Roman"/>
                      <w:color w:val="auto"/>
                      <w:kern w:val="2"/>
                      <w:sz w:val="18"/>
                      <w:szCs w:val="18"/>
                      <w:highlight w:val="none"/>
                      <w:u w:val="single" w:color="auto"/>
                      <w:lang w:val="en-US" w:eastAsia="zh-CN" w:bidi="ar-SA"/>
                    </w:rPr>
                  </w:pPr>
                  <w:r>
                    <w:rPr>
                      <w:rFonts w:hint="eastAsia"/>
                      <w:color w:val="auto"/>
                      <w:sz w:val="18"/>
                      <w:szCs w:val="18"/>
                      <w:highlight w:val="none"/>
                      <w:u w:val="single" w:color="auto"/>
                      <w:lang w:val="en-US" w:eastAsia="zh-CN"/>
                    </w:rPr>
                    <w:t>碱液喷淋循环水池8个，共计40m</w:t>
                  </w:r>
                  <w:r>
                    <w:rPr>
                      <w:rFonts w:hint="eastAsia"/>
                      <w:color w:val="auto"/>
                      <w:sz w:val="18"/>
                      <w:szCs w:val="18"/>
                      <w:highlight w:val="none"/>
                      <w:u w:val="single" w:color="auto"/>
                      <w:vertAlign w:val="superscript"/>
                      <w:lang w:val="en-US" w:eastAsia="zh-CN"/>
                    </w:rPr>
                    <w:t>3</w:t>
                  </w:r>
                  <w:r>
                    <w:rPr>
                      <w:rFonts w:hint="eastAsia"/>
                      <w:color w:val="auto"/>
                      <w:sz w:val="18"/>
                      <w:szCs w:val="18"/>
                      <w:highlight w:val="none"/>
                      <w:u w:val="single" w:color="auto"/>
                      <w:lang w:val="en-US" w:eastAsia="zh-CN"/>
                    </w:rPr>
                    <w:t>，</w:t>
                  </w:r>
                  <w:r>
                    <w:rPr>
                      <w:color w:val="auto"/>
                      <w:sz w:val="18"/>
                      <w:szCs w:val="18"/>
                      <w:highlight w:val="none"/>
                      <w:u w:val="single" w:color="auto"/>
                    </w:rPr>
                    <w:t>脱硫系统用水循环使用</w:t>
                  </w:r>
                  <w:r>
                    <w:rPr>
                      <w:rFonts w:hint="eastAsia"/>
                      <w:color w:val="auto"/>
                      <w:sz w:val="18"/>
                      <w:szCs w:val="18"/>
                      <w:highlight w:val="none"/>
                      <w:u w:val="single" w:color="auto"/>
                      <w:lang w:eastAsia="zh-CN"/>
                    </w:rPr>
                    <w:t>。</w:t>
                  </w:r>
                  <w:r>
                    <w:rPr>
                      <w:rFonts w:hint="eastAsia"/>
                      <w:color w:val="auto"/>
                      <w:sz w:val="18"/>
                      <w:szCs w:val="18"/>
                      <w:highlight w:val="none"/>
                      <w:u w:val="single" w:color="auto"/>
                      <w:lang w:val="en-US" w:eastAsia="zh-CN"/>
                    </w:rPr>
                    <w:t>定期回用制砖。</w:t>
                  </w:r>
                  <w:r>
                    <w:rPr>
                      <w:color w:val="auto"/>
                      <w:sz w:val="18"/>
                      <w:szCs w:val="18"/>
                      <w:highlight w:val="none"/>
                      <w:u w:val="single" w:color="auto"/>
                    </w:rPr>
                    <w:t>定期补充新鲜水；降尘洒水蒸发消耗；</w:t>
                  </w:r>
                </w:p>
              </w:tc>
              <w:tc>
                <w:tcPr>
                  <w:tcW w:w="960" w:type="dxa"/>
                  <w:shd w:val="clear" w:color="auto" w:fill="auto"/>
                  <w:noWrap w:val="0"/>
                  <w:vAlign w:val="center"/>
                </w:tcPr>
                <w:p>
                  <w:pPr>
                    <w:spacing w:line="300" w:lineRule="exact"/>
                    <w:ind w:left="-53" w:leftChars="-25" w:right="-53" w:rightChars="-25"/>
                    <w:jc w:val="center"/>
                    <w:rPr>
                      <w:rFonts w:ascii="Times New Roman" w:hAnsi="Times New Roman" w:eastAsia="宋体" w:cs="Times New Roman"/>
                      <w:color w:val="auto"/>
                      <w:kern w:val="2"/>
                      <w:sz w:val="18"/>
                      <w:szCs w:val="18"/>
                      <w:highlight w:val="none"/>
                      <w:u w:val="single" w:color="auto"/>
                      <w:lang w:val="en-US" w:eastAsia="zh-CN" w:bidi="ar-SA"/>
                    </w:rPr>
                  </w:pPr>
                  <w:r>
                    <w:rPr>
                      <w:color w:val="auto"/>
                      <w:sz w:val="18"/>
                      <w:szCs w:val="18"/>
                      <w:highlight w:val="none"/>
                      <w:u w:val="single" w:color="auto"/>
                    </w:rPr>
                    <w:t>/</w:t>
                  </w:r>
                </w:p>
              </w:tc>
              <w:tc>
                <w:tcPr>
                  <w:tcW w:w="599" w:type="dxa"/>
                  <w:shd w:val="clear" w:color="auto" w:fill="auto"/>
                  <w:noWrap w:val="0"/>
                  <w:vAlign w:val="center"/>
                </w:tcPr>
                <w:p>
                  <w:pPr>
                    <w:spacing w:line="300" w:lineRule="exact"/>
                    <w:ind w:left="-53" w:leftChars="-25" w:right="-53" w:rightChars="-25"/>
                    <w:jc w:val="center"/>
                    <w:rPr>
                      <w:rFonts w:hint="eastAsia" w:ascii="Times New Roman" w:hAnsi="Times New Roman" w:eastAsia="宋体" w:cs="Times New Roman"/>
                      <w:color w:val="auto"/>
                      <w:kern w:val="2"/>
                      <w:sz w:val="18"/>
                      <w:szCs w:val="18"/>
                      <w:highlight w:val="none"/>
                      <w:u w:val="single" w:color="auto"/>
                      <w:lang w:val="en-US" w:eastAsia="zh-CN" w:bidi="ar-SA"/>
                    </w:rPr>
                  </w:pPr>
                  <w:r>
                    <w:rPr>
                      <w:rFonts w:hint="eastAsia"/>
                      <w:color w:val="auto"/>
                      <w:sz w:val="18"/>
                      <w:szCs w:val="18"/>
                      <w:highlight w:val="none"/>
                      <w:u w:val="single" w:color="auto"/>
                      <w:lang w:val="en-US" w:eastAsia="zh-CN"/>
                    </w:rPr>
                    <w:t>依托</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1" w:type="dxa"/>
                  <w:vMerge w:val="continue"/>
                  <w:noWrap w:val="0"/>
                  <w:vAlign w:val="center"/>
                </w:tcPr>
                <w:p>
                  <w:pPr>
                    <w:spacing w:line="300" w:lineRule="exact"/>
                    <w:ind w:left="-53" w:leftChars="-25" w:right="-53" w:rightChars="-25"/>
                    <w:jc w:val="center"/>
                    <w:rPr>
                      <w:color w:val="auto"/>
                      <w:sz w:val="18"/>
                      <w:szCs w:val="18"/>
                      <w:highlight w:val="none"/>
                      <w:u w:val="single" w:color="auto"/>
                    </w:rPr>
                  </w:pPr>
                </w:p>
              </w:tc>
              <w:tc>
                <w:tcPr>
                  <w:tcW w:w="300" w:type="dxa"/>
                  <w:vMerge w:val="continue"/>
                  <w:tcBorders>
                    <w:right w:val="single" w:color="000000" w:sz="4" w:space="0"/>
                  </w:tcBorders>
                  <w:noWrap w:val="0"/>
                  <w:vAlign w:val="center"/>
                </w:tcPr>
                <w:p>
                  <w:pPr>
                    <w:spacing w:line="300" w:lineRule="exact"/>
                    <w:ind w:left="-53" w:leftChars="-25" w:right="-53" w:rightChars="-25"/>
                    <w:jc w:val="center"/>
                    <w:rPr>
                      <w:color w:val="auto"/>
                      <w:sz w:val="18"/>
                      <w:szCs w:val="18"/>
                      <w:highlight w:val="none"/>
                      <w:u w:val="single" w:color="auto"/>
                    </w:rPr>
                  </w:pPr>
                </w:p>
              </w:tc>
              <w:tc>
                <w:tcPr>
                  <w:tcW w:w="1065" w:type="dxa"/>
                  <w:tcBorders>
                    <w:left w:val="single" w:color="000000" w:sz="4" w:space="0"/>
                  </w:tcBorders>
                  <w:noWrap w:val="0"/>
                  <w:vAlign w:val="center"/>
                </w:tcPr>
                <w:p>
                  <w:pPr>
                    <w:spacing w:line="300" w:lineRule="exact"/>
                    <w:ind w:left="-53" w:leftChars="-25" w:right="-53" w:rightChars="-25"/>
                    <w:jc w:val="center"/>
                    <w:rPr>
                      <w:rFonts w:hint="default" w:eastAsia="宋体"/>
                      <w:color w:val="auto"/>
                      <w:sz w:val="18"/>
                      <w:szCs w:val="18"/>
                      <w:highlight w:val="none"/>
                      <w:u w:val="single" w:color="auto"/>
                      <w:lang w:val="en-US" w:eastAsia="zh-CN"/>
                    </w:rPr>
                  </w:pPr>
                  <w:r>
                    <w:rPr>
                      <w:rFonts w:hint="eastAsia"/>
                      <w:color w:val="auto"/>
                      <w:sz w:val="18"/>
                      <w:szCs w:val="18"/>
                      <w:highlight w:val="none"/>
                      <w:u w:val="single" w:color="auto"/>
                      <w:lang w:val="en-US" w:eastAsia="zh-CN"/>
                    </w:rPr>
                    <w:t>初期雨水</w:t>
                  </w:r>
                </w:p>
              </w:tc>
              <w:tc>
                <w:tcPr>
                  <w:tcW w:w="4605" w:type="dxa"/>
                  <w:noWrap w:val="0"/>
                  <w:vAlign w:val="center"/>
                </w:tcPr>
                <w:p>
                  <w:pPr>
                    <w:spacing w:line="300" w:lineRule="exact"/>
                    <w:ind w:left="-53" w:leftChars="-25" w:right="-53" w:rightChars="-25"/>
                    <w:jc w:val="center"/>
                    <w:rPr>
                      <w:rFonts w:hint="default" w:eastAsia="宋体"/>
                      <w:color w:val="auto"/>
                      <w:sz w:val="18"/>
                      <w:szCs w:val="18"/>
                      <w:highlight w:val="none"/>
                      <w:u w:val="single" w:color="auto"/>
                      <w:lang w:val="en-US" w:eastAsia="zh-CN"/>
                    </w:rPr>
                  </w:pPr>
                  <w:r>
                    <w:rPr>
                      <w:rFonts w:hint="eastAsia"/>
                      <w:color w:val="auto"/>
                      <w:sz w:val="18"/>
                      <w:szCs w:val="18"/>
                      <w:highlight w:val="none"/>
                      <w:u w:val="single" w:color="auto"/>
                      <w:lang w:val="en-US" w:eastAsia="zh-CN"/>
                    </w:rPr>
                    <w:t>初期雨水收集池,500m</w:t>
                  </w:r>
                  <w:r>
                    <w:rPr>
                      <w:rFonts w:hint="eastAsia"/>
                      <w:color w:val="auto"/>
                      <w:sz w:val="18"/>
                      <w:szCs w:val="18"/>
                      <w:highlight w:val="none"/>
                      <w:u w:val="single" w:color="auto"/>
                      <w:vertAlign w:val="superscript"/>
                      <w:lang w:val="en-US" w:eastAsia="zh-CN"/>
                    </w:rPr>
                    <w:t>3</w:t>
                  </w:r>
                  <w:r>
                    <w:rPr>
                      <w:rFonts w:hint="eastAsia"/>
                      <w:color w:val="auto"/>
                      <w:sz w:val="18"/>
                      <w:szCs w:val="18"/>
                      <w:highlight w:val="none"/>
                      <w:u w:val="single" w:color="auto"/>
                      <w:lang w:val="en-US" w:eastAsia="zh-CN"/>
                    </w:rPr>
                    <w:t>，设置雨水沟导流</w:t>
                  </w:r>
                </w:p>
              </w:tc>
              <w:tc>
                <w:tcPr>
                  <w:tcW w:w="960" w:type="dxa"/>
                  <w:noWrap w:val="0"/>
                  <w:vAlign w:val="center"/>
                </w:tcPr>
                <w:p>
                  <w:pPr>
                    <w:spacing w:line="300" w:lineRule="exact"/>
                    <w:ind w:left="-53" w:leftChars="-25" w:right="-53" w:rightChars="-25"/>
                    <w:jc w:val="center"/>
                    <w:rPr>
                      <w:rFonts w:hint="eastAsia" w:eastAsia="宋体"/>
                      <w:color w:val="auto"/>
                      <w:sz w:val="18"/>
                      <w:szCs w:val="18"/>
                      <w:highlight w:val="none"/>
                      <w:u w:val="single" w:color="auto"/>
                      <w:lang w:val="en-US" w:eastAsia="zh-CN"/>
                    </w:rPr>
                  </w:pPr>
                  <w:r>
                    <w:rPr>
                      <w:rFonts w:hint="eastAsia"/>
                      <w:color w:val="auto"/>
                      <w:sz w:val="18"/>
                      <w:szCs w:val="18"/>
                      <w:highlight w:val="none"/>
                      <w:u w:val="single" w:color="auto"/>
                      <w:lang w:val="en-US" w:eastAsia="zh-CN"/>
                    </w:rPr>
                    <w:t>/</w:t>
                  </w:r>
                </w:p>
              </w:tc>
              <w:tc>
                <w:tcPr>
                  <w:tcW w:w="599" w:type="dxa"/>
                  <w:noWrap w:val="0"/>
                  <w:vAlign w:val="center"/>
                </w:tcPr>
                <w:p>
                  <w:pPr>
                    <w:spacing w:line="300" w:lineRule="exact"/>
                    <w:ind w:left="-53" w:leftChars="-25" w:right="-53" w:rightChars="-25"/>
                    <w:jc w:val="center"/>
                    <w:rPr>
                      <w:rFonts w:hint="default" w:eastAsia="宋体"/>
                      <w:color w:val="auto"/>
                      <w:sz w:val="18"/>
                      <w:szCs w:val="18"/>
                      <w:highlight w:val="none"/>
                      <w:u w:val="single" w:color="auto"/>
                      <w:lang w:val="en-US" w:eastAsia="zh-CN"/>
                    </w:rPr>
                  </w:pPr>
                  <w:r>
                    <w:rPr>
                      <w:rFonts w:hint="eastAsia"/>
                      <w:color w:val="auto"/>
                      <w:sz w:val="18"/>
                      <w:szCs w:val="18"/>
                      <w:highlight w:val="none"/>
                      <w:u w:val="single" w:color="auto"/>
                      <w:lang w:val="en-US" w:eastAsia="zh-CN"/>
                    </w:rPr>
                    <w:t>依托</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21" w:type="dxa"/>
                  <w:vMerge w:val="continue"/>
                  <w:noWrap w:val="0"/>
                  <w:vAlign w:val="center"/>
                </w:tcPr>
                <w:p>
                  <w:pPr>
                    <w:spacing w:line="300" w:lineRule="exact"/>
                    <w:ind w:left="-53" w:leftChars="-25" w:right="-53" w:rightChars="-25"/>
                    <w:jc w:val="center"/>
                    <w:rPr>
                      <w:color w:val="auto"/>
                      <w:sz w:val="18"/>
                      <w:szCs w:val="18"/>
                      <w:highlight w:val="none"/>
                      <w:u w:val="single" w:color="auto"/>
                    </w:rPr>
                  </w:pPr>
                </w:p>
              </w:tc>
              <w:tc>
                <w:tcPr>
                  <w:tcW w:w="300" w:type="dxa"/>
                  <w:vMerge w:val="restart"/>
                  <w:tcBorders>
                    <w:right w:val="single" w:color="000000" w:sz="4" w:space="0"/>
                  </w:tcBorders>
                  <w:noWrap w:val="0"/>
                  <w:vAlign w:val="center"/>
                </w:tcPr>
                <w:p>
                  <w:pPr>
                    <w:spacing w:line="300" w:lineRule="exact"/>
                    <w:ind w:left="-53" w:leftChars="-25" w:right="-53" w:rightChars="-25"/>
                    <w:jc w:val="center"/>
                    <w:rPr>
                      <w:color w:val="auto"/>
                      <w:sz w:val="18"/>
                      <w:szCs w:val="18"/>
                      <w:highlight w:val="none"/>
                      <w:u w:val="single" w:color="auto"/>
                    </w:rPr>
                  </w:pPr>
                  <w:r>
                    <w:rPr>
                      <w:color w:val="auto"/>
                      <w:sz w:val="18"/>
                      <w:szCs w:val="18"/>
                      <w:highlight w:val="none"/>
                      <w:u w:val="single" w:color="auto"/>
                    </w:rPr>
                    <w:t>废气</w:t>
                  </w:r>
                </w:p>
              </w:tc>
              <w:tc>
                <w:tcPr>
                  <w:tcW w:w="1065" w:type="dxa"/>
                  <w:tcBorders>
                    <w:left w:val="single" w:color="000000" w:sz="4" w:space="0"/>
                  </w:tcBorders>
                  <w:noWrap w:val="0"/>
                  <w:vAlign w:val="center"/>
                </w:tcPr>
                <w:p>
                  <w:pPr>
                    <w:spacing w:line="300" w:lineRule="exact"/>
                    <w:ind w:left="-53" w:leftChars="-25" w:right="-53" w:rightChars="-25"/>
                    <w:jc w:val="center"/>
                    <w:rPr>
                      <w:color w:val="auto"/>
                      <w:sz w:val="18"/>
                      <w:szCs w:val="18"/>
                      <w:highlight w:val="none"/>
                      <w:u w:val="single" w:color="auto"/>
                    </w:rPr>
                  </w:pPr>
                  <w:r>
                    <w:rPr>
                      <w:color w:val="auto"/>
                      <w:sz w:val="18"/>
                      <w:szCs w:val="18"/>
                      <w:highlight w:val="none"/>
                      <w:u w:val="single" w:color="auto"/>
                    </w:rPr>
                    <w:t>破碎、筛分粉尘</w:t>
                  </w:r>
                </w:p>
              </w:tc>
              <w:tc>
                <w:tcPr>
                  <w:tcW w:w="4605" w:type="dxa"/>
                  <w:noWrap w:val="0"/>
                  <w:vAlign w:val="center"/>
                </w:tcPr>
                <w:p>
                  <w:pPr>
                    <w:spacing w:line="300" w:lineRule="exact"/>
                    <w:ind w:left="-53" w:leftChars="-25" w:right="-53" w:rightChars="-25"/>
                    <w:jc w:val="center"/>
                    <w:rPr>
                      <w:rFonts w:hint="default"/>
                      <w:color w:val="auto"/>
                      <w:sz w:val="18"/>
                      <w:szCs w:val="18"/>
                      <w:highlight w:val="none"/>
                      <w:u w:val="single" w:color="auto"/>
                      <w:lang w:val="en-US"/>
                    </w:rPr>
                  </w:pPr>
                  <w:r>
                    <w:rPr>
                      <w:color w:val="auto"/>
                      <w:sz w:val="18"/>
                      <w:szCs w:val="18"/>
                      <w:highlight w:val="none"/>
                      <w:u w:val="single" w:color="auto"/>
                    </w:rPr>
                    <w:t>破碎车间密闭，</w:t>
                  </w:r>
                  <w:r>
                    <w:rPr>
                      <w:rFonts w:hint="eastAsia"/>
                      <w:color w:val="auto"/>
                      <w:sz w:val="18"/>
                      <w:szCs w:val="18"/>
                      <w:highlight w:val="none"/>
                      <w:u w:val="single" w:color="auto"/>
                      <w:lang w:val="en-US" w:eastAsia="zh-CN"/>
                    </w:rPr>
                    <w:t>破碎搅拌区</w:t>
                  </w:r>
                  <w:r>
                    <w:rPr>
                      <w:color w:val="auto"/>
                      <w:sz w:val="18"/>
                      <w:szCs w:val="18"/>
                      <w:highlight w:val="none"/>
                      <w:u w:val="single" w:color="auto"/>
                    </w:rPr>
                    <w:t>设置</w:t>
                  </w:r>
                  <w:r>
                    <w:rPr>
                      <w:rFonts w:hint="eastAsia"/>
                      <w:color w:val="auto"/>
                      <w:sz w:val="18"/>
                      <w:szCs w:val="18"/>
                      <w:highlight w:val="none"/>
                      <w:u w:val="single" w:color="auto"/>
                      <w:lang w:val="en-US" w:eastAsia="zh-CN"/>
                    </w:rPr>
                    <w:t>集气罩+</w:t>
                  </w:r>
                  <w:r>
                    <w:rPr>
                      <w:color w:val="auto"/>
                      <w:sz w:val="18"/>
                      <w:szCs w:val="18"/>
                      <w:highlight w:val="none"/>
                      <w:u w:val="single" w:color="auto"/>
                    </w:rPr>
                    <w:t>布袋除尘</w:t>
                  </w:r>
                  <w:r>
                    <w:rPr>
                      <w:rFonts w:hint="eastAsia"/>
                      <w:color w:val="auto"/>
                      <w:sz w:val="18"/>
                      <w:szCs w:val="18"/>
                      <w:highlight w:val="none"/>
                      <w:u w:val="single" w:color="auto"/>
                      <w:lang w:val="en-US" w:eastAsia="zh-CN"/>
                    </w:rPr>
                    <w:t>器+15m高排气筒（2套布袋除尘器、2根排气筒），输送工序设置密闭罩，破碎机的出料口设置雾化喷水装置</w:t>
                  </w:r>
                </w:p>
              </w:tc>
              <w:tc>
                <w:tcPr>
                  <w:tcW w:w="960" w:type="dxa"/>
                  <w:noWrap w:val="0"/>
                  <w:vAlign w:val="center"/>
                </w:tcPr>
                <w:p>
                  <w:pPr>
                    <w:spacing w:line="300" w:lineRule="exact"/>
                    <w:ind w:left="-53" w:leftChars="-25" w:right="-53" w:rightChars="-25"/>
                    <w:jc w:val="center"/>
                    <w:rPr>
                      <w:color w:val="auto"/>
                      <w:sz w:val="18"/>
                      <w:szCs w:val="18"/>
                      <w:highlight w:val="none"/>
                      <w:u w:val="single" w:color="auto"/>
                    </w:rPr>
                  </w:pPr>
                  <w:r>
                    <w:rPr>
                      <w:color w:val="auto"/>
                      <w:sz w:val="18"/>
                      <w:szCs w:val="18"/>
                      <w:highlight w:val="none"/>
                      <w:u w:val="single" w:color="auto"/>
                    </w:rPr>
                    <w:t>/</w:t>
                  </w:r>
                </w:p>
              </w:tc>
              <w:tc>
                <w:tcPr>
                  <w:tcW w:w="599" w:type="dxa"/>
                  <w:noWrap w:val="0"/>
                  <w:vAlign w:val="center"/>
                </w:tcPr>
                <w:p>
                  <w:pPr>
                    <w:spacing w:line="300" w:lineRule="exact"/>
                    <w:ind w:left="-53" w:leftChars="-25" w:right="-53" w:rightChars="-25"/>
                    <w:jc w:val="center"/>
                    <w:rPr>
                      <w:rFonts w:hint="eastAsia" w:eastAsia="宋体"/>
                      <w:color w:val="auto"/>
                      <w:sz w:val="18"/>
                      <w:szCs w:val="18"/>
                      <w:highlight w:val="none"/>
                      <w:u w:val="single" w:color="auto"/>
                      <w:lang w:eastAsia="zh-CN"/>
                    </w:rPr>
                  </w:pPr>
                  <w:r>
                    <w:rPr>
                      <w:rFonts w:hint="eastAsia"/>
                      <w:color w:val="auto"/>
                      <w:sz w:val="18"/>
                      <w:szCs w:val="18"/>
                      <w:highlight w:val="none"/>
                      <w:u w:val="single" w:color="auto"/>
                      <w:lang w:val="en-US" w:eastAsia="zh-CN"/>
                    </w:rPr>
                    <w:t>依托</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1" w:type="dxa"/>
                  <w:vMerge w:val="continue"/>
                  <w:noWrap w:val="0"/>
                  <w:vAlign w:val="center"/>
                </w:tcPr>
                <w:p>
                  <w:pPr>
                    <w:spacing w:line="300" w:lineRule="exact"/>
                    <w:ind w:left="-53" w:leftChars="-25" w:right="-53" w:rightChars="-25"/>
                    <w:jc w:val="center"/>
                    <w:rPr>
                      <w:color w:val="auto"/>
                      <w:sz w:val="18"/>
                      <w:szCs w:val="18"/>
                      <w:highlight w:val="none"/>
                      <w:u w:val="single" w:color="auto"/>
                    </w:rPr>
                  </w:pPr>
                </w:p>
              </w:tc>
              <w:tc>
                <w:tcPr>
                  <w:tcW w:w="300" w:type="dxa"/>
                  <w:vMerge w:val="continue"/>
                  <w:tcBorders>
                    <w:right w:val="single" w:color="000000" w:sz="4" w:space="0"/>
                  </w:tcBorders>
                  <w:noWrap w:val="0"/>
                  <w:vAlign w:val="center"/>
                </w:tcPr>
                <w:p>
                  <w:pPr>
                    <w:spacing w:line="300" w:lineRule="exact"/>
                    <w:ind w:left="-53" w:leftChars="-25" w:right="-53" w:rightChars="-25"/>
                    <w:jc w:val="center"/>
                    <w:rPr>
                      <w:color w:val="auto"/>
                      <w:sz w:val="18"/>
                      <w:szCs w:val="18"/>
                      <w:highlight w:val="none"/>
                      <w:u w:val="single" w:color="auto"/>
                    </w:rPr>
                  </w:pPr>
                </w:p>
              </w:tc>
              <w:tc>
                <w:tcPr>
                  <w:tcW w:w="1065" w:type="dxa"/>
                  <w:tcBorders>
                    <w:left w:val="single" w:color="000000" w:sz="4" w:space="0"/>
                  </w:tcBorders>
                  <w:noWrap w:val="0"/>
                  <w:vAlign w:val="center"/>
                </w:tcPr>
                <w:p>
                  <w:pPr>
                    <w:spacing w:line="300" w:lineRule="exact"/>
                    <w:ind w:left="-53" w:leftChars="-25" w:right="-53" w:rightChars="-25"/>
                    <w:jc w:val="center"/>
                    <w:rPr>
                      <w:color w:val="auto"/>
                      <w:sz w:val="18"/>
                      <w:szCs w:val="18"/>
                      <w:highlight w:val="none"/>
                      <w:u w:val="single" w:color="auto"/>
                    </w:rPr>
                  </w:pPr>
                  <w:r>
                    <w:rPr>
                      <w:color w:val="auto"/>
                      <w:sz w:val="18"/>
                      <w:szCs w:val="18"/>
                      <w:highlight w:val="none"/>
                      <w:u w:val="single" w:color="auto"/>
                    </w:rPr>
                    <w:t>原料仓库、堆场粉尘</w:t>
                  </w:r>
                </w:p>
              </w:tc>
              <w:tc>
                <w:tcPr>
                  <w:tcW w:w="4605" w:type="dxa"/>
                  <w:noWrap w:val="0"/>
                  <w:vAlign w:val="center"/>
                </w:tcPr>
                <w:p>
                  <w:pPr>
                    <w:spacing w:line="300" w:lineRule="exact"/>
                    <w:ind w:left="-53" w:leftChars="-25" w:right="-53" w:rightChars="-25"/>
                    <w:jc w:val="center"/>
                    <w:rPr>
                      <w:rFonts w:hint="eastAsia" w:eastAsia="宋体"/>
                      <w:color w:val="auto"/>
                      <w:sz w:val="18"/>
                      <w:szCs w:val="18"/>
                      <w:highlight w:val="none"/>
                      <w:u w:val="single" w:color="auto"/>
                      <w:lang w:eastAsia="zh-CN"/>
                    </w:rPr>
                  </w:pPr>
                  <w:r>
                    <w:rPr>
                      <w:color w:val="auto"/>
                      <w:sz w:val="18"/>
                      <w:szCs w:val="18"/>
                      <w:highlight w:val="none"/>
                      <w:u w:val="single" w:color="auto"/>
                    </w:rPr>
                    <w:t>原料储存于</w:t>
                  </w:r>
                  <w:r>
                    <w:rPr>
                      <w:rFonts w:hint="eastAsia"/>
                      <w:color w:val="auto"/>
                      <w:sz w:val="18"/>
                      <w:szCs w:val="18"/>
                      <w:highlight w:val="none"/>
                      <w:u w:val="single" w:color="auto"/>
                      <w:lang w:eastAsia="zh-CN"/>
                    </w:rPr>
                    <w:t>三面围挡，并设置门帘的原料仓库中</w:t>
                  </w:r>
                  <w:r>
                    <w:rPr>
                      <w:color w:val="auto"/>
                      <w:sz w:val="18"/>
                      <w:szCs w:val="18"/>
                      <w:highlight w:val="none"/>
                      <w:u w:val="single" w:color="auto"/>
                    </w:rPr>
                    <w:t>，并</w:t>
                  </w:r>
                  <w:r>
                    <w:rPr>
                      <w:rFonts w:hint="eastAsia"/>
                      <w:color w:val="auto"/>
                      <w:sz w:val="18"/>
                      <w:szCs w:val="18"/>
                      <w:highlight w:val="none"/>
                      <w:u w:val="single" w:color="auto"/>
                      <w:lang w:eastAsia="zh-CN"/>
                    </w:rPr>
                    <w:t>定期洒水抑尘。</w:t>
                  </w:r>
                </w:p>
              </w:tc>
              <w:tc>
                <w:tcPr>
                  <w:tcW w:w="960" w:type="dxa"/>
                  <w:noWrap w:val="0"/>
                  <w:vAlign w:val="center"/>
                </w:tcPr>
                <w:p>
                  <w:pPr>
                    <w:spacing w:line="300" w:lineRule="exact"/>
                    <w:ind w:left="-53" w:leftChars="-25" w:right="-53" w:rightChars="-25"/>
                    <w:jc w:val="center"/>
                    <w:rPr>
                      <w:color w:val="auto"/>
                      <w:sz w:val="18"/>
                      <w:szCs w:val="18"/>
                      <w:highlight w:val="none"/>
                      <w:u w:val="single" w:color="auto"/>
                    </w:rPr>
                  </w:pPr>
                  <w:r>
                    <w:rPr>
                      <w:color w:val="auto"/>
                      <w:sz w:val="18"/>
                      <w:szCs w:val="18"/>
                      <w:highlight w:val="none"/>
                      <w:u w:val="single" w:color="auto"/>
                    </w:rPr>
                    <w:t>/</w:t>
                  </w:r>
                </w:p>
              </w:tc>
              <w:tc>
                <w:tcPr>
                  <w:tcW w:w="599" w:type="dxa"/>
                  <w:noWrap w:val="0"/>
                  <w:vAlign w:val="center"/>
                </w:tcPr>
                <w:p>
                  <w:pPr>
                    <w:spacing w:line="300" w:lineRule="exact"/>
                    <w:ind w:left="-53" w:leftChars="-25" w:right="-53" w:rightChars="-25"/>
                    <w:jc w:val="center"/>
                    <w:rPr>
                      <w:rFonts w:hint="eastAsia" w:eastAsia="宋体"/>
                      <w:color w:val="auto"/>
                      <w:sz w:val="18"/>
                      <w:szCs w:val="18"/>
                      <w:highlight w:val="none"/>
                      <w:u w:val="single" w:color="auto"/>
                      <w:lang w:eastAsia="zh-CN"/>
                    </w:rPr>
                  </w:pPr>
                  <w:r>
                    <w:rPr>
                      <w:rFonts w:hint="eastAsia"/>
                      <w:color w:val="auto"/>
                      <w:sz w:val="18"/>
                      <w:szCs w:val="18"/>
                      <w:highlight w:val="none"/>
                      <w:u w:val="single" w:color="auto"/>
                      <w:lang w:val="en-US" w:eastAsia="zh-CN"/>
                    </w:rPr>
                    <w:t>依托</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1" w:type="dxa"/>
                  <w:vMerge w:val="continue"/>
                  <w:noWrap w:val="0"/>
                  <w:vAlign w:val="center"/>
                </w:tcPr>
                <w:p>
                  <w:pPr>
                    <w:spacing w:line="300" w:lineRule="exact"/>
                    <w:ind w:left="-53" w:leftChars="-25" w:right="-53" w:rightChars="-25"/>
                    <w:jc w:val="center"/>
                    <w:rPr>
                      <w:color w:val="auto"/>
                      <w:sz w:val="18"/>
                      <w:szCs w:val="18"/>
                      <w:highlight w:val="none"/>
                      <w:u w:val="single" w:color="auto"/>
                    </w:rPr>
                  </w:pPr>
                </w:p>
              </w:tc>
              <w:tc>
                <w:tcPr>
                  <w:tcW w:w="300" w:type="dxa"/>
                  <w:vMerge w:val="continue"/>
                  <w:tcBorders>
                    <w:right w:val="single" w:color="000000" w:sz="4" w:space="0"/>
                  </w:tcBorders>
                  <w:noWrap w:val="0"/>
                  <w:vAlign w:val="center"/>
                </w:tcPr>
                <w:p>
                  <w:pPr>
                    <w:spacing w:line="300" w:lineRule="exact"/>
                    <w:ind w:left="-53" w:leftChars="-25" w:right="-53" w:rightChars="-25"/>
                    <w:jc w:val="center"/>
                    <w:rPr>
                      <w:color w:val="auto"/>
                      <w:sz w:val="18"/>
                      <w:szCs w:val="18"/>
                      <w:highlight w:val="none"/>
                      <w:u w:val="single" w:color="auto"/>
                    </w:rPr>
                  </w:pPr>
                </w:p>
              </w:tc>
              <w:tc>
                <w:tcPr>
                  <w:tcW w:w="1065" w:type="dxa"/>
                  <w:tcBorders>
                    <w:left w:val="single" w:color="000000" w:sz="4" w:space="0"/>
                  </w:tcBorders>
                  <w:noWrap w:val="0"/>
                  <w:vAlign w:val="center"/>
                </w:tcPr>
                <w:p>
                  <w:pPr>
                    <w:spacing w:line="300" w:lineRule="exact"/>
                    <w:ind w:left="-53" w:leftChars="-25" w:right="-53" w:rightChars="-25"/>
                    <w:jc w:val="center"/>
                    <w:rPr>
                      <w:rFonts w:hint="default" w:eastAsia="宋体"/>
                      <w:color w:val="auto"/>
                      <w:sz w:val="18"/>
                      <w:szCs w:val="18"/>
                      <w:highlight w:val="none"/>
                      <w:u w:val="single" w:color="auto"/>
                      <w:lang w:val="en-US" w:eastAsia="zh-CN"/>
                    </w:rPr>
                  </w:pPr>
                  <w:r>
                    <w:rPr>
                      <w:rFonts w:hint="eastAsia"/>
                      <w:color w:val="auto"/>
                      <w:sz w:val="18"/>
                      <w:szCs w:val="18"/>
                      <w:highlight w:val="none"/>
                      <w:u w:val="single" w:color="auto"/>
                      <w:lang w:val="en-US" w:eastAsia="zh-CN"/>
                    </w:rPr>
                    <w:t>隧道窑烟气</w:t>
                  </w:r>
                </w:p>
              </w:tc>
              <w:tc>
                <w:tcPr>
                  <w:tcW w:w="4605" w:type="dxa"/>
                  <w:noWrap w:val="0"/>
                  <w:vAlign w:val="center"/>
                </w:tcPr>
                <w:p>
                  <w:pPr>
                    <w:spacing w:line="300" w:lineRule="exact"/>
                    <w:ind w:left="-53" w:leftChars="-25" w:right="-53" w:rightChars="-25"/>
                    <w:jc w:val="center"/>
                    <w:rPr>
                      <w:rFonts w:hint="eastAsia" w:eastAsia="宋体"/>
                      <w:color w:val="auto"/>
                      <w:sz w:val="18"/>
                      <w:szCs w:val="18"/>
                      <w:highlight w:val="none"/>
                      <w:u w:val="single" w:color="auto"/>
                      <w:lang w:eastAsia="zh-CN"/>
                    </w:rPr>
                  </w:pPr>
                  <w:r>
                    <w:rPr>
                      <w:color w:val="auto"/>
                      <w:sz w:val="18"/>
                      <w:szCs w:val="18"/>
                      <w:highlight w:val="none"/>
                      <w:u w:val="single" w:color="auto"/>
                    </w:rPr>
                    <w:t>烧制区产生的废气经烘干区回收热气后进入烟道，经脱硫除尘塔（湿式</w:t>
                  </w:r>
                  <w:r>
                    <w:rPr>
                      <w:rFonts w:hint="eastAsia"/>
                      <w:color w:val="auto"/>
                      <w:sz w:val="18"/>
                      <w:szCs w:val="18"/>
                      <w:highlight w:val="none"/>
                      <w:u w:val="single" w:color="auto"/>
                      <w:lang w:val="en-US" w:eastAsia="zh-CN"/>
                    </w:rPr>
                    <w:t>氢氧化钠</w:t>
                  </w:r>
                  <w:r>
                    <w:rPr>
                      <w:color w:val="auto"/>
                      <w:sz w:val="18"/>
                      <w:szCs w:val="18"/>
                      <w:highlight w:val="none"/>
                      <w:u w:val="single" w:color="auto"/>
                    </w:rPr>
                    <w:t>法，脱硫效率90%，除尘效率90%），废气通过</w:t>
                  </w:r>
                  <w:r>
                    <w:rPr>
                      <w:rFonts w:hint="eastAsia"/>
                      <w:color w:val="auto"/>
                      <w:sz w:val="18"/>
                      <w:szCs w:val="18"/>
                      <w:highlight w:val="none"/>
                      <w:u w:val="single" w:color="auto"/>
                      <w:lang w:val="en-US" w:eastAsia="zh-CN"/>
                    </w:rPr>
                    <w:t>25</w:t>
                  </w:r>
                  <w:r>
                    <w:rPr>
                      <w:color w:val="auto"/>
                      <w:sz w:val="18"/>
                      <w:szCs w:val="18"/>
                      <w:highlight w:val="none"/>
                      <w:u w:val="single" w:color="auto"/>
                    </w:rPr>
                    <w:t>m高排气筒排放</w:t>
                  </w:r>
                  <w:r>
                    <w:rPr>
                      <w:rFonts w:hint="eastAsia"/>
                      <w:color w:val="auto"/>
                      <w:sz w:val="18"/>
                      <w:szCs w:val="18"/>
                      <w:highlight w:val="none"/>
                      <w:u w:val="single" w:color="auto"/>
                      <w:lang w:eastAsia="zh-CN"/>
                    </w:rPr>
                    <w:t>，排口处设置在线监测系统</w:t>
                  </w:r>
                </w:p>
              </w:tc>
              <w:tc>
                <w:tcPr>
                  <w:tcW w:w="960" w:type="dxa"/>
                  <w:noWrap w:val="0"/>
                  <w:vAlign w:val="center"/>
                </w:tcPr>
                <w:p>
                  <w:pPr>
                    <w:spacing w:line="300" w:lineRule="exact"/>
                    <w:ind w:left="-53" w:leftChars="-25" w:right="-53" w:rightChars="-25"/>
                    <w:jc w:val="center"/>
                    <w:rPr>
                      <w:rFonts w:hint="eastAsia" w:eastAsia="宋体"/>
                      <w:color w:val="auto"/>
                      <w:sz w:val="18"/>
                      <w:szCs w:val="18"/>
                      <w:highlight w:val="none"/>
                      <w:u w:val="single" w:color="auto"/>
                      <w:lang w:val="en-US" w:eastAsia="zh-CN"/>
                    </w:rPr>
                  </w:pPr>
                  <w:r>
                    <w:rPr>
                      <w:rFonts w:hint="eastAsia"/>
                      <w:color w:val="auto"/>
                      <w:sz w:val="18"/>
                      <w:szCs w:val="18"/>
                      <w:highlight w:val="none"/>
                      <w:u w:val="single" w:color="auto"/>
                      <w:lang w:val="en-US" w:eastAsia="zh-CN"/>
                    </w:rPr>
                    <w:t>/</w:t>
                  </w:r>
                </w:p>
              </w:tc>
              <w:tc>
                <w:tcPr>
                  <w:tcW w:w="599" w:type="dxa"/>
                  <w:noWrap w:val="0"/>
                  <w:vAlign w:val="center"/>
                </w:tcPr>
                <w:p>
                  <w:pPr>
                    <w:spacing w:line="300" w:lineRule="exact"/>
                    <w:ind w:left="-53" w:leftChars="-25" w:right="-53" w:rightChars="-25"/>
                    <w:jc w:val="center"/>
                    <w:rPr>
                      <w:rFonts w:hint="default"/>
                      <w:color w:val="auto"/>
                      <w:sz w:val="18"/>
                      <w:szCs w:val="18"/>
                      <w:highlight w:val="none"/>
                      <w:u w:val="single" w:color="auto"/>
                      <w:lang w:val="en-US" w:eastAsia="zh-CN"/>
                    </w:rPr>
                  </w:pPr>
                  <w:r>
                    <w:rPr>
                      <w:rFonts w:hint="eastAsia"/>
                      <w:color w:val="auto"/>
                      <w:sz w:val="18"/>
                      <w:szCs w:val="18"/>
                      <w:highlight w:val="none"/>
                      <w:u w:val="single" w:color="auto"/>
                      <w:lang w:val="en-US" w:eastAsia="zh-CN"/>
                    </w:rPr>
                    <w:t>依托</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1" w:type="dxa"/>
                  <w:vMerge w:val="continue"/>
                  <w:noWrap w:val="0"/>
                  <w:vAlign w:val="center"/>
                </w:tcPr>
                <w:p>
                  <w:pPr>
                    <w:spacing w:line="300" w:lineRule="exact"/>
                    <w:ind w:left="-53" w:leftChars="-25" w:right="-53" w:rightChars="-25"/>
                    <w:jc w:val="center"/>
                    <w:rPr>
                      <w:color w:val="auto"/>
                      <w:sz w:val="18"/>
                      <w:szCs w:val="18"/>
                      <w:highlight w:val="none"/>
                      <w:u w:val="single" w:color="auto"/>
                    </w:rPr>
                  </w:pPr>
                </w:p>
              </w:tc>
              <w:tc>
                <w:tcPr>
                  <w:tcW w:w="300" w:type="dxa"/>
                  <w:vMerge w:val="continue"/>
                  <w:tcBorders>
                    <w:right w:val="single" w:color="000000" w:sz="4" w:space="0"/>
                  </w:tcBorders>
                  <w:noWrap w:val="0"/>
                  <w:vAlign w:val="center"/>
                </w:tcPr>
                <w:p>
                  <w:pPr>
                    <w:spacing w:line="300" w:lineRule="exact"/>
                    <w:ind w:left="-53" w:leftChars="-25" w:right="-53" w:rightChars="-25"/>
                    <w:jc w:val="center"/>
                    <w:rPr>
                      <w:color w:val="auto"/>
                      <w:sz w:val="18"/>
                      <w:szCs w:val="18"/>
                      <w:highlight w:val="none"/>
                      <w:u w:val="single" w:color="auto"/>
                    </w:rPr>
                  </w:pPr>
                </w:p>
              </w:tc>
              <w:tc>
                <w:tcPr>
                  <w:tcW w:w="1065" w:type="dxa"/>
                  <w:tcBorders>
                    <w:left w:val="single" w:color="000000" w:sz="4" w:space="0"/>
                  </w:tcBorders>
                  <w:noWrap w:val="0"/>
                  <w:vAlign w:val="center"/>
                </w:tcPr>
                <w:p>
                  <w:pPr>
                    <w:spacing w:line="300" w:lineRule="exact"/>
                    <w:ind w:left="-53" w:leftChars="-25" w:right="-53" w:rightChars="-25"/>
                    <w:jc w:val="center"/>
                    <w:rPr>
                      <w:rFonts w:hint="default" w:eastAsia="宋体"/>
                      <w:color w:val="auto"/>
                      <w:sz w:val="18"/>
                      <w:szCs w:val="18"/>
                      <w:highlight w:val="none"/>
                      <w:u w:val="single" w:color="auto"/>
                      <w:lang w:val="en-US" w:eastAsia="zh-CN"/>
                    </w:rPr>
                  </w:pPr>
                  <w:r>
                    <w:rPr>
                      <w:rFonts w:hint="eastAsia"/>
                      <w:color w:val="auto"/>
                      <w:sz w:val="18"/>
                      <w:szCs w:val="18"/>
                      <w:highlight w:val="none"/>
                      <w:u w:val="single" w:color="auto"/>
                      <w:lang w:val="en-US" w:eastAsia="zh-CN"/>
                    </w:rPr>
                    <w:t>食堂油烟</w:t>
                  </w:r>
                </w:p>
              </w:tc>
              <w:tc>
                <w:tcPr>
                  <w:tcW w:w="4605" w:type="dxa"/>
                  <w:noWrap w:val="0"/>
                  <w:vAlign w:val="center"/>
                </w:tcPr>
                <w:p>
                  <w:pPr>
                    <w:spacing w:line="300" w:lineRule="exact"/>
                    <w:ind w:left="-53" w:leftChars="-25" w:right="-53" w:rightChars="-25"/>
                    <w:jc w:val="center"/>
                    <w:rPr>
                      <w:rFonts w:hint="default" w:eastAsia="宋体"/>
                      <w:color w:val="auto"/>
                      <w:sz w:val="18"/>
                      <w:szCs w:val="18"/>
                      <w:highlight w:val="none"/>
                      <w:u w:val="single" w:color="auto"/>
                      <w:lang w:val="en-US" w:eastAsia="zh-CN"/>
                    </w:rPr>
                  </w:pPr>
                  <w:r>
                    <w:rPr>
                      <w:rFonts w:hint="eastAsia"/>
                      <w:color w:val="auto"/>
                      <w:sz w:val="18"/>
                      <w:szCs w:val="18"/>
                      <w:highlight w:val="none"/>
                      <w:u w:val="single" w:color="auto"/>
                      <w:lang w:val="en-US" w:eastAsia="zh-CN"/>
                    </w:rPr>
                    <w:t>设置抽油烟机净化后引至食堂楼顶排放</w:t>
                  </w:r>
                </w:p>
              </w:tc>
              <w:tc>
                <w:tcPr>
                  <w:tcW w:w="960" w:type="dxa"/>
                  <w:noWrap w:val="0"/>
                  <w:vAlign w:val="center"/>
                </w:tcPr>
                <w:p>
                  <w:pPr>
                    <w:spacing w:line="300" w:lineRule="exact"/>
                    <w:ind w:left="-53" w:leftChars="-25" w:right="-53" w:rightChars="-25"/>
                    <w:jc w:val="center"/>
                    <w:rPr>
                      <w:rFonts w:hint="eastAsia" w:eastAsia="宋体"/>
                      <w:color w:val="auto"/>
                      <w:sz w:val="18"/>
                      <w:szCs w:val="18"/>
                      <w:highlight w:val="none"/>
                      <w:u w:val="single" w:color="auto"/>
                      <w:lang w:val="en-US" w:eastAsia="zh-CN"/>
                    </w:rPr>
                  </w:pPr>
                  <w:r>
                    <w:rPr>
                      <w:rFonts w:hint="eastAsia"/>
                      <w:color w:val="auto"/>
                      <w:sz w:val="18"/>
                      <w:szCs w:val="18"/>
                      <w:highlight w:val="none"/>
                      <w:u w:val="single" w:color="auto"/>
                      <w:lang w:val="en-US" w:eastAsia="zh-CN"/>
                    </w:rPr>
                    <w:t>/</w:t>
                  </w:r>
                </w:p>
              </w:tc>
              <w:tc>
                <w:tcPr>
                  <w:tcW w:w="599" w:type="dxa"/>
                  <w:noWrap w:val="0"/>
                  <w:vAlign w:val="center"/>
                </w:tcPr>
                <w:p>
                  <w:pPr>
                    <w:spacing w:line="300" w:lineRule="exact"/>
                    <w:ind w:left="-53" w:leftChars="-25" w:right="-53" w:rightChars="-25"/>
                    <w:jc w:val="center"/>
                    <w:rPr>
                      <w:rFonts w:hint="default" w:eastAsia="宋体"/>
                      <w:color w:val="auto"/>
                      <w:sz w:val="18"/>
                      <w:szCs w:val="18"/>
                      <w:highlight w:val="none"/>
                      <w:u w:val="single" w:color="auto"/>
                      <w:lang w:val="en-US" w:eastAsia="zh-CN"/>
                    </w:rPr>
                  </w:pPr>
                  <w:r>
                    <w:rPr>
                      <w:rFonts w:hint="eastAsia"/>
                      <w:color w:val="auto"/>
                      <w:sz w:val="18"/>
                      <w:szCs w:val="18"/>
                      <w:highlight w:val="none"/>
                      <w:u w:val="single" w:color="auto"/>
                      <w:lang w:val="en-US" w:eastAsia="zh-CN"/>
                    </w:rPr>
                    <w:t>依托</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1" w:type="dxa"/>
                  <w:vMerge w:val="continue"/>
                  <w:noWrap w:val="0"/>
                  <w:vAlign w:val="center"/>
                </w:tcPr>
                <w:p>
                  <w:pPr>
                    <w:spacing w:line="300" w:lineRule="exact"/>
                    <w:ind w:left="-53" w:leftChars="-25" w:right="-53" w:rightChars="-25"/>
                    <w:jc w:val="center"/>
                    <w:rPr>
                      <w:color w:val="auto"/>
                      <w:sz w:val="18"/>
                      <w:szCs w:val="18"/>
                      <w:highlight w:val="none"/>
                      <w:u w:val="single" w:color="auto"/>
                    </w:rPr>
                  </w:pPr>
                </w:p>
              </w:tc>
              <w:tc>
                <w:tcPr>
                  <w:tcW w:w="300" w:type="dxa"/>
                  <w:vMerge w:val="continue"/>
                  <w:tcBorders>
                    <w:right w:val="single" w:color="000000" w:sz="4" w:space="0"/>
                  </w:tcBorders>
                  <w:noWrap w:val="0"/>
                  <w:vAlign w:val="center"/>
                </w:tcPr>
                <w:p>
                  <w:pPr>
                    <w:spacing w:line="300" w:lineRule="exact"/>
                    <w:ind w:left="-53" w:leftChars="-25" w:right="-53" w:rightChars="-25"/>
                    <w:jc w:val="center"/>
                    <w:rPr>
                      <w:color w:val="auto"/>
                      <w:sz w:val="18"/>
                      <w:szCs w:val="18"/>
                      <w:highlight w:val="none"/>
                      <w:u w:val="single" w:color="auto"/>
                    </w:rPr>
                  </w:pPr>
                </w:p>
              </w:tc>
              <w:tc>
                <w:tcPr>
                  <w:tcW w:w="1065" w:type="dxa"/>
                  <w:tcBorders>
                    <w:left w:val="single" w:color="000000" w:sz="4" w:space="0"/>
                  </w:tcBorders>
                  <w:noWrap w:val="0"/>
                  <w:vAlign w:val="center"/>
                </w:tcPr>
                <w:p>
                  <w:pPr>
                    <w:spacing w:line="300" w:lineRule="exact"/>
                    <w:ind w:left="-53" w:leftChars="-25" w:right="-53" w:rightChars="-25"/>
                    <w:jc w:val="center"/>
                    <w:rPr>
                      <w:color w:val="auto"/>
                      <w:sz w:val="18"/>
                      <w:szCs w:val="18"/>
                      <w:highlight w:val="none"/>
                      <w:u w:val="single" w:color="auto"/>
                    </w:rPr>
                  </w:pPr>
                  <w:r>
                    <w:rPr>
                      <w:color w:val="auto"/>
                      <w:sz w:val="18"/>
                      <w:szCs w:val="18"/>
                      <w:highlight w:val="none"/>
                      <w:u w:val="single" w:color="auto"/>
                    </w:rPr>
                    <w:t>车辆运输扬尘</w:t>
                  </w:r>
                </w:p>
              </w:tc>
              <w:tc>
                <w:tcPr>
                  <w:tcW w:w="4605" w:type="dxa"/>
                  <w:noWrap w:val="0"/>
                  <w:vAlign w:val="center"/>
                </w:tcPr>
                <w:p>
                  <w:pPr>
                    <w:spacing w:line="300" w:lineRule="exact"/>
                    <w:ind w:left="-53" w:leftChars="-25" w:right="-53" w:rightChars="-25"/>
                    <w:jc w:val="center"/>
                    <w:rPr>
                      <w:color w:val="auto"/>
                      <w:sz w:val="18"/>
                      <w:szCs w:val="18"/>
                      <w:highlight w:val="none"/>
                      <w:u w:val="single" w:color="auto"/>
                    </w:rPr>
                  </w:pPr>
                  <w:r>
                    <w:rPr>
                      <w:color w:val="auto"/>
                      <w:sz w:val="18"/>
                      <w:szCs w:val="18"/>
                      <w:highlight w:val="none"/>
                      <w:u w:val="single" w:color="auto"/>
                    </w:rPr>
                    <w:t>禁止超载、限制车辆行驶速度，原料运输车辆加盖篷布，场内道路进行硬化，及时清扫、洒水降尘；</w:t>
                  </w:r>
                </w:p>
              </w:tc>
              <w:tc>
                <w:tcPr>
                  <w:tcW w:w="960" w:type="dxa"/>
                  <w:noWrap w:val="0"/>
                  <w:vAlign w:val="center"/>
                </w:tcPr>
                <w:p>
                  <w:pPr>
                    <w:spacing w:line="300" w:lineRule="exact"/>
                    <w:ind w:left="-53" w:leftChars="-25" w:right="-53" w:rightChars="-25"/>
                    <w:jc w:val="center"/>
                    <w:rPr>
                      <w:color w:val="auto"/>
                      <w:sz w:val="18"/>
                      <w:szCs w:val="18"/>
                      <w:highlight w:val="none"/>
                      <w:u w:val="single" w:color="auto"/>
                    </w:rPr>
                  </w:pPr>
                  <w:r>
                    <w:rPr>
                      <w:color w:val="auto"/>
                      <w:sz w:val="18"/>
                      <w:szCs w:val="18"/>
                      <w:highlight w:val="none"/>
                      <w:u w:val="single" w:color="auto"/>
                    </w:rPr>
                    <w:t>/</w:t>
                  </w:r>
                </w:p>
              </w:tc>
              <w:tc>
                <w:tcPr>
                  <w:tcW w:w="599" w:type="dxa"/>
                  <w:noWrap w:val="0"/>
                  <w:vAlign w:val="center"/>
                </w:tcPr>
                <w:p>
                  <w:pPr>
                    <w:spacing w:line="300" w:lineRule="exact"/>
                    <w:ind w:left="-53" w:leftChars="-25" w:right="-53" w:rightChars="-25"/>
                    <w:jc w:val="center"/>
                    <w:rPr>
                      <w:color w:val="auto"/>
                      <w:sz w:val="18"/>
                      <w:szCs w:val="18"/>
                      <w:highlight w:val="none"/>
                      <w:u w:val="single" w:color="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1" w:type="dxa"/>
                  <w:vMerge w:val="continue"/>
                  <w:noWrap w:val="0"/>
                  <w:vAlign w:val="center"/>
                </w:tcPr>
                <w:p>
                  <w:pPr>
                    <w:spacing w:line="300" w:lineRule="exact"/>
                    <w:ind w:left="-53" w:leftChars="-25" w:right="-53" w:rightChars="-25"/>
                    <w:jc w:val="center"/>
                    <w:rPr>
                      <w:color w:val="auto"/>
                      <w:sz w:val="18"/>
                      <w:szCs w:val="18"/>
                      <w:highlight w:val="none"/>
                      <w:u w:val="single" w:color="auto"/>
                    </w:rPr>
                  </w:pPr>
                </w:p>
              </w:tc>
              <w:tc>
                <w:tcPr>
                  <w:tcW w:w="1365" w:type="dxa"/>
                  <w:gridSpan w:val="2"/>
                  <w:noWrap w:val="0"/>
                  <w:vAlign w:val="center"/>
                </w:tcPr>
                <w:p>
                  <w:pPr>
                    <w:spacing w:line="300" w:lineRule="exact"/>
                    <w:ind w:left="-53" w:leftChars="-25" w:right="-53" w:rightChars="-25"/>
                    <w:jc w:val="center"/>
                    <w:rPr>
                      <w:color w:val="auto"/>
                      <w:sz w:val="18"/>
                      <w:szCs w:val="18"/>
                      <w:highlight w:val="none"/>
                      <w:u w:val="single" w:color="auto"/>
                    </w:rPr>
                  </w:pPr>
                  <w:r>
                    <w:rPr>
                      <w:color w:val="auto"/>
                      <w:sz w:val="18"/>
                      <w:szCs w:val="18"/>
                      <w:highlight w:val="none"/>
                      <w:u w:val="single" w:color="auto"/>
                    </w:rPr>
                    <w:t>噪声</w:t>
                  </w:r>
                </w:p>
              </w:tc>
              <w:tc>
                <w:tcPr>
                  <w:tcW w:w="4605" w:type="dxa"/>
                  <w:noWrap w:val="0"/>
                  <w:vAlign w:val="center"/>
                </w:tcPr>
                <w:p>
                  <w:pPr>
                    <w:spacing w:line="300" w:lineRule="exact"/>
                    <w:ind w:left="-53" w:leftChars="-25" w:right="-53" w:rightChars="-25"/>
                    <w:jc w:val="center"/>
                    <w:rPr>
                      <w:color w:val="auto"/>
                      <w:sz w:val="18"/>
                      <w:szCs w:val="18"/>
                      <w:highlight w:val="none"/>
                      <w:u w:val="single" w:color="auto"/>
                    </w:rPr>
                  </w:pPr>
                  <w:r>
                    <w:rPr>
                      <w:color w:val="auto"/>
                      <w:sz w:val="18"/>
                      <w:szCs w:val="18"/>
                      <w:highlight w:val="none"/>
                      <w:u w:val="single" w:color="auto"/>
                    </w:rPr>
                    <w:t>选用低噪声设备，采取基础减震、距离衰减等措施</w:t>
                  </w:r>
                </w:p>
              </w:tc>
              <w:tc>
                <w:tcPr>
                  <w:tcW w:w="960" w:type="dxa"/>
                  <w:noWrap w:val="0"/>
                  <w:vAlign w:val="center"/>
                </w:tcPr>
                <w:p>
                  <w:pPr>
                    <w:spacing w:line="300" w:lineRule="exact"/>
                    <w:ind w:left="-53" w:leftChars="-25" w:right="-53" w:rightChars="-25"/>
                    <w:jc w:val="center"/>
                    <w:rPr>
                      <w:color w:val="auto"/>
                      <w:sz w:val="18"/>
                      <w:szCs w:val="18"/>
                      <w:highlight w:val="none"/>
                      <w:u w:val="single" w:color="auto"/>
                    </w:rPr>
                  </w:pPr>
                  <w:r>
                    <w:rPr>
                      <w:color w:val="auto"/>
                      <w:sz w:val="18"/>
                      <w:szCs w:val="18"/>
                      <w:highlight w:val="none"/>
                      <w:u w:val="single" w:color="auto"/>
                    </w:rPr>
                    <w:t>/</w:t>
                  </w:r>
                </w:p>
              </w:tc>
              <w:tc>
                <w:tcPr>
                  <w:tcW w:w="599" w:type="dxa"/>
                  <w:noWrap w:val="0"/>
                  <w:vAlign w:val="center"/>
                </w:tcPr>
                <w:p>
                  <w:pPr>
                    <w:spacing w:line="300" w:lineRule="exact"/>
                    <w:ind w:left="-53" w:leftChars="-25" w:right="-53" w:rightChars="-25"/>
                    <w:jc w:val="center"/>
                    <w:rPr>
                      <w:rFonts w:hint="eastAsia" w:eastAsia="宋体"/>
                      <w:color w:val="auto"/>
                      <w:sz w:val="18"/>
                      <w:szCs w:val="18"/>
                      <w:highlight w:val="none"/>
                      <w:u w:val="single" w:color="auto"/>
                      <w:lang w:eastAsia="zh-CN"/>
                    </w:rPr>
                  </w:pPr>
                  <w:r>
                    <w:rPr>
                      <w:rFonts w:hint="eastAsia"/>
                      <w:color w:val="auto"/>
                      <w:sz w:val="18"/>
                      <w:szCs w:val="18"/>
                      <w:highlight w:val="none"/>
                      <w:u w:val="single" w:color="auto"/>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1" w:type="dxa"/>
                  <w:vMerge w:val="continue"/>
                  <w:noWrap w:val="0"/>
                  <w:vAlign w:val="center"/>
                </w:tcPr>
                <w:p>
                  <w:pPr>
                    <w:spacing w:line="300" w:lineRule="exact"/>
                    <w:ind w:left="-53" w:leftChars="-25" w:right="-53" w:rightChars="-25"/>
                    <w:jc w:val="center"/>
                    <w:rPr>
                      <w:color w:val="auto"/>
                      <w:sz w:val="18"/>
                      <w:szCs w:val="18"/>
                      <w:highlight w:val="none"/>
                      <w:u w:val="single" w:color="auto"/>
                    </w:rPr>
                  </w:pPr>
                </w:p>
              </w:tc>
              <w:tc>
                <w:tcPr>
                  <w:tcW w:w="300" w:type="dxa"/>
                  <w:vMerge w:val="restart"/>
                  <w:tcBorders>
                    <w:right w:val="single" w:color="000000" w:sz="4" w:space="0"/>
                  </w:tcBorders>
                  <w:noWrap w:val="0"/>
                  <w:vAlign w:val="center"/>
                </w:tcPr>
                <w:p>
                  <w:pPr>
                    <w:spacing w:line="300" w:lineRule="exact"/>
                    <w:ind w:left="-53" w:leftChars="-25" w:right="-53" w:rightChars="-25"/>
                    <w:jc w:val="center"/>
                    <w:rPr>
                      <w:color w:val="auto"/>
                      <w:sz w:val="18"/>
                      <w:szCs w:val="18"/>
                      <w:highlight w:val="none"/>
                      <w:u w:val="single" w:color="auto"/>
                    </w:rPr>
                  </w:pPr>
                  <w:r>
                    <w:rPr>
                      <w:color w:val="auto"/>
                      <w:sz w:val="18"/>
                      <w:szCs w:val="18"/>
                      <w:highlight w:val="none"/>
                      <w:u w:val="single" w:color="auto"/>
                    </w:rPr>
                    <w:t>固废</w:t>
                  </w:r>
                </w:p>
              </w:tc>
              <w:tc>
                <w:tcPr>
                  <w:tcW w:w="1065" w:type="dxa"/>
                  <w:tcBorders>
                    <w:left w:val="single" w:color="000000" w:sz="4" w:space="0"/>
                  </w:tcBorders>
                  <w:noWrap w:val="0"/>
                  <w:vAlign w:val="center"/>
                </w:tcPr>
                <w:p>
                  <w:pPr>
                    <w:spacing w:line="300" w:lineRule="exact"/>
                    <w:ind w:left="-53" w:leftChars="-25" w:right="-53" w:rightChars="-25"/>
                    <w:jc w:val="center"/>
                    <w:rPr>
                      <w:color w:val="auto"/>
                      <w:sz w:val="18"/>
                      <w:szCs w:val="18"/>
                      <w:highlight w:val="none"/>
                      <w:u w:val="single" w:color="auto"/>
                    </w:rPr>
                  </w:pPr>
                  <w:r>
                    <w:rPr>
                      <w:color w:val="auto"/>
                      <w:sz w:val="18"/>
                      <w:szCs w:val="18"/>
                      <w:highlight w:val="none"/>
                      <w:u w:val="single" w:color="auto"/>
                    </w:rPr>
                    <w:t>废砖坯、废砖块</w:t>
                  </w:r>
                </w:p>
              </w:tc>
              <w:tc>
                <w:tcPr>
                  <w:tcW w:w="4605" w:type="dxa"/>
                  <w:noWrap w:val="0"/>
                  <w:vAlign w:val="center"/>
                </w:tcPr>
                <w:p>
                  <w:pPr>
                    <w:spacing w:line="300" w:lineRule="exact"/>
                    <w:ind w:left="-53" w:leftChars="-25" w:right="-53" w:rightChars="-25"/>
                    <w:jc w:val="center"/>
                    <w:rPr>
                      <w:color w:val="auto"/>
                      <w:sz w:val="18"/>
                      <w:szCs w:val="18"/>
                      <w:highlight w:val="none"/>
                      <w:u w:val="single" w:color="auto"/>
                    </w:rPr>
                  </w:pPr>
                  <w:r>
                    <w:rPr>
                      <w:color w:val="auto"/>
                      <w:sz w:val="18"/>
                      <w:szCs w:val="18"/>
                      <w:highlight w:val="none"/>
                      <w:u w:val="single" w:color="auto"/>
                    </w:rPr>
                    <w:t>集中收集后作为原料返回破碎工序重新进行生产</w:t>
                  </w:r>
                </w:p>
              </w:tc>
              <w:tc>
                <w:tcPr>
                  <w:tcW w:w="960" w:type="dxa"/>
                  <w:noWrap w:val="0"/>
                  <w:vAlign w:val="center"/>
                </w:tcPr>
                <w:p>
                  <w:pPr>
                    <w:spacing w:line="300" w:lineRule="exact"/>
                    <w:ind w:left="-53" w:leftChars="-25" w:right="-53" w:rightChars="-25"/>
                    <w:jc w:val="center"/>
                    <w:rPr>
                      <w:color w:val="auto"/>
                      <w:sz w:val="18"/>
                      <w:szCs w:val="18"/>
                      <w:highlight w:val="none"/>
                      <w:u w:val="single" w:color="auto"/>
                    </w:rPr>
                  </w:pPr>
                  <w:r>
                    <w:rPr>
                      <w:color w:val="auto"/>
                      <w:sz w:val="18"/>
                      <w:szCs w:val="18"/>
                      <w:highlight w:val="none"/>
                      <w:u w:val="single" w:color="auto"/>
                    </w:rPr>
                    <w:t>/</w:t>
                  </w:r>
                </w:p>
              </w:tc>
              <w:tc>
                <w:tcPr>
                  <w:tcW w:w="599" w:type="dxa"/>
                  <w:noWrap w:val="0"/>
                  <w:vAlign w:val="center"/>
                </w:tcPr>
                <w:p>
                  <w:pPr>
                    <w:spacing w:line="300" w:lineRule="exact"/>
                    <w:ind w:left="-53" w:leftChars="-25" w:right="-53" w:rightChars="-25"/>
                    <w:jc w:val="center"/>
                    <w:rPr>
                      <w:rFonts w:hint="eastAsia" w:eastAsia="宋体"/>
                      <w:color w:val="auto"/>
                      <w:sz w:val="18"/>
                      <w:szCs w:val="18"/>
                      <w:highlight w:val="none"/>
                      <w:u w:val="single" w:color="auto"/>
                      <w:lang w:eastAsia="zh-CN"/>
                    </w:rPr>
                  </w:pPr>
                  <w:r>
                    <w:rPr>
                      <w:rFonts w:hint="eastAsia"/>
                      <w:color w:val="auto"/>
                      <w:sz w:val="18"/>
                      <w:szCs w:val="18"/>
                      <w:highlight w:val="none"/>
                      <w:u w:val="single" w:color="auto"/>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1" w:type="dxa"/>
                  <w:vMerge w:val="continue"/>
                  <w:noWrap w:val="0"/>
                  <w:vAlign w:val="center"/>
                </w:tcPr>
                <w:p>
                  <w:pPr>
                    <w:spacing w:line="300" w:lineRule="exact"/>
                    <w:ind w:left="-53" w:leftChars="-25" w:right="-53" w:rightChars="-25"/>
                    <w:jc w:val="center"/>
                    <w:rPr>
                      <w:color w:val="auto"/>
                      <w:sz w:val="18"/>
                      <w:szCs w:val="18"/>
                      <w:highlight w:val="none"/>
                      <w:u w:val="single" w:color="auto"/>
                    </w:rPr>
                  </w:pPr>
                </w:p>
              </w:tc>
              <w:tc>
                <w:tcPr>
                  <w:tcW w:w="300" w:type="dxa"/>
                  <w:vMerge w:val="continue"/>
                  <w:tcBorders>
                    <w:right w:val="single" w:color="000000" w:sz="4" w:space="0"/>
                  </w:tcBorders>
                  <w:noWrap w:val="0"/>
                  <w:vAlign w:val="center"/>
                </w:tcPr>
                <w:p>
                  <w:pPr>
                    <w:spacing w:line="300" w:lineRule="exact"/>
                    <w:ind w:left="-53" w:leftChars="-25" w:right="-53" w:rightChars="-25"/>
                    <w:jc w:val="center"/>
                    <w:rPr>
                      <w:color w:val="auto"/>
                      <w:sz w:val="18"/>
                      <w:szCs w:val="18"/>
                      <w:highlight w:val="none"/>
                      <w:u w:val="single" w:color="auto"/>
                    </w:rPr>
                  </w:pPr>
                </w:p>
              </w:tc>
              <w:tc>
                <w:tcPr>
                  <w:tcW w:w="1065" w:type="dxa"/>
                  <w:tcBorders>
                    <w:left w:val="single" w:color="000000" w:sz="4" w:space="0"/>
                  </w:tcBorders>
                  <w:noWrap w:val="0"/>
                  <w:vAlign w:val="center"/>
                </w:tcPr>
                <w:p>
                  <w:pPr>
                    <w:spacing w:line="300" w:lineRule="exact"/>
                    <w:ind w:left="-53" w:leftChars="-25" w:right="-53" w:rightChars="-25"/>
                    <w:jc w:val="center"/>
                    <w:rPr>
                      <w:color w:val="auto"/>
                      <w:sz w:val="18"/>
                      <w:szCs w:val="18"/>
                      <w:highlight w:val="none"/>
                      <w:u w:val="single" w:color="auto"/>
                    </w:rPr>
                  </w:pPr>
                  <w:r>
                    <w:rPr>
                      <w:color w:val="auto"/>
                      <w:sz w:val="18"/>
                      <w:szCs w:val="18"/>
                      <w:highlight w:val="none"/>
                      <w:u w:val="single" w:color="auto"/>
                    </w:rPr>
                    <w:t>脱硫除尘渣</w:t>
                  </w:r>
                </w:p>
              </w:tc>
              <w:tc>
                <w:tcPr>
                  <w:tcW w:w="4605" w:type="dxa"/>
                  <w:noWrap w:val="0"/>
                  <w:vAlign w:val="center"/>
                </w:tcPr>
                <w:p>
                  <w:pPr>
                    <w:spacing w:line="300" w:lineRule="exact"/>
                    <w:ind w:left="-53" w:leftChars="-25" w:right="-53" w:rightChars="-25"/>
                    <w:jc w:val="center"/>
                    <w:rPr>
                      <w:color w:val="auto"/>
                      <w:sz w:val="18"/>
                      <w:szCs w:val="18"/>
                      <w:highlight w:val="none"/>
                      <w:u w:val="single" w:color="auto"/>
                    </w:rPr>
                  </w:pPr>
                  <w:r>
                    <w:rPr>
                      <w:color w:val="auto"/>
                      <w:sz w:val="18"/>
                      <w:szCs w:val="18"/>
                      <w:highlight w:val="none"/>
                      <w:u w:val="single" w:color="auto"/>
                    </w:rPr>
                    <w:t>回用于制砖</w:t>
                  </w:r>
                </w:p>
              </w:tc>
              <w:tc>
                <w:tcPr>
                  <w:tcW w:w="960" w:type="dxa"/>
                  <w:noWrap w:val="0"/>
                  <w:vAlign w:val="center"/>
                </w:tcPr>
                <w:p>
                  <w:pPr>
                    <w:spacing w:line="300" w:lineRule="exact"/>
                    <w:ind w:left="-53" w:leftChars="-25" w:right="-53" w:rightChars="-25"/>
                    <w:jc w:val="center"/>
                    <w:rPr>
                      <w:color w:val="auto"/>
                      <w:sz w:val="18"/>
                      <w:szCs w:val="18"/>
                      <w:highlight w:val="none"/>
                      <w:u w:val="single" w:color="auto"/>
                    </w:rPr>
                  </w:pPr>
                  <w:r>
                    <w:rPr>
                      <w:color w:val="auto"/>
                      <w:sz w:val="18"/>
                      <w:szCs w:val="18"/>
                      <w:highlight w:val="none"/>
                      <w:u w:val="single" w:color="auto"/>
                    </w:rPr>
                    <w:t>/</w:t>
                  </w:r>
                </w:p>
              </w:tc>
              <w:tc>
                <w:tcPr>
                  <w:tcW w:w="599" w:type="dxa"/>
                  <w:noWrap w:val="0"/>
                  <w:vAlign w:val="center"/>
                </w:tcPr>
                <w:p>
                  <w:pPr>
                    <w:spacing w:line="300" w:lineRule="exact"/>
                    <w:ind w:left="-53" w:leftChars="-25" w:right="-53" w:rightChars="-25"/>
                    <w:jc w:val="center"/>
                    <w:rPr>
                      <w:rFonts w:hint="eastAsia" w:eastAsia="宋体"/>
                      <w:color w:val="auto"/>
                      <w:sz w:val="18"/>
                      <w:szCs w:val="18"/>
                      <w:highlight w:val="none"/>
                      <w:u w:val="single" w:color="auto"/>
                      <w:lang w:eastAsia="zh-CN"/>
                    </w:rPr>
                  </w:pPr>
                  <w:r>
                    <w:rPr>
                      <w:rFonts w:hint="eastAsia"/>
                      <w:color w:val="auto"/>
                      <w:sz w:val="18"/>
                      <w:szCs w:val="18"/>
                      <w:highlight w:val="none"/>
                      <w:u w:val="single" w:color="auto"/>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1" w:type="dxa"/>
                  <w:vMerge w:val="continue"/>
                  <w:noWrap w:val="0"/>
                  <w:vAlign w:val="center"/>
                </w:tcPr>
                <w:p>
                  <w:pPr>
                    <w:spacing w:line="300" w:lineRule="exact"/>
                    <w:ind w:left="-53" w:leftChars="-25" w:right="-53" w:rightChars="-25"/>
                    <w:jc w:val="center"/>
                    <w:rPr>
                      <w:color w:val="auto"/>
                      <w:sz w:val="18"/>
                      <w:szCs w:val="18"/>
                      <w:highlight w:val="none"/>
                      <w:u w:val="single" w:color="auto"/>
                    </w:rPr>
                  </w:pPr>
                </w:p>
              </w:tc>
              <w:tc>
                <w:tcPr>
                  <w:tcW w:w="300" w:type="dxa"/>
                  <w:vMerge w:val="continue"/>
                  <w:tcBorders>
                    <w:right w:val="single" w:color="000000" w:sz="4" w:space="0"/>
                  </w:tcBorders>
                  <w:noWrap w:val="0"/>
                  <w:vAlign w:val="center"/>
                </w:tcPr>
                <w:p>
                  <w:pPr>
                    <w:spacing w:line="300" w:lineRule="exact"/>
                    <w:ind w:left="-53" w:leftChars="-25" w:right="-53" w:rightChars="-25"/>
                    <w:jc w:val="center"/>
                    <w:rPr>
                      <w:color w:val="auto"/>
                      <w:sz w:val="18"/>
                      <w:szCs w:val="18"/>
                      <w:highlight w:val="none"/>
                      <w:u w:val="single" w:color="auto"/>
                    </w:rPr>
                  </w:pPr>
                </w:p>
              </w:tc>
              <w:tc>
                <w:tcPr>
                  <w:tcW w:w="1065" w:type="dxa"/>
                  <w:tcBorders>
                    <w:left w:val="single" w:color="000000" w:sz="4" w:space="0"/>
                  </w:tcBorders>
                  <w:noWrap w:val="0"/>
                  <w:vAlign w:val="center"/>
                </w:tcPr>
                <w:p>
                  <w:pPr>
                    <w:spacing w:line="300" w:lineRule="exact"/>
                    <w:ind w:left="-53" w:leftChars="-25" w:right="-53" w:rightChars="-25"/>
                    <w:jc w:val="center"/>
                    <w:rPr>
                      <w:color w:val="auto"/>
                      <w:sz w:val="18"/>
                      <w:szCs w:val="18"/>
                      <w:highlight w:val="none"/>
                      <w:u w:val="single" w:color="auto"/>
                    </w:rPr>
                  </w:pPr>
                  <w:r>
                    <w:rPr>
                      <w:color w:val="auto"/>
                      <w:sz w:val="18"/>
                      <w:szCs w:val="18"/>
                      <w:highlight w:val="none"/>
                      <w:u w:val="single" w:color="auto"/>
                    </w:rPr>
                    <w:t>布袋除尘灰</w:t>
                  </w:r>
                </w:p>
              </w:tc>
              <w:tc>
                <w:tcPr>
                  <w:tcW w:w="4605" w:type="dxa"/>
                  <w:noWrap w:val="0"/>
                  <w:vAlign w:val="center"/>
                </w:tcPr>
                <w:p>
                  <w:pPr>
                    <w:spacing w:line="300" w:lineRule="exact"/>
                    <w:ind w:left="-53" w:leftChars="-25" w:right="-53" w:rightChars="-25"/>
                    <w:jc w:val="center"/>
                    <w:rPr>
                      <w:rFonts w:hint="eastAsia" w:eastAsia="宋体"/>
                      <w:color w:val="auto"/>
                      <w:sz w:val="18"/>
                      <w:szCs w:val="18"/>
                      <w:highlight w:val="none"/>
                      <w:u w:val="single" w:color="auto"/>
                      <w:lang w:eastAsia="zh-CN"/>
                    </w:rPr>
                  </w:pPr>
                  <w:r>
                    <w:rPr>
                      <w:color w:val="auto"/>
                      <w:sz w:val="18"/>
                      <w:szCs w:val="18"/>
                      <w:highlight w:val="none"/>
                      <w:u w:val="single" w:color="auto"/>
                    </w:rPr>
                    <w:t>回用于</w:t>
                  </w:r>
                  <w:r>
                    <w:rPr>
                      <w:rFonts w:hint="eastAsia"/>
                      <w:color w:val="auto"/>
                      <w:sz w:val="18"/>
                      <w:szCs w:val="18"/>
                      <w:highlight w:val="none"/>
                      <w:u w:val="single" w:color="auto"/>
                      <w:lang w:eastAsia="zh-CN"/>
                    </w:rPr>
                    <w:t>制砖</w:t>
                  </w:r>
                </w:p>
              </w:tc>
              <w:tc>
                <w:tcPr>
                  <w:tcW w:w="960" w:type="dxa"/>
                  <w:noWrap w:val="0"/>
                  <w:vAlign w:val="center"/>
                </w:tcPr>
                <w:p>
                  <w:pPr>
                    <w:spacing w:line="300" w:lineRule="exact"/>
                    <w:ind w:left="-53" w:leftChars="-25" w:right="-53" w:rightChars="-25"/>
                    <w:jc w:val="center"/>
                    <w:rPr>
                      <w:color w:val="auto"/>
                      <w:sz w:val="18"/>
                      <w:szCs w:val="18"/>
                      <w:highlight w:val="none"/>
                      <w:u w:val="single" w:color="auto"/>
                    </w:rPr>
                  </w:pPr>
                  <w:r>
                    <w:rPr>
                      <w:color w:val="auto"/>
                      <w:sz w:val="18"/>
                      <w:szCs w:val="18"/>
                      <w:highlight w:val="none"/>
                      <w:u w:val="single" w:color="auto"/>
                    </w:rPr>
                    <w:t>/</w:t>
                  </w:r>
                </w:p>
              </w:tc>
              <w:tc>
                <w:tcPr>
                  <w:tcW w:w="599" w:type="dxa"/>
                  <w:noWrap w:val="0"/>
                  <w:vAlign w:val="center"/>
                </w:tcPr>
                <w:p>
                  <w:pPr>
                    <w:spacing w:line="300" w:lineRule="exact"/>
                    <w:ind w:left="-53" w:leftChars="-25" w:right="-53" w:rightChars="-25"/>
                    <w:jc w:val="center"/>
                    <w:rPr>
                      <w:rFonts w:hint="eastAsia" w:eastAsia="宋体"/>
                      <w:color w:val="auto"/>
                      <w:sz w:val="18"/>
                      <w:szCs w:val="18"/>
                      <w:highlight w:val="none"/>
                      <w:u w:val="single" w:color="auto"/>
                      <w:lang w:eastAsia="zh-CN"/>
                    </w:rPr>
                  </w:pPr>
                  <w:r>
                    <w:rPr>
                      <w:rFonts w:hint="eastAsia"/>
                      <w:color w:val="auto"/>
                      <w:sz w:val="18"/>
                      <w:szCs w:val="18"/>
                      <w:highlight w:val="none"/>
                      <w:u w:val="single" w:color="auto"/>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1" w:type="dxa"/>
                  <w:vMerge w:val="continue"/>
                  <w:noWrap w:val="0"/>
                  <w:vAlign w:val="center"/>
                </w:tcPr>
                <w:p>
                  <w:pPr>
                    <w:spacing w:line="300" w:lineRule="exact"/>
                    <w:ind w:left="-53" w:leftChars="-25" w:right="-53" w:rightChars="-25"/>
                    <w:jc w:val="center"/>
                    <w:rPr>
                      <w:color w:val="auto"/>
                      <w:sz w:val="18"/>
                      <w:szCs w:val="18"/>
                      <w:highlight w:val="none"/>
                      <w:u w:val="single" w:color="auto"/>
                    </w:rPr>
                  </w:pPr>
                </w:p>
              </w:tc>
              <w:tc>
                <w:tcPr>
                  <w:tcW w:w="300" w:type="dxa"/>
                  <w:vMerge w:val="continue"/>
                  <w:tcBorders>
                    <w:right w:val="single" w:color="000000" w:sz="4" w:space="0"/>
                  </w:tcBorders>
                  <w:noWrap w:val="0"/>
                  <w:vAlign w:val="center"/>
                </w:tcPr>
                <w:p>
                  <w:pPr>
                    <w:spacing w:line="300" w:lineRule="exact"/>
                    <w:ind w:left="-53" w:leftChars="-25" w:right="-53" w:rightChars="-25"/>
                    <w:jc w:val="center"/>
                    <w:rPr>
                      <w:color w:val="auto"/>
                      <w:sz w:val="18"/>
                      <w:szCs w:val="18"/>
                      <w:highlight w:val="none"/>
                      <w:u w:val="single" w:color="auto"/>
                    </w:rPr>
                  </w:pPr>
                </w:p>
              </w:tc>
              <w:tc>
                <w:tcPr>
                  <w:tcW w:w="1065" w:type="dxa"/>
                  <w:tcBorders>
                    <w:left w:val="single" w:color="000000" w:sz="4" w:space="0"/>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kern w:val="2"/>
                      <w:sz w:val="18"/>
                      <w:szCs w:val="18"/>
                      <w:highlight w:val="none"/>
                      <w:u w:val="single" w:color="auto"/>
                      <w:lang w:val="en-US" w:eastAsia="zh-CN" w:bidi="ar-SA"/>
                    </w:rPr>
                  </w:pPr>
                  <w:r>
                    <w:rPr>
                      <w:rFonts w:hint="default" w:ascii="Times New Roman" w:hAnsi="Times New Roman" w:eastAsia="宋体" w:cs="Times New Roman"/>
                      <w:color w:val="auto"/>
                      <w:sz w:val="18"/>
                      <w:szCs w:val="18"/>
                      <w:highlight w:val="none"/>
                      <w:u w:val="single" w:color="auto"/>
                      <w:lang w:val="en-US" w:eastAsia="zh-CN"/>
                    </w:rPr>
                    <w:t>废机油</w:t>
                  </w:r>
                </w:p>
              </w:tc>
              <w:tc>
                <w:tcPr>
                  <w:tcW w:w="4605" w:type="dxa"/>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kern w:val="2"/>
                      <w:sz w:val="18"/>
                      <w:szCs w:val="18"/>
                      <w:highlight w:val="none"/>
                      <w:u w:val="single" w:color="auto"/>
                      <w:lang w:val="en-US" w:eastAsia="zh-CN" w:bidi="ar-SA"/>
                    </w:rPr>
                  </w:pPr>
                  <w:r>
                    <w:rPr>
                      <w:rFonts w:hint="default" w:ascii="Times New Roman" w:hAnsi="Times New Roman" w:eastAsia="宋体" w:cs="Times New Roman"/>
                      <w:color w:val="auto"/>
                      <w:sz w:val="18"/>
                      <w:szCs w:val="18"/>
                      <w:u w:val="single" w:color="auto"/>
                    </w:rPr>
                    <w:t>危险废物暂存至危废暂存间，交由有资质单位无害化处置</w:t>
                  </w:r>
                </w:p>
              </w:tc>
              <w:tc>
                <w:tcPr>
                  <w:tcW w:w="960" w:type="dxa"/>
                  <w:noWrap w:val="0"/>
                  <w:vAlign w:val="center"/>
                </w:tcPr>
                <w:p>
                  <w:pPr>
                    <w:spacing w:line="300" w:lineRule="exact"/>
                    <w:ind w:left="-53" w:leftChars="-25" w:right="-53" w:rightChars="-25"/>
                    <w:jc w:val="center"/>
                    <w:rPr>
                      <w:color w:val="auto"/>
                      <w:sz w:val="18"/>
                      <w:szCs w:val="18"/>
                      <w:highlight w:val="none"/>
                      <w:u w:val="single" w:color="auto"/>
                    </w:rPr>
                  </w:pPr>
                </w:p>
              </w:tc>
              <w:tc>
                <w:tcPr>
                  <w:tcW w:w="599" w:type="dxa"/>
                  <w:noWrap w:val="0"/>
                  <w:vAlign w:val="center"/>
                </w:tcPr>
                <w:p>
                  <w:pPr>
                    <w:spacing w:line="300" w:lineRule="exact"/>
                    <w:ind w:left="-53" w:leftChars="-25" w:right="-53" w:rightChars="-25"/>
                    <w:jc w:val="center"/>
                    <w:rPr>
                      <w:rFonts w:hint="eastAsia"/>
                      <w:color w:val="auto"/>
                      <w:sz w:val="18"/>
                      <w:szCs w:val="18"/>
                      <w:highlight w:val="none"/>
                      <w:u w:val="single" w:color="auto"/>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1" w:type="dxa"/>
                  <w:vMerge w:val="continue"/>
                  <w:noWrap w:val="0"/>
                  <w:vAlign w:val="center"/>
                </w:tcPr>
                <w:p>
                  <w:pPr>
                    <w:spacing w:line="300" w:lineRule="exact"/>
                    <w:ind w:left="-53" w:leftChars="-25" w:right="-53" w:rightChars="-25"/>
                    <w:jc w:val="center"/>
                    <w:rPr>
                      <w:color w:val="auto"/>
                      <w:sz w:val="18"/>
                      <w:szCs w:val="18"/>
                      <w:highlight w:val="none"/>
                      <w:u w:val="single" w:color="auto"/>
                    </w:rPr>
                  </w:pPr>
                </w:p>
              </w:tc>
              <w:tc>
                <w:tcPr>
                  <w:tcW w:w="300" w:type="dxa"/>
                  <w:vMerge w:val="continue"/>
                  <w:tcBorders>
                    <w:right w:val="single" w:color="000000" w:sz="4" w:space="0"/>
                  </w:tcBorders>
                  <w:noWrap w:val="0"/>
                  <w:vAlign w:val="center"/>
                </w:tcPr>
                <w:p>
                  <w:pPr>
                    <w:spacing w:line="300" w:lineRule="exact"/>
                    <w:ind w:left="-53" w:leftChars="-25" w:right="-53" w:rightChars="-25"/>
                    <w:jc w:val="center"/>
                    <w:rPr>
                      <w:color w:val="auto"/>
                      <w:sz w:val="18"/>
                      <w:szCs w:val="18"/>
                      <w:highlight w:val="none"/>
                      <w:u w:val="single" w:color="auto"/>
                    </w:rPr>
                  </w:pPr>
                </w:p>
              </w:tc>
              <w:tc>
                <w:tcPr>
                  <w:tcW w:w="1065" w:type="dxa"/>
                  <w:tcBorders>
                    <w:left w:val="single" w:color="000000" w:sz="4" w:space="0"/>
                  </w:tcBorders>
                  <w:noWrap w:val="0"/>
                  <w:vAlign w:val="center"/>
                </w:tcPr>
                <w:p>
                  <w:pPr>
                    <w:spacing w:line="300" w:lineRule="exact"/>
                    <w:ind w:left="-53" w:leftChars="-25" w:right="-53" w:rightChars="-25"/>
                    <w:jc w:val="center"/>
                    <w:rPr>
                      <w:color w:val="auto"/>
                      <w:sz w:val="18"/>
                      <w:szCs w:val="18"/>
                      <w:highlight w:val="none"/>
                      <w:u w:val="single" w:color="auto"/>
                    </w:rPr>
                  </w:pPr>
                  <w:r>
                    <w:rPr>
                      <w:color w:val="auto"/>
                      <w:sz w:val="18"/>
                      <w:szCs w:val="18"/>
                      <w:highlight w:val="none"/>
                      <w:u w:val="single" w:color="auto"/>
                    </w:rPr>
                    <w:t>生活垃圾</w:t>
                  </w:r>
                </w:p>
              </w:tc>
              <w:tc>
                <w:tcPr>
                  <w:tcW w:w="4605" w:type="dxa"/>
                  <w:noWrap w:val="0"/>
                  <w:vAlign w:val="center"/>
                </w:tcPr>
                <w:p>
                  <w:pPr>
                    <w:spacing w:line="300" w:lineRule="exact"/>
                    <w:ind w:left="-53" w:leftChars="-25" w:right="-53" w:rightChars="-25"/>
                    <w:jc w:val="center"/>
                    <w:rPr>
                      <w:color w:val="auto"/>
                      <w:sz w:val="18"/>
                      <w:szCs w:val="18"/>
                      <w:highlight w:val="none"/>
                      <w:u w:val="single" w:color="auto"/>
                    </w:rPr>
                  </w:pPr>
                  <w:r>
                    <w:rPr>
                      <w:color w:val="auto"/>
                      <w:sz w:val="18"/>
                      <w:szCs w:val="18"/>
                      <w:highlight w:val="none"/>
                      <w:u w:val="single" w:color="auto"/>
                    </w:rPr>
                    <w:t>当地环卫部门收集处理</w:t>
                  </w:r>
                </w:p>
              </w:tc>
              <w:tc>
                <w:tcPr>
                  <w:tcW w:w="960" w:type="dxa"/>
                  <w:noWrap w:val="0"/>
                  <w:vAlign w:val="center"/>
                </w:tcPr>
                <w:p>
                  <w:pPr>
                    <w:spacing w:line="300" w:lineRule="exact"/>
                    <w:ind w:left="-53" w:leftChars="-25" w:right="-53" w:rightChars="-25"/>
                    <w:jc w:val="center"/>
                    <w:rPr>
                      <w:color w:val="auto"/>
                      <w:sz w:val="18"/>
                      <w:szCs w:val="18"/>
                      <w:highlight w:val="none"/>
                      <w:u w:val="single" w:color="auto"/>
                    </w:rPr>
                  </w:pPr>
                  <w:r>
                    <w:rPr>
                      <w:color w:val="auto"/>
                      <w:sz w:val="18"/>
                      <w:szCs w:val="18"/>
                      <w:highlight w:val="none"/>
                      <w:u w:val="single" w:color="auto"/>
                    </w:rPr>
                    <w:t>/</w:t>
                  </w:r>
                </w:p>
              </w:tc>
              <w:tc>
                <w:tcPr>
                  <w:tcW w:w="599" w:type="dxa"/>
                  <w:noWrap w:val="0"/>
                  <w:vAlign w:val="center"/>
                </w:tcPr>
                <w:p>
                  <w:pPr>
                    <w:spacing w:line="300" w:lineRule="exact"/>
                    <w:ind w:left="-53" w:leftChars="-25" w:right="-53" w:rightChars="-25"/>
                    <w:jc w:val="center"/>
                    <w:rPr>
                      <w:rFonts w:hint="eastAsia" w:eastAsia="宋体"/>
                      <w:color w:val="auto"/>
                      <w:sz w:val="18"/>
                      <w:szCs w:val="18"/>
                      <w:highlight w:val="none"/>
                      <w:u w:val="single" w:color="auto"/>
                      <w:lang w:eastAsia="zh-CN"/>
                    </w:rPr>
                  </w:pPr>
                  <w:r>
                    <w:rPr>
                      <w:rFonts w:hint="eastAsia"/>
                      <w:color w:val="auto"/>
                      <w:sz w:val="18"/>
                      <w:szCs w:val="18"/>
                      <w:highlight w:val="none"/>
                      <w:u w:val="single" w:color="auto"/>
                      <w:lang w:val="en-US" w:eastAsia="zh-CN"/>
                    </w:rPr>
                    <w:t>/</w:t>
                  </w:r>
                </w:p>
              </w:tc>
            </w:tr>
          </w:tbl>
          <w:p>
            <w:pPr>
              <w:spacing w:line="360" w:lineRule="auto"/>
              <w:jc w:val="center"/>
              <w:rPr>
                <w:rFonts w:hint="eastAsia" w:ascii="Times New Roman" w:hAnsi="Times New Roman" w:eastAsia="宋体" w:cs="Times New Roman"/>
                <w:b/>
                <w:bCs/>
                <w:color w:val="auto"/>
                <w:sz w:val="24"/>
                <w:highlight w:val="none"/>
                <w:u w:val="none" w:color="auto"/>
                <w:lang w:val="en-US" w:eastAsia="zh-CN"/>
              </w:rPr>
            </w:pPr>
            <w:r>
              <w:rPr>
                <w:rFonts w:hint="eastAsia" w:ascii="Times New Roman" w:hAnsi="Times New Roman" w:eastAsia="宋体" w:cs="Times New Roman"/>
                <w:b/>
                <w:bCs/>
                <w:color w:val="auto"/>
                <w:sz w:val="24"/>
                <w:highlight w:val="none"/>
                <w:u w:val="none" w:color="auto"/>
                <w:lang w:eastAsia="zh-CN"/>
              </w:rPr>
              <w:t>表</w:t>
            </w:r>
            <w:r>
              <w:rPr>
                <w:rFonts w:hint="eastAsia" w:ascii="Times New Roman" w:hAnsi="Times New Roman" w:eastAsia="宋体" w:cs="Times New Roman"/>
                <w:b/>
                <w:bCs/>
                <w:color w:val="auto"/>
                <w:sz w:val="24"/>
                <w:highlight w:val="none"/>
                <w:u w:val="none" w:color="auto"/>
                <w:lang w:val="en-US" w:eastAsia="zh-CN"/>
              </w:rPr>
              <w:t>2-2</w:t>
            </w:r>
            <w:r>
              <w:rPr>
                <w:rFonts w:hint="eastAsia" w:cs="Times New Roman"/>
                <w:b/>
                <w:bCs/>
                <w:color w:val="auto"/>
                <w:sz w:val="24"/>
                <w:highlight w:val="none"/>
                <w:u w:val="none" w:color="auto"/>
                <w:lang w:val="en-US" w:eastAsia="zh-CN"/>
              </w:rPr>
              <w:t>本</w:t>
            </w:r>
            <w:r>
              <w:rPr>
                <w:rFonts w:hint="eastAsia" w:ascii="Times New Roman" w:hAnsi="Times New Roman" w:eastAsia="宋体" w:cs="Times New Roman"/>
                <w:b/>
                <w:bCs/>
                <w:color w:val="auto"/>
                <w:sz w:val="24"/>
                <w:highlight w:val="none"/>
                <w:u w:val="none" w:color="auto"/>
                <w:lang w:val="en-US" w:eastAsia="zh-CN"/>
              </w:rPr>
              <w:t>项目</w:t>
            </w:r>
            <w:r>
              <w:rPr>
                <w:rFonts w:hint="eastAsia" w:cs="Times New Roman"/>
                <w:b/>
                <w:bCs/>
                <w:color w:val="auto"/>
                <w:sz w:val="24"/>
                <w:highlight w:val="none"/>
                <w:u w:val="none" w:color="auto"/>
                <w:lang w:val="en-US" w:eastAsia="zh-CN"/>
              </w:rPr>
              <w:t>新建</w:t>
            </w:r>
            <w:r>
              <w:rPr>
                <w:rFonts w:hint="eastAsia" w:ascii="Times New Roman" w:hAnsi="Times New Roman" w:eastAsia="宋体" w:cs="Times New Roman"/>
                <w:b/>
                <w:bCs/>
                <w:color w:val="auto"/>
                <w:sz w:val="24"/>
                <w:highlight w:val="none"/>
                <w:u w:val="none" w:color="auto"/>
                <w:lang w:val="en-US" w:eastAsia="zh-CN"/>
              </w:rPr>
              <w:t>内容一览表</w:t>
            </w:r>
          </w:p>
          <w:tbl>
            <w:tblPr>
              <w:tblStyle w:val="31"/>
              <w:tblW w:w="7937" w:type="dxa"/>
              <w:tblInd w:w="-5"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03"/>
              <w:gridCol w:w="1534"/>
              <w:gridCol w:w="3140"/>
              <w:gridCol w:w="1180"/>
              <w:gridCol w:w="118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24" w:hRule="atLeast"/>
              </w:trPr>
              <w:tc>
                <w:tcPr>
                  <w:tcW w:w="90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kern w:val="2"/>
                      <w:sz w:val="18"/>
                      <w:szCs w:val="18"/>
                      <w:highlight w:val="none"/>
                      <w:u w:val="none" w:color="auto"/>
                      <w:vertAlign w:val="baseline"/>
                      <w:lang w:val="en-US" w:eastAsia="zh-CN" w:bidi="ar-SA"/>
                    </w:rPr>
                  </w:pPr>
                  <w:r>
                    <w:rPr>
                      <w:rFonts w:hint="eastAsia" w:ascii="Times New Roman" w:hAnsi="Times New Roman" w:eastAsia="宋体" w:cs="Times New Roman"/>
                      <w:b w:val="0"/>
                      <w:bCs w:val="0"/>
                      <w:color w:val="auto"/>
                      <w:sz w:val="18"/>
                      <w:szCs w:val="18"/>
                      <w:highlight w:val="none"/>
                      <w:u w:val="none" w:color="auto"/>
                      <w:vertAlign w:val="baseline"/>
                      <w:lang w:val="en-US" w:eastAsia="zh-CN"/>
                    </w:rPr>
                    <w:t>类别</w:t>
                  </w:r>
                </w:p>
              </w:tc>
              <w:tc>
                <w:tcPr>
                  <w:tcW w:w="153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kern w:val="2"/>
                      <w:sz w:val="18"/>
                      <w:szCs w:val="18"/>
                      <w:highlight w:val="none"/>
                      <w:u w:val="none" w:color="auto"/>
                      <w:vertAlign w:val="baseline"/>
                      <w:lang w:val="en-US" w:eastAsia="zh-CN" w:bidi="ar-SA"/>
                    </w:rPr>
                  </w:pPr>
                  <w:r>
                    <w:rPr>
                      <w:rFonts w:hint="eastAsia" w:ascii="Times New Roman" w:hAnsi="Times New Roman" w:eastAsia="宋体" w:cs="Times New Roman"/>
                      <w:b w:val="0"/>
                      <w:bCs w:val="0"/>
                      <w:color w:val="auto"/>
                      <w:sz w:val="18"/>
                      <w:szCs w:val="18"/>
                      <w:highlight w:val="none"/>
                      <w:u w:val="none" w:color="auto"/>
                      <w:vertAlign w:val="baseline"/>
                      <w:lang w:val="en-US" w:eastAsia="zh-CN"/>
                    </w:rPr>
                    <w:t>项目名称</w:t>
                  </w:r>
                </w:p>
              </w:tc>
              <w:tc>
                <w:tcPr>
                  <w:tcW w:w="314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kern w:val="2"/>
                      <w:sz w:val="18"/>
                      <w:szCs w:val="18"/>
                      <w:highlight w:val="none"/>
                      <w:u w:val="none" w:color="auto"/>
                      <w:vertAlign w:val="baseline"/>
                      <w:lang w:val="en-US" w:eastAsia="zh-CN" w:bidi="ar-SA"/>
                    </w:rPr>
                  </w:pPr>
                  <w:r>
                    <w:rPr>
                      <w:rFonts w:hint="eastAsia" w:ascii="Times New Roman" w:hAnsi="Times New Roman" w:eastAsia="宋体" w:cs="Times New Roman"/>
                      <w:b w:val="0"/>
                      <w:bCs w:val="0"/>
                      <w:color w:val="auto"/>
                      <w:sz w:val="18"/>
                      <w:szCs w:val="18"/>
                      <w:highlight w:val="none"/>
                      <w:u w:val="none" w:color="auto"/>
                      <w:vertAlign w:val="baseline"/>
                      <w:lang w:val="en-US" w:eastAsia="zh-CN"/>
                    </w:rPr>
                    <w:t>项目内容</w:t>
                  </w:r>
                </w:p>
              </w:tc>
              <w:tc>
                <w:tcPr>
                  <w:tcW w:w="118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kern w:val="2"/>
                      <w:sz w:val="18"/>
                      <w:szCs w:val="18"/>
                      <w:highlight w:val="none"/>
                      <w:u w:val="none" w:color="auto"/>
                      <w:vertAlign w:val="baseline"/>
                      <w:lang w:val="en-US" w:eastAsia="zh-CN" w:bidi="ar-SA"/>
                    </w:rPr>
                  </w:pPr>
                  <w:r>
                    <w:rPr>
                      <w:rFonts w:hint="eastAsia" w:ascii="Times New Roman" w:hAnsi="Times New Roman" w:eastAsia="宋体" w:cs="Times New Roman"/>
                      <w:b w:val="0"/>
                      <w:bCs w:val="0"/>
                      <w:color w:val="auto"/>
                      <w:sz w:val="18"/>
                      <w:szCs w:val="18"/>
                      <w:highlight w:val="none"/>
                      <w:u w:val="none" w:color="auto"/>
                      <w:vertAlign w:val="baseline"/>
                      <w:lang w:val="en-US" w:eastAsia="zh-CN"/>
                    </w:rPr>
                    <w:t>污染物</w:t>
                  </w:r>
                </w:p>
              </w:tc>
              <w:tc>
                <w:tcPr>
                  <w:tcW w:w="118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18"/>
                      <w:szCs w:val="18"/>
                      <w:highlight w:val="none"/>
                      <w:u w:val="none" w:color="auto"/>
                      <w:vertAlign w:val="baseline"/>
                      <w:lang w:val="en-US" w:eastAsia="zh-CN"/>
                    </w:rPr>
                  </w:pPr>
                  <w:r>
                    <w:rPr>
                      <w:rFonts w:hint="eastAsia" w:ascii="Times New Roman" w:hAnsi="Times New Roman" w:eastAsia="宋体" w:cs="Times New Roman"/>
                      <w:b w:val="0"/>
                      <w:bCs w:val="0"/>
                      <w:color w:val="auto"/>
                      <w:sz w:val="18"/>
                      <w:szCs w:val="18"/>
                      <w:highlight w:val="none"/>
                      <w:u w:val="none" w:color="auto"/>
                      <w:vertAlign w:val="baseline"/>
                      <w:lang w:val="en-US" w:eastAsia="zh-CN"/>
                    </w:rPr>
                    <w:t>备注</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903"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18"/>
                      <w:szCs w:val="18"/>
                      <w:highlight w:val="none"/>
                      <w:u w:val="none" w:color="auto"/>
                      <w:vertAlign w:val="baseline"/>
                      <w:lang w:val="en-US" w:eastAsia="zh-CN"/>
                    </w:rPr>
                  </w:pPr>
                  <w:r>
                    <w:rPr>
                      <w:rFonts w:hint="eastAsia" w:ascii="Times New Roman" w:hAnsi="Times New Roman" w:eastAsia="宋体" w:cs="Times New Roman"/>
                      <w:b w:val="0"/>
                      <w:bCs w:val="0"/>
                      <w:color w:val="auto"/>
                      <w:sz w:val="18"/>
                      <w:szCs w:val="18"/>
                      <w:highlight w:val="none"/>
                      <w:u w:val="none" w:color="auto"/>
                      <w:vertAlign w:val="baseline"/>
                      <w:lang w:val="en-US" w:eastAsia="zh-CN"/>
                    </w:rPr>
                    <w:t>储运工程</w:t>
                  </w:r>
                </w:p>
              </w:tc>
              <w:tc>
                <w:tcPr>
                  <w:tcW w:w="1534" w:type="dxa"/>
                  <w:tcBorders>
                    <w:tl2br w:val="nil"/>
                    <w:tr2bl w:val="nil"/>
                  </w:tcBorders>
                  <w:noWrap w:val="0"/>
                  <w:vAlign w:val="center"/>
                </w:tcPr>
                <w:p>
                  <w:pPr>
                    <w:spacing w:line="300" w:lineRule="exact"/>
                    <w:ind w:left="-53" w:leftChars="-25" w:right="-53" w:rightChars="-25"/>
                    <w:jc w:val="center"/>
                    <w:rPr>
                      <w:rFonts w:hint="default" w:ascii="Times New Roman" w:hAnsi="Times New Roman" w:eastAsia="宋体" w:cs="Times New Roman"/>
                      <w:b w:val="0"/>
                      <w:bCs w:val="0"/>
                      <w:color w:val="auto"/>
                      <w:sz w:val="18"/>
                      <w:szCs w:val="18"/>
                      <w:highlight w:val="none"/>
                      <w:u w:val="none" w:color="auto"/>
                      <w:vertAlign w:val="baseline"/>
                      <w:lang w:val="en-US" w:eastAsia="zh-CN"/>
                    </w:rPr>
                  </w:pPr>
                  <w:r>
                    <w:rPr>
                      <w:rFonts w:hint="eastAsia"/>
                      <w:color w:val="auto"/>
                      <w:sz w:val="18"/>
                      <w:szCs w:val="18"/>
                      <w:highlight w:val="none"/>
                      <w:u w:val="none" w:color="auto"/>
                      <w:lang w:val="en-US" w:eastAsia="zh-CN"/>
                    </w:rPr>
                    <w:t>煤矸石堆棚</w:t>
                  </w:r>
                </w:p>
              </w:tc>
              <w:tc>
                <w:tcPr>
                  <w:tcW w:w="3140" w:type="dxa"/>
                  <w:tcBorders>
                    <w:tl2br w:val="nil"/>
                    <w:tr2bl w:val="nil"/>
                  </w:tcBorders>
                  <w:noWrap w:val="0"/>
                  <w:vAlign w:val="center"/>
                </w:tcPr>
                <w:p>
                  <w:pPr>
                    <w:spacing w:line="300" w:lineRule="exact"/>
                    <w:ind w:left="-53" w:leftChars="-25" w:right="-53" w:rightChars="-25"/>
                    <w:jc w:val="center"/>
                    <w:rPr>
                      <w:rFonts w:hint="default" w:ascii="Times New Roman" w:hAnsi="Times New Roman" w:eastAsia="宋体" w:cs="Times New Roman"/>
                      <w:b w:val="0"/>
                      <w:bCs w:val="0"/>
                      <w:color w:val="auto"/>
                      <w:sz w:val="18"/>
                      <w:szCs w:val="18"/>
                      <w:highlight w:val="none"/>
                      <w:u w:val="none" w:color="auto"/>
                      <w:vertAlign w:val="baseline"/>
                      <w:lang w:val="en-US" w:eastAsia="zh-CN"/>
                    </w:rPr>
                  </w:pPr>
                  <w:r>
                    <w:rPr>
                      <w:color w:val="auto"/>
                      <w:sz w:val="18"/>
                      <w:szCs w:val="18"/>
                      <w:highlight w:val="none"/>
                      <w:u w:val="none" w:color="auto"/>
                    </w:rPr>
                    <w:t>位于厂区</w:t>
                  </w:r>
                  <w:r>
                    <w:rPr>
                      <w:rFonts w:hint="eastAsia"/>
                      <w:color w:val="auto"/>
                      <w:sz w:val="18"/>
                      <w:szCs w:val="18"/>
                      <w:highlight w:val="none"/>
                      <w:u w:val="none" w:color="auto"/>
                      <w:lang w:val="en-US" w:eastAsia="zh-CN"/>
                    </w:rPr>
                    <w:t>东南</w:t>
                  </w:r>
                  <w:r>
                    <w:rPr>
                      <w:color w:val="auto"/>
                      <w:sz w:val="18"/>
                      <w:szCs w:val="18"/>
                      <w:highlight w:val="none"/>
                      <w:u w:val="none" w:color="auto"/>
                    </w:rPr>
                    <w:t>侧，占地</w:t>
                  </w:r>
                  <w:r>
                    <w:rPr>
                      <w:rFonts w:hint="eastAsia"/>
                      <w:color w:val="auto"/>
                      <w:sz w:val="18"/>
                      <w:szCs w:val="18"/>
                      <w:highlight w:val="none"/>
                      <w:u w:val="none" w:color="auto"/>
                      <w:lang w:val="en-US" w:eastAsia="zh-CN"/>
                    </w:rPr>
                    <w:t>20</w:t>
                  </w:r>
                  <w:r>
                    <w:rPr>
                      <w:color w:val="auto"/>
                      <w:sz w:val="18"/>
                      <w:szCs w:val="18"/>
                      <w:highlight w:val="none"/>
                      <w:u w:val="none" w:color="auto"/>
                    </w:rPr>
                    <w:t>00m</w:t>
                  </w:r>
                  <w:r>
                    <w:rPr>
                      <w:color w:val="auto"/>
                      <w:sz w:val="18"/>
                      <w:szCs w:val="18"/>
                      <w:highlight w:val="none"/>
                      <w:u w:val="none" w:color="auto"/>
                      <w:vertAlign w:val="superscript"/>
                    </w:rPr>
                    <w:t>2</w:t>
                  </w:r>
                  <w:r>
                    <w:rPr>
                      <w:color w:val="auto"/>
                      <w:sz w:val="18"/>
                      <w:szCs w:val="18"/>
                      <w:highlight w:val="none"/>
                      <w:u w:val="none" w:color="auto"/>
                    </w:rPr>
                    <w:t>，设</w:t>
                  </w:r>
                  <w:r>
                    <w:rPr>
                      <w:rFonts w:hint="eastAsia"/>
                      <w:color w:val="auto"/>
                      <w:sz w:val="18"/>
                      <w:szCs w:val="18"/>
                      <w:highlight w:val="none"/>
                      <w:u w:val="none" w:color="auto"/>
                      <w:lang w:eastAsia="zh-CN"/>
                    </w:rPr>
                    <w:t>三面围挡，设置门帘</w:t>
                  </w:r>
                  <w:r>
                    <w:rPr>
                      <w:color w:val="auto"/>
                      <w:sz w:val="18"/>
                      <w:szCs w:val="18"/>
                      <w:highlight w:val="none"/>
                      <w:u w:val="none" w:color="auto"/>
                    </w:rPr>
                    <w:t>，堆放</w:t>
                  </w:r>
                  <w:r>
                    <w:rPr>
                      <w:rFonts w:hint="eastAsia"/>
                      <w:color w:val="auto"/>
                      <w:sz w:val="18"/>
                      <w:szCs w:val="18"/>
                      <w:highlight w:val="none"/>
                      <w:u w:val="none" w:color="auto"/>
                      <w:lang w:val="en-US" w:eastAsia="zh-CN"/>
                    </w:rPr>
                    <w:t>煤矸石</w:t>
                  </w:r>
                </w:p>
              </w:tc>
              <w:tc>
                <w:tcPr>
                  <w:tcW w:w="1180" w:type="dxa"/>
                  <w:tcBorders>
                    <w:tl2br w:val="nil"/>
                    <w:tr2bl w:val="nil"/>
                  </w:tcBorders>
                  <w:noWrap w:val="0"/>
                  <w:vAlign w:val="center"/>
                </w:tcPr>
                <w:p>
                  <w:pPr>
                    <w:spacing w:line="300" w:lineRule="exact"/>
                    <w:ind w:left="-53" w:leftChars="-25" w:right="-53" w:rightChars="-25"/>
                    <w:jc w:val="center"/>
                    <w:rPr>
                      <w:rFonts w:hint="default" w:ascii="Times New Roman" w:hAnsi="Times New Roman" w:eastAsia="宋体" w:cs="Times New Roman"/>
                      <w:b w:val="0"/>
                      <w:bCs w:val="0"/>
                      <w:color w:val="auto"/>
                      <w:sz w:val="18"/>
                      <w:szCs w:val="18"/>
                      <w:highlight w:val="none"/>
                      <w:u w:val="none" w:color="auto"/>
                      <w:vertAlign w:val="baseline"/>
                      <w:lang w:val="en-US" w:eastAsia="zh-CN"/>
                    </w:rPr>
                  </w:pPr>
                  <w:r>
                    <w:rPr>
                      <w:color w:val="auto"/>
                      <w:sz w:val="18"/>
                      <w:szCs w:val="18"/>
                      <w:highlight w:val="none"/>
                      <w:u w:val="none" w:color="auto"/>
                    </w:rPr>
                    <w:t>粉尘、噪声</w:t>
                  </w:r>
                </w:p>
              </w:tc>
              <w:tc>
                <w:tcPr>
                  <w:tcW w:w="1180" w:type="dxa"/>
                  <w:tcBorders>
                    <w:tl2br w:val="nil"/>
                    <w:tr2bl w:val="nil"/>
                  </w:tcBorders>
                  <w:noWrap w:val="0"/>
                  <w:vAlign w:val="center"/>
                </w:tcPr>
                <w:p>
                  <w:pPr>
                    <w:spacing w:line="300" w:lineRule="exact"/>
                    <w:ind w:left="-53" w:leftChars="-25" w:right="-53" w:rightChars="-25"/>
                    <w:jc w:val="center"/>
                    <w:rPr>
                      <w:rFonts w:hint="default" w:ascii="Times New Roman" w:hAnsi="Times New Roman" w:eastAsia="宋体" w:cs="Times New Roman"/>
                      <w:b w:val="0"/>
                      <w:bCs w:val="0"/>
                      <w:color w:val="auto"/>
                      <w:sz w:val="18"/>
                      <w:szCs w:val="18"/>
                      <w:highlight w:val="none"/>
                      <w:u w:val="none" w:color="auto"/>
                      <w:vertAlign w:val="baseline"/>
                      <w:lang w:val="en-US" w:eastAsia="zh-CN"/>
                    </w:rPr>
                  </w:pPr>
                  <w:r>
                    <w:rPr>
                      <w:rFonts w:hint="eastAsia"/>
                      <w:color w:val="auto"/>
                      <w:sz w:val="18"/>
                      <w:szCs w:val="18"/>
                      <w:highlight w:val="none"/>
                      <w:u w:val="none" w:color="auto"/>
                      <w:lang w:eastAsia="zh-CN"/>
                    </w:rPr>
                    <w:t>新建</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83" w:hRule="atLeast"/>
              </w:trPr>
              <w:tc>
                <w:tcPr>
                  <w:tcW w:w="903"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18"/>
                      <w:szCs w:val="18"/>
                      <w:highlight w:val="none"/>
                      <w:u w:val="none" w:color="auto"/>
                      <w:vertAlign w:val="baseline"/>
                      <w:lang w:val="en-US" w:eastAsia="zh-CN"/>
                    </w:rPr>
                  </w:pPr>
                </w:p>
              </w:tc>
              <w:tc>
                <w:tcPr>
                  <w:tcW w:w="153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18"/>
                      <w:szCs w:val="18"/>
                      <w:highlight w:val="none"/>
                      <w:u w:val="none" w:color="auto"/>
                      <w:vertAlign w:val="baseline"/>
                      <w:lang w:val="en-US" w:eastAsia="zh-CN"/>
                    </w:rPr>
                  </w:pPr>
                  <w:r>
                    <w:rPr>
                      <w:rFonts w:hint="eastAsia" w:ascii="Times New Roman" w:hAnsi="Times New Roman" w:eastAsia="宋体" w:cs="Times New Roman"/>
                      <w:b w:val="0"/>
                      <w:bCs w:val="0"/>
                      <w:color w:val="auto"/>
                      <w:sz w:val="18"/>
                      <w:szCs w:val="18"/>
                      <w:highlight w:val="none"/>
                      <w:u w:val="none" w:color="auto"/>
                      <w:vertAlign w:val="baseline"/>
                      <w:lang w:val="en-US" w:eastAsia="zh-CN"/>
                    </w:rPr>
                    <w:t>一般固废贮存场</w:t>
                  </w:r>
                </w:p>
              </w:tc>
              <w:tc>
                <w:tcPr>
                  <w:tcW w:w="3140" w:type="dxa"/>
                  <w:tcBorders>
                    <w:tl2br w:val="nil"/>
                    <w:tr2bl w:val="nil"/>
                  </w:tcBorders>
                  <w:noWrap w:val="0"/>
                  <w:vAlign w:val="center"/>
                </w:tcPr>
                <w:p>
                  <w:pPr>
                    <w:spacing w:line="300" w:lineRule="exact"/>
                    <w:ind w:left="-53" w:leftChars="-25" w:right="-53" w:rightChars="-25"/>
                    <w:jc w:val="center"/>
                    <w:rPr>
                      <w:rFonts w:hint="default" w:ascii="Times New Roman" w:hAnsi="Times New Roman" w:eastAsia="宋体" w:cs="Times New Roman"/>
                      <w:b w:val="0"/>
                      <w:bCs w:val="0"/>
                      <w:color w:val="auto"/>
                      <w:sz w:val="18"/>
                      <w:szCs w:val="18"/>
                      <w:highlight w:val="none"/>
                      <w:u w:val="none" w:color="auto"/>
                      <w:vertAlign w:val="baseline"/>
                      <w:lang w:val="en-US" w:eastAsia="zh-CN"/>
                    </w:rPr>
                  </w:pPr>
                  <w:r>
                    <w:rPr>
                      <w:rFonts w:hint="eastAsia"/>
                      <w:color w:val="auto"/>
                      <w:sz w:val="18"/>
                      <w:szCs w:val="18"/>
                      <w:highlight w:val="none"/>
                      <w:u w:val="none" w:color="auto"/>
                      <w:lang w:val="en-US" w:eastAsia="zh-CN"/>
                    </w:rPr>
                    <w:t>位于厂区东南侧，与煤矸石堆棚共用一个车间，占地1000</w:t>
                  </w:r>
                  <w:r>
                    <w:rPr>
                      <w:color w:val="auto"/>
                      <w:sz w:val="18"/>
                      <w:szCs w:val="18"/>
                      <w:highlight w:val="none"/>
                      <w:u w:val="none" w:color="auto"/>
                    </w:rPr>
                    <w:t>m</w:t>
                  </w:r>
                  <w:r>
                    <w:rPr>
                      <w:color w:val="auto"/>
                      <w:sz w:val="18"/>
                      <w:szCs w:val="18"/>
                      <w:highlight w:val="none"/>
                      <w:u w:val="none" w:color="auto"/>
                      <w:vertAlign w:val="superscript"/>
                    </w:rPr>
                    <w:t>2</w:t>
                  </w:r>
                  <w:r>
                    <w:rPr>
                      <w:color w:val="auto"/>
                      <w:sz w:val="18"/>
                      <w:szCs w:val="18"/>
                      <w:highlight w:val="none"/>
                      <w:u w:val="none" w:color="auto"/>
                    </w:rPr>
                    <w:t>，</w:t>
                  </w:r>
                  <w:r>
                    <w:rPr>
                      <w:color w:val="auto"/>
                      <w:sz w:val="18"/>
                      <w:szCs w:val="18"/>
                      <w:highlight w:val="none"/>
                      <w:u w:val="single" w:color="auto"/>
                    </w:rPr>
                    <w:t>设</w:t>
                  </w:r>
                  <w:r>
                    <w:rPr>
                      <w:rFonts w:hint="eastAsia"/>
                      <w:color w:val="auto"/>
                      <w:sz w:val="18"/>
                      <w:szCs w:val="18"/>
                      <w:highlight w:val="none"/>
                      <w:u w:val="single" w:color="auto"/>
                      <w:lang w:eastAsia="zh-CN"/>
                    </w:rPr>
                    <w:t>三面围挡，设置门帘</w:t>
                  </w:r>
                  <w:r>
                    <w:rPr>
                      <w:color w:val="auto"/>
                      <w:sz w:val="18"/>
                      <w:szCs w:val="18"/>
                      <w:highlight w:val="none"/>
                      <w:u w:val="single" w:color="auto"/>
                    </w:rPr>
                    <w:t>，</w:t>
                  </w:r>
                  <w:r>
                    <w:rPr>
                      <w:rFonts w:hint="eastAsia"/>
                      <w:color w:val="auto"/>
                      <w:sz w:val="18"/>
                      <w:szCs w:val="18"/>
                      <w:highlight w:val="none"/>
                      <w:u w:val="single" w:color="auto"/>
                      <w:lang w:val="en-US" w:eastAsia="zh-CN"/>
                    </w:rPr>
                    <w:t>堆放一般固废周边设置边沟和集水池，场内采用单人工复合衬层作为防渗衬层（厚度不小于1.5mm的高密度聚乙烯膜、厚度不小于0.75m的粘土衬层，渗透系数不大于1.0×10-7cm/s。</w:t>
                  </w:r>
                  <w:r>
                    <w:rPr>
                      <w:rFonts w:hint="eastAsia"/>
                      <w:color w:val="auto"/>
                      <w:sz w:val="18"/>
                      <w:szCs w:val="18"/>
                      <w:highlight w:val="none"/>
                      <w:u w:val="none" w:color="auto"/>
                      <w:lang w:val="en-US" w:eastAsia="zh-CN"/>
                    </w:rPr>
                    <w:t>）</w:t>
                  </w:r>
                </w:p>
              </w:tc>
              <w:tc>
                <w:tcPr>
                  <w:tcW w:w="1180" w:type="dxa"/>
                  <w:tcBorders>
                    <w:tl2br w:val="nil"/>
                    <w:tr2bl w:val="nil"/>
                  </w:tcBorders>
                  <w:noWrap w:val="0"/>
                  <w:vAlign w:val="center"/>
                </w:tcPr>
                <w:p>
                  <w:pPr>
                    <w:spacing w:line="300" w:lineRule="exact"/>
                    <w:ind w:left="-53" w:leftChars="-25" w:right="-53" w:rightChars="-25"/>
                    <w:jc w:val="center"/>
                    <w:rPr>
                      <w:rFonts w:hint="default" w:ascii="Times New Roman" w:hAnsi="Times New Roman" w:eastAsia="宋体" w:cs="Times New Roman"/>
                      <w:b w:val="0"/>
                      <w:bCs w:val="0"/>
                      <w:color w:val="auto"/>
                      <w:sz w:val="18"/>
                      <w:szCs w:val="18"/>
                      <w:highlight w:val="none"/>
                      <w:u w:val="none" w:color="auto"/>
                      <w:vertAlign w:val="baseline"/>
                      <w:lang w:val="en-US" w:eastAsia="zh-CN"/>
                    </w:rPr>
                  </w:pPr>
                  <w:r>
                    <w:rPr>
                      <w:rFonts w:hint="eastAsia"/>
                      <w:color w:val="auto"/>
                      <w:sz w:val="18"/>
                      <w:szCs w:val="18"/>
                      <w:highlight w:val="none"/>
                      <w:u w:val="none" w:color="auto"/>
                      <w:lang w:val="en-US" w:eastAsia="zh-CN"/>
                    </w:rPr>
                    <w:t>粉尘、噪声</w:t>
                  </w:r>
                </w:p>
              </w:tc>
              <w:tc>
                <w:tcPr>
                  <w:tcW w:w="1180" w:type="dxa"/>
                  <w:tcBorders>
                    <w:tl2br w:val="nil"/>
                    <w:tr2bl w:val="nil"/>
                  </w:tcBorders>
                  <w:noWrap w:val="0"/>
                  <w:vAlign w:val="center"/>
                </w:tcPr>
                <w:p>
                  <w:pPr>
                    <w:spacing w:line="300" w:lineRule="exact"/>
                    <w:ind w:left="-53" w:leftChars="-25" w:right="-53" w:rightChars="-25"/>
                    <w:jc w:val="center"/>
                    <w:rPr>
                      <w:rFonts w:hint="eastAsia" w:ascii="Times New Roman" w:hAnsi="Times New Roman" w:eastAsia="宋体" w:cs="Times New Roman"/>
                      <w:b w:val="0"/>
                      <w:bCs w:val="0"/>
                      <w:color w:val="auto"/>
                      <w:sz w:val="18"/>
                      <w:szCs w:val="18"/>
                      <w:highlight w:val="none"/>
                      <w:u w:val="none" w:color="auto"/>
                      <w:vertAlign w:val="baseline"/>
                      <w:lang w:val="en-US" w:eastAsia="zh-CN"/>
                    </w:rPr>
                  </w:pPr>
                  <w:r>
                    <w:rPr>
                      <w:rFonts w:hint="eastAsia"/>
                      <w:color w:val="auto"/>
                      <w:sz w:val="18"/>
                      <w:szCs w:val="18"/>
                      <w:highlight w:val="none"/>
                      <w:u w:val="none" w:color="auto"/>
                      <w:lang w:val="en-US" w:eastAsia="zh-CN"/>
                    </w:rPr>
                    <w:t>新建</w:t>
                  </w:r>
                </w:p>
              </w:tc>
            </w:tr>
          </w:tbl>
          <w:p>
            <w:pPr>
              <w:spacing w:line="360" w:lineRule="auto"/>
              <w:ind w:firstLine="482" w:firstLineChars="200"/>
              <w:rPr>
                <w:b/>
                <w:bCs/>
                <w:color w:val="auto"/>
                <w:sz w:val="24"/>
                <w:highlight w:val="none"/>
                <w:u w:val="none" w:color="auto"/>
              </w:rPr>
            </w:pPr>
            <w:r>
              <w:rPr>
                <w:b/>
                <w:bCs/>
                <w:color w:val="auto"/>
                <w:sz w:val="24"/>
                <w:highlight w:val="none"/>
                <w:u w:val="none" w:color="auto"/>
              </w:rPr>
              <w:t>3、产品方案</w:t>
            </w:r>
          </w:p>
          <w:p>
            <w:pPr>
              <w:spacing w:line="360" w:lineRule="auto"/>
              <w:ind w:firstLine="480" w:firstLineChars="200"/>
              <w:rPr>
                <w:color w:val="auto"/>
                <w:sz w:val="24"/>
                <w:highlight w:val="none"/>
                <w:u w:val="none" w:color="auto"/>
              </w:rPr>
            </w:pPr>
            <w:r>
              <w:rPr>
                <w:rFonts w:hint="eastAsia"/>
                <w:color w:val="auto"/>
                <w:sz w:val="24"/>
                <w:highlight w:val="none"/>
                <w:u w:val="none" w:color="auto"/>
                <w:lang w:val="en-US" w:eastAsia="zh-CN"/>
              </w:rPr>
              <w:t>本次产品方案及产能与依托项目保持一致，仍为年产3000万块页岩砖，</w:t>
            </w:r>
            <w:r>
              <w:rPr>
                <w:color w:val="auto"/>
                <w:sz w:val="24"/>
                <w:highlight w:val="none"/>
                <w:u w:val="none" w:color="auto"/>
              </w:rPr>
              <w:t>项目产品方案如下：</w:t>
            </w:r>
          </w:p>
          <w:p>
            <w:pPr>
              <w:jc w:val="center"/>
              <w:rPr>
                <w:b/>
                <w:bCs/>
                <w:color w:val="auto"/>
                <w:szCs w:val="21"/>
                <w:highlight w:val="none"/>
                <w:u w:val="none" w:color="auto"/>
              </w:rPr>
            </w:pPr>
            <w:r>
              <w:rPr>
                <w:b/>
                <w:bCs/>
                <w:color w:val="auto"/>
                <w:szCs w:val="21"/>
                <w:highlight w:val="none"/>
                <w:u w:val="none" w:color="auto"/>
              </w:rPr>
              <w:t>表2-3项目产品方案（单位：万块标砖/年）</w:t>
            </w:r>
          </w:p>
          <w:tbl>
            <w:tblPr>
              <w:tblStyle w:val="31"/>
              <w:tblW w:w="744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46"/>
              <w:gridCol w:w="1633"/>
              <w:gridCol w:w="1318"/>
              <w:gridCol w:w="1485"/>
              <w:gridCol w:w="16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46" w:type="dxa"/>
                </w:tcPr>
                <w:p>
                  <w:pPr>
                    <w:jc w:val="center"/>
                    <w:rPr>
                      <w:rFonts w:hint="default" w:eastAsia="宋体"/>
                      <w:b/>
                      <w:bCs/>
                      <w:color w:val="auto"/>
                      <w:szCs w:val="21"/>
                      <w:highlight w:val="none"/>
                      <w:u w:val="none" w:color="auto"/>
                      <w:vertAlign w:val="baseline"/>
                      <w:lang w:val="en-US" w:eastAsia="zh-CN"/>
                    </w:rPr>
                  </w:pPr>
                  <w:r>
                    <w:rPr>
                      <w:rFonts w:hint="eastAsia"/>
                      <w:b/>
                      <w:bCs/>
                      <w:color w:val="auto"/>
                      <w:szCs w:val="21"/>
                      <w:highlight w:val="none"/>
                      <w:u w:val="none" w:color="auto"/>
                      <w:vertAlign w:val="baseline"/>
                      <w:lang w:val="en-US" w:eastAsia="zh-CN"/>
                    </w:rPr>
                    <w:t>产品名称</w:t>
                  </w:r>
                </w:p>
              </w:tc>
              <w:tc>
                <w:tcPr>
                  <w:tcW w:w="1633" w:type="dxa"/>
                </w:tcPr>
                <w:p>
                  <w:pPr>
                    <w:jc w:val="center"/>
                    <w:rPr>
                      <w:rFonts w:hint="eastAsia" w:eastAsia="宋体"/>
                      <w:b/>
                      <w:bCs/>
                      <w:color w:val="auto"/>
                      <w:szCs w:val="21"/>
                      <w:highlight w:val="none"/>
                      <w:u w:val="none" w:color="auto"/>
                      <w:vertAlign w:val="baseline"/>
                      <w:lang w:val="en-US" w:eastAsia="zh-CN"/>
                    </w:rPr>
                  </w:pPr>
                  <w:r>
                    <w:rPr>
                      <w:rFonts w:hint="eastAsia"/>
                      <w:b/>
                      <w:bCs/>
                      <w:color w:val="auto"/>
                      <w:szCs w:val="21"/>
                      <w:highlight w:val="none"/>
                      <w:u w:val="none" w:color="auto"/>
                      <w:vertAlign w:val="baseline"/>
                      <w:lang w:val="en-US" w:eastAsia="zh-CN"/>
                    </w:rPr>
                    <w:t>年产量（万块）</w:t>
                  </w:r>
                </w:p>
              </w:tc>
              <w:tc>
                <w:tcPr>
                  <w:tcW w:w="1318" w:type="dxa"/>
                </w:tcPr>
                <w:p>
                  <w:pPr>
                    <w:jc w:val="center"/>
                    <w:rPr>
                      <w:rFonts w:hint="default" w:eastAsia="宋体"/>
                      <w:b/>
                      <w:bCs/>
                      <w:color w:val="auto"/>
                      <w:szCs w:val="21"/>
                      <w:highlight w:val="none"/>
                      <w:u w:val="none" w:color="auto"/>
                      <w:vertAlign w:val="baseline"/>
                      <w:lang w:val="en-US" w:eastAsia="zh-CN"/>
                    </w:rPr>
                  </w:pPr>
                  <w:r>
                    <w:rPr>
                      <w:rFonts w:hint="eastAsia"/>
                      <w:b/>
                      <w:bCs/>
                      <w:color w:val="auto"/>
                      <w:szCs w:val="21"/>
                      <w:highlight w:val="none"/>
                      <w:u w:val="none" w:color="auto"/>
                      <w:vertAlign w:val="baseline"/>
                      <w:lang w:val="en-US" w:eastAsia="zh-CN"/>
                    </w:rPr>
                    <w:t>规格（mm）</w:t>
                  </w:r>
                </w:p>
              </w:tc>
              <w:tc>
                <w:tcPr>
                  <w:tcW w:w="1485" w:type="dxa"/>
                </w:tcPr>
                <w:p>
                  <w:pPr>
                    <w:jc w:val="center"/>
                    <w:rPr>
                      <w:rFonts w:hint="default" w:eastAsia="宋体"/>
                      <w:b/>
                      <w:bCs/>
                      <w:color w:val="auto"/>
                      <w:szCs w:val="21"/>
                      <w:highlight w:val="none"/>
                      <w:u w:val="none" w:color="auto"/>
                      <w:vertAlign w:val="baseline"/>
                      <w:lang w:val="en-US" w:eastAsia="zh-CN"/>
                    </w:rPr>
                  </w:pPr>
                  <w:r>
                    <w:rPr>
                      <w:rFonts w:hint="eastAsia"/>
                      <w:b/>
                      <w:bCs/>
                      <w:color w:val="auto"/>
                      <w:szCs w:val="21"/>
                      <w:highlight w:val="none"/>
                      <w:u w:val="none" w:color="auto"/>
                      <w:vertAlign w:val="baseline"/>
                      <w:lang w:val="en-US" w:eastAsia="zh-CN"/>
                    </w:rPr>
                    <w:t>与标砖折算比</w:t>
                  </w:r>
                </w:p>
              </w:tc>
              <w:tc>
                <w:tcPr>
                  <w:tcW w:w="1661" w:type="dxa"/>
                </w:tcPr>
                <w:p>
                  <w:pPr>
                    <w:jc w:val="center"/>
                    <w:rPr>
                      <w:rFonts w:hint="eastAsia" w:eastAsia="宋体"/>
                      <w:b/>
                      <w:bCs/>
                      <w:color w:val="auto"/>
                      <w:szCs w:val="21"/>
                      <w:highlight w:val="none"/>
                      <w:u w:val="none" w:color="auto"/>
                      <w:vertAlign w:val="baseline"/>
                      <w:lang w:val="en-US" w:eastAsia="zh-CN"/>
                    </w:rPr>
                  </w:pPr>
                  <w:r>
                    <w:rPr>
                      <w:rFonts w:hint="eastAsia"/>
                      <w:b/>
                      <w:bCs/>
                      <w:color w:val="auto"/>
                      <w:szCs w:val="21"/>
                      <w:highlight w:val="none"/>
                      <w:u w:val="none" w:color="auto"/>
                      <w:vertAlign w:val="baseline"/>
                      <w:lang w:val="en-US" w:eastAsia="zh-CN"/>
                    </w:rPr>
                    <w:t>折算量（万块）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46" w:type="dxa"/>
                  <w:vAlign w:val="center"/>
                </w:tcPr>
                <w:p>
                  <w:pPr>
                    <w:snapToGrid w:val="0"/>
                    <w:jc w:val="center"/>
                    <w:rPr>
                      <w:b w:val="0"/>
                      <w:bCs w:val="0"/>
                      <w:color w:val="auto"/>
                      <w:szCs w:val="21"/>
                      <w:highlight w:val="none"/>
                      <w:u w:val="none" w:color="auto"/>
                      <w:vertAlign w:val="baseline"/>
                    </w:rPr>
                  </w:pPr>
                  <w:r>
                    <w:rPr>
                      <w:rFonts w:hint="eastAsia"/>
                      <w:b w:val="0"/>
                      <w:bCs w:val="0"/>
                      <w:color w:val="auto"/>
                      <w:sz w:val="18"/>
                      <w:szCs w:val="18"/>
                      <w:highlight w:val="none"/>
                      <w:u w:val="none" w:color="auto"/>
                      <w:lang w:val="en-US" w:eastAsia="zh-CN"/>
                    </w:rPr>
                    <w:t>多孔砖</w:t>
                  </w:r>
                </w:p>
              </w:tc>
              <w:tc>
                <w:tcPr>
                  <w:tcW w:w="1633" w:type="dxa"/>
                </w:tcPr>
                <w:p>
                  <w:pPr>
                    <w:jc w:val="center"/>
                    <w:rPr>
                      <w:rFonts w:hint="default" w:eastAsia="宋体"/>
                      <w:b w:val="0"/>
                      <w:bCs w:val="0"/>
                      <w:color w:val="auto"/>
                      <w:szCs w:val="21"/>
                      <w:highlight w:val="none"/>
                      <w:u w:val="none" w:color="auto"/>
                      <w:vertAlign w:val="baseline"/>
                      <w:lang w:val="en-US" w:eastAsia="zh-CN"/>
                    </w:rPr>
                  </w:pPr>
                  <w:r>
                    <w:rPr>
                      <w:rFonts w:hint="eastAsia"/>
                      <w:b w:val="0"/>
                      <w:bCs w:val="0"/>
                      <w:color w:val="auto"/>
                      <w:szCs w:val="21"/>
                      <w:highlight w:val="none"/>
                      <w:u w:val="none" w:color="auto"/>
                      <w:vertAlign w:val="baseline"/>
                      <w:lang w:val="en-US" w:eastAsia="zh-CN"/>
                    </w:rPr>
                    <w:t>2000</w:t>
                  </w:r>
                </w:p>
              </w:tc>
              <w:tc>
                <w:tcPr>
                  <w:tcW w:w="1318" w:type="dxa"/>
                  <w:vAlign w:val="center"/>
                </w:tcPr>
                <w:p>
                  <w:pPr>
                    <w:jc w:val="center"/>
                    <w:rPr>
                      <w:b w:val="0"/>
                      <w:bCs w:val="0"/>
                      <w:color w:val="auto"/>
                      <w:szCs w:val="21"/>
                      <w:highlight w:val="none"/>
                      <w:u w:val="none" w:color="auto"/>
                      <w:vertAlign w:val="baseline"/>
                    </w:rPr>
                  </w:pPr>
                  <w:r>
                    <w:rPr>
                      <w:b w:val="0"/>
                      <w:bCs w:val="0"/>
                      <w:color w:val="auto"/>
                      <w:sz w:val="18"/>
                      <w:szCs w:val="18"/>
                      <w:highlight w:val="none"/>
                      <w:u w:val="none" w:color="auto"/>
                    </w:rPr>
                    <w:t>240×115×53</w:t>
                  </w:r>
                </w:p>
              </w:tc>
              <w:tc>
                <w:tcPr>
                  <w:tcW w:w="1485" w:type="dxa"/>
                </w:tcPr>
                <w:p>
                  <w:pPr>
                    <w:jc w:val="center"/>
                    <w:rPr>
                      <w:rFonts w:hint="default" w:eastAsia="宋体"/>
                      <w:b w:val="0"/>
                      <w:bCs w:val="0"/>
                      <w:color w:val="auto"/>
                      <w:szCs w:val="21"/>
                      <w:highlight w:val="none"/>
                      <w:u w:val="none" w:color="auto"/>
                      <w:vertAlign w:val="baseline"/>
                      <w:lang w:val="en-US" w:eastAsia="zh-CN"/>
                    </w:rPr>
                  </w:pPr>
                  <w:r>
                    <w:rPr>
                      <w:rFonts w:hint="eastAsia"/>
                      <w:b w:val="0"/>
                      <w:bCs w:val="0"/>
                      <w:color w:val="auto"/>
                      <w:szCs w:val="21"/>
                      <w:highlight w:val="none"/>
                      <w:u w:val="none" w:color="auto"/>
                      <w:vertAlign w:val="baseline"/>
                      <w:lang w:val="en-US" w:eastAsia="zh-CN"/>
                    </w:rPr>
                    <w:t>1:1</w:t>
                  </w:r>
                </w:p>
              </w:tc>
              <w:tc>
                <w:tcPr>
                  <w:tcW w:w="1661" w:type="dxa"/>
                </w:tcPr>
                <w:p>
                  <w:pPr>
                    <w:jc w:val="center"/>
                    <w:rPr>
                      <w:rFonts w:hint="default" w:eastAsia="宋体"/>
                      <w:b w:val="0"/>
                      <w:bCs w:val="0"/>
                      <w:color w:val="auto"/>
                      <w:szCs w:val="21"/>
                      <w:highlight w:val="none"/>
                      <w:u w:val="none" w:color="auto"/>
                      <w:vertAlign w:val="baseline"/>
                      <w:lang w:val="en-US" w:eastAsia="zh-CN"/>
                    </w:rPr>
                  </w:pPr>
                  <w:r>
                    <w:rPr>
                      <w:rFonts w:hint="eastAsia"/>
                      <w:b w:val="0"/>
                      <w:bCs w:val="0"/>
                      <w:color w:val="auto"/>
                      <w:szCs w:val="21"/>
                      <w:highlight w:val="none"/>
                      <w:u w:val="none" w:color="auto"/>
                      <w:vertAlign w:val="baseline"/>
                      <w:lang w:val="en-US" w:eastAsia="zh-CN"/>
                    </w:rPr>
                    <w:t>2000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46" w:type="dxa"/>
                  <w:vAlign w:val="center"/>
                </w:tcPr>
                <w:p>
                  <w:pPr>
                    <w:snapToGrid w:val="0"/>
                    <w:jc w:val="center"/>
                    <w:rPr>
                      <w:b w:val="0"/>
                      <w:bCs w:val="0"/>
                      <w:color w:val="auto"/>
                      <w:szCs w:val="21"/>
                      <w:highlight w:val="none"/>
                      <w:u w:val="none" w:color="auto"/>
                      <w:vertAlign w:val="baseline"/>
                    </w:rPr>
                  </w:pPr>
                  <w:r>
                    <w:rPr>
                      <w:b w:val="0"/>
                      <w:bCs w:val="0"/>
                      <w:color w:val="auto"/>
                      <w:sz w:val="18"/>
                      <w:szCs w:val="18"/>
                      <w:highlight w:val="none"/>
                      <w:u w:val="none" w:color="auto"/>
                    </w:rPr>
                    <w:t>实心砖</w:t>
                  </w:r>
                </w:p>
              </w:tc>
              <w:tc>
                <w:tcPr>
                  <w:tcW w:w="1633" w:type="dxa"/>
                </w:tcPr>
                <w:p>
                  <w:pPr>
                    <w:jc w:val="center"/>
                    <w:rPr>
                      <w:rFonts w:hint="default" w:eastAsia="宋体"/>
                      <w:b w:val="0"/>
                      <w:bCs w:val="0"/>
                      <w:color w:val="auto"/>
                      <w:szCs w:val="21"/>
                      <w:highlight w:val="none"/>
                      <w:u w:val="none" w:color="auto"/>
                      <w:vertAlign w:val="baseline"/>
                      <w:lang w:val="en-US" w:eastAsia="zh-CN"/>
                    </w:rPr>
                  </w:pPr>
                  <w:r>
                    <w:rPr>
                      <w:rFonts w:hint="eastAsia"/>
                      <w:b w:val="0"/>
                      <w:bCs w:val="0"/>
                      <w:color w:val="auto"/>
                      <w:szCs w:val="21"/>
                      <w:highlight w:val="none"/>
                      <w:u w:val="none" w:color="auto"/>
                      <w:vertAlign w:val="baseline"/>
                      <w:lang w:val="en-US" w:eastAsia="zh-CN"/>
                    </w:rPr>
                    <w:t>357</w:t>
                  </w:r>
                </w:p>
              </w:tc>
              <w:tc>
                <w:tcPr>
                  <w:tcW w:w="1318" w:type="dxa"/>
                  <w:vAlign w:val="center"/>
                </w:tcPr>
                <w:p>
                  <w:pPr>
                    <w:jc w:val="center"/>
                    <w:rPr>
                      <w:b w:val="0"/>
                      <w:bCs w:val="0"/>
                      <w:color w:val="auto"/>
                      <w:szCs w:val="21"/>
                      <w:highlight w:val="none"/>
                      <w:u w:val="none" w:color="auto"/>
                      <w:vertAlign w:val="baseline"/>
                    </w:rPr>
                  </w:pPr>
                  <w:r>
                    <w:rPr>
                      <w:b w:val="0"/>
                      <w:bCs w:val="0"/>
                      <w:color w:val="auto"/>
                      <w:sz w:val="18"/>
                      <w:szCs w:val="18"/>
                      <w:highlight w:val="none"/>
                      <w:u w:val="none" w:color="auto"/>
                    </w:rPr>
                    <w:t>240×1</w:t>
                  </w:r>
                  <w:r>
                    <w:rPr>
                      <w:rFonts w:hint="eastAsia"/>
                      <w:b w:val="0"/>
                      <w:bCs w:val="0"/>
                      <w:color w:val="auto"/>
                      <w:sz w:val="18"/>
                      <w:szCs w:val="18"/>
                      <w:highlight w:val="none"/>
                      <w:u w:val="none" w:color="auto"/>
                      <w:lang w:val="en-US" w:eastAsia="zh-CN"/>
                    </w:rPr>
                    <w:t>90</w:t>
                  </w:r>
                  <w:r>
                    <w:rPr>
                      <w:b w:val="0"/>
                      <w:bCs w:val="0"/>
                      <w:color w:val="auto"/>
                      <w:sz w:val="18"/>
                      <w:szCs w:val="18"/>
                      <w:highlight w:val="none"/>
                      <w:u w:val="none" w:color="auto"/>
                    </w:rPr>
                    <w:t>×</w:t>
                  </w:r>
                  <w:r>
                    <w:rPr>
                      <w:rFonts w:hint="eastAsia"/>
                      <w:b w:val="0"/>
                      <w:bCs w:val="0"/>
                      <w:color w:val="auto"/>
                      <w:sz w:val="18"/>
                      <w:szCs w:val="18"/>
                      <w:highlight w:val="none"/>
                      <w:u w:val="none" w:color="auto"/>
                      <w:lang w:val="en-US" w:eastAsia="zh-CN"/>
                    </w:rPr>
                    <w:t>90</w:t>
                  </w:r>
                </w:p>
              </w:tc>
              <w:tc>
                <w:tcPr>
                  <w:tcW w:w="1485" w:type="dxa"/>
                </w:tcPr>
                <w:p>
                  <w:pPr>
                    <w:jc w:val="center"/>
                    <w:rPr>
                      <w:rFonts w:hint="default" w:eastAsia="宋体"/>
                      <w:b w:val="0"/>
                      <w:bCs w:val="0"/>
                      <w:color w:val="auto"/>
                      <w:szCs w:val="21"/>
                      <w:highlight w:val="none"/>
                      <w:u w:val="none" w:color="auto"/>
                      <w:vertAlign w:val="baseline"/>
                      <w:lang w:val="en-US" w:eastAsia="zh-CN"/>
                    </w:rPr>
                  </w:pPr>
                  <w:r>
                    <w:rPr>
                      <w:rFonts w:hint="eastAsia"/>
                      <w:b w:val="0"/>
                      <w:bCs w:val="0"/>
                      <w:color w:val="auto"/>
                      <w:szCs w:val="21"/>
                      <w:highlight w:val="none"/>
                      <w:u w:val="none" w:color="auto"/>
                      <w:vertAlign w:val="baseline"/>
                      <w:lang w:val="en-US" w:eastAsia="zh-CN"/>
                    </w:rPr>
                    <w:t>1:2.8</w:t>
                  </w:r>
                </w:p>
              </w:tc>
              <w:tc>
                <w:tcPr>
                  <w:tcW w:w="1661" w:type="dxa"/>
                </w:tcPr>
                <w:p>
                  <w:pPr>
                    <w:jc w:val="center"/>
                    <w:rPr>
                      <w:rFonts w:hint="default" w:eastAsia="宋体"/>
                      <w:b w:val="0"/>
                      <w:bCs w:val="0"/>
                      <w:color w:val="auto"/>
                      <w:szCs w:val="21"/>
                      <w:highlight w:val="none"/>
                      <w:u w:val="none" w:color="auto"/>
                      <w:vertAlign w:val="baseline"/>
                      <w:lang w:val="en-US" w:eastAsia="zh-CN"/>
                    </w:rPr>
                  </w:pPr>
                  <w:r>
                    <w:rPr>
                      <w:rFonts w:hint="eastAsia"/>
                      <w:b w:val="0"/>
                      <w:bCs w:val="0"/>
                      <w:color w:val="auto"/>
                      <w:szCs w:val="21"/>
                      <w:highlight w:val="none"/>
                      <w:u w:val="none" w:color="auto"/>
                      <w:vertAlign w:val="baseline"/>
                      <w:lang w:val="en-US" w:eastAsia="zh-CN"/>
                    </w:rPr>
                    <w:t>1000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46" w:type="dxa"/>
                </w:tcPr>
                <w:p>
                  <w:pPr>
                    <w:jc w:val="center"/>
                    <w:rPr>
                      <w:rFonts w:hint="eastAsia" w:eastAsia="宋体"/>
                      <w:b w:val="0"/>
                      <w:bCs w:val="0"/>
                      <w:color w:val="auto"/>
                      <w:szCs w:val="21"/>
                      <w:highlight w:val="none"/>
                      <w:u w:val="none" w:color="auto"/>
                      <w:vertAlign w:val="baseline"/>
                      <w:lang w:val="en-US" w:eastAsia="zh-CN"/>
                    </w:rPr>
                  </w:pPr>
                  <w:r>
                    <w:rPr>
                      <w:rFonts w:hint="eastAsia"/>
                      <w:b w:val="0"/>
                      <w:bCs w:val="0"/>
                      <w:color w:val="auto"/>
                      <w:szCs w:val="21"/>
                      <w:highlight w:val="none"/>
                      <w:u w:val="none" w:color="auto"/>
                      <w:vertAlign w:val="baseline"/>
                      <w:lang w:val="en-US" w:eastAsia="zh-CN"/>
                    </w:rPr>
                    <w:t>合计</w:t>
                  </w:r>
                </w:p>
              </w:tc>
              <w:tc>
                <w:tcPr>
                  <w:tcW w:w="1633" w:type="dxa"/>
                </w:tcPr>
                <w:p>
                  <w:pPr>
                    <w:jc w:val="center"/>
                    <w:rPr>
                      <w:rFonts w:hint="default" w:eastAsia="宋体"/>
                      <w:b w:val="0"/>
                      <w:bCs w:val="0"/>
                      <w:color w:val="auto"/>
                      <w:szCs w:val="21"/>
                      <w:highlight w:val="none"/>
                      <w:u w:val="none" w:color="auto"/>
                      <w:vertAlign w:val="baseline"/>
                      <w:lang w:val="en-US" w:eastAsia="zh-CN"/>
                    </w:rPr>
                  </w:pPr>
                  <w:r>
                    <w:rPr>
                      <w:rFonts w:hint="eastAsia"/>
                      <w:b w:val="0"/>
                      <w:bCs w:val="0"/>
                      <w:color w:val="auto"/>
                      <w:szCs w:val="21"/>
                      <w:highlight w:val="none"/>
                      <w:u w:val="none" w:color="auto"/>
                      <w:vertAlign w:val="baseline"/>
                      <w:lang w:val="en-US" w:eastAsia="zh-CN"/>
                    </w:rPr>
                    <w:t>2357</w:t>
                  </w:r>
                </w:p>
              </w:tc>
              <w:tc>
                <w:tcPr>
                  <w:tcW w:w="1318" w:type="dxa"/>
                </w:tcPr>
                <w:p>
                  <w:pPr>
                    <w:jc w:val="center"/>
                    <w:rPr>
                      <w:rFonts w:hint="eastAsia" w:eastAsia="宋体"/>
                      <w:b w:val="0"/>
                      <w:bCs w:val="0"/>
                      <w:color w:val="auto"/>
                      <w:szCs w:val="21"/>
                      <w:highlight w:val="none"/>
                      <w:u w:val="none" w:color="auto"/>
                      <w:vertAlign w:val="baseline"/>
                      <w:lang w:val="en-US" w:eastAsia="zh-CN"/>
                    </w:rPr>
                  </w:pPr>
                  <w:r>
                    <w:rPr>
                      <w:rFonts w:hint="eastAsia"/>
                      <w:b w:val="0"/>
                      <w:bCs w:val="0"/>
                      <w:color w:val="auto"/>
                      <w:szCs w:val="21"/>
                      <w:highlight w:val="none"/>
                      <w:u w:val="none" w:color="auto"/>
                      <w:vertAlign w:val="baseline"/>
                      <w:lang w:val="en-US" w:eastAsia="zh-CN"/>
                    </w:rPr>
                    <w:t>/</w:t>
                  </w:r>
                </w:p>
              </w:tc>
              <w:tc>
                <w:tcPr>
                  <w:tcW w:w="1485" w:type="dxa"/>
                </w:tcPr>
                <w:p>
                  <w:pPr>
                    <w:jc w:val="center"/>
                    <w:rPr>
                      <w:rFonts w:hint="eastAsia" w:eastAsia="宋体"/>
                      <w:b w:val="0"/>
                      <w:bCs w:val="0"/>
                      <w:color w:val="auto"/>
                      <w:szCs w:val="21"/>
                      <w:highlight w:val="none"/>
                      <w:u w:val="none" w:color="auto"/>
                      <w:vertAlign w:val="baseline"/>
                      <w:lang w:val="en-US" w:eastAsia="zh-CN"/>
                    </w:rPr>
                  </w:pPr>
                  <w:r>
                    <w:rPr>
                      <w:rFonts w:hint="eastAsia"/>
                      <w:b w:val="0"/>
                      <w:bCs w:val="0"/>
                      <w:color w:val="auto"/>
                      <w:szCs w:val="21"/>
                      <w:highlight w:val="none"/>
                      <w:u w:val="none" w:color="auto"/>
                      <w:vertAlign w:val="baseline"/>
                      <w:lang w:val="en-US" w:eastAsia="zh-CN"/>
                    </w:rPr>
                    <w:t>/</w:t>
                  </w:r>
                </w:p>
              </w:tc>
              <w:tc>
                <w:tcPr>
                  <w:tcW w:w="1661" w:type="dxa"/>
                </w:tcPr>
                <w:p>
                  <w:pPr>
                    <w:jc w:val="center"/>
                    <w:rPr>
                      <w:rFonts w:hint="default" w:eastAsia="宋体"/>
                      <w:b w:val="0"/>
                      <w:bCs w:val="0"/>
                      <w:color w:val="auto"/>
                      <w:szCs w:val="21"/>
                      <w:highlight w:val="none"/>
                      <w:u w:val="none" w:color="auto"/>
                      <w:vertAlign w:val="baseline"/>
                      <w:lang w:val="en-US" w:eastAsia="zh-CN"/>
                    </w:rPr>
                  </w:pPr>
                  <w:r>
                    <w:rPr>
                      <w:rFonts w:hint="eastAsia"/>
                      <w:b w:val="0"/>
                      <w:bCs w:val="0"/>
                      <w:color w:val="auto"/>
                      <w:szCs w:val="21"/>
                      <w:highlight w:val="none"/>
                      <w:u w:val="none" w:color="auto"/>
                      <w:vertAlign w:val="baseline"/>
                      <w:lang w:val="en-US" w:eastAsia="zh-CN"/>
                    </w:rPr>
                    <w:t>3000</w:t>
                  </w:r>
                </w:p>
              </w:tc>
            </w:tr>
          </w:tbl>
          <w:p>
            <w:pPr>
              <w:jc w:val="both"/>
              <w:rPr>
                <w:b/>
                <w:bCs/>
                <w:color w:val="auto"/>
                <w:szCs w:val="21"/>
                <w:highlight w:val="none"/>
                <w:u w:val="none" w:color="auto"/>
              </w:rPr>
            </w:pPr>
          </w:p>
          <w:p>
            <w:pPr>
              <w:spacing w:line="360" w:lineRule="auto"/>
              <w:ind w:firstLine="480" w:firstLineChars="200"/>
              <w:rPr>
                <w:rFonts w:hint="default" w:ascii="Times New Roman" w:hAnsi="Times New Roman" w:cs="Times New Roman"/>
                <w:color w:val="auto"/>
                <w:sz w:val="24"/>
                <w:highlight w:val="none"/>
                <w:u w:val="none" w:color="auto"/>
              </w:rPr>
            </w:pPr>
            <w:r>
              <w:rPr>
                <w:rFonts w:hint="default" w:ascii="Times New Roman" w:hAnsi="Times New Roman" w:cs="Times New Roman"/>
                <w:color w:val="auto"/>
                <w:sz w:val="24"/>
                <w:highlight w:val="none"/>
                <w:u w:val="none" w:color="auto"/>
              </w:rPr>
              <w:t>产品质量标准执行《烧结普通砖》（GB/T5101-2017）。</w:t>
            </w:r>
          </w:p>
          <w:p>
            <w:pPr>
              <w:spacing w:line="360" w:lineRule="auto"/>
              <w:ind w:firstLine="482" w:firstLineChars="200"/>
              <w:rPr>
                <w:b/>
                <w:bCs/>
                <w:color w:val="auto"/>
                <w:sz w:val="24"/>
                <w:highlight w:val="none"/>
                <w:u w:val="none" w:color="auto"/>
              </w:rPr>
            </w:pPr>
            <w:r>
              <w:rPr>
                <w:b/>
                <w:bCs/>
                <w:color w:val="auto"/>
                <w:sz w:val="24"/>
                <w:highlight w:val="none"/>
                <w:u w:val="none" w:color="auto"/>
              </w:rPr>
              <w:t>4、主要设备</w:t>
            </w:r>
          </w:p>
          <w:p>
            <w:pPr>
              <w:pStyle w:val="24"/>
              <w:spacing w:after="0" w:line="360" w:lineRule="auto"/>
              <w:ind w:left="0" w:leftChars="0" w:firstLine="465"/>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rPr>
              <w:t>项目主要设备见表2-4。</w:t>
            </w:r>
          </w:p>
          <w:p>
            <w:pPr>
              <w:jc w:val="center"/>
              <w:rPr>
                <w:b/>
                <w:bCs/>
                <w:color w:val="auto"/>
                <w:szCs w:val="21"/>
                <w:highlight w:val="none"/>
                <w:u w:val="single" w:color="auto"/>
              </w:rPr>
            </w:pPr>
            <w:r>
              <w:rPr>
                <w:b/>
                <w:bCs/>
                <w:color w:val="auto"/>
                <w:szCs w:val="21"/>
                <w:highlight w:val="none"/>
                <w:u w:val="single" w:color="auto"/>
              </w:rPr>
              <w:t>表2-4</w:t>
            </w:r>
            <w:r>
              <w:rPr>
                <w:rFonts w:hint="eastAsia"/>
                <w:b/>
                <w:bCs/>
                <w:color w:val="auto"/>
                <w:szCs w:val="21"/>
                <w:highlight w:val="none"/>
                <w:u w:val="single" w:color="auto"/>
                <w:lang w:val="en-US" w:eastAsia="zh-CN"/>
              </w:rPr>
              <w:t>项目</w:t>
            </w:r>
            <w:r>
              <w:rPr>
                <w:b/>
                <w:bCs/>
                <w:color w:val="auto"/>
                <w:szCs w:val="21"/>
                <w:highlight w:val="none"/>
                <w:u w:val="single" w:color="auto"/>
              </w:rPr>
              <w:t>主要设备一览表</w:t>
            </w:r>
          </w:p>
          <w:p>
            <w:pPr>
              <w:jc w:val="center"/>
              <w:rPr>
                <w:b/>
                <w:bCs/>
                <w:color w:val="auto"/>
                <w:szCs w:val="21"/>
                <w:highlight w:val="none"/>
                <w:u w:val="single" w:color="auto"/>
              </w:rPr>
            </w:pPr>
          </w:p>
          <w:tbl>
            <w:tblPr>
              <w:tblStyle w:val="30"/>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15"/>
              <w:gridCol w:w="1680"/>
              <w:gridCol w:w="1560"/>
              <w:gridCol w:w="1325"/>
              <w:gridCol w:w="113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40" w:hRule="atLeast"/>
                <w:jc w:val="center"/>
              </w:trPr>
              <w:tc>
                <w:tcPr>
                  <w:tcW w:w="615" w:type="dxa"/>
                  <w:noWrap w:val="0"/>
                  <w:vAlign w:val="center"/>
                </w:tcPr>
                <w:p>
                  <w:pPr>
                    <w:snapToGrid w:val="0"/>
                    <w:jc w:val="center"/>
                    <w:rPr>
                      <w:color w:val="auto"/>
                      <w:sz w:val="18"/>
                      <w:szCs w:val="18"/>
                      <w:highlight w:val="none"/>
                      <w:u w:val="single" w:color="auto"/>
                    </w:rPr>
                  </w:pPr>
                  <w:r>
                    <w:rPr>
                      <w:color w:val="auto"/>
                      <w:sz w:val="18"/>
                      <w:szCs w:val="18"/>
                      <w:highlight w:val="none"/>
                      <w:u w:val="single" w:color="auto"/>
                    </w:rPr>
                    <w:t>序号</w:t>
                  </w:r>
                </w:p>
              </w:tc>
              <w:tc>
                <w:tcPr>
                  <w:tcW w:w="1680" w:type="dxa"/>
                  <w:tcBorders>
                    <w:right w:val="single" w:color="000000" w:sz="4" w:space="0"/>
                  </w:tcBorders>
                  <w:noWrap w:val="0"/>
                  <w:vAlign w:val="center"/>
                </w:tcPr>
                <w:p>
                  <w:pPr>
                    <w:snapToGrid w:val="0"/>
                    <w:jc w:val="center"/>
                    <w:rPr>
                      <w:color w:val="auto"/>
                      <w:sz w:val="18"/>
                      <w:szCs w:val="18"/>
                      <w:highlight w:val="none"/>
                      <w:u w:val="single" w:color="auto"/>
                    </w:rPr>
                  </w:pPr>
                  <w:r>
                    <w:rPr>
                      <w:color w:val="auto"/>
                      <w:sz w:val="18"/>
                      <w:szCs w:val="18"/>
                      <w:highlight w:val="none"/>
                      <w:u w:val="single" w:color="auto"/>
                    </w:rPr>
                    <w:t>设备名称</w:t>
                  </w:r>
                </w:p>
              </w:tc>
              <w:tc>
                <w:tcPr>
                  <w:tcW w:w="1560" w:type="dxa"/>
                  <w:tcBorders>
                    <w:left w:val="single" w:color="000000" w:sz="4" w:space="0"/>
                    <w:right w:val="single" w:color="000000" w:sz="4" w:space="0"/>
                  </w:tcBorders>
                  <w:noWrap w:val="0"/>
                  <w:vAlign w:val="center"/>
                </w:tcPr>
                <w:p>
                  <w:pPr>
                    <w:snapToGrid w:val="0"/>
                    <w:jc w:val="center"/>
                    <w:rPr>
                      <w:color w:val="auto"/>
                      <w:sz w:val="18"/>
                      <w:szCs w:val="18"/>
                      <w:highlight w:val="none"/>
                      <w:u w:val="single" w:color="auto"/>
                    </w:rPr>
                  </w:pPr>
                  <w:r>
                    <w:rPr>
                      <w:color w:val="auto"/>
                      <w:sz w:val="18"/>
                      <w:szCs w:val="18"/>
                      <w:highlight w:val="none"/>
                      <w:u w:val="single" w:color="auto"/>
                    </w:rPr>
                    <w:t>型号/规格</w:t>
                  </w:r>
                </w:p>
              </w:tc>
              <w:tc>
                <w:tcPr>
                  <w:tcW w:w="1325" w:type="dxa"/>
                  <w:tcBorders>
                    <w:left w:val="single" w:color="000000" w:sz="4" w:space="0"/>
                  </w:tcBorders>
                  <w:noWrap w:val="0"/>
                  <w:vAlign w:val="center"/>
                </w:tcPr>
                <w:p>
                  <w:pPr>
                    <w:snapToGrid w:val="0"/>
                    <w:jc w:val="center"/>
                    <w:rPr>
                      <w:color w:val="auto"/>
                      <w:sz w:val="18"/>
                      <w:szCs w:val="18"/>
                      <w:highlight w:val="none"/>
                      <w:u w:val="single" w:color="auto"/>
                    </w:rPr>
                  </w:pPr>
                  <w:r>
                    <w:rPr>
                      <w:color w:val="auto"/>
                      <w:sz w:val="18"/>
                      <w:szCs w:val="18"/>
                      <w:highlight w:val="none"/>
                      <w:u w:val="single" w:color="auto"/>
                    </w:rPr>
                    <w:t>项目数量</w:t>
                  </w:r>
                </w:p>
              </w:tc>
              <w:tc>
                <w:tcPr>
                  <w:tcW w:w="1136" w:type="dxa"/>
                  <w:noWrap w:val="0"/>
                  <w:vAlign w:val="center"/>
                </w:tcPr>
                <w:p>
                  <w:pPr>
                    <w:snapToGrid w:val="0"/>
                    <w:jc w:val="center"/>
                    <w:rPr>
                      <w:color w:val="auto"/>
                      <w:sz w:val="18"/>
                      <w:szCs w:val="18"/>
                      <w:highlight w:val="none"/>
                      <w:u w:val="single" w:color="auto"/>
                    </w:rPr>
                  </w:pPr>
                  <w:r>
                    <w:rPr>
                      <w:color w:val="auto"/>
                      <w:sz w:val="18"/>
                      <w:szCs w:val="18"/>
                      <w:highlight w:val="none"/>
                      <w:u w:val="single" w:color="auto"/>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5" w:type="dxa"/>
                  <w:noWrap w:val="0"/>
                  <w:vAlign w:val="center"/>
                </w:tcPr>
                <w:p>
                  <w:pPr>
                    <w:snapToGrid w:val="0"/>
                    <w:jc w:val="center"/>
                    <w:rPr>
                      <w:rFonts w:hint="eastAsia" w:eastAsia="宋体"/>
                      <w:color w:val="auto"/>
                      <w:sz w:val="18"/>
                      <w:szCs w:val="18"/>
                      <w:highlight w:val="none"/>
                      <w:u w:val="single" w:color="auto"/>
                      <w:lang w:val="en-US" w:eastAsia="zh-CN"/>
                    </w:rPr>
                  </w:pPr>
                  <w:r>
                    <w:rPr>
                      <w:rFonts w:hint="eastAsia"/>
                      <w:color w:val="auto"/>
                      <w:sz w:val="18"/>
                      <w:szCs w:val="18"/>
                      <w:highlight w:val="none"/>
                      <w:u w:val="single" w:color="auto"/>
                      <w:lang w:val="en-US" w:eastAsia="zh-CN"/>
                    </w:rPr>
                    <w:t>1</w:t>
                  </w:r>
                </w:p>
              </w:tc>
              <w:tc>
                <w:tcPr>
                  <w:tcW w:w="1680" w:type="dxa"/>
                  <w:tcBorders>
                    <w:right w:val="single" w:color="000000" w:sz="4" w:space="0"/>
                  </w:tcBorders>
                  <w:noWrap w:val="0"/>
                  <w:vAlign w:val="center"/>
                </w:tcPr>
                <w:p>
                  <w:pPr>
                    <w:ind w:right="-113"/>
                    <w:jc w:val="center"/>
                    <w:rPr>
                      <w:rFonts w:hint="default" w:ascii="Times New Roman" w:hAnsi="Times New Roman" w:cs="Times New Roman"/>
                      <w:color w:val="auto"/>
                      <w:sz w:val="18"/>
                      <w:szCs w:val="18"/>
                      <w:highlight w:val="none"/>
                      <w:u w:val="single" w:color="auto"/>
                      <w:lang w:val="en-US" w:eastAsia="zh-CN"/>
                    </w:rPr>
                  </w:pPr>
                  <w:r>
                    <w:rPr>
                      <w:rFonts w:hint="eastAsia" w:cs="Times New Roman"/>
                      <w:color w:val="auto"/>
                      <w:sz w:val="18"/>
                      <w:szCs w:val="18"/>
                      <w:highlight w:val="none"/>
                      <w:u w:val="single" w:color="auto"/>
                      <w:lang w:val="en-US" w:eastAsia="zh-CN"/>
                    </w:rPr>
                    <w:t>挤砖机</w:t>
                  </w:r>
                </w:p>
              </w:tc>
              <w:tc>
                <w:tcPr>
                  <w:tcW w:w="1560" w:type="dxa"/>
                  <w:tcBorders>
                    <w:left w:val="single" w:color="000000" w:sz="4" w:space="0"/>
                    <w:right w:val="single" w:color="000000" w:sz="4" w:space="0"/>
                  </w:tcBorders>
                  <w:noWrap w:val="0"/>
                  <w:vAlign w:val="center"/>
                </w:tcPr>
                <w:p>
                  <w:pPr>
                    <w:jc w:val="center"/>
                    <w:rPr>
                      <w:rFonts w:hint="default" w:ascii="Times New Roman" w:hAnsi="Times New Roman" w:eastAsia="宋体" w:cs="Times New Roman"/>
                      <w:color w:val="auto"/>
                      <w:sz w:val="18"/>
                      <w:szCs w:val="18"/>
                      <w:highlight w:val="none"/>
                      <w:u w:val="single" w:color="auto"/>
                      <w:lang w:val="en-US" w:eastAsia="zh-CN"/>
                    </w:rPr>
                  </w:pPr>
                  <w:r>
                    <w:rPr>
                      <w:rFonts w:hint="eastAsia" w:cs="Times New Roman"/>
                      <w:color w:val="auto"/>
                      <w:sz w:val="18"/>
                      <w:szCs w:val="18"/>
                      <w:highlight w:val="none"/>
                      <w:u w:val="single" w:color="auto"/>
                      <w:lang w:val="en-US" w:eastAsia="zh-CN"/>
                    </w:rPr>
                    <w:t>JKB60/55-38</w:t>
                  </w:r>
                </w:p>
              </w:tc>
              <w:tc>
                <w:tcPr>
                  <w:tcW w:w="1325" w:type="dxa"/>
                  <w:tcBorders>
                    <w:left w:val="single" w:color="000000" w:sz="4" w:space="0"/>
                  </w:tcBorders>
                  <w:noWrap w:val="0"/>
                  <w:vAlign w:val="center"/>
                </w:tcPr>
                <w:p>
                  <w:pPr>
                    <w:ind w:left="-3" w:leftChars="-63" w:right="-113" w:hanging="129" w:hangingChars="72"/>
                    <w:jc w:val="center"/>
                    <w:rPr>
                      <w:rFonts w:hint="eastAsia" w:ascii="Times New Roman" w:hAnsi="Times New Roman" w:eastAsia="宋体" w:cs="Times New Roman"/>
                      <w:color w:val="auto"/>
                      <w:sz w:val="18"/>
                      <w:szCs w:val="21"/>
                      <w:highlight w:val="none"/>
                      <w:u w:val="single" w:color="auto"/>
                      <w:lang w:val="en-US" w:eastAsia="zh-CN"/>
                    </w:rPr>
                  </w:pPr>
                  <w:r>
                    <w:rPr>
                      <w:rFonts w:hint="eastAsia" w:cs="Times New Roman"/>
                      <w:color w:val="auto"/>
                      <w:sz w:val="18"/>
                      <w:szCs w:val="21"/>
                      <w:highlight w:val="none"/>
                      <w:u w:val="single" w:color="auto"/>
                      <w:lang w:val="en-US" w:eastAsia="zh-CN"/>
                    </w:rPr>
                    <w:t>2</w:t>
                  </w:r>
                </w:p>
              </w:tc>
              <w:tc>
                <w:tcPr>
                  <w:tcW w:w="1136" w:type="dxa"/>
                  <w:noWrap w:val="0"/>
                  <w:vAlign w:val="center"/>
                </w:tcPr>
                <w:p>
                  <w:pPr>
                    <w:jc w:val="center"/>
                    <w:rPr>
                      <w:rFonts w:hint="default" w:ascii="Times New Roman" w:hAnsi="Times New Roman" w:cs="Times New Roman"/>
                      <w:color w:val="auto"/>
                      <w:sz w:val="18"/>
                      <w:highlight w:val="none"/>
                      <w:u w:val="single" w:color="auto"/>
                      <w:lang w:val="en-US" w:eastAsia="zh-CN"/>
                    </w:rPr>
                  </w:pPr>
                  <w:r>
                    <w:rPr>
                      <w:rFonts w:hint="eastAsia" w:cs="Times New Roman"/>
                      <w:color w:val="auto"/>
                      <w:sz w:val="18"/>
                      <w:highlight w:val="none"/>
                      <w:u w:val="single" w:color="auto"/>
                      <w:lang w:val="en-US" w:eastAsia="zh-CN"/>
                    </w:rPr>
                    <w:t>依托原项目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5" w:type="dxa"/>
                  <w:noWrap w:val="0"/>
                  <w:vAlign w:val="center"/>
                </w:tcPr>
                <w:p>
                  <w:pPr>
                    <w:snapToGrid w:val="0"/>
                    <w:jc w:val="center"/>
                    <w:rPr>
                      <w:rFonts w:hint="eastAsia" w:eastAsia="宋体"/>
                      <w:color w:val="auto"/>
                      <w:sz w:val="18"/>
                      <w:szCs w:val="18"/>
                      <w:highlight w:val="none"/>
                      <w:u w:val="single" w:color="auto"/>
                      <w:lang w:val="en-US" w:eastAsia="zh-CN"/>
                    </w:rPr>
                  </w:pPr>
                  <w:r>
                    <w:rPr>
                      <w:rFonts w:hint="eastAsia"/>
                      <w:color w:val="auto"/>
                      <w:sz w:val="18"/>
                      <w:szCs w:val="18"/>
                      <w:highlight w:val="none"/>
                      <w:u w:val="single" w:color="auto"/>
                      <w:lang w:val="en-US" w:eastAsia="zh-CN"/>
                    </w:rPr>
                    <w:t>2</w:t>
                  </w:r>
                </w:p>
              </w:tc>
              <w:tc>
                <w:tcPr>
                  <w:tcW w:w="1680" w:type="dxa"/>
                  <w:tcBorders>
                    <w:right w:val="single" w:color="000000" w:sz="4" w:space="0"/>
                  </w:tcBorders>
                  <w:noWrap w:val="0"/>
                  <w:vAlign w:val="center"/>
                </w:tcPr>
                <w:p>
                  <w:pPr>
                    <w:ind w:right="-113"/>
                    <w:jc w:val="center"/>
                    <w:rPr>
                      <w:rFonts w:hint="default" w:ascii="Times New Roman" w:hAnsi="Times New Roman" w:cs="Times New Roman"/>
                      <w:color w:val="auto"/>
                      <w:sz w:val="18"/>
                      <w:szCs w:val="18"/>
                      <w:highlight w:val="none"/>
                      <w:u w:val="single" w:color="auto"/>
                      <w:lang w:val="en-US" w:eastAsia="zh-CN"/>
                    </w:rPr>
                  </w:pPr>
                  <w:r>
                    <w:rPr>
                      <w:rFonts w:hint="eastAsia" w:cs="Times New Roman"/>
                      <w:color w:val="auto"/>
                      <w:sz w:val="18"/>
                      <w:szCs w:val="18"/>
                      <w:highlight w:val="none"/>
                      <w:u w:val="single" w:color="auto"/>
                      <w:lang w:val="en-US" w:eastAsia="zh-CN"/>
                    </w:rPr>
                    <w:t>破碎机</w:t>
                  </w:r>
                </w:p>
              </w:tc>
              <w:tc>
                <w:tcPr>
                  <w:tcW w:w="1560" w:type="dxa"/>
                  <w:tcBorders>
                    <w:left w:val="single" w:color="000000" w:sz="4" w:space="0"/>
                    <w:right w:val="single" w:color="000000" w:sz="4" w:space="0"/>
                  </w:tcBorders>
                  <w:noWrap w:val="0"/>
                  <w:vAlign w:val="center"/>
                </w:tcPr>
                <w:p>
                  <w:pPr>
                    <w:jc w:val="center"/>
                    <w:rPr>
                      <w:rFonts w:hint="default" w:ascii="Times New Roman" w:hAnsi="Times New Roman" w:eastAsia="宋体" w:cs="Times New Roman"/>
                      <w:color w:val="auto"/>
                      <w:sz w:val="18"/>
                      <w:szCs w:val="18"/>
                      <w:highlight w:val="none"/>
                      <w:u w:val="single" w:color="auto"/>
                      <w:lang w:val="en-US" w:eastAsia="zh-CN"/>
                    </w:rPr>
                  </w:pPr>
                  <w:r>
                    <w:rPr>
                      <w:rFonts w:hint="eastAsia" w:cs="Times New Roman"/>
                      <w:color w:val="auto"/>
                      <w:sz w:val="18"/>
                      <w:szCs w:val="18"/>
                      <w:highlight w:val="none"/>
                      <w:u w:val="single" w:color="auto"/>
                      <w:lang w:val="en-US" w:eastAsia="zh-CN"/>
                    </w:rPr>
                    <w:t>1060*750型</w:t>
                  </w:r>
                </w:p>
              </w:tc>
              <w:tc>
                <w:tcPr>
                  <w:tcW w:w="1325" w:type="dxa"/>
                  <w:tcBorders>
                    <w:left w:val="single" w:color="000000" w:sz="4" w:space="0"/>
                  </w:tcBorders>
                  <w:noWrap w:val="0"/>
                  <w:vAlign w:val="center"/>
                </w:tcPr>
                <w:p>
                  <w:pPr>
                    <w:ind w:left="-3" w:leftChars="-63" w:right="-113" w:hanging="129" w:hangingChars="72"/>
                    <w:jc w:val="center"/>
                    <w:rPr>
                      <w:rFonts w:hint="default" w:ascii="Times New Roman" w:hAnsi="Times New Roman" w:eastAsia="宋体" w:cs="Times New Roman"/>
                      <w:color w:val="auto"/>
                      <w:sz w:val="18"/>
                      <w:szCs w:val="21"/>
                      <w:highlight w:val="none"/>
                      <w:u w:val="single" w:color="auto"/>
                      <w:lang w:val="en-US" w:eastAsia="zh-CN"/>
                    </w:rPr>
                  </w:pPr>
                  <w:r>
                    <w:rPr>
                      <w:rFonts w:hint="eastAsia" w:cs="Times New Roman"/>
                      <w:color w:val="auto"/>
                      <w:sz w:val="18"/>
                      <w:szCs w:val="21"/>
                      <w:highlight w:val="none"/>
                      <w:u w:val="single" w:color="auto"/>
                      <w:lang w:val="en-US" w:eastAsia="zh-CN"/>
                    </w:rPr>
                    <w:t>2</w:t>
                  </w:r>
                </w:p>
              </w:tc>
              <w:tc>
                <w:tcPr>
                  <w:tcW w:w="1136" w:type="dxa"/>
                  <w:noWrap w:val="0"/>
                  <w:vAlign w:val="center"/>
                </w:tcPr>
                <w:p>
                  <w:pPr>
                    <w:jc w:val="center"/>
                    <w:rPr>
                      <w:rFonts w:hint="default" w:ascii="Times New Roman" w:hAnsi="Times New Roman" w:cs="Times New Roman"/>
                      <w:color w:val="auto"/>
                      <w:sz w:val="18"/>
                      <w:highlight w:val="none"/>
                      <w:u w:val="single" w:color="auto"/>
                      <w:lang w:val="en-US" w:eastAsia="zh-CN"/>
                    </w:rPr>
                  </w:pPr>
                  <w:r>
                    <w:rPr>
                      <w:rFonts w:hint="eastAsia" w:cs="Times New Roman"/>
                      <w:color w:val="auto"/>
                      <w:sz w:val="18"/>
                      <w:highlight w:val="none"/>
                      <w:u w:val="single" w:color="auto"/>
                      <w:lang w:val="en-US" w:eastAsia="zh-CN"/>
                    </w:rPr>
                    <w:t>依托原项目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5" w:type="dxa"/>
                  <w:noWrap w:val="0"/>
                  <w:vAlign w:val="center"/>
                </w:tcPr>
                <w:p>
                  <w:pPr>
                    <w:snapToGrid w:val="0"/>
                    <w:jc w:val="center"/>
                    <w:rPr>
                      <w:rFonts w:hint="eastAsia" w:eastAsia="宋体"/>
                      <w:color w:val="auto"/>
                      <w:sz w:val="18"/>
                      <w:szCs w:val="18"/>
                      <w:highlight w:val="none"/>
                      <w:u w:val="single" w:color="auto"/>
                      <w:lang w:val="en-US" w:eastAsia="zh-CN"/>
                    </w:rPr>
                  </w:pPr>
                  <w:r>
                    <w:rPr>
                      <w:rFonts w:hint="eastAsia"/>
                      <w:color w:val="auto"/>
                      <w:sz w:val="18"/>
                      <w:szCs w:val="18"/>
                      <w:highlight w:val="none"/>
                      <w:u w:val="single" w:color="auto"/>
                      <w:lang w:val="en-US" w:eastAsia="zh-CN"/>
                    </w:rPr>
                    <w:t>3</w:t>
                  </w:r>
                </w:p>
              </w:tc>
              <w:tc>
                <w:tcPr>
                  <w:tcW w:w="1680" w:type="dxa"/>
                  <w:tcBorders>
                    <w:right w:val="single" w:color="000000" w:sz="4" w:space="0"/>
                  </w:tcBorders>
                  <w:noWrap w:val="0"/>
                  <w:vAlign w:val="center"/>
                </w:tcPr>
                <w:p>
                  <w:pPr>
                    <w:ind w:right="-113"/>
                    <w:jc w:val="center"/>
                    <w:rPr>
                      <w:rFonts w:hint="default" w:ascii="Times New Roman" w:hAnsi="Times New Roman" w:cs="Times New Roman"/>
                      <w:color w:val="auto"/>
                      <w:sz w:val="18"/>
                      <w:szCs w:val="18"/>
                      <w:highlight w:val="none"/>
                      <w:u w:val="single" w:color="auto"/>
                      <w:lang w:val="en-US" w:eastAsia="zh-CN"/>
                    </w:rPr>
                  </w:pPr>
                  <w:r>
                    <w:rPr>
                      <w:rFonts w:hint="eastAsia" w:cs="Times New Roman"/>
                      <w:color w:val="auto"/>
                      <w:sz w:val="18"/>
                      <w:szCs w:val="18"/>
                      <w:highlight w:val="none"/>
                      <w:u w:val="single" w:color="auto"/>
                      <w:lang w:val="en-US" w:eastAsia="zh-CN"/>
                    </w:rPr>
                    <w:t>粉碎机</w:t>
                  </w:r>
                </w:p>
              </w:tc>
              <w:tc>
                <w:tcPr>
                  <w:tcW w:w="1560" w:type="dxa"/>
                  <w:tcBorders>
                    <w:left w:val="single" w:color="000000" w:sz="4" w:space="0"/>
                    <w:right w:val="single" w:color="000000" w:sz="4" w:space="0"/>
                  </w:tcBorders>
                  <w:noWrap w:val="0"/>
                  <w:vAlign w:val="center"/>
                </w:tcPr>
                <w:p>
                  <w:pPr>
                    <w:jc w:val="center"/>
                    <w:rPr>
                      <w:rFonts w:hint="eastAsia" w:ascii="Times New Roman" w:hAnsi="Times New Roman" w:eastAsia="宋体" w:cs="Times New Roman"/>
                      <w:color w:val="auto"/>
                      <w:sz w:val="18"/>
                      <w:szCs w:val="18"/>
                      <w:highlight w:val="none"/>
                      <w:u w:val="single" w:color="auto"/>
                      <w:lang w:val="en-US" w:eastAsia="zh-CN"/>
                    </w:rPr>
                  </w:pPr>
                  <w:r>
                    <w:rPr>
                      <w:rFonts w:hint="eastAsia" w:cs="Times New Roman"/>
                      <w:color w:val="auto"/>
                      <w:sz w:val="18"/>
                      <w:szCs w:val="18"/>
                      <w:highlight w:val="none"/>
                      <w:u w:val="single" w:color="auto"/>
                      <w:lang w:val="en-US" w:eastAsia="zh-CN"/>
                    </w:rPr>
                    <w:t>/</w:t>
                  </w:r>
                </w:p>
              </w:tc>
              <w:tc>
                <w:tcPr>
                  <w:tcW w:w="1325" w:type="dxa"/>
                  <w:tcBorders>
                    <w:left w:val="single" w:color="000000" w:sz="4" w:space="0"/>
                  </w:tcBorders>
                  <w:noWrap w:val="0"/>
                  <w:vAlign w:val="center"/>
                </w:tcPr>
                <w:p>
                  <w:pPr>
                    <w:ind w:left="-3" w:leftChars="-63" w:right="-113" w:hanging="129" w:hangingChars="72"/>
                    <w:jc w:val="center"/>
                    <w:rPr>
                      <w:rFonts w:hint="default" w:ascii="Times New Roman" w:hAnsi="Times New Roman" w:eastAsia="宋体" w:cs="Times New Roman"/>
                      <w:color w:val="auto"/>
                      <w:sz w:val="18"/>
                      <w:szCs w:val="21"/>
                      <w:highlight w:val="none"/>
                      <w:u w:val="single" w:color="auto"/>
                      <w:lang w:val="en-US" w:eastAsia="zh-CN"/>
                    </w:rPr>
                  </w:pPr>
                  <w:r>
                    <w:rPr>
                      <w:rFonts w:hint="eastAsia" w:cs="Times New Roman"/>
                      <w:color w:val="auto"/>
                      <w:sz w:val="18"/>
                      <w:szCs w:val="21"/>
                      <w:highlight w:val="none"/>
                      <w:u w:val="single" w:color="auto"/>
                      <w:lang w:val="en-US" w:eastAsia="zh-CN"/>
                    </w:rPr>
                    <w:t>2</w:t>
                  </w:r>
                </w:p>
              </w:tc>
              <w:tc>
                <w:tcPr>
                  <w:tcW w:w="1136" w:type="dxa"/>
                  <w:noWrap w:val="0"/>
                  <w:vAlign w:val="center"/>
                </w:tcPr>
                <w:p>
                  <w:pPr>
                    <w:jc w:val="center"/>
                    <w:rPr>
                      <w:rFonts w:hint="eastAsia" w:ascii="Times New Roman" w:hAnsi="Times New Roman" w:cs="Times New Roman"/>
                      <w:color w:val="auto"/>
                      <w:sz w:val="18"/>
                      <w:highlight w:val="none"/>
                      <w:u w:val="single" w:color="auto"/>
                      <w:lang w:val="en-US" w:eastAsia="zh-CN"/>
                    </w:rPr>
                  </w:pPr>
                  <w:r>
                    <w:rPr>
                      <w:rFonts w:hint="eastAsia" w:cs="Times New Roman"/>
                      <w:color w:val="auto"/>
                      <w:sz w:val="18"/>
                      <w:highlight w:val="none"/>
                      <w:u w:val="single" w:color="auto"/>
                      <w:lang w:val="en-US" w:eastAsia="zh-CN"/>
                    </w:rPr>
                    <w:t>依托原项目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5" w:type="dxa"/>
                  <w:shd w:val="clear" w:color="auto" w:fill="auto"/>
                  <w:noWrap w:val="0"/>
                  <w:vAlign w:val="center"/>
                </w:tcPr>
                <w:p>
                  <w:pPr>
                    <w:snapToGrid w:val="0"/>
                    <w:jc w:val="center"/>
                    <w:rPr>
                      <w:rFonts w:hint="eastAsia" w:ascii="Times New Roman" w:hAnsi="Times New Roman" w:eastAsia="宋体" w:cs="Times New Roman"/>
                      <w:color w:val="auto"/>
                      <w:kern w:val="2"/>
                      <w:sz w:val="18"/>
                      <w:szCs w:val="18"/>
                      <w:highlight w:val="none"/>
                      <w:u w:val="single" w:color="auto"/>
                      <w:lang w:val="en-US" w:eastAsia="zh-CN" w:bidi="ar-SA"/>
                    </w:rPr>
                  </w:pPr>
                  <w:r>
                    <w:rPr>
                      <w:rFonts w:hint="eastAsia"/>
                      <w:color w:val="auto"/>
                      <w:sz w:val="18"/>
                      <w:szCs w:val="18"/>
                      <w:highlight w:val="none"/>
                      <w:u w:val="single" w:color="auto"/>
                      <w:lang w:val="en-US" w:eastAsia="zh-CN"/>
                    </w:rPr>
                    <w:t>4</w:t>
                  </w:r>
                </w:p>
              </w:tc>
              <w:tc>
                <w:tcPr>
                  <w:tcW w:w="1680" w:type="dxa"/>
                  <w:tcBorders>
                    <w:right w:val="single" w:color="000000" w:sz="4" w:space="0"/>
                  </w:tcBorders>
                  <w:noWrap w:val="0"/>
                  <w:vAlign w:val="center"/>
                </w:tcPr>
                <w:p>
                  <w:pPr>
                    <w:ind w:right="-113"/>
                    <w:jc w:val="center"/>
                    <w:rPr>
                      <w:rFonts w:hint="default" w:ascii="Times New Roman" w:hAnsi="Times New Roman" w:cs="Times New Roman"/>
                      <w:color w:val="auto"/>
                      <w:sz w:val="18"/>
                      <w:szCs w:val="18"/>
                      <w:highlight w:val="none"/>
                      <w:u w:val="single" w:color="auto"/>
                      <w:lang w:val="en-US" w:eastAsia="zh-CN"/>
                    </w:rPr>
                  </w:pPr>
                  <w:r>
                    <w:rPr>
                      <w:rFonts w:hint="eastAsia" w:cs="Times New Roman"/>
                      <w:color w:val="auto"/>
                      <w:sz w:val="18"/>
                      <w:szCs w:val="18"/>
                      <w:highlight w:val="none"/>
                      <w:u w:val="single" w:color="auto"/>
                      <w:lang w:val="en-US" w:eastAsia="zh-CN"/>
                    </w:rPr>
                    <w:t>给料机</w:t>
                  </w:r>
                </w:p>
              </w:tc>
              <w:tc>
                <w:tcPr>
                  <w:tcW w:w="1560" w:type="dxa"/>
                  <w:tcBorders>
                    <w:left w:val="single" w:color="000000" w:sz="4" w:space="0"/>
                    <w:right w:val="single" w:color="000000" w:sz="4" w:space="0"/>
                  </w:tcBorders>
                  <w:noWrap w:val="0"/>
                  <w:vAlign w:val="center"/>
                </w:tcPr>
                <w:p>
                  <w:pPr>
                    <w:jc w:val="center"/>
                    <w:rPr>
                      <w:rFonts w:hint="default" w:ascii="Times New Roman" w:hAnsi="Times New Roman" w:eastAsia="宋体" w:cs="Times New Roman"/>
                      <w:color w:val="auto"/>
                      <w:sz w:val="18"/>
                      <w:szCs w:val="18"/>
                      <w:highlight w:val="none"/>
                      <w:u w:val="single" w:color="auto"/>
                      <w:lang w:val="en-US" w:eastAsia="zh-CN"/>
                    </w:rPr>
                  </w:pPr>
                  <w:r>
                    <w:rPr>
                      <w:rFonts w:hint="eastAsia" w:cs="Times New Roman"/>
                      <w:color w:val="auto"/>
                      <w:sz w:val="18"/>
                      <w:szCs w:val="18"/>
                      <w:highlight w:val="none"/>
                      <w:u w:val="single" w:color="auto"/>
                      <w:lang w:val="en-US" w:eastAsia="zh-CN"/>
                    </w:rPr>
                    <w:t>/.</w:t>
                  </w:r>
                </w:p>
              </w:tc>
              <w:tc>
                <w:tcPr>
                  <w:tcW w:w="1325" w:type="dxa"/>
                  <w:tcBorders>
                    <w:left w:val="single" w:color="000000" w:sz="4" w:space="0"/>
                  </w:tcBorders>
                  <w:noWrap w:val="0"/>
                  <w:vAlign w:val="center"/>
                </w:tcPr>
                <w:p>
                  <w:pPr>
                    <w:ind w:left="-3" w:leftChars="-63" w:right="-113" w:hanging="129" w:hangingChars="72"/>
                    <w:jc w:val="center"/>
                    <w:rPr>
                      <w:rFonts w:hint="eastAsia" w:ascii="Times New Roman" w:hAnsi="Times New Roman" w:eastAsia="宋体" w:cs="Times New Roman"/>
                      <w:color w:val="auto"/>
                      <w:sz w:val="18"/>
                      <w:szCs w:val="21"/>
                      <w:highlight w:val="none"/>
                      <w:u w:val="single" w:color="auto"/>
                      <w:lang w:val="en-US" w:eastAsia="zh-CN"/>
                    </w:rPr>
                  </w:pPr>
                  <w:r>
                    <w:rPr>
                      <w:rFonts w:hint="eastAsia" w:cs="Times New Roman"/>
                      <w:color w:val="auto"/>
                      <w:sz w:val="18"/>
                      <w:szCs w:val="21"/>
                      <w:highlight w:val="none"/>
                      <w:u w:val="single" w:color="auto"/>
                      <w:lang w:val="en-US" w:eastAsia="zh-CN"/>
                    </w:rPr>
                    <w:t>2</w:t>
                  </w:r>
                </w:p>
              </w:tc>
              <w:tc>
                <w:tcPr>
                  <w:tcW w:w="1136" w:type="dxa"/>
                  <w:noWrap w:val="0"/>
                  <w:vAlign w:val="center"/>
                </w:tcPr>
                <w:p>
                  <w:pPr>
                    <w:jc w:val="center"/>
                    <w:rPr>
                      <w:rFonts w:hint="eastAsia" w:ascii="Times New Roman" w:hAnsi="Times New Roman" w:cs="Times New Roman"/>
                      <w:color w:val="auto"/>
                      <w:sz w:val="18"/>
                      <w:highlight w:val="none"/>
                      <w:u w:val="single" w:color="auto"/>
                      <w:lang w:val="en-US" w:eastAsia="zh-CN"/>
                    </w:rPr>
                  </w:pPr>
                  <w:r>
                    <w:rPr>
                      <w:rFonts w:hint="eastAsia" w:cs="Times New Roman"/>
                      <w:color w:val="auto"/>
                      <w:sz w:val="18"/>
                      <w:highlight w:val="none"/>
                      <w:u w:val="single" w:color="auto"/>
                      <w:lang w:val="en-US" w:eastAsia="zh-CN"/>
                    </w:rPr>
                    <w:t>依托原项目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5" w:type="dxa"/>
                  <w:shd w:val="clear" w:color="auto" w:fill="auto"/>
                  <w:noWrap w:val="0"/>
                  <w:vAlign w:val="center"/>
                </w:tcPr>
                <w:p>
                  <w:pPr>
                    <w:snapToGrid w:val="0"/>
                    <w:jc w:val="center"/>
                    <w:rPr>
                      <w:rFonts w:hint="default" w:ascii="Times New Roman" w:hAnsi="Times New Roman" w:eastAsia="宋体" w:cs="Times New Roman"/>
                      <w:color w:val="auto"/>
                      <w:kern w:val="2"/>
                      <w:sz w:val="18"/>
                      <w:szCs w:val="18"/>
                      <w:highlight w:val="none"/>
                      <w:u w:val="single" w:color="auto"/>
                      <w:lang w:val="en-US" w:eastAsia="zh-CN" w:bidi="ar-SA"/>
                    </w:rPr>
                  </w:pPr>
                  <w:r>
                    <w:rPr>
                      <w:rFonts w:hint="eastAsia"/>
                      <w:color w:val="auto"/>
                      <w:sz w:val="18"/>
                      <w:szCs w:val="18"/>
                      <w:highlight w:val="none"/>
                      <w:u w:val="single" w:color="auto"/>
                      <w:lang w:val="en-US" w:eastAsia="zh-CN"/>
                    </w:rPr>
                    <w:t>5</w:t>
                  </w:r>
                </w:p>
              </w:tc>
              <w:tc>
                <w:tcPr>
                  <w:tcW w:w="1680" w:type="dxa"/>
                  <w:tcBorders>
                    <w:right w:val="single" w:color="000000" w:sz="4" w:space="0"/>
                  </w:tcBorders>
                  <w:noWrap w:val="0"/>
                  <w:vAlign w:val="center"/>
                </w:tcPr>
                <w:p>
                  <w:pPr>
                    <w:ind w:right="-113"/>
                    <w:jc w:val="center"/>
                    <w:rPr>
                      <w:rFonts w:hint="default" w:ascii="Times New Roman" w:hAnsi="Times New Roman" w:cs="Times New Roman"/>
                      <w:color w:val="auto"/>
                      <w:sz w:val="18"/>
                      <w:szCs w:val="18"/>
                      <w:highlight w:val="none"/>
                      <w:u w:val="single" w:color="auto"/>
                      <w:lang w:val="en-US" w:eastAsia="zh-CN"/>
                    </w:rPr>
                  </w:pPr>
                  <w:r>
                    <w:rPr>
                      <w:rFonts w:hint="eastAsia" w:cs="Times New Roman"/>
                      <w:color w:val="auto"/>
                      <w:sz w:val="18"/>
                      <w:szCs w:val="18"/>
                      <w:highlight w:val="none"/>
                      <w:u w:val="single" w:color="auto"/>
                      <w:lang w:val="en-US" w:eastAsia="zh-CN"/>
                    </w:rPr>
                    <w:t>搅拌机</w:t>
                  </w:r>
                </w:p>
              </w:tc>
              <w:tc>
                <w:tcPr>
                  <w:tcW w:w="1560" w:type="dxa"/>
                  <w:tcBorders>
                    <w:left w:val="single" w:color="000000" w:sz="4" w:space="0"/>
                    <w:right w:val="single" w:color="000000" w:sz="4" w:space="0"/>
                  </w:tcBorders>
                  <w:noWrap w:val="0"/>
                  <w:vAlign w:val="center"/>
                </w:tcPr>
                <w:p>
                  <w:pPr>
                    <w:jc w:val="center"/>
                    <w:rPr>
                      <w:rFonts w:hint="default" w:ascii="Times New Roman" w:hAnsi="Times New Roman" w:eastAsia="宋体" w:cs="Times New Roman"/>
                      <w:color w:val="auto"/>
                      <w:sz w:val="18"/>
                      <w:szCs w:val="18"/>
                      <w:highlight w:val="none"/>
                      <w:u w:val="single" w:color="auto"/>
                      <w:lang w:val="en-US" w:eastAsia="zh-CN"/>
                    </w:rPr>
                  </w:pPr>
                  <w:r>
                    <w:rPr>
                      <w:rFonts w:hint="eastAsia" w:cs="Times New Roman"/>
                      <w:color w:val="auto"/>
                      <w:sz w:val="18"/>
                      <w:szCs w:val="18"/>
                      <w:highlight w:val="none"/>
                      <w:u w:val="single" w:color="auto"/>
                      <w:lang w:val="en-US" w:eastAsia="zh-CN"/>
                    </w:rPr>
                    <w:t>双轴搅拌机SJ4000</w:t>
                  </w:r>
                </w:p>
              </w:tc>
              <w:tc>
                <w:tcPr>
                  <w:tcW w:w="1325" w:type="dxa"/>
                  <w:tcBorders>
                    <w:left w:val="single" w:color="000000" w:sz="4" w:space="0"/>
                  </w:tcBorders>
                  <w:noWrap w:val="0"/>
                  <w:vAlign w:val="center"/>
                </w:tcPr>
                <w:p>
                  <w:pPr>
                    <w:ind w:left="-3" w:leftChars="-63" w:right="-113" w:hanging="129" w:hangingChars="72"/>
                    <w:jc w:val="center"/>
                    <w:rPr>
                      <w:rFonts w:hint="eastAsia" w:ascii="Times New Roman" w:hAnsi="Times New Roman" w:eastAsia="宋体" w:cs="Times New Roman"/>
                      <w:color w:val="auto"/>
                      <w:sz w:val="18"/>
                      <w:szCs w:val="21"/>
                      <w:highlight w:val="none"/>
                      <w:u w:val="single" w:color="auto"/>
                      <w:lang w:val="en-US" w:eastAsia="zh-CN"/>
                    </w:rPr>
                  </w:pPr>
                  <w:r>
                    <w:rPr>
                      <w:rFonts w:hint="eastAsia" w:cs="Times New Roman"/>
                      <w:color w:val="auto"/>
                      <w:sz w:val="18"/>
                      <w:szCs w:val="21"/>
                      <w:highlight w:val="none"/>
                      <w:u w:val="single" w:color="auto"/>
                      <w:lang w:val="en-US" w:eastAsia="zh-CN"/>
                    </w:rPr>
                    <w:t>2</w:t>
                  </w:r>
                </w:p>
              </w:tc>
              <w:tc>
                <w:tcPr>
                  <w:tcW w:w="1136" w:type="dxa"/>
                  <w:noWrap w:val="0"/>
                  <w:vAlign w:val="center"/>
                </w:tcPr>
                <w:p>
                  <w:pPr>
                    <w:jc w:val="center"/>
                    <w:rPr>
                      <w:rFonts w:hint="eastAsia" w:ascii="Times New Roman" w:hAnsi="Times New Roman" w:cs="Times New Roman"/>
                      <w:color w:val="auto"/>
                      <w:sz w:val="18"/>
                      <w:highlight w:val="none"/>
                      <w:u w:val="single" w:color="auto"/>
                      <w:lang w:val="en-US" w:eastAsia="zh-CN"/>
                    </w:rPr>
                  </w:pPr>
                  <w:r>
                    <w:rPr>
                      <w:rFonts w:hint="eastAsia" w:cs="Times New Roman"/>
                      <w:color w:val="auto"/>
                      <w:sz w:val="18"/>
                      <w:highlight w:val="none"/>
                      <w:u w:val="single" w:color="auto"/>
                      <w:lang w:val="en-US" w:eastAsia="zh-CN"/>
                    </w:rPr>
                    <w:t>依托原项目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5" w:type="dxa"/>
                  <w:shd w:val="clear" w:color="auto" w:fill="auto"/>
                  <w:noWrap w:val="0"/>
                  <w:vAlign w:val="center"/>
                </w:tcPr>
                <w:p>
                  <w:pPr>
                    <w:snapToGrid w:val="0"/>
                    <w:jc w:val="center"/>
                    <w:rPr>
                      <w:rFonts w:hint="eastAsia" w:ascii="Times New Roman" w:hAnsi="Times New Roman" w:eastAsia="宋体" w:cs="Times New Roman"/>
                      <w:color w:val="auto"/>
                      <w:kern w:val="2"/>
                      <w:sz w:val="18"/>
                      <w:szCs w:val="18"/>
                      <w:highlight w:val="none"/>
                      <w:u w:val="single" w:color="auto"/>
                      <w:lang w:val="en-US" w:eastAsia="zh-CN" w:bidi="ar-SA"/>
                    </w:rPr>
                  </w:pPr>
                  <w:r>
                    <w:rPr>
                      <w:rFonts w:hint="eastAsia"/>
                      <w:color w:val="auto"/>
                      <w:sz w:val="18"/>
                      <w:szCs w:val="18"/>
                      <w:highlight w:val="none"/>
                      <w:u w:val="single" w:color="auto"/>
                      <w:lang w:val="en-US" w:eastAsia="zh-CN"/>
                    </w:rPr>
                    <w:t>6</w:t>
                  </w:r>
                </w:p>
              </w:tc>
              <w:tc>
                <w:tcPr>
                  <w:tcW w:w="1680" w:type="dxa"/>
                  <w:tcBorders>
                    <w:right w:val="single" w:color="000000" w:sz="4" w:space="0"/>
                  </w:tcBorders>
                  <w:noWrap w:val="0"/>
                  <w:vAlign w:val="center"/>
                </w:tcPr>
                <w:p>
                  <w:pPr>
                    <w:ind w:right="-113"/>
                    <w:jc w:val="center"/>
                    <w:rPr>
                      <w:rFonts w:hint="default" w:ascii="Times New Roman" w:hAnsi="Times New Roman" w:cs="Times New Roman"/>
                      <w:color w:val="auto"/>
                      <w:sz w:val="18"/>
                      <w:szCs w:val="18"/>
                      <w:highlight w:val="none"/>
                      <w:u w:val="single" w:color="auto"/>
                      <w:lang w:val="en-US" w:eastAsia="zh-CN"/>
                    </w:rPr>
                  </w:pPr>
                  <w:r>
                    <w:rPr>
                      <w:rFonts w:hint="eastAsia" w:cs="Times New Roman"/>
                      <w:color w:val="auto"/>
                      <w:sz w:val="18"/>
                      <w:szCs w:val="18"/>
                      <w:highlight w:val="none"/>
                      <w:u w:val="single" w:color="auto"/>
                      <w:lang w:val="en-US" w:eastAsia="zh-CN"/>
                    </w:rPr>
                    <w:t>圆滚筛</w:t>
                  </w:r>
                </w:p>
              </w:tc>
              <w:tc>
                <w:tcPr>
                  <w:tcW w:w="1560" w:type="dxa"/>
                  <w:tcBorders>
                    <w:left w:val="single" w:color="000000" w:sz="4" w:space="0"/>
                    <w:right w:val="single" w:color="000000" w:sz="4" w:space="0"/>
                  </w:tcBorders>
                  <w:noWrap w:val="0"/>
                  <w:vAlign w:val="center"/>
                </w:tcPr>
                <w:p>
                  <w:pPr>
                    <w:jc w:val="center"/>
                    <w:rPr>
                      <w:rFonts w:hint="default" w:ascii="Times New Roman" w:hAnsi="Times New Roman" w:eastAsia="宋体" w:cs="Times New Roman"/>
                      <w:color w:val="auto"/>
                      <w:sz w:val="18"/>
                      <w:szCs w:val="18"/>
                      <w:highlight w:val="none"/>
                      <w:u w:val="single" w:color="auto"/>
                      <w:lang w:val="en-US" w:eastAsia="zh-CN"/>
                    </w:rPr>
                  </w:pPr>
                  <w:r>
                    <w:rPr>
                      <w:rFonts w:hint="eastAsia" w:cs="Times New Roman"/>
                      <w:color w:val="auto"/>
                      <w:sz w:val="18"/>
                      <w:szCs w:val="18"/>
                      <w:highlight w:val="none"/>
                      <w:u w:val="single" w:color="auto"/>
                      <w:lang w:val="en-US" w:eastAsia="zh-CN"/>
                    </w:rPr>
                    <w:t>GTS1400*4000</w:t>
                  </w:r>
                </w:p>
              </w:tc>
              <w:tc>
                <w:tcPr>
                  <w:tcW w:w="1325" w:type="dxa"/>
                  <w:tcBorders>
                    <w:left w:val="single" w:color="000000" w:sz="4" w:space="0"/>
                  </w:tcBorders>
                  <w:noWrap w:val="0"/>
                  <w:vAlign w:val="center"/>
                </w:tcPr>
                <w:p>
                  <w:pPr>
                    <w:ind w:left="-3" w:leftChars="-63" w:right="-113" w:hanging="129" w:hangingChars="72"/>
                    <w:jc w:val="center"/>
                    <w:rPr>
                      <w:rFonts w:hint="eastAsia" w:ascii="Times New Roman" w:hAnsi="Times New Roman" w:eastAsia="宋体" w:cs="Times New Roman"/>
                      <w:color w:val="auto"/>
                      <w:sz w:val="18"/>
                      <w:szCs w:val="21"/>
                      <w:highlight w:val="none"/>
                      <w:u w:val="single" w:color="auto"/>
                      <w:lang w:val="en-US" w:eastAsia="zh-CN"/>
                    </w:rPr>
                  </w:pPr>
                  <w:r>
                    <w:rPr>
                      <w:rFonts w:hint="eastAsia" w:cs="Times New Roman"/>
                      <w:color w:val="auto"/>
                      <w:sz w:val="18"/>
                      <w:szCs w:val="21"/>
                      <w:highlight w:val="none"/>
                      <w:u w:val="single" w:color="auto"/>
                      <w:lang w:val="en-US" w:eastAsia="zh-CN"/>
                    </w:rPr>
                    <w:t>4</w:t>
                  </w:r>
                </w:p>
              </w:tc>
              <w:tc>
                <w:tcPr>
                  <w:tcW w:w="1136" w:type="dxa"/>
                  <w:noWrap w:val="0"/>
                  <w:vAlign w:val="center"/>
                </w:tcPr>
                <w:p>
                  <w:pPr>
                    <w:jc w:val="center"/>
                    <w:rPr>
                      <w:rFonts w:hint="eastAsia" w:ascii="Times New Roman" w:hAnsi="Times New Roman" w:cs="Times New Roman"/>
                      <w:color w:val="auto"/>
                      <w:sz w:val="18"/>
                      <w:highlight w:val="none"/>
                      <w:u w:val="single" w:color="auto"/>
                      <w:lang w:val="en-US" w:eastAsia="zh-CN"/>
                    </w:rPr>
                  </w:pPr>
                  <w:r>
                    <w:rPr>
                      <w:rFonts w:hint="eastAsia" w:cs="Times New Roman"/>
                      <w:color w:val="auto"/>
                      <w:sz w:val="18"/>
                      <w:highlight w:val="none"/>
                      <w:u w:val="single" w:color="auto"/>
                      <w:lang w:val="en-US" w:eastAsia="zh-CN"/>
                    </w:rPr>
                    <w:t>依托原项目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5" w:type="dxa"/>
                  <w:shd w:val="clear" w:color="auto" w:fill="auto"/>
                  <w:noWrap w:val="0"/>
                  <w:vAlign w:val="center"/>
                </w:tcPr>
                <w:p>
                  <w:pPr>
                    <w:snapToGrid w:val="0"/>
                    <w:jc w:val="center"/>
                    <w:rPr>
                      <w:rFonts w:hint="eastAsia" w:ascii="Times New Roman" w:hAnsi="Times New Roman" w:eastAsia="宋体" w:cs="Times New Roman"/>
                      <w:color w:val="auto"/>
                      <w:kern w:val="2"/>
                      <w:sz w:val="18"/>
                      <w:szCs w:val="18"/>
                      <w:highlight w:val="none"/>
                      <w:u w:val="single" w:color="auto"/>
                      <w:lang w:val="en-US" w:eastAsia="zh-CN" w:bidi="ar-SA"/>
                    </w:rPr>
                  </w:pPr>
                  <w:r>
                    <w:rPr>
                      <w:rFonts w:hint="eastAsia"/>
                      <w:color w:val="auto"/>
                      <w:sz w:val="18"/>
                      <w:szCs w:val="18"/>
                      <w:highlight w:val="none"/>
                      <w:u w:val="single" w:color="auto"/>
                      <w:lang w:val="en-US" w:eastAsia="zh-CN"/>
                    </w:rPr>
                    <w:t>7</w:t>
                  </w:r>
                </w:p>
              </w:tc>
              <w:tc>
                <w:tcPr>
                  <w:tcW w:w="1680" w:type="dxa"/>
                  <w:tcBorders>
                    <w:right w:val="single" w:color="000000" w:sz="4" w:space="0"/>
                  </w:tcBorders>
                  <w:noWrap w:val="0"/>
                  <w:vAlign w:val="center"/>
                </w:tcPr>
                <w:p>
                  <w:pPr>
                    <w:ind w:right="-113"/>
                    <w:jc w:val="center"/>
                    <w:rPr>
                      <w:rFonts w:hint="default" w:ascii="Times New Roman" w:hAnsi="Times New Roman" w:cs="Times New Roman"/>
                      <w:color w:val="auto"/>
                      <w:sz w:val="18"/>
                      <w:szCs w:val="18"/>
                      <w:highlight w:val="none"/>
                      <w:u w:val="single" w:color="auto"/>
                      <w:lang w:val="en-US" w:eastAsia="zh-CN"/>
                    </w:rPr>
                  </w:pPr>
                  <w:r>
                    <w:rPr>
                      <w:rFonts w:hint="eastAsia" w:cs="Times New Roman"/>
                      <w:color w:val="auto"/>
                      <w:sz w:val="18"/>
                      <w:szCs w:val="18"/>
                      <w:highlight w:val="none"/>
                      <w:u w:val="single" w:color="auto"/>
                      <w:lang w:val="en-US" w:eastAsia="zh-CN"/>
                    </w:rPr>
                    <w:t>输送机皮带</w:t>
                  </w:r>
                </w:p>
              </w:tc>
              <w:tc>
                <w:tcPr>
                  <w:tcW w:w="1560" w:type="dxa"/>
                  <w:tcBorders>
                    <w:left w:val="single" w:color="000000" w:sz="4" w:space="0"/>
                    <w:right w:val="single" w:color="000000" w:sz="4" w:space="0"/>
                  </w:tcBorders>
                  <w:noWrap w:val="0"/>
                  <w:vAlign w:val="center"/>
                </w:tcPr>
                <w:p>
                  <w:pPr>
                    <w:jc w:val="center"/>
                    <w:rPr>
                      <w:rFonts w:hint="default" w:ascii="Times New Roman" w:hAnsi="Times New Roman" w:eastAsia="宋体" w:cs="Times New Roman"/>
                      <w:color w:val="auto"/>
                      <w:sz w:val="18"/>
                      <w:szCs w:val="18"/>
                      <w:highlight w:val="none"/>
                      <w:u w:val="single" w:color="auto"/>
                      <w:lang w:val="en-US" w:eastAsia="zh-CN"/>
                    </w:rPr>
                  </w:pPr>
                  <w:r>
                    <w:rPr>
                      <w:rFonts w:hint="eastAsia" w:cs="Times New Roman"/>
                      <w:color w:val="auto"/>
                      <w:sz w:val="18"/>
                      <w:szCs w:val="18"/>
                      <w:highlight w:val="none"/>
                      <w:u w:val="single" w:color="auto"/>
                      <w:lang w:val="en-US" w:eastAsia="zh-CN"/>
                    </w:rPr>
                    <w:t>800*6</w:t>
                  </w:r>
                </w:p>
              </w:tc>
              <w:tc>
                <w:tcPr>
                  <w:tcW w:w="1325" w:type="dxa"/>
                  <w:tcBorders>
                    <w:left w:val="single" w:color="000000" w:sz="4" w:space="0"/>
                  </w:tcBorders>
                  <w:noWrap w:val="0"/>
                  <w:vAlign w:val="center"/>
                </w:tcPr>
                <w:p>
                  <w:pPr>
                    <w:ind w:left="-3" w:leftChars="-63" w:right="-113" w:hanging="129" w:hangingChars="72"/>
                    <w:jc w:val="center"/>
                    <w:rPr>
                      <w:rFonts w:hint="default" w:ascii="Times New Roman" w:hAnsi="Times New Roman" w:eastAsia="宋体" w:cs="Times New Roman"/>
                      <w:color w:val="auto"/>
                      <w:sz w:val="18"/>
                      <w:szCs w:val="21"/>
                      <w:highlight w:val="none"/>
                      <w:u w:val="single" w:color="auto"/>
                      <w:lang w:val="en-US" w:eastAsia="zh-CN"/>
                    </w:rPr>
                  </w:pPr>
                  <w:r>
                    <w:rPr>
                      <w:rFonts w:hint="eastAsia" w:cs="Times New Roman"/>
                      <w:color w:val="auto"/>
                      <w:sz w:val="18"/>
                      <w:szCs w:val="21"/>
                      <w:highlight w:val="none"/>
                      <w:u w:val="single" w:color="auto"/>
                      <w:lang w:val="en-US" w:eastAsia="zh-CN"/>
                    </w:rPr>
                    <w:t>400</w:t>
                  </w:r>
                </w:p>
              </w:tc>
              <w:tc>
                <w:tcPr>
                  <w:tcW w:w="1136" w:type="dxa"/>
                  <w:noWrap w:val="0"/>
                  <w:vAlign w:val="center"/>
                </w:tcPr>
                <w:p>
                  <w:pPr>
                    <w:jc w:val="center"/>
                    <w:rPr>
                      <w:rFonts w:hint="eastAsia" w:ascii="Times New Roman" w:hAnsi="Times New Roman" w:cs="Times New Roman"/>
                      <w:color w:val="auto"/>
                      <w:sz w:val="18"/>
                      <w:highlight w:val="none"/>
                      <w:u w:val="single" w:color="auto"/>
                      <w:lang w:val="en-US" w:eastAsia="zh-CN"/>
                    </w:rPr>
                  </w:pPr>
                  <w:r>
                    <w:rPr>
                      <w:rFonts w:hint="eastAsia" w:cs="Times New Roman"/>
                      <w:color w:val="auto"/>
                      <w:sz w:val="18"/>
                      <w:highlight w:val="none"/>
                      <w:u w:val="single" w:color="auto"/>
                      <w:lang w:val="en-US" w:eastAsia="zh-CN"/>
                    </w:rPr>
                    <w:t>依托原项目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5" w:type="dxa"/>
                  <w:shd w:val="clear" w:color="auto" w:fill="auto"/>
                  <w:noWrap w:val="0"/>
                  <w:vAlign w:val="center"/>
                </w:tcPr>
                <w:p>
                  <w:pPr>
                    <w:snapToGrid w:val="0"/>
                    <w:jc w:val="center"/>
                    <w:rPr>
                      <w:rFonts w:hint="eastAsia" w:ascii="Times New Roman" w:hAnsi="Times New Roman" w:eastAsia="宋体" w:cs="Times New Roman"/>
                      <w:color w:val="auto"/>
                      <w:kern w:val="2"/>
                      <w:sz w:val="18"/>
                      <w:szCs w:val="18"/>
                      <w:highlight w:val="none"/>
                      <w:u w:val="single" w:color="auto"/>
                      <w:lang w:val="en-US" w:eastAsia="zh-CN" w:bidi="ar-SA"/>
                    </w:rPr>
                  </w:pPr>
                  <w:r>
                    <w:rPr>
                      <w:rFonts w:hint="eastAsia"/>
                      <w:color w:val="auto"/>
                      <w:sz w:val="18"/>
                      <w:szCs w:val="18"/>
                      <w:highlight w:val="none"/>
                      <w:u w:val="single" w:color="auto"/>
                      <w:lang w:val="en-US" w:eastAsia="zh-CN"/>
                    </w:rPr>
                    <w:t>8</w:t>
                  </w:r>
                </w:p>
              </w:tc>
              <w:tc>
                <w:tcPr>
                  <w:tcW w:w="1680" w:type="dxa"/>
                  <w:tcBorders>
                    <w:right w:val="single" w:color="000000" w:sz="4" w:space="0"/>
                  </w:tcBorders>
                  <w:noWrap w:val="0"/>
                  <w:vAlign w:val="center"/>
                </w:tcPr>
                <w:p>
                  <w:pPr>
                    <w:ind w:right="-113"/>
                    <w:jc w:val="center"/>
                    <w:rPr>
                      <w:rFonts w:hint="default" w:ascii="Times New Roman" w:hAnsi="Times New Roman" w:cs="Times New Roman"/>
                      <w:color w:val="auto"/>
                      <w:sz w:val="18"/>
                      <w:szCs w:val="18"/>
                      <w:highlight w:val="none"/>
                      <w:u w:val="single" w:color="auto"/>
                      <w:lang w:val="en-US" w:eastAsia="zh-CN"/>
                    </w:rPr>
                  </w:pPr>
                  <w:r>
                    <w:rPr>
                      <w:rFonts w:hint="eastAsia" w:cs="Times New Roman"/>
                      <w:color w:val="auto"/>
                      <w:sz w:val="18"/>
                      <w:szCs w:val="18"/>
                      <w:highlight w:val="none"/>
                      <w:u w:val="single" w:color="auto"/>
                      <w:lang w:val="en-US" w:eastAsia="zh-CN"/>
                    </w:rPr>
                    <w:t>切条机</w:t>
                  </w:r>
                </w:p>
              </w:tc>
              <w:tc>
                <w:tcPr>
                  <w:tcW w:w="1560" w:type="dxa"/>
                  <w:tcBorders>
                    <w:left w:val="single" w:color="000000" w:sz="4" w:space="0"/>
                    <w:right w:val="single" w:color="000000" w:sz="4" w:space="0"/>
                  </w:tcBorders>
                  <w:noWrap w:val="0"/>
                  <w:vAlign w:val="center"/>
                </w:tcPr>
                <w:p>
                  <w:pPr>
                    <w:jc w:val="center"/>
                    <w:rPr>
                      <w:rFonts w:hint="default" w:ascii="Times New Roman" w:hAnsi="Times New Roman" w:eastAsia="宋体" w:cs="Times New Roman"/>
                      <w:color w:val="auto"/>
                      <w:sz w:val="18"/>
                      <w:szCs w:val="18"/>
                      <w:highlight w:val="none"/>
                      <w:u w:val="single" w:color="auto"/>
                      <w:lang w:val="en-US" w:eastAsia="zh-CN"/>
                    </w:rPr>
                  </w:pPr>
                  <w:r>
                    <w:rPr>
                      <w:rFonts w:hint="eastAsia" w:cs="Times New Roman"/>
                      <w:color w:val="auto"/>
                      <w:sz w:val="18"/>
                      <w:szCs w:val="18"/>
                      <w:highlight w:val="none"/>
                      <w:u w:val="single" w:color="auto"/>
                      <w:lang w:val="en-US" w:eastAsia="zh-CN"/>
                    </w:rPr>
                    <w:t>ZQT</w:t>
                  </w:r>
                </w:p>
              </w:tc>
              <w:tc>
                <w:tcPr>
                  <w:tcW w:w="1325" w:type="dxa"/>
                  <w:tcBorders>
                    <w:left w:val="single" w:color="000000" w:sz="4" w:space="0"/>
                  </w:tcBorders>
                  <w:noWrap w:val="0"/>
                  <w:vAlign w:val="center"/>
                </w:tcPr>
                <w:p>
                  <w:pPr>
                    <w:ind w:left="-3" w:leftChars="-63" w:right="-113" w:hanging="129" w:hangingChars="72"/>
                    <w:jc w:val="center"/>
                    <w:rPr>
                      <w:rFonts w:hint="eastAsia" w:ascii="Times New Roman" w:hAnsi="Times New Roman" w:eastAsia="宋体" w:cs="Times New Roman"/>
                      <w:color w:val="auto"/>
                      <w:sz w:val="18"/>
                      <w:szCs w:val="21"/>
                      <w:highlight w:val="none"/>
                      <w:u w:val="single" w:color="auto"/>
                      <w:lang w:val="en-US" w:eastAsia="zh-CN"/>
                    </w:rPr>
                  </w:pPr>
                  <w:r>
                    <w:rPr>
                      <w:rFonts w:hint="eastAsia" w:cs="Times New Roman"/>
                      <w:color w:val="auto"/>
                      <w:sz w:val="18"/>
                      <w:szCs w:val="21"/>
                      <w:highlight w:val="none"/>
                      <w:u w:val="single" w:color="auto"/>
                      <w:lang w:val="en-US" w:eastAsia="zh-CN"/>
                    </w:rPr>
                    <w:t>2</w:t>
                  </w:r>
                </w:p>
              </w:tc>
              <w:tc>
                <w:tcPr>
                  <w:tcW w:w="1136" w:type="dxa"/>
                  <w:noWrap w:val="0"/>
                  <w:vAlign w:val="center"/>
                </w:tcPr>
                <w:p>
                  <w:pPr>
                    <w:jc w:val="center"/>
                    <w:rPr>
                      <w:rFonts w:hint="eastAsia" w:ascii="Times New Roman" w:hAnsi="Times New Roman" w:cs="Times New Roman"/>
                      <w:color w:val="auto"/>
                      <w:sz w:val="18"/>
                      <w:highlight w:val="none"/>
                      <w:u w:val="single" w:color="auto"/>
                      <w:lang w:val="en-US" w:eastAsia="zh-CN"/>
                    </w:rPr>
                  </w:pPr>
                  <w:r>
                    <w:rPr>
                      <w:rFonts w:hint="eastAsia" w:cs="Times New Roman"/>
                      <w:color w:val="auto"/>
                      <w:sz w:val="18"/>
                      <w:highlight w:val="none"/>
                      <w:u w:val="single" w:color="auto"/>
                      <w:lang w:val="en-US" w:eastAsia="zh-CN"/>
                    </w:rPr>
                    <w:t>依托原项目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5" w:type="dxa"/>
                  <w:shd w:val="clear" w:color="auto" w:fill="auto"/>
                  <w:noWrap w:val="0"/>
                  <w:vAlign w:val="center"/>
                </w:tcPr>
                <w:p>
                  <w:pPr>
                    <w:snapToGrid w:val="0"/>
                    <w:jc w:val="center"/>
                    <w:rPr>
                      <w:rFonts w:hint="eastAsia" w:ascii="Times New Roman" w:hAnsi="Times New Roman" w:eastAsia="宋体" w:cs="Times New Roman"/>
                      <w:color w:val="auto"/>
                      <w:kern w:val="2"/>
                      <w:sz w:val="18"/>
                      <w:szCs w:val="18"/>
                      <w:highlight w:val="none"/>
                      <w:u w:val="single" w:color="auto"/>
                      <w:lang w:val="en-US" w:eastAsia="zh-CN" w:bidi="ar-SA"/>
                    </w:rPr>
                  </w:pPr>
                  <w:r>
                    <w:rPr>
                      <w:rFonts w:hint="eastAsia"/>
                      <w:color w:val="auto"/>
                      <w:sz w:val="18"/>
                      <w:szCs w:val="18"/>
                      <w:highlight w:val="none"/>
                      <w:u w:val="single" w:color="auto"/>
                      <w:lang w:val="en-US" w:eastAsia="zh-CN"/>
                    </w:rPr>
                    <w:t>9</w:t>
                  </w:r>
                </w:p>
              </w:tc>
              <w:tc>
                <w:tcPr>
                  <w:tcW w:w="1680" w:type="dxa"/>
                  <w:tcBorders>
                    <w:right w:val="single" w:color="000000" w:sz="4" w:space="0"/>
                  </w:tcBorders>
                  <w:noWrap w:val="0"/>
                  <w:vAlign w:val="center"/>
                </w:tcPr>
                <w:p>
                  <w:pPr>
                    <w:ind w:right="-113"/>
                    <w:jc w:val="center"/>
                    <w:rPr>
                      <w:rFonts w:hint="default" w:ascii="Times New Roman" w:hAnsi="Times New Roman" w:cs="Times New Roman"/>
                      <w:color w:val="auto"/>
                      <w:sz w:val="18"/>
                      <w:szCs w:val="18"/>
                      <w:highlight w:val="none"/>
                      <w:u w:val="single" w:color="auto"/>
                      <w:lang w:val="en-US" w:eastAsia="zh-CN"/>
                    </w:rPr>
                  </w:pPr>
                  <w:r>
                    <w:rPr>
                      <w:rFonts w:hint="eastAsia" w:cs="Times New Roman"/>
                      <w:color w:val="auto"/>
                      <w:sz w:val="18"/>
                      <w:szCs w:val="18"/>
                      <w:highlight w:val="none"/>
                      <w:u w:val="single" w:color="auto"/>
                      <w:lang w:val="en-US" w:eastAsia="zh-CN"/>
                    </w:rPr>
                    <w:t>切胚机</w:t>
                  </w:r>
                </w:p>
              </w:tc>
              <w:tc>
                <w:tcPr>
                  <w:tcW w:w="1560" w:type="dxa"/>
                  <w:tcBorders>
                    <w:left w:val="single" w:color="000000" w:sz="4" w:space="0"/>
                    <w:right w:val="single" w:color="000000" w:sz="4" w:space="0"/>
                  </w:tcBorders>
                  <w:noWrap w:val="0"/>
                  <w:vAlign w:val="center"/>
                </w:tcPr>
                <w:p>
                  <w:pPr>
                    <w:jc w:val="center"/>
                    <w:rPr>
                      <w:rFonts w:hint="default" w:ascii="Times New Roman" w:hAnsi="Times New Roman" w:eastAsia="宋体" w:cs="Times New Roman"/>
                      <w:color w:val="auto"/>
                      <w:sz w:val="18"/>
                      <w:szCs w:val="18"/>
                      <w:highlight w:val="none"/>
                      <w:u w:val="single" w:color="auto"/>
                      <w:lang w:val="en-US" w:eastAsia="zh-CN"/>
                    </w:rPr>
                  </w:pPr>
                  <w:r>
                    <w:rPr>
                      <w:rFonts w:hint="eastAsia" w:cs="Times New Roman"/>
                      <w:color w:val="auto"/>
                      <w:sz w:val="18"/>
                      <w:szCs w:val="18"/>
                      <w:highlight w:val="none"/>
                      <w:u w:val="single" w:color="auto"/>
                      <w:lang w:val="en-US" w:eastAsia="zh-CN"/>
                    </w:rPr>
                    <w:t>ZQP</w:t>
                  </w:r>
                </w:p>
              </w:tc>
              <w:tc>
                <w:tcPr>
                  <w:tcW w:w="1325" w:type="dxa"/>
                  <w:tcBorders>
                    <w:left w:val="single" w:color="000000" w:sz="4" w:space="0"/>
                  </w:tcBorders>
                  <w:noWrap w:val="0"/>
                  <w:vAlign w:val="center"/>
                </w:tcPr>
                <w:p>
                  <w:pPr>
                    <w:ind w:left="-3" w:leftChars="-63" w:right="-113" w:hanging="129" w:hangingChars="72"/>
                    <w:jc w:val="center"/>
                    <w:rPr>
                      <w:rFonts w:hint="eastAsia" w:ascii="Times New Roman" w:hAnsi="Times New Roman" w:eastAsia="宋体" w:cs="Times New Roman"/>
                      <w:color w:val="auto"/>
                      <w:sz w:val="18"/>
                      <w:szCs w:val="21"/>
                      <w:highlight w:val="none"/>
                      <w:u w:val="single" w:color="auto"/>
                      <w:lang w:val="en-US" w:eastAsia="zh-CN"/>
                    </w:rPr>
                  </w:pPr>
                  <w:r>
                    <w:rPr>
                      <w:rFonts w:hint="eastAsia" w:cs="Times New Roman"/>
                      <w:color w:val="auto"/>
                      <w:sz w:val="18"/>
                      <w:szCs w:val="21"/>
                      <w:highlight w:val="none"/>
                      <w:u w:val="single" w:color="auto"/>
                      <w:lang w:val="en-US" w:eastAsia="zh-CN"/>
                    </w:rPr>
                    <w:t>2</w:t>
                  </w:r>
                </w:p>
              </w:tc>
              <w:tc>
                <w:tcPr>
                  <w:tcW w:w="1136" w:type="dxa"/>
                  <w:noWrap w:val="0"/>
                  <w:vAlign w:val="center"/>
                </w:tcPr>
                <w:p>
                  <w:pPr>
                    <w:jc w:val="center"/>
                    <w:rPr>
                      <w:rFonts w:hint="eastAsia" w:ascii="Times New Roman" w:hAnsi="Times New Roman" w:cs="Times New Roman"/>
                      <w:color w:val="auto"/>
                      <w:sz w:val="18"/>
                      <w:highlight w:val="none"/>
                      <w:u w:val="single" w:color="auto"/>
                      <w:lang w:val="en-US" w:eastAsia="zh-CN"/>
                    </w:rPr>
                  </w:pPr>
                  <w:r>
                    <w:rPr>
                      <w:rFonts w:hint="eastAsia" w:cs="Times New Roman"/>
                      <w:color w:val="auto"/>
                      <w:sz w:val="18"/>
                      <w:highlight w:val="none"/>
                      <w:u w:val="single" w:color="auto"/>
                      <w:lang w:val="en-US" w:eastAsia="zh-CN"/>
                    </w:rPr>
                    <w:t>依托原项目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5" w:type="dxa"/>
                  <w:shd w:val="clear" w:color="auto" w:fill="auto"/>
                  <w:noWrap w:val="0"/>
                  <w:vAlign w:val="center"/>
                </w:tcPr>
                <w:p>
                  <w:pPr>
                    <w:snapToGrid w:val="0"/>
                    <w:jc w:val="center"/>
                    <w:rPr>
                      <w:rFonts w:hint="eastAsia" w:ascii="Times New Roman" w:hAnsi="Times New Roman" w:eastAsia="宋体" w:cs="Times New Roman"/>
                      <w:color w:val="auto"/>
                      <w:kern w:val="2"/>
                      <w:sz w:val="18"/>
                      <w:szCs w:val="18"/>
                      <w:highlight w:val="none"/>
                      <w:u w:val="single" w:color="auto"/>
                      <w:lang w:val="en-US" w:eastAsia="zh-CN" w:bidi="ar-SA"/>
                    </w:rPr>
                  </w:pPr>
                  <w:r>
                    <w:rPr>
                      <w:rFonts w:hint="eastAsia"/>
                      <w:color w:val="auto"/>
                      <w:sz w:val="18"/>
                      <w:szCs w:val="18"/>
                      <w:highlight w:val="none"/>
                      <w:u w:val="single" w:color="auto"/>
                      <w:lang w:val="en-US" w:eastAsia="zh-CN"/>
                    </w:rPr>
                    <w:t>10</w:t>
                  </w:r>
                </w:p>
              </w:tc>
              <w:tc>
                <w:tcPr>
                  <w:tcW w:w="1680" w:type="dxa"/>
                  <w:tcBorders>
                    <w:right w:val="single" w:color="000000" w:sz="4" w:space="0"/>
                  </w:tcBorders>
                  <w:noWrap w:val="0"/>
                  <w:vAlign w:val="center"/>
                </w:tcPr>
                <w:p>
                  <w:pPr>
                    <w:ind w:right="-113"/>
                    <w:jc w:val="center"/>
                    <w:rPr>
                      <w:rFonts w:hint="default" w:ascii="Times New Roman" w:hAnsi="Times New Roman" w:cs="Times New Roman"/>
                      <w:color w:val="auto"/>
                      <w:sz w:val="18"/>
                      <w:szCs w:val="18"/>
                      <w:highlight w:val="none"/>
                      <w:u w:val="single" w:color="auto"/>
                      <w:lang w:val="en-US" w:eastAsia="zh-CN"/>
                    </w:rPr>
                  </w:pPr>
                  <w:r>
                    <w:rPr>
                      <w:rFonts w:hint="eastAsia" w:cs="Times New Roman"/>
                      <w:color w:val="auto"/>
                      <w:sz w:val="18"/>
                      <w:szCs w:val="18"/>
                      <w:highlight w:val="none"/>
                      <w:u w:val="single" w:color="auto"/>
                      <w:lang w:val="en-US" w:eastAsia="zh-CN"/>
                    </w:rPr>
                    <w:t>隧道鼓风机</w:t>
                  </w:r>
                </w:p>
              </w:tc>
              <w:tc>
                <w:tcPr>
                  <w:tcW w:w="1560" w:type="dxa"/>
                  <w:tcBorders>
                    <w:left w:val="single" w:color="000000" w:sz="4" w:space="0"/>
                    <w:right w:val="single" w:color="000000" w:sz="4" w:space="0"/>
                  </w:tcBorders>
                  <w:noWrap w:val="0"/>
                  <w:vAlign w:val="center"/>
                </w:tcPr>
                <w:p>
                  <w:pPr>
                    <w:jc w:val="center"/>
                    <w:rPr>
                      <w:rFonts w:hint="default" w:cs="Times New Roman"/>
                      <w:color w:val="auto"/>
                      <w:sz w:val="18"/>
                      <w:szCs w:val="18"/>
                      <w:highlight w:val="none"/>
                      <w:u w:val="single" w:color="auto"/>
                      <w:lang w:val="en-US" w:eastAsia="zh-CN"/>
                    </w:rPr>
                  </w:pPr>
                  <w:r>
                    <w:rPr>
                      <w:rFonts w:hint="eastAsia" w:cs="Times New Roman"/>
                      <w:color w:val="auto"/>
                      <w:sz w:val="18"/>
                      <w:szCs w:val="18"/>
                      <w:highlight w:val="none"/>
                      <w:u w:val="single" w:color="auto"/>
                      <w:lang w:val="en-US" w:eastAsia="zh-CN"/>
                    </w:rPr>
                    <w:t>2万m</w:t>
                  </w:r>
                  <w:r>
                    <w:rPr>
                      <w:rFonts w:hint="eastAsia" w:cs="Times New Roman"/>
                      <w:color w:val="auto"/>
                      <w:sz w:val="18"/>
                      <w:szCs w:val="18"/>
                      <w:highlight w:val="none"/>
                      <w:u w:val="single" w:color="auto"/>
                      <w:vertAlign w:val="superscript"/>
                      <w:lang w:val="en-US" w:eastAsia="zh-CN"/>
                    </w:rPr>
                    <w:t>3</w:t>
                  </w:r>
                  <w:r>
                    <w:rPr>
                      <w:rFonts w:hint="eastAsia" w:cs="Times New Roman"/>
                      <w:color w:val="auto"/>
                      <w:sz w:val="18"/>
                      <w:szCs w:val="18"/>
                      <w:highlight w:val="none"/>
                      <w:u w:val="single" w:color="auto"/>
                      <w:lang w:val="en-US" w:eastAsia="zh-CN"/>
                    </w:rPr>
                    <w:t>/h</w:t>
                  </w:r>
                </w:p>
              </w:tc>
              <w:tc>
                <w:tcPr>
                  <w:tcW w:w="1325" w:type="dxa"/>
                  <w:tcBorders>
                    <w:left w:val="single" w:color="000000" w:sz="4" w:space="0"/>
                  </w:tcBorders>
                  <w:noWrap w:val="0"/>
                  <w:vAlign w:val="center"/>
                </w:tcPr>
                <w:p>
                  <w:pPr>
                    <w:ind w:left="-3" w:leftChars="-63" w:right="-113" w:hanging="129" w:hangingChars="72"/>
                    <w:jc w:val="center"/>
                    <w:rPr>
                      <w:rFonts w:hint="eastAsia" w:ascii="Times New Roman" w:hAnsi="Times New Roman" w:eastAsia="宋体" w:cs="Times New Roman"/>
                      <w:color w:val="auto"/>
                      <w:sz w:val="18"/>
                      <w:szCs w:val="21"/>
                      <w:highlight w:val="none"/>
                      <w:u w:val="single" w:color="auto"/>
                      <w:lang w:val="en-US" w:eastAsia="zh-CN"/>
                    </w:rPr>
                  </w:pPr>
                  <w:r>
                    <w:rPr>
                      <w:rFonts w:hint="eastAsia" w:cs="Times New Roman"/>
                      <w:color w:val="auto"/>
                      <w:sz w:val="18"/>
                      <w:szCs w:val="21"/>
                      <w:highlight w:val="none"/>
                      <w:u w:val="single" w:color="auto"/>
                      <w:lang w:val="en-US" w:eastAsia="zh-CN"/>
                    </w:rPr>
                    <w:t>2</w:t>
                  </w:r>
                </w:p>
              </w:tc>
              <w:tc>
                <w:tcPr>
                  <w:tcW w:w="1136" w:type="dxa"/>
                  <w:noWrap w:val="0"/>
                  <w:vAlign w:val="center"/>
                </w:tcPr>
                <w:p>
                  <w:pPr>
                    <w:jc w:val="center"/>
                    <w:rPr>
                      <w:rFonts w:hint="eastAsia" w:ascii="Times New Roman" w:hAnsi="Times New Roman" w:cs="Times New Roman"/>
                      <w:color w:val="auto"/>
                      <w:sz w:val="18"/>
                      <w:highlight w:val="none"/>
                      <w:u w:val="single" w:color="auto"/>
                      <w:lang w:val="en-US" w:eastAsia="zh-CN"/>
                    </w:rPr>
                  </w:pPr>
                  <w:r>
                    <w:rPr>
                      <w:rFonts w:hint="eastAsia" w:cs="Times New Roman"/>
                      <w:color w:val="auto"/>
                      <w:sz w:val="18"/>
                      <w:highlight w:val="none"/>
                      <w:u w:val="single" w:color="auto"/>
                      <w:lang w:val="en-US" w:eastAsia="zh-CN"/>
                    </w:rPr>
                    <w:t>依托原项目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5" w:type="dxa"/>
                  <w:shd w:val="clear" w:color="auto" w:fill="auto"/>
                  <w:noWrap w:val="0"/>
                  <w:vAlign w:val="center"/>
                </w:tcPr>
                <w:p>
                  <w:pPr>
                    <w:snapToGrid w:val="0"/>
                    <w:jc w:val="center"/>
                    <w:rPr>
                      <w:rFonts w:hint="default" w:ascii="Times New Roman" w:hAnsi="Times New Roman" w:eastAsia="宋体" w:cs="Times New Roman"/>
                      <w:color w:val="auto"/>
                      <w:kern w:val="2"/>
                      <w:sz w:val="18"/>
                      <w:szCs w:val="18"/>
                      <w:highlight w:val="none"/>
                      <w:u w:val="single" w:color="auto"/>
                      <w:lang w:val="en-US" w:eastAsia="zh-CN" w:bidi="ar-SA"/>
                    </w:rPr>
                  </w:pPr>
                  <w:r>
                    <w:rPr>
                      <w:rFonts w:hint="eastAsia"/>
                      <w:color w:val="auto"/>
                      <w:sz w:val="18"/>
                      <w:szCs w:val="18"/>
                      <w:highlight w:val="none"/>
                      <w:u w:val="single" w:color="auto"/>
                      <w:lang w:val="en-US" w:eastAsia="zh-CN"/>
                    </w:rPr>
                    <w:t>11</w:t>
                  </w:r>
                </w:p>
              </w:tc>
              <w:tc>
                <w:tcPr>
                  <w:tcW w:w="1680" w:type="dxa"/>
                  <w:tcBorders>
                    <w:right w:val="single" w:color="000000" w:sz="4" w:space="0"/>
                  </w:tcBorders>
                  <w:noWrap w:val="0"/>
                  <w:vAlign w:val="center"/>
                </w:tcPr>
                <w:p>
                  <w:pPr>
                    <w:ind w:right="-113"/>
                    <w:jc w:val="center"/>
                    <w:rPr>
                      <w:rFonts w:hint="default" w:ascii="Times New Roman" w:hAnsi="Times New Roman" w:cs="Times New Roman"/>
                      <w:color w:val="auto"/>
                      <w:sz w:val="18"/>
                      <w:szCs w:val="18"/>
                      <w:highlight w:val="none"/>
                      <w:u w:val="single" w:color="auto"/>
                      <w:lang w:val="en-US" w:eastAsia="zh-CN"/>
                    </w:rPr>
                  </w:pPr>
                  <w:r>
                    <w:rPr>
                      <w:rFonts w:hint="eastAsia" w:cs="Times New Roman"/>
                      <w:color w:val="auto"/>
                      <w:sz w:val="18"/>
                      <w:szCs w:val="18"/>
                      <w:highlight w:val="none"/>
                      <w:u w:val="single" w:color="auto"/>
                      <w:lang w:val="en-US" w:eastAsia="zh-CN"/>
                    </w:rPr>
                    <w:t>除尘器引风机</w:t>
                  </w:r>
                </w:p>
              </w:tc>
              <w:tc>
                <w:tcPr>
                  <w:tcW w:w="1560" w:type="dxa"/>
                  <w:tcBorders>
                    <w:left w:val="single" w:color="000000" w:sz="4" w:space="0"/>
                    <w:right w:val="single" w:color="000000" w:sz="4" w:space="0"/>
                  </w:tcBorders>
                  <w:noWrap w:val="0"/>
                  <w:vAlign w:val="center"/>
                </w:tcPr>
                <w:p>
                  <w:pPr>
                    <w:jc w:val="center"/>
                    <w:rPr>
                      <w:rFonts w:hint="default" w:ascii="Times New Roman" w:hAnsi="Times New Roman" w:eastAsia="宋体" w:cs="Times New Roman"/>
                      <w:color w:val="auto"/>
                      <w:sz w:val="18"/>
                      <w:szCs w:val="18"/>
                      <w:highlight w:val="none"/>
                      <w:u w:val="single" w:color="auto"/>
                      <w:lang w:val="en-US" w:eastAsia="zh-CN"/>
                    </w:rPr>
                  </w:pPr>
                  <w:r>
                    <w:rPr>
                      <w:rFonts w:hint="eastAsia" w:cs="Times New Roman"/>
                      <w:color w:val="auto"/>
                      <w:sz w:val="18"/>
                      <w:szCs w:val="18"/>
                      <w:highlight w:val="none"/>
                      <w:u w:val="single" w:color="auto"/>
                      <w:lang w:val="en-US" w:eastAsia="zh-CN"/>
                    </w:rPr>
                    <w:t>ZNMC-1-150</w:t>
                  </w:r>
                </w:p>
              </w:tc>
              <w:tc>
                <w:tcPr>
                  <w:tcW w:w="1325" w:type="dxa"/>
                  <w:tcBorders>
                    <w:left w:val="single" w:color="000000" w:sz="4" w:space="0"/>
                  </w:tcBorders>
                  <w:noWrap w:val="0"/>
                  <w:vAlign w:val="center"/>
                </w:tcPr>
                <w:p>
                  <w:pPr>
                    <w:ind w:left="-3" w:leftChars="-63" w:right="-113" w:hanging="129" w:hangingChars="72"/>
                    <w:jc w:val="center"/>
                    <w:rPr>
                      <w:rFonts w:hint="eastAsia" w:ascii="Times New Roman" w:hAnsi="Times New Roman" w:eastAsia="宋体" w:cs="Times New Roman"/>
                      <w:color w:val="auto"/>
                      <w:sz w:val="18"/>
                      <w:szCs w:val="21"/>
                      <w:highlight w:val="none"/>
                      <w:u w:val="single" w:color="auto"/>
                      <w:lang w:val="en-US" w:eastAsia="zh-CN"/>
                    </w:rPr>
                  </w:pPr>
                  <w:r>
                    <w:rPr>
                      <w:rFonts w:hint="eastAsia" w:cs="Times New Roman"/>
                      <w:color w:val="auto"/>
                      <w:sz w:val="18"/>
                      <w:szCs w:val="21"/>
                      <w:highlight w:val="none"/>
                      <w:u w:val="single" w:color="auto"/>
                      <w:lang w:val="en-US" w:eastAsia="zh-CN"/>
                    </w:rPr>
                    <w:t>2</w:t>
                  </w:r>
                </w:p>
              </w:tc>
              <w:tc>
                <w:tcPr>
                  <w:tcW w:w="1136" w:type="dxa"/>
                  <w:noWrap w:val="0"/>
                  <w:vAlign w:val="center"/>
                </w:tcPr>
                <w:p>
                  <w:pPr>
                    <w:jc w:val="center"/>
                    <w:rPr>
                      <w:rFonts w:hint="eastAsia" w:ascii="Times New Roman" w:hAnsi="Times New Roman" w:cs="Times New Roman"/>
                      <w:color w:val="auto"/>
                      <w:sz w:val="18"/>
                      <w:highlight w:val="none"/>
                      <w:u w:val="single" w:color="auto"/>
                      <w:lang w:val="en-US" w:eastAsia="zh-CN"/>
                    </w:rPr>
                  </w:pPr>
                  <w:r>
                    <w:rPr>
                      <w:rFonts w:hint="eastAsia" w:cs="Times New Roman"/>
                      <w:color w:val="auto"/>
                      <w:sz w:val="18"/>
                      <w:highlight w:val="none"/>
                      <w:u w:val="single" w:color="auto"/>
                      <w:lang w:val="en-US" w:eastAsia="zh-CN"/>
                    </w:rPr>
                    <w:t>依托原项目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5" w:type="dxa"/>
                  <w:noWrap w:val="0"/>
                  <w:vAlign w:val="center"/>
                </w:tcPr>
                <w:p>
                  <w:pPr>
                    <w:snapToGrid w:val="0"/>
                    <w:jc w:val="center"/>
                    <w:rPr>
                      <w:rFonts w:hint="default" w:eastAsia="宋体"/>
                      <w:color w:val="auto"/>
                      <w:sz w:val="18"/>
                      <w:szCs w:val="18"/>
                      <w:highlight w:val="none"/>
                      <w:u w:val="single" w:color="auto"/>
                      <w:lang w:val="en-US" w:eastAsia="zh-CN"/>
                    </w:rPr>
                  </w:pPr>
                  <w:r>
                    <w:rPr>
                      <w:rFonts w:hint="eastAsia"/>
                      <w:color w:val="auto"/>
                      <w:sz w:val="18"/>
                      <w:szCs w:val="18"/>
                      <w:highlight w:val="none"/>
                      <w:u w:val="single" w:color="auto"/>
                      <w:lang w:val="en-US" w:eastAsia="zh-CN"/>
                    </w:rPr>
                    <w:t>12</w:t>
                  </w:r>
                </w:p>
              </w:tc>
              <w:tc>
                <w:tcPr>
                  <w:tcW w:w="1680" w:type="dxa"/>
                  <w:tcBorders>
                    <w:right w:val="single" w:color="000000" w:sz="4" w:space="0"/>
                  </w:tcBorders>
                  <w:noWrap w:val="0"/>
                  <w:vAlign w:val="center"/>
                </w:tcPr>
                <w:p>
                  <w:pPr>
                    <w:ind w:right="-113"/>
                    <w:jc w:val="center"/>
                    <w:rPr>
                      <w:rFonts w:hint="default" w:ascii="Times New Roman" w:hAnsi="Times New Roman" w:cs="Times New Roman"/>
                      <w:color w:val="auto"/>
                      <w:sz w:val="18"/>
                      <w:szCs w:val="18"/>
                      <w:highlight w:val="none"/>
                      <w:u w:val="single" w:color="auto"/>
                      <w:lang w:val="en-US" w:eastAsia="zh-CN"/>
                    </w:rPr>
                  </w:pPr>
                  <w:r>
                    <w:rPr>
                      <w:rFonts w:hint="eastAsia" w:cs="Times New Roman"/>
                      <w:color w:val="auto"/>
                      <w:sz w:val="18"/>
                      <w:szCs w:val="18"/>
                      <w:highlight w:val="none"/>
                      <w:u w:val="single" w:color="auto"/>
                      <w:lang w:val="en-US" w:eastAsia="zh-CN"/>
                    </w:rPr>
                    <w:t>脱硫塔引风机</w:t>
                  </w:r>
                </w:p>
              </w:tc>
              <w:tc>
                <w:tcPr>
                  <w:tcW w:w="1560" w:type="dxa"/>
                  <w:tcBorders>
                    <w:left w:val="single" w:color="000000" w:sz="4" w:space="0"/>
                    <w:right w:val="single" w:color="000000" w:sz="4" w:space="0"/>
                  </w:tcBorders>
                  <w:noWrap w:val="0"/>
                  <w:vAlign w:val="center"/>
                </w:tcPr>
                <w:p>
                  <w:pPr>
                    <w:jc w:val="center"/>
                    <w:rPr>
                      <w:rFonts w:hint="default" w:ascii="Times New Roman" w:hAnsi="Times New Roman" w:eastAsia="宋体" w:cs="Times New Roman"/>
                      <w:color w:val="auto"/>
                      <w:sz w:val="18"/>
                      <w:szCs w:val="18"/>
                      <w:highlight w:val="none"/>
                      <w:u w:val="single" w:color="auto"/>
                      <w:lang w:val="en-US" w:eastAsia="zh-CN"/>
                    </w:rPr>
                  </w:pPr>
                  <w:r>
                    <w:rPr>
                      <w:rFonts w:hint="eastAsia" w:cs="Times New Roman"/>
                      <w:color w:val="auto"/>
                      <w:sz w:val="18"/>
                      <w:szCs w:val="18"/>
                      <w:highlight w:val="none"/>
                      <w:u w:val="single" w:color="auto"/>
                      <w:lang w:val="en-US" w:eastAsia="zh-CN"/>
                    </w:rPr>
                    <w:t>HDSR50-350</w:t>
                  </w:r>
                </w:p>
              </w:tc>
              <w:tc>
                <w:tcPr>
                  <w:tcW w:w="1325" w:type="dxa"/>
                  <w:tcBorders>
                    <w:left w:val="single" w:color="000000" w:sz="4" w:space="0"/>
                  </w:tcBorders>
                  <w:noWrap w:val="0"/>
                  <w:vAlign w:val="center"/>
                </w:tcPr>
                <w:p>
                  <w:pPr>
                    <w:ind w:left="-3" w:leftChars="-63" w:right="-113" w:hanging="129" w:hangingChars="72"/>
                    <w:jc w:val="center"/>
                    <w:rPr>
                      <w:rFonts w:hint="eastAsia" w:ascii="Times New Roman" w:hAnsi="Times New Roman" w:eastAsia="宋体" w:cs="Times New Roman"/>
                      <w:color w:val="auto"/>
                      <w:sz w:val="18"/>
                      <w:szCs w:val="21"/>
                      <w:highlight w:val="none"/>
                      <w:u w:val="single" w:color="auto"/>
                      <w:lang w:val="en-US" w:eastAsia="zh-CN"/>
                    </w:rPr>
                  </w:pPr>
                  <w:r>
                    <w:rPr>
                      <w:rFonts w:hint="eastAsia" w:cs="Times New Roman"/>
                      <w:color w:val="auto"/>
                      <w:sz w:val="18"/>
                      <w:szCs w:val="21"/>
                      <w:highlight w:val="none"/>
                      <w:u w:val="single" w:color="auto"/>
                      <w:lang w:val="en-US" w:eastAsia="zh-CN"/>
                    </w:rPr>
                    <w:t>3</w:t>
                  </w:r>
                </w:p>
              </w:tc>
              <w:tc>
                <w:tcPr>
                  <w:tcW w:w="1136" w:type="dxa"/>
                  <w:noWrap w:val="0"/>
                  <w:vAlign w:val="center"/>
                </w:tcPr>
                <w:p>
                  <w:pPr>
                    <w:jc w:val="center"/>
                    <w:rPr>
                      <w:rFonts w:hint="eastAsia" w:ascii="Times New Roman" w:hAnsi="Times New Roman" w:cs="Times New Roman"/>
                      <w:color w:val="auto"/>
                      <w:sz w:val="18"/>
                      <w:highlight w:val="none"/>
                      <w:u w:val="single" w:color="auto"/>
                      <w:lang w:val="en-US" w:eastAsia="zh-CN"/>
                    </w:rPr>
                  </w:pPr>
                  <w:r>
                    <w:rPr>
                      <w:rFonts w:hint="eastAsia" w:cs="Times New Roman"/>
                      <w:color w:val="auto"/>
                      <w:sz w:val="18"/>
                      <w:highlight w:val="none"/>
                      <w:u w:val="single" w:color="auto"/>
                      <w:lang w:val="en-US" w:eastAsia="zh-CN"/>
                    </w:rPr>
                    <w:t>依托原项目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5" w:type="dxa"/>
                  <w:noWrap w:val="0"/>
                  <w:vAlign w:val="center"/>
                </w:tcPr>
                <w:p>
                  <w:pPr>
                    <w:snapToGrid w:val="0"/>
                    <w:jc w:val="center"/>
                    <w:rPr>
                      <w:rFonts w:hint="default" w:eastAsia="宋体"/>
                      <w:color w:val="auto"/>
                      <w:sz w:val="18"/>
                      <w:szCs w:val="18"/>
                      <w:highlight w:val="none"/>
                      <w:u w:val="single" w:color="auto"/>
                      <w:lang w:val="en-US" w:eastAsia="zh-CN"/>
                    </w:rPr>
                  </w:pPr>
                  <w:r>
                    <w:rPr>
                      <w:rFonts w:hint="eastAsia"/>
                      <w:color w:val="auto"/>
                      <w:sz w:val="18"/>
                      <w:szCs w:val="18"/>
                      <w:highlight w:val="none"/>
                      <w:u w:val="single" w:color="auto"/>
                      <w:lang w:val="en-US" w:eastAsia="zh-CN"/>
                    </w:rPr>
                    <w:t>13</w:t>
                  </w:r>
                </w:p>
              </w:tc>
              <w:tc>
                <w:tcPr>
                  <w:tcW w:w="1680" w:type="dxa"/>
                  <w:tcBorders>
                    <w:right w:val="single" w:color="000000" w:sz="4" w:space="0"/>
                  </w:tcBorders>
                  <w:noWrap w:val="0"/>
                  <w:vAlign w:val="center"/>
                </w:tcPr>
                <w:p>
                  <w:pPr>
                    <w:ind w:right="-113"/>
                    <w:jc w:val="center"/>
                    <w:rPr>
                      <w:rFonts w:hint="default" w:ascii="Times New Roman" w:hAnsi="Times New Roman" w:cs="Times New Roman"/>
                      <w:color w:val="auto"/>
                      <w:sz w:val="18"/>
                      <w:szCs w:val="18"/>
                      <w:highlight w:val="none"/>
                      <w:u w:val="single" w:color="auto"/>
                      <w:lang w:val="en-US" w:eastAsia="zh-CN"/>
                    </w:rPr>
                  </w:pPr>
                  <w:r>
                    <w:rPr>
                      <w:rFonts w:hint="eastAsia" w:cs="Times New Roman"/>
                      <w:color w:val="auto"/>
                      <w:sz w:val="18"/>
                      <w:szCs w:val="18"/>
                      <w:highlight w:val="none"/>
                      <w:u w:val="single" w:color="auto"/>
                      <w:lang w:val="en-US" w:eastAsia="zh-CN"/>
                    </w:rPr>
                    <w:t>窑车和干燥车</w:t>
                  </w:r>
                </w:p>
              </w:tc>
              <w:tc>
                <w:tcPr>
                  <w:tcW w:w="1560" w:type="dxa"/>
                  <w:tcBorders>
                    <w:left w:val="single" w:color="000000" w:sz="4" w:space="0"/>
                    <w:right w:val="single" w:color="000000" w:sz="4" w:space="0"/>
                  </w:tcBorders>
                  <w:noWrap w:val="0"/>
                  <w:vAlign w:val="center"/>
                </w:tcPr>
                <w:p>
                  <w:pPr>
                    <w:jc w:val="center"/>
                    <w:rPr>
                      <w:rFonts w:hint="eastAsia" w:ascii="Times New Roman" w:hAnsi="Times New Roman" w:eastAsia="宋体" w:cs="Times New Roman"/>
                      <w:color w:val="auto"/>
                      <w:sz w:val="18"/>
                      <w:szCs w:val="18"/>
                      <w:highlight w:val="none"/>
                      <w:u w:val="single" w:color="auto"/>
                      <w:lang w:val="en-US" w:eastAsia="zh-CN"/>
                    </w:rPr>
                  </w:pPr>
                  <w:r>
                    <w:rPr>
                      <w:rFonts w:hint="eastAsia" w:cs="Times New Roman"/>
                      <w:color w:val="auto"/>
                      <w:sz w:val="18"/>
                      <w:szCs w:val="18"/>
                      <w:highlight w:val="none"/>
                      <w:u w:val="single" w:color="auto"/>
                      <w:lang w:val="en-US" w:eastAsia="zh-CN"/>
                    </w:rPr>
                    <w:t>/</w:t>
                  </w:r>
                </w:p>
              </w:tc>
              <w:tc>
                <w:tcPr>
                  <w:tcW w:w="1325" w:type="dxa"/>
                  <w:tcBorders>
                    <w:left w:val="single" w:color="000000" w:sz="4" w:space="0"/>
                  </w:tcBorders>
                  <w:noWrap w:val="0"/>
                  <w:vAlign w:val="center"/>
                </w:tcPr>
                <w:p>
                  <w:pPr>
                    <w:ind w:left="-3" w:leftChars="-63" w:right="-113" w:hanging="129" w:hangingChars="72"/>
                    <w:jc w:val="center"/>
                    <w:rPr>
                      <w:rFonts w:hint="eastAsia" w:ascii="Times New Roman" w:hAnsi="Times New Roman" w:eastAsia="宋体" w:cs="Times New Roman"/>
                      <w:color w:val="auto"/>
                      <w:sz w:val="18"/>
                      <w:szCs w:val="21"/>
                      <w:highlight w:val="none"/>
                      <w:u w:val="single" w:color="auto"/>
                      <w:lang w:val="en-US" w:eastAsia="zh-CN"/>
                    </w:rPr>
                  </w:pPr>
                  <w:r>
                    <w:rPr>
                      <w:rFonts w:hint="eastAsia" w:cs="Times New Roman"/>
                      <w:color w:val="auto"/>
                      <w:sz w:val="18"/>
                      <w:szCs w:val="21"/>
                      <w:highlight w:val="none"/>
                      <w:u w:val="single" w:color="auto"/>
                      <w:lang w:val="en-US" w:eastAsia="zh-CN"/>
                    </w:rPr>
                    <w:t>6</w:t>
                  </w:r>
                </w:p>
              </w:tc>
              <w:tc>
                <w:tcPr>
                  <w:tcW w:w="1136" w:type="dxa"/>
                  <w:noWrap w:val="0"/>
                  <w:vAlign w:val="center"/>
                </w:tcPr>
                <w:p>
                  <w:pPr>
                    <w:jc w:val="center"/>
                    <w:rPr>
                      <w:rFonts w:hint="eastAsia" w:ascii="Times New Roman" w:hAnsi="Times New Roman" w:cs="Times New Roman"/>
                      <w:color w:val="auto"/>
                      <w:sz w:val="18"/>
                      <w:highlight w:val="none"/>
                      <w:u w:val="single" w:color="auto"/>
                      <w:lang w:val="en-US" w:eastAsia="zh-CN"/>
                    </w:rPr>
                  </w:pPr>
                  <w:r>
                    <w:rPr>
                      <w:rFonts w:hint="eastAsia" w:cs="Times New Roman"/>
                      <w:color w:val="auto"/>
                      <w:sz w:val="18"/>
                      <w:highlight w:val="none"/>
                      <w:u w:val="single" w:color="auto"/>
                      <w:lang w:val="en-US" w:eastAsia="zh-CN"/>
                    </w:rPr>
                    <w:t>依托原项目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5" w:type="dxa"/>
                  <w:noWrap w:val="0"/>
                  <w:vAlign w:val="center"/>
                </w:tcPr>
                <w:p>
                  <w:pPr>
                    <w:snapToGrid w:val="0"/>
                    <w:jc w:val="center"/>
                    <w:rPr>
                      <w:rFonts w:hint="default" w:eastAsia="宋体"/>
                      <w:color w:val="auto"/>
                      <w:sz w:val="18"/>
                      <w:szCs w:val="18"/>
                      <w:highlight w:val="none"/>
                      <w:u w:val="single" w:color="auto"/>
                      <w:lang w:val="en-US" w:eastAsia="zh-CN"/>
                    </w:rPr>
                  </w:pPr>
                  <w:r>
                    <w:rPr>
                      <w:rFonts w:hint="eastAsia"/>
                      <w:color w:val="auto"/>
                      <w:sz w:val="18"/>
                      <w:szCs w:val="18"/>
                      <w:highlight w:val="none"/>
                      <w:u w:val="single" w:color="auto"/>
                      <w:lang w:val="en-US" w:eastAsia="zh-CN"/>
                    </w:rPr>
                    <w:t>14</w:t>
                  </w:r>
                </w:p>
              </w:tc>
              <w:tc>
                <w:tcPr>
                  <w:tcW w:w="1680" w:type="dxa"/>
                  <w:tcBorders>
                    <w:right w:val="single" w:color="000000" w:sz="4" w:space="0"/>
                  </w:tcBorders>
                  <w:noWrap w:val="0"/>
                  <w:vAlign w:val="center"/>
                </w:tcPr>
                <w:p>
                  <w:pPr>
                    <w:ind w:right="-113"/>
                    <w:jc w:val="center"/>
                    <w:rPr>
                      <w:rFonts w:hint="default" w:ascii="Times New Roman" w:hAnsi="Times New Roman" w:cs="Times New Roman"/>
                      <w:color w:val="auto"/>
                      <w:sz w:val="18"/>
                      <w:szCs w:val="18"/>
                      <w:highlight w:val="none"/>
                      <w:u w:val="single" w:color="auto"/>
                      <w:lang w:val="en-US" w:eastAsia="zh-CN"/>
                    </w:rPr>
                  </w:pPr>
                  <w:r>
                    <w:rPr>
                      <w:rFonts w:hint="eastAsia" w:cs="Times New Roman"/>
                      <w:color w:val="auto"/>
                      <w:sz w:val="18"/>
                      <w:szCs w:val="18"/>
                      <w:highlight w:val="none"/>
                      <w:u w:val="single" w:color="auto"/>
                      <w:lang w:val="en-US" w:eastAsia="zh-CN"/>
                    </w:rPr>
                    <w:t>隧道窑生产线</w:t>
                  </w:r>
                </w:p>
              </w:tc>
              <w:tc>
                <w:tcPr>
                  <w:tcW w:w="1560" w:type="dxa"/>
                  <w:tcBorders>
                    <w:left w:val="single" w:color="000000" w:sz="4" w:space="0"/>
                    <w:right w:val="single" w:color="000000" w:sz="4" w:space="0"/>
                  </w:tcBorders>
                  <w:noWrap w:val="0"/>
                  <w:vAlign w:val="center"/>
                </w:tcPr>
                <w:p>
                  <w:pPr>
                    <w:jc w:val="center"/>
                    <w:rPr>
                      <w:rFonts w:hint="eastAsia" w:ascii="Times New Roman" w:hAnsi="Times New Roman" w:eastAsia="宋体" w:cs="Times New Roman"/>
                      <w:color w:val="auto"/>
                      <w:sz w:val="18"/>
                      <w:szCs w:val="18"/>
                      <w:highlight w:val="none"/>
                      <w:u w:val="single" w:color="auto"/>
                      <w:lang w:val="en-US" w:eastAsia="zh-CN"/>
                    </w:rPr>
                  </w:pPr>
                  <w:r>
                    <w:rPr>
                      <w:rFonts w:hint="eastAsia" w:cs="Times New Roman"/>
                      <w:color w:val="auto"/>
                      <w:sz w:val="18"/>
                      <w:szCs w:val="18"/>
                      <w:highlight w:val="none"/>
                      <w:u w:val="single" w:color="auto"/>
                      <w:lang w:val="en-US" w:eastAsia="zh-CN"/>
                    </w:rPr>
                    <w:t>/</w:t>
                  </w:r>
                </w:p>
              </w:tc>
              <w:tc>
                <w:tcPr>
                  <w:tcW w:w="1325" w:type="dxa"/>
                  <w:tcBorders>
                    <w:left w:val="single" w:color="000000" w:sz="4" w:space="0"/>
                  </w:tcBorders>
                  <w:noWrap w:val="0"/>
                  <w:vAlign w:val="center"/>
                </w:tcPr>
                <w:p>
                  <w:pPr>
                    <w:ind w:left="-3" w:leftChars="-63" w:right="-113" w:hanging="129" w:hangingChars="72"/>
                    <w:jc w:val="center"/>
                    <w:rPr>
                      <w:rFonts w:hint="eastAsia" w:ascii="Times New Roman" w:hAnsi="Times New Roman" w:eastAsia="宋体" w:cs="Times New Roman"/>
                      <w:color w:val="auto"/>
                      <w:sz w:val="18"/>
                      <w:szCs w:val="21"/>
                      <w:highlight w:val="none"/>
                      <w:u w:val="single" w:color="auto"/>
                      <w:lang w:val="en-US" w:eastAsia="zh-CN"/>
                    </w:rPr>
                  </w:pPr>
                  <w:r>
                    <w:rPr>
                      <w:rFonts w:hint="eastAsia" w:cs="Times New Roman"/>
                      <w:color w:val="auto"/>
                      <w:sz w:val="18"/>
                      <w:szCs w:val="21"/>
                      <w:highlight w:val="none"/>
                      <w:u w:val="single" w:color="auto"/>
                      <w:lang w:val="en-US" w:eastAsia="zh-CN"/>
                    </w:rPr>
                    <w:t>2</w:t>
                  </w:r>
                </w:p>
              </w:tc>
              <w:tc>
                <w:tcPr>
                  <w:tcW w:w="1136" w:type="dxa"/>
                  <w:noWrap w:val="0"/>
                  <w:vAlign w:val="center"/>
                </w:tcPr>
                <w:p>
                  <w:pPr>
                    <w:jc w:val="center"/>
                    <w:rPr>
                      <w:rFonts w:hint="eastAsia" w:ascii="Times New Roman" w:hAnsi="Times New Roman" w:cs="Times New Roman"/>
                      <w:color w:val="auto"/>
                      <w:sz w:val="18"/>
                      <w:highlight w:val="none"/>
                      <w:u w:val="single" w:color="auto"/>
                      <w:lang w:val="en-US" w:eastAsia="zh-CN"/>
                    </w:rPr>
                  </w:pPr>
                  <w:r>
                    <w:rPr>
                      <w:rFonts w:hint="eastAsia" w:cs="Times New Roman"/>
                      <w:color w:val="auto"/>
                      <w:sz w:val="18"/>
                      <w:highlight w:val="none"/>
                      <w:u w:val="single" w:color="auto"/>
                      <w:lang w:val="en-US" w:eastAsia="zh-CN"/>
                    </w:rPr>
                    <w:t>依托原项目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5" w:type="dxa"/>
                  <w:noWrap w:val="0"/>
                  <w:vAlign w:val="center"/>
                </w:tcPr>
                <w:p>
                  <w:pPr>
                    <w:snapToGrid w:val="0"/>
                    <w:jc w:val="center"/>
                    <w:rPr>
                      <w:rFonts w:hint="default"/>
                      <w:color w:val="auto"/>
                      <w:sz w:val="18"/>
                      <w:szCs w:val="18"/>
                      <w:highlight w:val="none"/>
                      <w:u w:val="single" w:color="auto"/>
                      <w:lang w:val="en-US" w:eastAsia="zh-CN"/>
                    </w:rPr>
                  </w:pPr>
                  <w:r>
                    <w:rPr>
                      <w:rFonts w:hint="eastAsia"/>
                      <w:color w:val="auto"/>
                      <w:sz w:val="18"/>
                      <w:szCs w:val="18"/>
                      <w:highlight w:val="none"/>
                      <w:u w:val="single" w:color="auto"/>
                      <w:lang w:val="en-US" w:eastAsia="zh-CN"/>
                    </w:rPr>
                    <w:t>15</w:t>
                  </w:r>
                </w:p>
              </w:tc>
              <w:tc>
                <w:tcPr>
                  <w:tcW w:w="1680" w:type="dxa"/>
                  <w:tcBorders>
                    <w:right w:val="single" w:color="000000" w:sz="4" w:space="0"/>
                  </w:tcBorders>
                  <w:noWrap w:val="0"/>
                  <w:vAlign w:val="center"/>
                </w:tcPr>
                <w:p>
                  <w:pPr>
                    <w:ind w:right="-113"/>
                    <w:jc w:val="center"/>
                    <w:rPr>
                      <w:rFonts w:hint="default" w:cs="Times New Roman"/>
                      <w:color w:val="auto"/>
                      <w:sz w:val="18"/>
                      <w:szCs w:val="18"/>
                      <w:highlight w:val="none"/>
                      <w:u w:val="single" w:color="auto"/>
                      <w:lang w:val="en-US" w:eastAsia="zh-CN"/>
                    </w:rPr>
                  </w:pPr>
                  <w:r>
                    <w:rPr>
                      <w:rFonts w:hint="eastAsia" w:cs="Times New Roman"/>
                      <w:color w:val="auto"/>
                      <w:sz w:val="18"/>
                      <w:szCs w:val="18"/>
                      <w:highlight w:val="none"/>
                      <w:u w:val="single" w:color="auto"/>
                      <w:lang w:val="en-US" w:eastAsia="zh-CN"/>
                    </w:rPr>
                    <w:t>装载机</w:t>
                  </w:r>
                </w:p>
              </w:tc>
              <w:tc>
                <w:tcPr>
                  <w:tcW w:w="1560" w:type="dxa"/>
                  <w:tcBorders>
                    <w:left w:val="single" w:color="000000" w:sz="4" w:space="0"/>
                    <w:right w:val="single" w:color="000000" w:sz="4" w:space="0"/>
                  </w:tcBorders>
                  <w:noWrap w:val="0"/>
                  <w:vAlign w:val="center"/>
                </w:tcPr>
                <w:p>
                  <w:pPr>
                    <w:jc w:val="center"/>
                    <w:rPr>
                      <w:rFonts w:hint="default" w:cs="Times New Roman"/>
                      <w:color w:val="auto"/>
                      <w:sz w:val="18"/>
                      <w:szCs w:val="18"/>
                      <w:highlight w:val="none"/>
                      <w:u w:val="single" w:color="auto"/>
                      <w:lang w:val="en-US" w:eastAsia="zh-CN"/>
                    </w:rPr>
                  </w:pPr>
                  <w:r>
                    <w:rPr>
                      <w:rFonts w:hint="eastAsia" w:cs="Times New Roman"/>
                      <w:color w:val="auto"/>
                      <w:sz w:val="18"/>
                      <w:szCs w:val="18"/>
                      <w:highlight w:val="none"/>
                      <w:u w:val="single" w:color="auto"/>
                      <w:lang w:val="en-US" w:eastAsia="zh-CN"/>
                    </w:rPr>
                    <w:t>/</w:t>
                  </w:r>
                </w:p>
              </w:tc>
              <w:tc>
                <w:tcPr>
                  <w:tcW w:w="1325" w:type="dxa"/>
                  <w:tcBorders>
                    <w:left w:val="single" w:color="000000" w:sz="4" w:space="0"/>
                  </w:tcBorders>
                  <w:noWrap w:val="0"/>
                  <w:vAlign w:val="center"/>
                </w:tcPr>
                <w:p>
                  <w:pPr>
                    <w:ind w:left="-3" w:leftChars="-63" w:right="-113" w:hanging="129" w:hangingChars="72"/>
                    <w:jc w:val="center"/>
                    <w:rPr>
                      <w:rFonts w:hint="default" w:cs="Times New Roman"/>
                      <w:color w:val="auto"/>
                      <w:sz w:val="18"/>
                      <w:szCs w:val="21"/>
                      <w:highlight w:val="none"/>
                      <w:u w:val="single" w:color="auto"/>
                      <w:lang w:val="en-US" w:eastAsia="zh-CN"/>
                    </w:rPr>
                  </w:pPr>
                  <w:r>
                    <w:rPr>
                      <w:rFonts w:hint="eastAsia" w:cs="Times New Roman"/>
                      <w:color w:val="auto"/>
                      <w:sz w:val="18"/>
                      <w:szCs w:val="21"/>
                      <w:highlight w:val="none"/>
                      <w:u w:val="single" w:color="auto"/>
                      <w:lang w:val="en-US" w:eastAsia="zh-CN"/>
                    </w:rPr>
                    <w:t>1</w:t>
                  </w:r>
                </w:p>
              </w:tc>
              <w:tc>
                <w:tcPr>
                  <w:tcW w:w="1136" w:type="dxa"/>
                  <w:noWrap w:val="0"/>
                  <w:vAlign w:val="center"/>
                </w:tcPr>
                <w:p>
                  <w:pPr>
                    <w:jc w:val="center"/>
                    <w:rPr>
                      <w:rFonts w:hint="eastAsia" w:cs="Times New Roman"/>
                      <w:color w:val="auto"/>
                      <w:sz w:val="18"/>
                      <w:highlight w:val="none"/>
                      <w:u w:val="single" w:color="auto"/>
                      <w:lang w:val="en-US" w:eastAsia="zh-CN"/>
                    </w:rPr>
                  </w:pPr>
                  <w:r>
                    <w:rPr>
                      <w:rFonts w:hint="eastAsia" w:cs="Times New Roman"/>
                      <w:color w:val="auto"/>
                      <w:sz w:val="18"/>
                      <w:highlight w:val="none"/>
                      <w:u w:val="single" w:color="auto"/>
                      <w:lang w:val="en-US" w:eastAsia="zh-CN"/>
                    </w:rPr>
                    <w:t>依托原项目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5" w:type="dxa"/>
                  <w:noWrap w:val="0"/>
                  <w:vAlign w:val="center"/>
                </w:tcPr>
                <w:p>
                  <w:pPr>
                    <w:snapToGrid w:val="0"/>
                    <w:jc w:val="center"/>
                    <w:rPr>
                      <w:rFonts w:hint="default"/>
                      <w:color w:val="auto"/>
                      <w:sz w:val="18"/>
                      <w:szCs w:val="18"/>
                      <w:highlight w:val="none"/>
                      <w:u w:val="single" w:color="auto"/>
                      <w:lang w:val="en-US" w:eastAsia="zh-CN"/>
                    </w:rPr>
                  </w:pPr>
                  <w:r>
                    <w:rPr>
                      <w:rFonts w:hint="eastAsia"/>
                      <w:color w:val="auto"/>
                      <w:sz w:val="18"/>
                      <w:szCs w:val="18"/>
                      <w:highlight w:val="none"/>
                      <w:u w:val="single" w:color="auto"/>
                      <w:lang w:val="en-US" w:eastAsia="zh-CN"/>
                    </w:rPr>
                    <w:t>16</w:t>
                  </w:r>
                </w:p>
              </w:tc>
              <w:tc>
                <w:tcPr>
                  <w:tcW w:w="1680" w:type="dxa"/>
                  <w:tcBorders>
                    <w:right w:val="single" w:color="000000" w:sz="4" w:space="0"/>
                  </w:tcBorders>
                  <w:noWrap w:val="0"/>
                  <w:vAlign w:val="center"/>
                </w:tcPr>
                <w:p>
                  <w:pPr>
                    <w:ind w:right="-113"/>
                    <w:jc w:val="center"/>
                    <w:rPr>
                      <w:rFonts w:hint="default" w:cs="Times New Roman"/>
                      <w:color w:val="auto"/>
                      <w:sz w:val="18"/>
                      <w:szCs w:val="18"/>
                      <w:highlight w:val="none"/>
                      <w:u w:val="single" w:color="auto"/>
                      <w:lang w:val="en-US" w:eastAsia="zh-CN"/>
                    </w:rPr>
                  </w:pPr>
                  <w:r>
                    <w:rPr>
                      <w:rFonts w:hint="eastAsia" w:cs="Times New Roman"/>
                      <w:color w:val="auto"/>
                      <w:sz w:val="18"/>
                      <w:szCs w:val="18"/>
                      <w:highlight w:val="none"/>
                      <w:u w:val="single" w:color="auto"/>
                      <w:lang w:val="en-US" w:eastAsia="zh-CN"/>
                    </w:rPr>
                    <w:t>挖掘机</w:t>
                  </w:r>
                </w:p>
              </w:tc>
              <w:tc>
                <w:tcPr>
                  <w:tcW w:w="1560" w:type="dxa"/>
                  <w:tcBorders>
                    <w:left w:val="single" w:color="000000" w:sz="4" w:space="0"/>
                    <w:right w:val="single" w:color="000000" w:sz="4" w:space="0"/>
                  </w:tcBorders>
                  <w:noWrap w:val="0"/>
                  <w:vAlign w:val="center"/>
                </w:tcPr>
                <w:p>
                  <w:pPr>
                    <w:jc w:val="center"/>
                    <w:rPr>
                      <w:rFonts w:hint="default" w:cs="Times New Roman"/>
                      <w:color w:val="auto"/>
                      <w:sz w:val="18"/>
                      <w:szCs w:val="18"/>
                      <w:highlight w:val="none"/>
                      <w:u w:val="single" w:color="auto"/>
                      <w:lang w:val="en-US" w:eastAsia="zh-CN"/>
                    </w:rPr>
                  </w:pPr>
                  <w:r>
                    <w:rPr>
                      <w:rFonts w:hint="eastAsia" w:cs="Times New Roman"/>
                      <w:color w:val="auto"/>
                      <w:sz w:val="18"/>
                      <w:szCs w:val="18"/>
                      <w:highlight w:val="none"/>
                      <w:u w:val="single" w:color="auto"/>
                      <w:lang w:val="en-US" w:eastAsia="zh-CN"/>
                    </w:rPr>
                    <w:t>ZL50C</w:t>
                  </w:r>
                </w:p>
              </w:tc>
              <w:tc>
                <w:tcPr>
                  <w:tcW w:w="1325" w:type="dxa"/>
                  <w:tcBorders>
                    <w:left w:val="single" w:color="000000" w:sz="4" w:space="0"/>
                  </w:tcBorders>
                  <w:noWrap w:val="0"/>
                  <w:vAlign w:val="center"/>
                </w:tcPr>
                <w:p>
                  <w:pPr>
                    <w:ind w:left="-3" w:leftChars="-63" w:right="-113" w:hanging="129" w:hangingChars="72"/>
                    <w:jc w:val="center"/>
                    <w:rPr>
                      <w:rFonts w:hint="default" w:cs="Times New Roman"/>
                      <w:color w:val="auto"/>
                      <w:sz w:val="18"/>
                      <w:szCs w:val="21"/>
                      <w:highlight w:val="none"/>
                      <w:u w:val="single" w:color="auto"/>
                      <w:lang w:val="en-US" w:eastAsia="zh-CN"/>
                    </w:rPr>
                  </w:pPr>
                  <w:r>
                    <w:rPr>
                      <w:rFonts w:hint="eastAsia" w:cs="Times New Roman"/>
                      <w:color w:val="auto"/>
                      <w:sz w:val="18"/>
                      <w:szCs w:val="21"/>
                      <w:highlight w:val="none"/>
                      <w:u w:val="single" w:color="auto"/>
                      <w:lang w:val="en-US" w:eastAsia="zh-CN"/>
                    </w:rPr>
                    <w:t>1</w:t>
                  </w:r>
                </w:p>
              </w:tc>
              <w:tc>
                <w:tcPr>
                  <w:tcW w:w="1136" w:type="dxa"/>
                  <w:noWrap w:val="0"/>
                  <w:vAlign w:val="center"/>
                </w:tcPr>
                <w:p>
                  <w:pPr>
                    <w:jc w:val="center"/>
                    <w:rPr>
                      <w:rFonts w:hint="eastAsia" w:cs="Times New Roman"/>
                      <w:color w:val="auto"/>
                      <w:sz w:val="18"/>
                      <w:highlight w:val="none"/>
                      <w:u w:val="single" w:color="auto"/>
                      <w:lang w:val="en-US" w:eastAsia="zh-CN"/>
                    </w:rPr>
                  </w:pPr>
                  <w:r>
                    <w:rPr>
                      <w:rFonts w:hint="eastAsia" w:cs="Times New Roman"/>
                      <w:color w:val="auto"/>
                      <w:sz w:val="18"/>
                      <w:highlight w:val="none"/>
                      <w:u w:val="single" w:color="auto"/>
                      <w:lang w:val="en-US" w:eastAsia="zh-CN"/>
                    </w:rPr>
                    <w:t>依托原项目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5" w:type="dxa"/>
                  <w:noWrap w:val="0"/>
                  <w:vAlign w:val="center"/>
                </w:tcPr>
                <w:p>
                  <w:pPr>
                    <w:snapToGrid w:val="0"/>
                    <w:jc w:val="center"/>
                    <w:rPr>
                      <w:rFonts w:hint="default"/>
                      <w:color w:val="auto"/>
                      <w:sz w:val="18"/>
                      <w:szCs w:val="18"/>
                      <w:highlight w:val="none"/>
                      <w:u w:val="single" w:color="auto"/>
                      <w:lang w:val="en-US" w:eastAsia="zh-CN"/>
                    </w:rPr>
                  </w:pPr>
                  <w:r>
                    <w:rPr>
                      <w:rFonts w:hint="eastAsia"/>
                      <w:color w:val="auto"/>
                      <w:sz w:val="18"/>
                      <w:szCs w:val="18"/>
                      <w:highlight w:val="none"/>
                      <w:u w:val="single" w:color="auto"/>
                      <w:lang w:val="en-US" w:eastAsia="zh-CN"/>
                    </w:rPr>
                    <w:t>17</w:t>
                  </w:r>
                </w:p>
              </w:tc>
              <w:tc>
                <w:tcPr>
                  <w:tcW w:w="1680" w:type="dxa"/>
                  <w:tcBorders>
                    <w:right w:val="single" w:color="000000" w:sz="4" w:space="0"/>
                  </w:tcBorders>
                  <w:noWrap w:val="0"/>
                  <w:vAlign w:val="center"/>
                </w:tcPr>
                <w:p>
                  <w:pPr>
                    <w:ind w:right="-113"/>
                    <w:jc w:val="center"/>
                    <w:rPr>
                      <w:rFonts w:hint="default" w:cs="Times New Roman"/>
                      <w:color w:val="auto"/>
                      <w:sz w:val="18"/>
                      <w:szCs w:val="18"/>
                      <w:highlight w:val="none"/>
                      <w:u w:val="single" w:color="auto"/>
                      <w:lang w:val="en-US" w:eastAsia="zh-CN"/>
                    </w:rPr>
                  </w:pPr>
                  <w:r>
                    <w:rPr>
                      <w:rFonts w:hint="eastAsia" w:cs="Times New Roman"/>
                      <w:color w:val="auto"/>
                      <w:sz w:val="18"/>
                      <w:szCs w:val="18"/>
                      <w:highlight w:val="none"/>
                      <w:u w:val="single" w:color="auto"/>
                      <w:lang w:val="en-US" w:eastAsia="zh-CN"/>
                    </w:rPr>
                    <w:t>自卸汽车</w:t>
                  </w:r>
                </w:p>
              </w:tc>
              <w:tc>
                <w:tcPr>
                  <w:tcW w:w="1560" w:type="dxa"/>
                  <w:tcBorders>
                    <w:left w:val="single" w:color="000000" w:sz="4" w:space="0"/>
                    <w:right w:val="single" w:color="000000" w:sz="4" w:space="0"/>
                  </w:tcBorders>
                  <w:noWrap w:val="0"/>
                  <w:vAlign w:val="center"/>
                </w:tcPr>
                <w:p>
                  <w:pPr>
                    <w:jc w:val="center"/>
                    <w:rPr>
                      <w:rFonts w:hint="default" w:cs="Times New Roman"/>
                      <w:color w:val="auto"/>
                      <w:sz w:val="18"/>
                      <w:szCs w:val="18"/>
                      <w:highlight w:val="none"/>
                      <w:u w:val="single" w:color="auto"/>
                      <w:lang w:val="en-US" w:eastAsia="zh-CN"/>
                    </w:rPr>
                  </w:pPr>
                  <w:r>
                    <w:rPr>
                      <w:rFonts w:hint="eastAsia" w:cs="Times New Roman"/>
                      <w:color w:val="auto"/>
                      <w:sz w:val="18"/>
                      <w:szCs w:val="18"/>
                      <w:highlight w:val="none"/>
                      <w:u w:val="single" w:color="auto"/>
                      <w:lang w:val="en-US" w:eastAsia="zh-CN"/>
                    </w:rPr>
                    <w:t>/</w:t>
                  </w:r>
                </w:p>
              </w:tc>
              <w:tc>
                <w:tcPr>
                  <w:tcW w:w="1325" w:type="dxa"/>
                  <w:tcBorders>
                    <w:left w:val="single" w:color="000000" w:sz="4" w:space="0"/>
                  </w:tcBorders>
                  <w:noWrap w:val="0"/>
                  <w:vAlign w:val="center"/>
                </w:tcPr>
                <w:p>
                  <w:pPr>
                    <w:ind w:left="-3" w:leftChars="-63" w:right="-113" w:hanging="129" w:hangingChars="72"/>
                    <w:jc w:val="center"/>
                    <w:rPr>
                      <w:rFonts w:hint="default" w:cs="Times New Roman"/>
                      <w:color w:val="auto"/>
                      <w:sz w:val="18"/>
                      <w:szCs w:val="21"/>
                      <w:highlight w:val="none"/>
                      <w:u w:val="single" w:color="auto"/>
                      <w:lang w:val="en-US" w:eastAsia="zh-CN"/>
                    </w:rPr>
                  </w:pPr>
                  <w:r>
                    <w:rPr>
                      <w:rFonts w:hint="eastAsia" w:cs="Times New Roman"/>
                      <w:color w:val="auto"/>
                      <w:sz w:val="18"/>
                      <w:szCs w:val="21"/>
                      <w:highlight w:val="none"/>
                      <w:u w:val="single" w:color="auto"/>
                      <w:lang w:val="en-US" w:eastAsia="zh-CN"/>
                    </w:rPr>
                    <w:t>1</w:t>
                  </w:r>
                </w:p>
              </w:tc>
              <w:tc>
                <w:tcPr>
                  <w:tcW w:w="1136" w:type="dxa"/>
                  <w:noWrap w:val="0"/>
                  <w:vAlign w:val="center"/>
                </w:tcPr>
                <w:p>
                  <w:pPr>
                    <w:jc w:val="center"/>
                    <w:rPr>
                      <w:rFonts w:hint="eastAsia" w:cs="Times New Roman"/>
                      <w:color w:val="auto"/>
                      <w:sz w:val="18"/>
                      <w:highlight w:val="none"/>
                      <w:u w:val="single" w:color="auto"/>
                      <w:lang w:val="en-US" w:eastAsia="zh-CN"/>
                    </w:rPr>
                  </w:pPr>
                  <w:r>
                    <w:rPr>
                      <w:rFonts w:hint="eastAsia" w:cs="Times New Roman"/>
                      <w:color w:val="auto"/>
                      <w:sz w:val="18"/>
                      <w:highlight w:val="none"/>
                      <w:u w:val="single" w:color="auto"/>
                      <w:lang w:val="en-US" w:eastAsia="zh-CN"/>
                    </w:rPr>
                    <w:t>依托原项目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5" w:type="dxa"/>
                  <w:noWrap w:val="0"/>
                  <w:vAlign w:val="center"/>
                </w:tcPr>
                <w:p>
                  <w:pPr>
                    <w:snapToGrid w:val="0"/>
                    <w:jc w:val="center"/>
                    <w:rPr>
                      <w:rFonts w:hint="default"/>
                      <w:color w:val="auto"/>
                      <w:sz w:val="18"/>
                      <w:szCs w:val="18"/>
                      <w:highlight w:val="none"/>
                      <w:u w:val="single" w:color="auto"/>
                      <w:lang w:val="en-US" w:eastAsia="zh-CN"/>
                    </w:rPr>
                  </w:pPr>
                  <w:r>
                    <w:rPr>
                      <w:rFonts w:hint="eastAsia"/>
                      <w:color w:val="auto"/>
                      <w:sz w:val="18"/>
                      <w:szCs w:val="18"/>
                      <w:highlight w:val="none"/>
                      <w:u w:val="single" w:color="auto"/>
                      <w:lang w:val="en-US" w:eastAsia="zh-CN"/>
                    </w:rPr>
                    <w:t>18</w:t>
                  </w:r>
                </w:p>
              </w:tc>
              <w:tc>
                <w:tcPr>
                  <w:tcW w:w="1680" w:type="dxa"/>
                  <w:tcBorders>
                    <w:right w:val="single" w:color="000000" w:sz="4" w:space="0"/>
                  </w:tcBorders>
                  <w:noWrap w:val="0"/>
                  <w:vAlign w:val="center"/>
                </w:tcPr>
                <w:p>
                  <w:pPr>
                    <w:ind w:right="-113"/>
                    <w:jc w:val="center"/>
                    <w:rPr>
                      <w:rFonts w:hint="default" w:cs="Times New Roman"/>
                      <w:color w:val="auto"/>
                      <w:sz w:val="18"/>
                      <w:szCs w:val="18"/>
                      <w:highlight w:val="none"/>
                      <w:u w:val="single" w:color="auto"/>
                      <w:lang w:val="en-US" w:eastAsia="zh-CN"/>
                    </w:rPr>
                  </w:pPr>
                  <w:r>
                    <w:rPr>
                      <w:rFonts w:hint="eastAsia" w:cs="Times New Roman"/>
                      <w:color w:val="auto"/>
                      <w:sz w:val="18"/>
                      <w:szCs w:val="18"/>
                      <w:highlight w:val="none"/>
                      <w:u w:val="single" w:color="auto"/>
                      <w:lang w:val="en-US" w:eastAsia="zh-CN"/>
                    </w:rPr>
                    <w:t>推土机</w:t>
                  </w:r>
                </w:p>
              </w:tc>
              <w:tc>
                <w:tcPr>
                  <w:tcW w:w="1560" w:type="dxa"/>
                  <w:tcBorders>
                    <w:left w:val="single" w:color="000000" w:sz="4" w:space="0"/>
                    <w:right w:val="single" w:color="000000" w:sz="4" w:space="0"/>
                  </w:tcBorders>
                  <w:noWrap w:val="0"/>
                  <w:vAlign w:val="center"/>
                </w:tcPr>
                <w:p>
                  <w:pPr>
                    <w:jc w:val="center"/>
                    <w:rPr>
                      <w:rFonts w:hint="default" w:cs="Times New Roman"/>
                      <w:color w:val="auto"/>
                      <w:sz w:val="18"/>
                      <w:szCs w:val="18"/>
                      <w:highlight w:val="none"/>
                      <w:u w:val="single" w:color="auto"/>
                      <w:lang w:val="en-US" w:eastAsia="zh-CN"/>
                    </w:rPr>
                  </w:pPr>
                  <w:r>
                    <w:rPr>
                      <w:rFonts w:hint="eastAsia" w:cs="Times New Roman"/>
                      <w:color w:val="auto"/>
                      <w:sz w:val="18"/>
                      <w:szCs w:val="18"/>
                      <w:highlight w:val="none"/>
                      <w:u w:val="single" w:color="auto"/>
                      <w:lang w:val="en-US" w:eastAsia="zh-CN"/>
                    </w:rPr>
                    <w:t>/</w:t>
                  </w:r>
                </w:p>
              </w:tc>
              <w:tc>
                <w:tcPr>
                  <w:tcW w:w="1325" w:type="dxa"/>
                  <w:tcBorders>
                    <w:left w:val="single" w:color="000000" w:sz="4" w:space="0"/>
                  </w:tcBorders>
                  <w:noWrap w:val="0"/>
                  <w:vAlign w:val="center"/>
                </w:tcPr>
                <w:p>
                  <w:pPr>
                    <w:ind w:left="-3" w:leftChars="-63" w:right="-113" w:hanging="129" w:hangingChars="72"/>
                    <w:jc w:val="center"/>
                    <w:rPr>
                      <w:rFonts w:hint="default" w:cs="Times New Roman"/>
                      <w:color w:val="auto"/>
                      <w:sz w:val="18"/>
                      <w:szCs w:val="21"/>
                      <w:highlight w:val="none"/>
                      <w:u w:val="single" w:color="auto"/>
                      <w:lang w:val="en-US" w:eastAsia="zh-CN"/>
                    </w:rPr>
                  </w:pPr>
                  <w:r>
                    <w:rPr>
                      <w:rFonts w:hint="eastAsia" w:cs="Times New Roman"/>
                      <w:color w:val="auto"/>
                      <w:sz w:val="18"/>
                      <w:szCs w:val="21"/>
                      <w:highlight w:val="none"/>
                      <w:u w:val="single" w:color="auto"/>
                      <w:lang w:val="en-US" w:eastAsia="zh-CN"/>
                    </w:rPr>
                    <w:t>1</w:t>
                  </w:r>
                </w:p>
              </w:tc>
              <w:tc>
                <w:tcPr>
                  <w:tcW w:w="1136" w:type="dxa"/>
                  <w:noWrap w:val="0"/>
                  <w:vAlign w:val="center"/>
                </w:tcPr>
                <w:p>
                  <w:pPr>
                    <w:jc w:val="center"/>
                    <w:rPr>
                      <w:rFonts w:hint="default" w:cs="Times New Roman"/>
                      <w:color w:val="auto"/>
                      <w:sz w:val="18"/>
                      <w:highlight w:val="none"/>
                      <w:u w:val="single" w:color="auto"/>
                      <w:lang w:val="en-US" w:eastAsia="zh-CN"/>
                    </w:rPr>
                  </w:pPr>
                  <w:r>
                    <w:rPr>
                      <w:rFonts w:hint="eastAsia" w:cs="Times New Roman"/>
                      <w:color w:val="auto"/>
                      <w:sz w:val="18"/>
                      <w:highlight w:val="none"/>
                      <w:u w:val="single" w:color="auto"/>
                      <w:lang w:val="en-US" w:eastAsia="zh-CN"/>
                    </w:rPr>
                    <w:t>依托原项目</w:t>
                  </w:r>
                </w:p>
              </w:tc>
            </w:tr>
          </w:tbl>
          <w:p>
            <w:pPr>
              <w:spacing w:line="360" w:lineRule="auto"/>
              <w:ind w:firstLine="482" w:firstLineChars="200"/>
              <w:rPr>
                <w:b/>
                <w:bCs/>
                <w:color w:val="auto"/>
                <w:sz w:val="24"/>
                <w:highlight w:val="none"/>
                <w:u w:val="none" w:color="auto"/>
              </w:rPr>
            </w:pPr>
            <w:r>
              <w:rPr>
                <w:b/>
                <w:bCs/>
                <w:color w:val="auto"/>
                <w:sz w:val="24"/>
                <w:highlight w:val="none"/>
                <w:u w:val="none" w:color="auto"/>
              </w:rPr>
              <w:t>5、主要原辅材料及能源消耗</w:t>
            </w:r>
          </w:p>
          <w:p>
            <w:pPr>
              <w:keepNext w:val="0"/>
              <w:keepLines w:val="0"/>
              <w:pageBreakBefore w:val="0"/>
              <w:widowControl w:val="0"/>
              <w:kinsoku/>
              <w:wordWrap/>
              <w:overflowPunct/>
              <w:topLinePunct w:val="0"/>
              <w:autoSpaceDE/>
              <w:autoSpaceDN/>
              <w:bidi w:val="0"/>
              <w:adjustRightInd/>
              <w:snapToGrid/>
              <w:spacing w:line="324" w:lineRule="auto"/>
              <w:ind w:firstLine="480" w:firstLineChars="200"/>
              <w:jc w:val="left"/>
              <w:textAlignment w:val="auto"/>
              <w:rPr>
                <w:rFonts w:hint="eastAsia" w:eastAsia="宋体"/>
                <w:color w:val="auto"/>
                <w:sz w:val="24"/>
                <w:szCs w:val="24"/>
                <w:highlight w:val="none"/>
                <w:u w:val="none" w:color="auto"/>
                <w:lang w:eastAsia="zh-CN"/>
              </w:rPr>
            </w:pPr>
            <w:r>
              <w:rPr>
                <w:rFonts w:hint="eastAsia"/>
                <w:color w:val="auto"/>
                <w:sz w:val="24"/>
                <w:szCs w:val="24"/>
                <w:highlight w:val="none"/>
                <w:u w:val="none" w:color="auto"/>
                <w:lang w:eastAsia="zh-CN"/>
              </w:rPr>
              <w:t>本项目主要生产页岩砖，主要是将页岩（</w:t>
            </w:r>
            <w:r>
              <w:rPr>
                <w:rFonts w:hint="eastAsia"/>
                <w:color w:val="auto"/>
                <w:sz w:val="24"/>
                <w:szCs w:val="24"/>
                <w:highlight w:val="none"/>
                <w:u w:val="none" w:color="auto"/>
                <w:lang w:val="en-US" w:eastAsia="zh-CN"/>
              </w:rPr>
              <w:t>70%</w:t>
            </w:r>
            <w:r>
              <w:rPr>
                <w:rFonts w:hint="eastAsia"/>
                <w:color w:val="auto"/>
                <w:sz w:val="24"/>
                <w:szCs w:val="24"/>
                <w:highlight w:val="none"/>
                <w:u w:val="none" w:color="auto"/>
                <w:lang w:eastAsia="zh-CN"/>
              </w:rPr>
              <w:t>）、</w:t>
            </w:r>
            <w:r>
              <w:rPr>
                <w:rFonts w:hint="eastAsia"/>
                <w:color w:val="auto"/>
                <w:sz w:val="24"/>
                <w:szCs w:val="24"/>
                <w:highlight w:val="none"/>
                <w:u w:val="none" w:color="auto"/>
                <w:lang w:val="en-US" w:eastAsia="zh-CN"/>
              </w:rPr>
              <w:t>煤矸石（20%）</w:t>
            </w:r>
            <w:r>
              <w:rPr>
                <w:rFonts w:hint="eastAsia"/>
                <w:color w:val="auto"/>
                <w:sz w:val="24"/>
                <w:szCs w:val="24"/>
                <w:highlight w:val="none"/>
                <w:u w:val="none" w:color="auto"/>
                <w:lang w:eastAsia="zh-CN"/>
              </w:rPr>
              <w:t>、</w:t>
            </w:r>
            <w:r>
              <w:rPr>
                <w:rFonts w:hint="eastAsia"/>
                <w:color w:val="auto"/>
                <w:sz w:val="24"/>
                <w:szCs w:val="24"/>
                <w:highlight w:val="none"/>
                <w:u w:val="none" w:color="auto"/>
                <w:lang w:val="en-US" w:eastAsia="zh-CN"/>
              </w:rPr>
              <w:t>一般固废（钛石膏）</w:t>
            </w:r>
            <w:r>
              <w:rPr>
                <w:rFonts w:hint="eastAsia"/>
                <w:color w:val="auto"/>
                <w:sz w:val="24"/>
                <w:szCs w:val="24"/>
                <w:highlight w:val="none"/>
                <w:u w:val="none" w:color="auto"/>
                <w:lang w:eastAsia="zh-CN"/>
              </w:rPr>
              <w:t>按</w:t>
            </w:r>
            <w:r>
              <w:rPr>
                <w:rFonts w:hint="eastAsia"/>
                <w:color w:val="auto"/>
                <w:sz w:val="24"/>
                <w:szCs w:val="24"/>
                <w:highlight w:val="none"/>
                <w:u w:val="none" w:color="auto"/>
                <w:lang w:val="en-US" w:eastAsia="zh-CN"/>
              </w:rPr>
              <w:t>10%</w:t>
            </w:r>
            <w:r>
              <w:rPr>
                <w:rFonts w:hint="eastAsia"/>
                <w:color w:val="auto"/>
                <w:sz w:val="24"/>
                <w:szCs w:val="24"/>
                <w:highlight w:val="none"/>
                <w:u w:val="none" w:color="auto"/>
                <w:lang w:eastAsia="zh-CN"/>
              </w:rPr>
              <w:t>进行混合搅拌制作而成。其中</w:t>
            </w:r>
            <w:r>
              <w:rPr>
                <w:rFonts w:hint="default" w:ascii="Times New Roman" w:hAnsi="Times New Roman" w:eastAsia="宋体" w:cs="Times New Roman"/>
                <w:color w:val="auto"/>
                <w:sz w:val="24"/>
                <w:szCs w:val="24"/>
                <w:highlight w:val="none"/>
                <w:u w:val="none" w:color="auto"/>
                <w:lang w:eastAsia="zh-CN"/>
              </w:rPr>
              <w:t>一般固废为</w:t>
            </w:r>
            <w:r>
              <w:rPr>
                <w:rFonts w:hint="eastAsia" w:ascii="Times New Roman" w:hAnsi="Times New Roman" w:eastAsia="宋体" w:cs="Times New Roman"/>
                <w:color w:val="auto"/>
                <w:sz w:val="24"/>
                <w:szCs w:val="24"/>
                <w:highlight w:val="none"/>
                <w:u w:val="none" w:color="auto"/>
                <w:lang w:eastAsia="zh-CN"/>
              </w:rPr>
              <w:t>珠晖区</w:t>
            </w:r>
            <w:r>
              <w:rPr>
                <w:rFonts w:hint="default" w:ascii="Times New Roman" w:hAnsi="Times New Roman" w:eastAsia="宋体" w:cs="Times New Roman"/>
                <w:color w:val="auto"/>
                <w:sz w:val="24"/>
                <w:szCs w:val="24"/>
                <w:highlight w:val="none"/>
                <w:u w:val="none" w:color="auto"/>
                <w:lang w:eastAsia="zh-CN"/>
              </w:rPr>
              <w:t>原衡阳市中盐天友化工有限公司</w:t>
            </w:r>
            <w:r>
              <w:rPr>
                <w:rFonts w:hint="eastAsia" w:ascii="Times New Roman" w:hAnsi="Times New Roman" w:eastAsia="宋体" w:cs="Times New Roman"/>
                <w:color w:val="auto"/>
                <w:sz w:val="24"/>
                <w:szCs w:val="24"/>
                <w:highlight w:val="none"/>
                <w:u w:val="none" w:color="auto"/>
                <w:lang w:eastAsia="zh-CN"/>
              </w:rPr>
              <w:t>及学宫路</w:t>
            </w:r>
            <w:r>
              <w:rPr>
                <w:rFonts w:hint="default" w:ascii="Times New Roman" w:hAnsi="Times New Roman" w:eastAsia="宋体" w:cs="Times New Roman"/>
                <w:color w:val="auto"/>
                <w:sz w:val="24"/>
                <w:szCs w:val="24"/>
                <w:highlight w:val="none"/>
                <w:u w:val="none" w:color="auto"/>
                <w:lang w:eastAsia="zh-CN"/>
              </w:rPr>
              <w:t>遗留废渣。用作原料的一般工业固体废物（钛石膏、磷石膏等）不得含有有毒有害物质</w:t>
            </w:r>
            <w:r>
              <w:rPr>
                <w:rFonts w:hint="eastAsia" w:ascii="Times New Roman" w:hAnsi="Times New Roman" w:eastAsia="宋体" w:cs="Times New Roman"/>
                <w:color w:val="auto"/>
                <w:sz w:val="24"/>
                <w:szCs w:val="24"/>
                <w:highlight w:val="none"/>
                <w:u w:val="none" w:color="auto"/>
                <w:lang w:eastAsia="zh-CN"/>
              </w:rPr>
              <w:t>。</w:t>
            </w:r>
            <w:r>
              <w:rPr>
                <w:rFonts w:hint="eastAsia"/>
                <w:color w:val="auto"/>
                <w:sz w:val="24"/>
                <w:szCs w:val="24"/>
                <w:highlight w:val="none"/>
                <w:u w:val="none" w:color="auto"/>
                <w:lang w:val="en-US" w:eastAsia="zh-CN"/>
              </w:rPr>
              <w:t>且不得利用污水处理厂、及其除机制砂的其他企业产生的污泥作为本项目的原辅材料</w:t>
            </w:r>
            <w:r>
              <w:rPr>
                <w:rFonts w:hint="eastAsia"/>
                <w:color w:val="auto"/>
                <w:sz w:val="24"/>
                <w:szCs w:val="24"/>
                <w:highlight w:val="none"/>
                <w:u w:val="none" w:color="auto"/>
                <w:lang w:eastAsia="zh-CN"/>
              </w:rPr>
              <w:t>。</w:t>
            </w:r>
          </w:p>
          <w:p>
            <w:pPr>
              <w:pStyle w:val="24"/>
              <w:keepNext w:val="0"/>
              <w:keepLines w:val="0"/>
              <w:pageBreakBefore w:val="0"/>
              <w:widowControl w:val="0"/>
              <w:kinsoku/>
              <w:wordWrap/>
              <w:overflowPunct/>
              <w:topLinePunct w:val="0"/>
              <w:autoSpaceDE/>
              <w:autoSpaceDN/>
              <w:bidi w:val="0"/>
              <w:adjustRightInd/>
              <w:snapToGrid/>
              <w:spacing w:after="0" w:afterLines="0" w:line="324" w:lineRule="auto"/>
              <w:ind w:left="0" w:leftChars="0" w:firstLine="480" w:firstLineChars="200"/>
              <w:textAlignment w:val="auto"/>
              <w:rPr>
                <w:color w:val="auto"/>
                <w:sz w:val="24"/>
                <w:szCs w:val="24"/>
                <w:highlight w:val="none"/>
                <w:u w:val="none" w:color="auto"/>
              </w:rPr>
            </w:pPr>
            <w:r>
              <w:rPr>
                <w:color w:val="auto"/>
                <w:sz w:val="24"/>
                <w:szCs w:val="24"/>
                <w:highlight w:val="none"/>
                <w:u w:val="none" w:color="auto"/>
              </w:rPr>
              <w:t>根据建设方提供的资料，项目原辅材料及能耗如下表所示：</w:t>
            </w:r>
          </w:p>
          <w:p>
            <w:pPr>
              <w:spacing w:before="46" w:beforeLines="15"/>
              <w:jc w:val="center"/>
              <w:rPr>
                <w:rFonts w:hint="default" w:ascii="Times New Roman" w:hAnsi="Times New Roman" w:cs="Times New Roman"/>
                <w:b/>
                <w:bCs/>
                <w:color w:val="auto"/>
                <w:szCs w:val="21"/>
                <w:highlight w:val="none"/>
                <w:u w:val="none" w:color="auto"/>
              </w:rPr>
            </w:pPr>
            <w:r>
              <w:rPr>
                <w:rFonts w:hint="default" w:ascii="Times New Roman" w:hAnsi="Times New Roman" w:cs="Times New Roman"/>
                <w:b/>
                <w:bCs/>
                <w:color w:val="auto"/>
                <w:szCs w:val="21"/>
                <w:highlight w:val="none"/>
                <w:u w:val="none" w:color="auto"/>
              </w:rPr>
              <w:t>表2-5原辅材料及能源消耗一览表</w:t>
            </w:r>
          </w:p>
          <w:tbl>
            <w:tblPr>
              <w:tblStyle w:val="30"/>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61"/>
              <w:gridCol w:w="2059"/>
              <w:gridCol w:w="1336"/>
              <w:gridCol w:w="160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60" w:hRule="atLeast"/>
                <w:jc w:val="center"/>
              </w:trPr>
              <w:tc>
                <w:tcPr>
                  <w:tcW w:w="2520" w:type="dxa"/>
                  <w:gridSpan w:val="2"/>
                  <w:noWrap w:val="0"/>
                  <w:vAlign w:val="center"/>
                </w:tcPr>
                <w:p>
                  <w:pPr>
                    <w:jc w:val="center"/>
                    <w:rPr>
                      <w:rFonts w:hint="default" w:ascii="Times New Roman" w:hAnsi="Times New Roman" w:cs="Times New Roman"/>
                      <w:color w:val="auto"/>
                      <w:sz w:val="18"/>
                      <w:szCs w:val="18"/>
                      <w:highlight w:val="none"/>
                      <w:u w:val="none" w:color="auto"/>
                    </w:rPr>
                  </w:pPr>
                  <w:r>
                    <w:rPr>
                      <w:rFonts w:hint="default" w:ascii="Times New Roman" w:hAnsi="Times New Roman" w:cs="Times New Roman"/>
                      <w:color w:val="auto"/>
                      <w:sz w:val="18"/>
                      <w:szCs w:val="18"/>
                      <w:highlight w:val="none"/>
                      <w:u w:val="none" w:color="auto"/>
                    </w:rPr>
                    <w:t>名称</w:t>
                  </w:r>
                </w:p>
              </w:tc>
              <w:tc>
                <w:tcPr>
                  <w:tcW w:w="1336" w:type="dxa"/>
                  <w:noWrap w:val="0"/>
                  <w:vAlign w:val="center"/>
                </w:tcPr>
                <w:p>
                  <w:pPr>
                    <w:jc w:val="center"/>
                    <w:rPr>
                      <w:rFonts w:hint="default" w:ascii="Times New Roman" w:hAnsi="Times New Roman" w:eastAsia="宋体" w:cs="Times New Roman"/>
                      <w:color w:val="auto"/>
                      <w:sz w:val="18"/>
                      <w:szCs w:val="18"/>
                      <w:highlight w:val="none"/>
                      <w:u w:val="none" w:color="auto"/>
                      <w:lang w:val="en-US" w:eastAsia="zh-CN"/>
                    </w:rPr>
                  </w:pPr>
                  <w:r>
                    <w:rPr>
                      <w:rFonts w:hint="eastAsia" w:ascii="Times New Roman" w:hAnsi="Times New Roman" w:cs="Times New Roman"/>
                      <w:color w:val="auto"/>
                      <w:sz w:val="18"/>
                      <w:szCs w:val="18"/>
                      <w:highlight w:val="none"/>
                      <w:u w:val="none" w:color="auto"/>
                      <w:lang w:val="en-US" w:eastAsia="zh-CN"/>
                    </w:rPr>
                    <w:t>项目</w:t>
                  </w:r>
                </w:p>
              </w:tc>
              <w:tc>
                <w:tcPr>
                  <w:tcW w:w="1608" w:type="dxa"/>
                  <w:noWrap w:val="0"/>
                  <w:vAlign w:val="center"/>
                </w:tcPr>
                <w:p>
                  <w:pPr>
                    <w:jc w:val="center"/>
                    <w:rPr>
                      <w:rFonts w:hint="default" w:ascii="Times New Roman" w:hAnsi="Times New Roman" w:cs="Times New Roman"/>
                      <w:color w:val="auto"/>
                      <w:sz w:val="18"/>
                      <w:szCs w:val="18"/>
                      <w:highlight w:val="none"/>
                      <w:u w:val="none" w:color="auto"/>
                    </w:rPr>
                  </w:pPr>
                  <w:r>
                    <w:rPr>
                      <w:rFonts w:hint="default" w:ascii="Times New Roman" w:hAnsi="Times New Roman" w:cs="Times New Roman"/>
                      <w:color w:val="auto"/>
                      <w:sz w:val="18"/>
                      <w:szCs w:val="18"/>
                      <w:highlight w:val="none"/>
                      <w:u w:val="none" w:color="auto"/>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1" w:type="dxa"/>
                  <w:vMerge w:val="restart"/>
                  <w:noWrap w:val="0"/>
                  <w:vAlign w:val="center"/>
                </w:tcPr>
                <w:p>
                  <w:pPr>
                    <w:jc w:val="center"/>
                    <w:rPr>
                      <w:rFonts w:hint="default" w:ascii="Times New Roman" w:hAnsi="Times New Roman" w:cs="Times New Roman"/>
                      <w:color w:val="auto"/>
                      <w:sz w:val="18"/>
                      <w:szCs w:val="18"/>
                      <w:highlight w:val="none"/>
                      <w:u w:val="none" w:color="auto"/>
                    </w:rPr>
                  </w:pPr>
                  <w:r>
                    <w:rPr>
                      <w:rFonts w:hint="default" w:ascii="Times New Roman" w:hAnsi="Times New Roman" w:cs="Times New Roman"/>
                      <w:color w:val="auto"/>
                      <w:sz w:val="18"/>
                      <w:szCs w:val="18"/>
                      <w:highlight w:val="none"/>
                      <w:u w:val="none" w:color="auto"/>
                    </w:rPr>
                    <w:t>原辅材料</w:t>
                  </w:r>
                </w:p>
              </w:tc>
              <w:tc>
                <w:tcPr>
                  <w:tcW w:w="2059" w:type="dxa"/>
                  <w:noWrap w:val="0"/>
                  <w:vAlign w:val="center"/>
                </w:tcPr>
                <w:p>
                  <w:pPr>
                    <w:jc w:val="center"/>
                    <w:rPr>
                      <w:rFonts w:hint="default" w:ascii="Times New Roman" w:hAnsi="Times New Roman" w:cs="Times New Roman"/>
                      <w:color w:val="auto"/>
                      <w:sz w:val="18"/>
                      <w:szCs w:val="18"/>
                      <w:highlight w:val="none"/>
                      <w:u w:val="none" w:color="auto"/>
                    </w:rPr>
                  </w:pPr>
                  <w:r>
                    <w:rPr>
                      <w:rFonts w:hint="default" w:ascii="Times New Roman" w:hAnsi="Times New Roman" w:cs="Times New Roman"/>
                      <w:color w:val="auto"/>
                      <w:sz w:val="18"/>
                      <w:szCs w:val="18"/>
                      <w:highlight w:val="none"/>
                      <w:u w:val="none" w:color="auto"/>
                    </w:rPr>
                    <w:t>页岩</w:t>
                  </w:r>
                </w:p>
              </w:tc>
              <w:tc>
                <w:tcPr>
                  <w:tcW w:w="1336" w:type="dxa"/>
                  <w:noWrap w:val="0"/>
                  <w:vAlign w:val="center"/>
                </w:tcPr>
                <w:p>
                  <w:pPr>
                    <w:jc w:val="center"/>
                    <w:rPr>
                      <w:rFonts w:hint="eastAsia" w:ascii="Times New Roman" w:hAnsi="Times New Roman" w:eastAsia="宋体" w:cs="Times New Roman"/>
                      <w:color w:val="auto"/>
                      <w:sz w:val="18"/>
                      <w:szCs w:val="18"/>
                      <w:highlight w:val="none"/>
                      <w:u w:val="none" w:color="auto"/>
                      <w:lang w:eastAsia="zh-CN"/>
                    </w:rPr>
                  </w:pPr>
                  <w:r>
                    <w:rPr>
                      <w:rFonts w:hint="eastAsia" w:ascii="Times New Roman" w:hAnsi="Times New Roman" w:cs="Times New Roman"/>
                      <w:color w:val="auto"/>
                      <w:sz w:val="18"/>
                      <w:szCs w:val="18"/>
                      <w:highlight w:val="none"/>
                      <w:u w:val="none" w:color="auto"/>
                      <w:lang w:val="en-US" w:eastAsia="zh-CN"/>
                    </w:rPr>
                    <w:t>5.</w:t>
                  </w:r>
                  <w:r>
                    <w:rPr>
                      <w:rFonts w:hint="eastAsia" w:cs="Times New Roman"/>
                      <w:color w:val="auto"/>
                      <w:sz w:val="18"/>
                      <w:szCs w:val="18"/>
                      <w:highlight w:val="none"/>
                      <w:u w:val="none" w:color="auto"/>
                      <w:lang w:val="en-US" w:eastAsia="zh-CN"/>
                    </w:rPr>
                    <w:t>25</w:t>
                  </w:r>
                  <w:r>
                    <w:rPr>
                      <w:rFonts w:hint="default" w:ascii="Times New Roman" w:hAnsi="Times New Roman" w:cs="Times New Roman"/>
                      <w:color w:val="auto"/>
                      <w:sz w:val="18"/>
                      <w:szCs w:val="18"/>
                      <w:highlight w:val="none"/>
                      <w:u w:val="none" w:color="auto"/>
                    </w:rPr>
                    <w:t>万t/a</w:t>
                  </w:r>
                  <w:r>
                    <w:rPr>
                      <w:rFonts w:hint="eastAsia" w:cs="Times New Roman"/>
                      <w:color w:val="auto"/>
                      <w:sz w:val="18"/>
                      <w:szCs w:val="18"/>
                      <w:highlight w:val="none"/>
                      <w:u w:val="none" w:color="auto"/>
                      <w:lang w:eastAsia="zh-CN"/>
                    </w:rPr>
                    <w:t>（</w:t>
                  </w:r>
                  <w:r>
                    <w:rPr>
                      <w:rFonts w:hint="eastAsia" w:cs="Times New Roman"/>
                      <w:color w:val="auto"/>
                      <w:sz w:val="18"/>
                      <w:szCs w:val="18"/>
                      <w:highlight w:val="none"/>
                      <w:u w:val="none" w:color="auto"/>
                      <w:lang w:val="en-US" w:eastAsia="zh-CN"/>
                    </w:rPr>
                    <w:t>90%</w:t>
                  </w:r>
                  <w:r>
                    <w:rPr>
                      <w:rFonts w:hint="eastAsia" w:cs="Times New Roman"/>
                      <w:color w:val="auto"/>
                      <w:sz w:val="18"/>
                      <w:szCs w:val="18"/>
                      <w:highlight w:val="none"/>
                      <w:u w:val="none" w:color="auto"/>
                      <w:lang w:eastAsia="zh-CN"/>
                    </w:rPr>
                    <w:t>）</w:t>
                  </w:r>
                </w:p>
              </w:tc>
              <w:tc>
                <w:tcPr>
                  <w:tcW w:w="1608" w:type="dxa"/>
                  <w:shd w:val="clear" w:color="auto" w:fill="auto"/>
                  <w:noWrap w:val="0"/>
                  <w:vAlign w:val="center"/>
                </w:tcPr>
                <w:p>
                  <w:pPr>
                    <w:jc w:val="center"/>
                    <w:rPr>
                      <w:rFonts w:hint="default" w:ascii="Times New Roman" w:hAnsi="Times New Roman" w:eastAsia="宋体" w:cs="Times New Roman"/>
                      <w:color w:val="auto"/>
                      <w:kern w:val="2"/>
                      <w:sz w:val="18"/>
                      <w:szCs w:val="18"/>
                      <w:highlight w:val="none"/>
                      <w:u w:val="none" w:color="auto"/>
                      <w:lang w:val="en-US" w:eastAsia="zh-CN" w:bidi="ar-SA"/>
                    </w:rPr>
                  </w:pPr>
                  <w:r>
                    <w:rPr>
                      <w:rFonts w:hint="eastAsia" w:ascii="Times New Roman" w:hAnsi="Times New Roman" w:cs="Times New Roman"/>
                      <w:color w:val="auto"/>
                      <w:sz w:val="18"/>
                      <w:szCs w:val="18"/>
                      <w:highlight w:val="none"/>
                      <w:u w:val="none" w:color="auto"/>
                      <w:lang w:val="en-US" w:eastAsia="zh-CN"/>
                    </w:rPr>
                    <w:t>外购</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1" w:type="dxa"/>
                  <w:vMerge w:val="continue"/>
                  <w:noWrap w:val="0"/>
                  <w:vAlign w:val="center"/>
                </w:tcPr>
                <w:p>
                  <w:pPr>
                    <w:jc w:val="center"/>
                    <w:rPr>
                      <w:rFonts w:hint="default" w:ascii="Times New Roman" w:hAnsi="Times New Roman" w:cs="Times New Roman"/>
                      <w:color w:val="auto"/>
                      <w:sz w:val="18"/>
                      <w:szCs w:val="18"/>
                      <w:highlight w:val="none"/>
                      <w:u w:val="none" w:color="auto"/>
                    </w:rPr>
                  </w:pPr>
                </w:p>
              </w:tc>
              <w:tc>
                <w:tcPr>
                  <w:tcW w:w="2059" w:type="dxa"/>
                  <w:noWrap w:val="0"/>
                  <w:vAlign w:val="center"/>
                </w:tcPr>
                <w:p>
                  <w:pPr>
                    <w:jc w:val="center"/>
                    <w:rPr>
                      <w:rFonts w:hint="eastAsia" w:ascii="Times New Roman" w:hAnsi="Times New Roman" w:eastAsia="宋体" w:cs="Times New Roman"/>
                      <w:color w:val="auto"/>
                      <w:sz w:val="18"/>
                      <w:szCs w:val="18"/>
                      <w:highlight w:val="none"/>
                      <w:u w:val="none" w:color="auto"/>
                      <w:lang w:eastAsia="zh-CN"/>
                    </w:rPr>
                  </w:pPr>
                  <w:r>
                    <w:rPr>
                      <w:rFonts w:hint="eastAsia" w:cs="Times New Roman"/>
                      <w:color w:val="auto"/>
                      <w:sz w:val="18"/>
                      <w:szCs w:val="18"/>
                      <w:highlight w:val="none"/>
                      <w:u w:val="none" w:color="auto"/>
                      <w:lang w:val="en-US" w:eastAsia="zh-CN"/>
                    </w:rPr>
                    <w:t>煤矸石</w:t>
                  </w:r>
                </w:p>
              </w:tc>
              <w:tc>
                <w:tcPr>
                  <w:tcW w:w="1336" w:type="dxa"/>
                  <w:noWrap w:val="0"/>
                  <w:vAlign w:val="center"/>
                </w:tcPr>
                <w:p>
                  <w:pPr>
                    <w:jc w:val="center"/>
                    <w:rPr>
                      <w:rFonts w:hint="default" w:ascii="Times New Roman" w:hAnsi="Times New Roman" w:cs="Times New Roman"/>
                      <w:color w:val="auto"/>
                      <w:sz w:val="18"/>
                      <w:szCs w:val="18"/>
                      <w:highlight w:val="none"/>
                      <w:u w:val="none" w:color="auto"/>
                    </w:rPr>
                  </w:pPr>
                  <w:r>
                    <w:rPr>
                      <w:rFonts w:hint="eastAsia" w:cs="Times New Roman"/>
                      <w:color w:val="auto"/>
                      <w:sz w:val="18"/>
                      <w:szCs w:val="18"/>
                      <w:highlight w:val="none"/>
                      <w:u w:val="none" w:color="auto"/>
                      <w:lang w:val="en-US" w:eastAsia="zh-CN"/>
                    </w:rPr>
                    <w:t>1.5</w:t>
                  </w:r>
                  <w:r>
                    <w:rPr>
                      <w:rFonts w:hint="default" w:ascii="Times New Roman" w:hAnsi="Times New Roman" w:cs="Times New Roman"/>
                      <w:color w:val="auto"/>
                      <w:sz w:val="18"/>
                      <w:szCs w:val="18"/>
                      <w:highlight w:val="none"/>
                      <w:u w:val="none" w:color="auto"/>
                    </w:rPr>
                    <w:t>万t/a</w:t>
                  </w:r>
                </w:p>
              </w:tc>
              <w:tc>
                <w:tcPr>
                  <w:tcW w:w="1608" w:type="dxa"/>
                  <w:shd w:val="clear" w:color="auto" w:fill="auto"/>
                  <w:noWrap w:val="0"/>
                  <w:vAlign w:val="center"/>
                </w:tcPr>
                <w:p>
                  <w:pPr>
                    <w:jc w:val="center"/>
                    <w:rPr>
                      <w:rFonts w:hint="eastAsia" w:ascii="Times New Roman" w:hAnsi="Times New Roman" w:eastAsia="宋体" w:cs="Times New Roman"/>
                      <w:color w:val="auto"/>
                      <w:kern w:val="2"/>
                      <w:sz w:val="18"/>
                      <w:szCs w:val="18"/>
                      <w:highlight w:val="none"/>
                      <w:u w:val="none" w:color="auto"/>
                      <w:lang w:val="en-US" w:eastAsia="zh-CN" w:bidi="ar-SA"/>
                    </w:rPr>
                  </w:pPr>
                  <w:r>
                    <w:rPr>
                      <w:rFonts w:hint="default" w:ascii="Times New Roman" w:hAnsi="Times New Roman" w:cs="Times New Roman"/>
                      <w:color w:val="auto"/>
                      <w:sz w:val="18"/>
                      <w:szCs w:val="18"/>
                      <w:highlight w:val="none"/>
                      <w:u w:val="none" w:color="auto"/>
                    </w:rPr>
                    <w:t>外购，</w:t>
                  </w:r>
                  <w:r>
                    <w:rPr>
                      <w:rFonts w:hint="eastAsia" w:cs="Times New Roman"/>
                      <w:color w:val="auto"/>
                      <w:sz w:val="18"/>
                      <w:szCs w:val="18"/>
                      <w:highlight w:val="none"/>
                      <w:u w:val="none" w:color="auto"/>
                      <w:lang w:val="en-US" w:eastAsia="zh-CN"/>
                    </w:rPr>
                    <w:t>涟源市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1" w:type="dxa"/>
                  <w:vMerge w:val="continue"/>
                  <w:noWrap w:val="0"/>
                  <w:vAlign w:val="center"/>
                </w:tcPr>
                <w:p>
                  <w:pPr>
                    <w:jc w:val="center"/>
                    <w:rPr>
                      <w:rFonts w:hint="default" w:ascii="Times New Roman" w:hAnsi="Times New Roman" w:cs="Times New Roman"/>
                      <w:color w:val="auto"/>
                      <w:sz w:val="18"/>
                      <w:szCs w:val="18"/>
                      <w:highlight w:val="none"/>
                      <w:u w:val="none" w:color="auto"/>
                    </w:rPr>
                  </w:pPr>
                </w:p>
              </w:tc>
              <w:tc>
                <w:tcPr>
                  <w:tcW w:w="2059" w:type="dxa"/>
                  <w:noWrap w:val="0"/>
                  <w:vAlign w:val="center"/>
                </w:tcPr>
                <w:p>
                  <w:pPr>
                    <w:jc w:val="center"/>
                    <w:rPr>
                      <w:rFonts w:hint="default" w:ascii="Times New Roman" w:hAnsi="Times New Roman" w:eastAsia="宋体" w:cs="Times New Roman"/>
                      <w:color w:val="auto"/>
                      <w:sz w:val="18"/>
                      <w:szCs w:val="18"/>
                      <w:highlight w:val="none"/>
                      <w:u w:val="none" w:color="auto"/>
                      <w:lang w:val="en-US" w:eastAsia="zh-CN"/>
                    </w:rPr>
                  </w:pPr>
                  <w:r>
                    <w:rPr>
                      <w:rFonts w:hint="eastAsia" w:ascii="Times New Roman" w:hAnsi="Times New Roman" w:cs="Times New Roman"/>
                      <w:color w:val="auto"/>
                      <w:sz w:val="18"/>
                      <w:szCs w:val="18"/>
                      <w:highlight w:val="none"/>
                      <w:u w:val="none" w:color="auto"/>
                      <w:lang w:val="en-US" w:eastAsia="zh-CN"/>
                    </w:rPr>
                    <w:t>一般固废</w:t>
                  </w:r>
                </w:p>
              </w:tc>
              <w:tc>
                <w:tcPr>
                  <w:tcW w:w="1336" w:type="dxa"/>
                  <w:noWrap w:val="0"/>
                  <w:vAlign w:val="center"/>
                </w:tcPr>
                <w:p>
                  <w:pPr>
                    <w:jc w:val="center"/>
                    <w:rPr>
                      <w:rFonts w:hint="default" w:ascii="Times New Roman" w:hAnsi="Times New Roman" w:eastAsia="宋体" w:cs="Times New Roman"/>
                      <w:color w:val="auto"/>
                      <w:sz w:val="18"/>
                      <w:szCs w:val="18"/>
                      <w:highlight w:val="none"/>
                      <w:u w:val="none" w:color="auto"/>
                      <w:lang w:val="en-US" w:eastAsia="zh-CN"/>
                    </w:rPr>
                  </w:pPr>
                  <w:r>
                    <w:rPr>
                      <w:rFonts w:hint="eastAsia" w:ascii="Times New Roman" w:hAnsi="Times New Roman" w:cs="Times New Roman"/>
                      <w:color w:val="auto"/>
                      <w:sz w:val="18"/>
                      <w:szCs w:val="18"/>
                      <w:highlight w:val="none"/>
                      <w:u w:val="none" w:color="auto"/>
                      <w:lang w:val="en-US" w:eastAsia="zh-CN"/>
                    </w:rPr>
                    <w:t>0.</w:t>
                  </w:r>
                  <w:r>
                    <w:rPr>
                      <w:rFonts w:hint="eastAsia" w:cs="Times New Roman"/>
                      <w:color w:val="auto"/>
                      <w:sz w:val="18"/>
                      <w:szCs w:val="18"/>
                      <w:highlight w:val="none"/>
                      <w:u w:val="none" w:color="auto"/>
                      <w:lang w:val="en-US" w:eastAsia="zh-CN"/>
                    </w:rPr>
                    <w:t>7</w:t>
                  </w:r>
                  <w:r>
                    <w:rPr>
                      <w:rFonts w:hint="eastAsia" w:ascii="Times New Roman" w:hAnsi="Times New Roman" w:cs="Times New Roman"/>
                      <w:color w:val="auto"/>
                      <w:sz w:val="18"/>
                      <w:szCs w:val="18"/>
                      <w:highlight w:val="none"/>
                      <w:u w:val="none" w:color="auto"/>
                      <w:lang w:val="en-US" w:eastAsia="zh-CN"/>
                    </w:rPr>
                    <w:t>5万t/a</w:t>
                  </w:r>
                  <w:r>
                    <w:rPr>
                      <w:rFonts w:hint="eastAsia" w:cs="Times New Roman"/>
                      <w:color w:val="auto"/>
                      <w:sz w:val="18"/>
                      <w:szCs w:val="18"/>
                      <w:highlight w:val="none"/>
                      <w:u w:val="none" w:color="auto"/>
                      <w:lang w:val="en-US" w:eastAsia="zh-CN"/>
                    </w:rPr>
                    <w:t>（10%）</w:t>
                  </w:r>
                </w:p>
              </w:tc>
              <w:tc>
                <w:tcPr>
                  <w:tcW w:w="1608" w:type="dxa"/>
                  <w:shd w:val="clear" w:color="auto" w:fill="auto"/>
                  <w:noWrap w:val="0"/>
                  <w:vAlign w:val="center"/>
                </w:tcPr>
                <w:p>
                  <w:pPr>
                    <w:jc w:val="center"/>
                    <w:rPr>
                      <w:rFonts w:hint="eastAsia" w:ascii="Times New Roman" w:hAnsi="Times New Roman" w:eastAsia="宋体" w:cs="Times New Roman"/>
                      <w:color w:val="auto"/>
                      <w:kern w:val="2"/>
                      <w:sz w:val="18"/>
                      <w:szCs w:val="18"/>
                      <w:highlight w:val="none"/>
                      <w:u w:val="none" w:color="auto"/>
                      <w:lang w:val="en-US" w:eastAsia="zh-CN" w:bidi="ar-SA"/>
                    </w:rPr>
                  </w:pPr>
                  <w:r>
                    <w:rPr>
                      <w:rFonts w:hint="eastAsia" w:ascii="Times New Roman" w:hAnsi="Times New Roman" w:eastAsia="宋体" w:cs="Times New Roman"/>
                      <w:color w:val="auto"/>
                      <w:sz w:val="18"/>
                      <w:szCs w:val="18"/>
                      <w:highlight w:val="none"/>
                      <w:u w:val="none" w:color="auto"/>
                      <w:lang w:val="en-US" w:eastAsia="zh-CN"/>
                    </w:rPr>
                    <w:t>原中盐天友化工有限公司及学宫路附近遗留废渣</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1" w:type="dxa"/>
                  <w:vMerge w:val="continue"/>
                  <w:noWrap w:val="0"/>
                  <w:vAlign w:val="center"/>
                </w:tcPr>
                <w:p>
                  <w:pPr>
                    <w:jc w:val="center"/>
                    <w:rPr>
                      <w:rFonts w:hint="default" w:ascii="Times New Roman" w:hAnsi="Times New Roman" w:cs="Times New Roman"/>
                      <w:color w:val="auto"/>
                      <w:sz w:val="18"/>
                      <w:szCs w:val="18"/>
                      <w:highlight w:val="none"/>
                      <w:u w:val="none" w:color="auto"/>
                    </w:rPr>
                  </w:pPr>
                </w:p>
              </w:tc>
              <w:tc>
                <w:tcPr>
                  <w:tcW w:w="2059" w:type="dxa"/>
                  <w:noWrap w:val="0"/>
                  <w:vAlign w:val="center"/>
                </w:tcPr>
                <w:p>
                  <w:pPr>
                    <w:jc w:val="center"/>
                    <w:rPr>
                      <w:rFonts w:hint="eastAsia" w:ascii="Times New Roman" w:hAnsi="Times New Roman" w:eastAsia="宋体" w:cs="Times New Roman"/>
                      <w:color w:val="auto"/>
                      <w:sz w:val="18"/>
                      <w:szCs w:val="18"/>
                      <w:highlight w:val="none"/>
                      <w:u w:val="none" w:color="auto"/>
                      <w:lang w:val="en-US" w:eastAsia="zh-CN"/>
                    </w:rPr>
                  </w:pPr>
                  <w:r>
                    <w:rPr>
                      <w:rFonts w:hint="eastAsia" w:ascii="Times New Roman" w:hAnsi="Times New Roman" w:cs="Times New Roman"/>
                      <w:color w:val="auto"/>
                      <w:sz w:val="18"/>
                      <w:szCs w:val="18"/>
                      <w:highlight w:val="none"/>
                      <w:u w:val="none" w:color="auto"/>
                      <w:lang w:val="en-US" w:eastAsia="zh-CN"/>
                    </w:rPr>
                    <w:t>木柴（引火）</w:t>
                  </w:r>
                </w:p>
              </w:tc>
              <w:tc>
                <w:tcPr>
                  <w:tcW w:w="1336" w:type="dxa"/>
                  <w:noWrap w:val="0"/>
                  <w:vAlign w:val="center"/>
                </w:tcPr>
                <w:p>
                  <w:pPr>
                    <w:jc w:val="center"/>
                    <w:rPr>
                      <w:rFonts w:hint="default" w:ascii="Times New Roman" w:hAnsi="Times New Roman" w:cs="Times New Roman"/>
                      <w:color w:val="auto"/>
                      <w:sz w:val="18"/>
                      <w:szCs w:val="18"/>
                      <w:highlight w:val="none"/>
                      <w:u w:val="none" w:color="auto"/>
                      <w:lang w:val="en-US" w:eastAsia="zh-CN"/>
                    </w:rPr>
                  </w:pPr>
                  <w:r>
                    <w:rPr>
                      <w:rFonts w:hint="eastAsia" w:cs="Times New Roman"/>
                      <w:color w:val="auto"/>
                      <w:sz w:val="18"/>
                      <w:szCs w:val="18"/>
                      <w:highlight w:val="none"/>
                      <w:u w:val="none" w:color="auto"/>
                      <w:lang w:val="en-US" w:eastAsia="zh-CN"/>
                    </w:rPr>
                    <w:t>5</w:t>
                  </w:r>
                  <w:r>
                    <w:rPr>
                      <w:rFonts w:hint="eastAsia" w:ascii="Times New Roman" w:hAnsi="Times New Roman" w:cs="Times New Roman"/>
                      <w:color w:val="auto"/>
                      <w:sz w:val="18"/>
                      <w:szCs w:val="18"/>
                      <w:highlight w:val="none"/>
                      <w:u w:val="none" w:color="auto"/>
                      <w:lang w:val="en-US" w:eastAsia="zh-CN"/>
                    </w:rPr>
                    <w:t>t/a</w:t>
                  </w:r>
                </w:p>
              </w:tc>
              <w:tc>
                <w:tcPr>
                  <w:tcW w:w="1608" w:type="dxa"/>
                  <w:shd w:val="clear" w:color="auto" w:fill="auto"/>
                  <w:noWrap w:val="0"/>
                  <w:vAlign w:val="center"/>
                </w:tcPr>
                <w:p>
                  <w:pPr>
                    <w:jc w:val="center"/>
                    <w:rPr>
                      <w:rFonts w:hint="default" w:ascii="Times New Roman" w:hAnsi="Times New Roman" w:eastAsia="宋体" w:cs="Times New Roman"/>
                      <w:color w:val="auto"/>
                      <w:kern w:val="2"/>
                      <w:sz w:val="18"/>
                      <w:szCs w:val="18"/>
                      <w:highlight w:val="none"/>
                      <w:u w:val="none" w:color="auto"/>
                      <w:lang w:val="en-US" w:eastAsia="zh-CN" w:bidi="ar-SA"/>
                    </w:rPr>
                  </w:pPr>
                  <w:r>
                    <w:rPr>
                      <w:rFonts w:hint="eastAsia" w:ascii="Times New Roman" w:hAnsi="Times New Roman" w:cs="Times New Roman"/>
                      <w:color w:val="auto"/>
                      <w:sz w:val="18"/>
                      <w:szCs w:val="18"/>
                      <w:highlight w:val="none"/>
                      <w:u w:val="none" w:color="auto"/>
                      <w:lang w:val="en-US" w:eastAsia="zh-CN"/>
                    </w:rPr>
                    <w:t>当地采购</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1" w:hRule="atLeast"/>
                <w:jc w:val="center"/>
              </w:trPr>
              <w:tc>
                <w:tcPr>
                  <w:tcW w:w="461" w:type="dxa"/>
                  <w:vMerge w:val="continue"/>
                  <w:noWrap w:val="0"/>
                  <w:vAlign w:val="center"/>
                </w:tcPr>
                <w:p>
                  <w:pPr>
                    <w:jc w:val="center"/>
                    <w:rPr>
                      <w:rFonts w:hint="default" w:ascii="Times New Roman" w:hAnsi="Times New Roman" w:cs="Times New Roman"/>
                      <w:color w:val="auto"/>
                      <w:sz w:val="18"/>
                      <w:szCs w:val="18"/>
                      <w:highlight w:val="none"/>
                      <w:u w:val="none" w:color="auto"/>
                    </w:rPr>
                  </w:pPr>
                </w:p>
              </w:tc>
              <w:tc>
                <w:tcPr>
                  <w:tcW w:w="2059" w:type="dxa"/>
                  <w:noWrap w:val="0"/>
                  <w:vAlign w:val="center"/>
                </w:tcPr>
                <w:p>
                  <w:pPr>
                    <w:jc w:val="center"/>
                    <w:rPr>
                      <w:rFonts w:hint="default" w:ascii="Times New Roman" w:hAnsi="Times New Roman" w:eastAsia="宋体" w:cs="Times New Roman"/>
                      <w:color w:val="auto"/>
                      <w:sz w:val="18"/>
                      <w:szCs w:val="18"/>
                      <w:highlight w:val="none"/>
                      <w:u w:val="none" w:color="auto"/>
                      <w:lang w:val="en-US" w:eastAsia="zh-CN"/>
                    </w:rPr>
                  </w:pPr>
                  <w:r>
                    <w:rPr>
                      <w:rFonts w:hint="eastAsia" w:cs="Times New Roman"/>
                      <w:color w:val="auto"/>
                      <w:sz w:val="18"/>
                      <w:szCs w:val="18"/>
                      <w:highlight w:val="none"/>
                      <w:u w:val="none" w:color="auto"/>
                      <w:lang w:val="en-US" w:eastAsia="zh-CN"/>
                    </w:rPr>
                    <w:t>NaOH</w:t>
                  </w:r>
                </w:p>
              </w:tc>
              <w:tc>
                <w:tcPr>
                  <w:tcW w:w="1336" w:type="dxa"/>
                  <w:noWrap w:val="0"/>
                  <w:vAlign w:val="center"/>
                </w:tcPr>
                <w:p>
                  <w:pPr>
                    <w:jc w:val="center"/>
                    <w:rPr>
                      <w:rFonts w:hint="default" w:ascii="Times New Roman" w:hAnsi="Times New Roman" w:cs="Times New Roman"/>
                      <w:color w:val="auto"/>
                      <w:sz w:val="18"/>
                      <w:szCs w:val="18"/>
                      <w:highlight w:val="none"/>
                      <w:u w:val="none" w:color="auto"/>
                    </w:rPr>
                  </w:pPr>
                  <w:r>
                    <w:rPr>
                      <w:rFonts w:hint="eastAsia" w:cs="Times New Roman"/>
                      <w:color w:val="auto"/>
                      <w:sz w:val="18"/>
                      <w:szCs w:val="18"/>
                      <w:highlight w:val="none"/>
                      <w:u w:val="none" w:color="auto"/>
                      <w:lang w:val="en-US" w:eastAsia="zh-CN"/>
                    </w:rPr>
                    <w:t>9</w:t>
                  </w:r>
                  <w:r>
                    <w:rPr>
                      <w:rFonts w:hint="default" w:ascii="Times New Roman" w:hAnsi="Times New Roman" w:cs="Times New Roman"/>
                      <w:color w:val="auto"/>
                      <w:sz w:val="18"/>
                      <w:szCs w:val="18"/>
                      <w:highlight w:val="none"/>
                      <w:u w:val="none" w:color="auto"/>
                    </w:rPr>
                    <w:t>t/a</w:t>
                  </w:r>
                </w:p>
              </w:tc>
              <w:tc>
                <w:tcPr>
                  <w:tcW w:w="1608" w:type="dxa"/>
                  <w:shd w:val="clear" w:color="auto" w:fill="auto"/>
                  <w:noWrap w:val="0"/>
                  <w:vAlign w:val="center"/>
                </w:tcPr>
                <w:p>
                  <w:pPr>
                    <w:jc w:val="center"/>
                    <w:rPr>
                      <w:rFonts w:hint="default" w:ascii="Times New Roman" w:hAnsi="Times New Roman" w:eastAsia="宋体" w:cs="Times New Roman"/>
                      <w:color w:val="auto"/>
                      <w:kern w:val="2"/>
                      <w:sz w:val="18"/>
                      <w:szCs w:val="18"/>
                      <w:highlight w:val="none"/>
                      <w:u w:val="none" w:color="auto"/>
                      <w:lang w:val="en-US" w:eastAsia="zh-CN" w:bidi="ar-SA"/>
                    </w:rPr>
                  </w:pPr>
                  <w:r>
                    <w:rPr>
                      <w:rFonts w:hint="default" w:ascii="Times New Roman" w:hAnsi="Times New Roman" w:cs="Times New Roman"/>
                      <w:color w:val="auto"/>
                      <w:sz w:val="18"/>
                      <w:szCs w:val="18"/>
                      <w:highlight w:val="none"/>
                      <w:u w:val="none" w:color="auto"/>
                    </w:rPr>
                    <w:t>外购</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1" w:type="dxa"/>
                  <w:vMerge w:val="restart"/>
                  <w:noWrap w:val="0"/>
                  <w:vAlign w:val="center"/>
                </w:tcPr>
                <w:p>
                  <w:pPr>
                    <w:jc w:val="center"/>
                    <w:rPr>
                      <w:rFonts w:hint="default" w:ascii="Times New Roman" w:hAnsi="Times New Roman" w:cs="Times New Roman"/>
                      <w:color w:val="auto"/>
                      <w:sz w:val="18"/>
                      <w:szCs w:val="18"/>
                      <w:highlight w:val="none"/>
                      <w:u w:val="none" w:color="auto"/>
                    </w:rPr>
                  </w:pPr>
                  <w:r>
                    <w:rPr>
                      <w:rFonts w:hint="default" w:ascii="Times New Roman" w:hAnsi="Times New Roman" w:cs="Times New Roman"/>
                      <w:color w:val="auto"/>
                      <w:sz w:val="18"/>
                      <w:szCs w:val="18"/>
                      <w:highlight w:val="none"/>
                      <w:u w:val="none" w:color="auto"/>
                    </w:rPr>
                    <w:t>能源</w:t>
                  </w:r>
                </w:p>
              </w:tc>
              <w:tc>
                <w:tcPr>
                  <w:tcW w:w="2059" w:type="dxa"/>
                  <w:noWrap w:val="0"/>
                  <w:vAlign w:val="center"/>
                </w:tcPr>
                <w:p>
                  <w:pPr>
                    <w:jc w:val="center"/>
                    <w:rPr>
                      <w:rFonts w:hint="default" w:ascii="Times New Roman" w:hAnsi="Times New Roman" w:cs="Times New Roman"/>
                      <w:color w:val="auto"/>
                      <w:sz w:val="18"/>
                      <w:szCs w:val="18"/>
                      <w:highlight w:val="none"/>
                      <w:u w:val="none" w:color="auto"/>
                    </w:rPr>
                  </w:pPr>
                  <w:r>
                    <w:rPr>
                      <w:rFonts w:hint="default" w:ascii="Times New Roman" w:hAnsi="Times New Roman" w:cs="Times New Roman"/>
                      <w:color w:val="auto"/>
                      <w:sz w:val="18"/>
                      <w:szCs w:val="18"/>
                      <w:highlight w:val="none"/>
                      <w:u w:val="none" w:color="auto"/>
                    </w:rPr>
                    <w:t>水</w:t>
                  </w:r>
                </w:p>
              </w:tc>
              <w:tc>
                <w:tcPr>
                  <w:tcW w:w="1336" w:type="dxa"/>
                  <w:noWrap w:val="0"/>
                  <w:vAlign w:val="center"/>
                </w:tcPr>
                <w:p>
                  <w:pPr>
                    <w:jc w:val="center"/>
                    <w:rPr>
                      <w:rFonts w:hint="default" w:ascii="Times New Roman" w:hAnsi="Times New Roman" w:eastAsia="宋体" w:cs="Times New Roman"/>
                      <w:color w:val="auto"/>
                      <w:sz w:val="18"/>
                      <w:szCs w:val="18"/>
                      <w:highlight w:val="none"/>
                      <w:u w:val="none" w:color="auto"/>
                      <w:lang w:val="en-US" w:eastAsia="zh-CN"/>
                    </w:rPr>
                  </w:pPr>
                  <w:r>
                    <w:rPr>
                      <w:rFonts w:hint="eastAsia" w:cs="Times New Roman"/>
                      <w:color w:val="auto"/>
                      <w:sz w:val="18"/>
                      <w:szCs w:val="18"/>
                      <w:highlight w:val="none"/>
                      <w:u w:val="none" w:color="auto"/>
                      <w:lang w:val="en-US" w:eastAsia="zh-CN"/>
                    </w:rPr>
                    <w:t>11430</w:t>
                  </w:r>
                  <w:r>
                    <w:rPr>
                      <w:rFonts w:hint="eastAsia" w:ascii="Times New Roman" w:hAnsi="Times New Roman" w:cs="Times New Roman"/>
                      <w:color w:val="auto"/>
                      <w:sz w:val="18"/>
                      <w:szCs w:val="18"/>
                      <w:highlight w:val="none"/>
                      <w:u w:val="none" w:color="auto"/>
                      <w:lang w:val="en-US" w:eastAsia="zh-CN"/>
                    </w:rPr>
                    <w:t>t/a</w:t>
                  </w:r>
                </w:p>
              </w:tc>
              <w:tc>
                <w:tcPr>
                  <w:tcW w:w="1608" w:type="dxa"/>
                  <w:shd w:val="clear" w:color="auto" w:fill="auto"/>
                  <w:noWrap w:val="0"/>
                  <w:vAlign w:val="center"/>
                </w:tcPr>
                <w:p>
                  <w:pPr>
                    <w:jc w:val="center"/>
                    <w:rPr>
                      <w:rFonts w:hint="default" w:ascii="Times New Roman" w:hAnsi="Times New Roman" w:eastAsia="宋体" w:cs="Times New Roman"/>
                      <w:color w:val="auto"/>
                      <w:kern w:val="2"/>
                      <w:sz w:val="18"/>
                      <w:szCs w:val="18"/>
                      <w:highlight w:val="none"/>
                      <w:u w:val="none" w:color="auto"/>
                      <w:lang w:val="en-US" w:eastAsia="zh-CN" w:bidi="ar-SA"/>
                    </w:rPr>
                  </w:pPr>
                  <w:r>
                    <w:rPr>
                      <w:rFonts w:hint="default" w:ascii="Times New Roman" w:hAnsi="Times New Roman" w:cs="Times New Roman"/>
                      <w:color w:val="auto"/>
                      <w:sz w:val="18"/>
                      <w:szCs w:val="18"/>
                      <w:highlight w:val="none"/>
                      <w:u w:val="none" w:color="auto"/>
                    </w:rPr>
                    <w:t>当地供水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1" w:type="dxa"/>
                  <w:vMerge w:val="continue"/>
                  <w:noWrap w:val="0"/>
                  <w:vAlign w:val="center"/>
                </w:tcPr>
                <w:p>
                  <w:pPr>
                    <w:jc w:val="center"/>
                    <w:rPr>
                      <w:rFonts w:hint="default" w:ascii="Times New Roman" w:hAnsi="Times New Roman" w:cs="Times New Roman"/>
                      <w:color w:val="auto"/>
                      <w:sz w:val="18"/>
                      <w:szCs w:val="18"/>
                      <w:highlight w:val="none"/>
                      <w:u w:val="none" w:color="auto"/>
                    </w:rPr>
                  </w:pPr>
                </w:p>
              </w:tc>
              <w:tc>
                <w:tcPr>
                  <w:tcW w:w="2059" w:type="dxa"/>
                  <w:noWrap w:val="0"/>
                  <w:vAlign w:val="center"/>
                </w:tcPr>
                <w:p>
                  <w:pPr>
                    <w:jc w:val="center"/>
                    <w:rPr>
                      <w:rFonts w:hint="default" w:ascii="Times New Roman" w:hAnsi="Times New Roman" w:cs="Times New Roman"/>
                      <w:color w:val="auto"/>
                      <w:sz w:val="18"/>
                      <w:szCs w:val="18"/>
                      <w:highlight w:val="none"/>
                      <w:u w:val="none" w:color="auto"/>
                    </w:rPr>
                  </w:pPr>
                  <w:r>
                    <w:rPr>
                      <w:rFonts w:hint="default" w:ascii="Times New Roman" w:hAnsi="Times New Roman" w:cs="Times New Roman"/>
                      <w:color w:val="auto"/>
                      <w:sz w:val="18"/>
                      <w:szCs w:val="18"/>
                      <w:highlight w:val="none"/>
                      <w:u w:val="none" w:color="auto"/>
                    </w:rPr>
                    <w:t>电</w:t>
                  </w:r>
                </w:p>
              </w:tc>
              <w:tc>
                <w:tcPr>
                  <w:tcW w:w="1336" w:type="dxa"/>
                  <w:noWrap w:val="0"/>
                  <w:vAlign w:val="center"/>
                </w:tcPr>
                <w:p>
                  <w:pPr>
                    <w:jc w:val="center"/>
                    <w:rPr>
                      <w:rFonts w:hint="default" w:ascii="Times New Roman" w:hAnsi="Times New Roman" w:cs="Times New Roman"/>
                      <w:color w:val="auto"/>
                      <w:sz w:val="18"/>
                      <w:szCs w:val="18"/>
                      <w:highlight w:val="none"/>
                      <w:u w:val="none" w:color="auto"/>
                    </w:rPr>
                  </w:pPr>
                  <w:r>
                    <w:rPr>
                      <w:rFonts w:hint="eastAsia" w:cs="Times New Roman"/>
                      <w:color w:val="auto"/>
                      <w:sz w:val="18"/>
                      <w:szCs w:val="18"/>
                      <w:highlight w:val="none"/>
                      <w:u w:val="none" w:color="auto"/>
                      <w:lang w:val="en-US" w:eastAsia="zh-CN"/>
                    </w:rPr>
                    <w:t>10000</w:t>
                  </w:r>
                  <w:r>
                    <w:rPr>
                      <w:rFonts w:hint="default" w:ascii="Times New Roman" w:hAnsi="Times New Roman" w:cs="Times New Roman"/>
                      <w:color w:val="auto"/>
                      <w:sz w:val="18"/>
                      <w:szCs w:val="18"/>
                      <w:highlight w:val="none"/>
                      <w:u w:val="none" w:color="auto"/>
                    </w:rPr>
                    <w:t>kw·h/a</w:t>
                  </w:r>
                </w:p>
              </w:tc>
              <w:tc>
                <w:tcPr>
                  <w:tcW w:w="1608" w:type="dxa"/>
                  <w:shd w:val="clear" w:color="auto" w:fill="auto"/>
                  <w:noWrap w:val="0"/>
                  <w:vAlign w:val="center"/>
                </w:tcPr>
                <w:p>
                  <w:pPr>
                    <w:jc w:val="center"/>
                    <w:rPr>
                      <w:rFonts w:hint="default" w:ascii="Times New Roman" w:hAnsi="Times New Roman" w:eastAsia="宋体" w:cs="Times New Roman"/>
                      <w:color w:val="auto"/>
                      <w:kern w:val="2"/>
                      <w:sz w:val="18"/>
                      <w:szCs w:val="18"/>
                      <w:highlight w:val="none"/>
                      <w:u w:val="none" w:color="auto"/>
                      <w:lang w:val="en-US" w:eastAsia="zh-CN" w:bidi="ar-SA"/>
                    </w:rPr>
                  </w:pPr>
                  <w:r>
                    <w:rPr>
                      <w:rFonts w:hint="default" w:ascii="Times New Roman" w:hAnsi="Times New Roman" w:cs="Times New Roman"/>
                      <w:color w:val="auto"/>
                      <w:sz w:val="18"/>
                      <w:szCs w:val="18"/>
                      <w:highlight w:val="none"/>
                      <w:u w:val="none" w:color="auto"/>
                    </w:rPr>
                    <w:t>当地供电</w:t>
                  </w:r>
                </w:p>
              </w:tc>
            </w:tr>
          </w:tbl>
          <w:p>
            <w:pPr>
              <w:ind w:firstLine="420" w:firstLineChars="200"/>
              <w:rPr>
                <w:color w:val="auto"/>
                <w:highlight w:val="none"/>
                <w:u w:val="none" w:color="auto"/>
              </w:rPr>
            </w:pPr>
            <w:r>
              <w:rPr>
                <w:color w:val="auto"/>
                <w:highlight w:val="none"/>
                <w:u w:val="none" w:color="auto"/>
              </w:rPr>
              <w:t>注：</w:t>
            </w:r>
            <w:r>
              <w:rPr>
                <w:rFonts w:hint="default"/>
                <w:color w:val="auto"/>
                <w:highlight w:val="none"/>
                <w:u w:val="none" w:color="auto"/>
                <w:lang w:eastAsia="zh-CN"/>
              </w:rPr>
              <w:t>本项目</w:t>
            </w:r>
            <w:r>
              <w:rPr>
                <w:rFonts w:hint="eastAsia"/>
                <w:color w:val="auto"/>
                <w:highlight w:val="none"/>
                <w:u w:val="none" w:color="auto"/>
                <w:lang w:eastAsia="zh-CN"/>
              </w:rPr>
              <w:t>掺配</w:t>
            </w:r>
            <w:r>
              <w:rPr>
                <w:rFonts w:hint="default"/>
                <w:color w:val="auto"/>
                <w:highlight w:val="none"/>
                <w:u w:val="none" w:color="auto"/>
                <w:lang w:eastAsia="zh-CN"/>
              </w:rPr>
              <w:t>的一般固废为衡阳市珠晖区原中盐天友化工有限公司及学宫路附近遗留废渣，不得</w:t>
            </w:r>
            <w:r>
              <w:rPr>
                <w:rFonts w:hint="eastAsia"/>
                <w:color w:val="auto"/>
                <w:highlight w:val="none"/>
                <w:u w:val="none" w:color="auto"/>
                <w:lang w:eastAsia="zh-CN"/>
              </w:rPr>
              <w:t>掺配</w:t>
            </w:r>
            <w:r>
              <w:rPr>
                <w:rFonts w:hint="default"/>
                <w:color w:val="auto"/>
                <w:highlight w:val="none"/>
                <w:u w:val="none" w:color="auto"/>
                <w:lang w:eastAsia="zh-CN"/>
              </w:rPr>
              <w:t>相关法律法规禁砖厂处理的一般固废，禁止</w:t>
            </w:r>
            <w:r>
              <w:rPr>
                <w:rFonts w:hint="eastAsia"/>
                <w:color w:val="auto"/>
                <w:highlight w:val="none"/>
                <w:u w:val="none" w:color="auto"/>
                <w:lang w:eastAsia="zh-CN"/>
              </w:rPr>
              <w:t>掺配</w:t>
            </w:r>
            <w:r>
              <w:rPr>
                <w:rFonts w:hint="default"/>
                <w:color w:val="auto"/>
                <w:highlight w:val="none"/>
                <w:u w:val="none" w:color="auto"/>
                <w:lang w:eastAsia="zh-CN"/>
              </w:rPr>
              <w:t>危险废物</w:t>
            </w:r>
            <w:r>
              <w:rPr>
                <w:rFonts w:hint="default"/>
                <w:color w:val="auto"/>
                <w:highlight w:val="none"/>
                <w:u w:val="none" w:color="auto"/>
              </w:rPr>
              <w:t>。</w:t>
            </w:r>
          </w:p>
          <w:p>
            <w:pPr>
              <w:spacing w:line="360" w:lineRule="auto"/>
              <w:ind w:firstLine="482" w:firstLineChars="200"/>
              <w:rPr>
                <w:rFonts w:hint="eastAsia" w:ascii="Times New Roman" w:hAnsi="Times New Roman" w:eastAsia="宋体" w:cs="Times New Roman"/>
                <w:b/>
                <w:bCs/>
                <w:color w:val="auto"/>
                <w:sz w:val="24"/>
                <w:highlight w:val="none"/>
                <w:u w:val="none" w:color="auto"/>
                <w:lang w:eastAsia="zh-CN"/>
              </w:rPr>
            </w:pPr>
            <w:r>
              <w:rPr>
                <w:rFonts w:hint="eastAsia" w:cs="Times New Roman"/>
                <w:b/>
                <w:bCs/>
                <w:color w:val="auto"/>
                <w:sz w:val="24"/>
                <w:highlight w:val="none"/>
                <w:u w:val="none" w:color="auto"/>
                <w:lang w:val="en-US" w:eastAsia="zh-CN"/>
              </w:rPr>
              <w:t>本项目掺配</w:t>
            </w:r>
            <w:r>
              <w:rPr>
                <w:rFonts w:hint="eastAsia" w:ascii="Times New Roman" w:hAnsi="Times New Roman" w:eastAsia="宋体" w:cs="Times New Roman"/>
                <w:b/>
                <w:bCs/>
                <w:color w:val="auto"/>
                <w:sz w:val="24"/>
                <w:highlight w:val="none"/>
                <w:u w:val="none" w:color="auto"/>
                <w:lang w:eastAsia="zh-CN"/>
              </w:rPr>
              <w:t>一般固废理化</w:t>
            </w:r>
            <w:r>
              <w:rPr>
                <w:rFonts w:hint="default" w:ascii="Times New Roman" w:hAnsi="Times New Roman" w:eastAsia="宋体" w:cs="Times New Roman"/>
                <w:b/>
                <w:bCs/>
                <w:color w:val="auto"/>
                <w:sz w:val="24"/>
                <w:highlight w:val="none"/>
                <w:u w:val="none" w:color="auto"/>
              </w:rPr>
              <w:t>性质</w:t>
            </w:r>
            <w:r>
              <w:rPr>
                <w:rFonts w:hint="eastAsia" w:ascii="Times New Roman" w:hAnsi="Times New Roman" w:eastAsia="宋体" w:cs="Times New Roman"/>
                <w:b/>
                <w:bCs/>
                <w:color w:val="auto"/>
                <w:sz w:val="24"/>
                <w:highlight w:val="none"/>
                <w:u w:val="none" w:color="auto"/>
                <w:lang w:eastAsia="zh-CN"/>
              </w:rPr>
              <w:t>：</w:t>
            </w:r>
          </w:p>
          <w:p>
            <w:pPr>
              <w:spacing w:line="360" w:lineRule="auto"/>
              <w:ind w:firstLine="480" w:firstLineChars="200"/>
              <w:rPr>
                <w:rFonts w:hint="default" w:ascii="Times New Roman" w:hAnsi="Times New Roman" w:eastAsia="宋体" w:cs="Times New Roman"/>
                <w:color w:val="auto"/>
                <w:kern w:val="2"/>
                <w:sz w:val="24"/>
                <w:szCs w:val="24"/>
                <w:highlight w:val="none"/>
                <w:u w:val="none" w:color="auto"/>
                <w:lang w:val="en-US" w:eastAsia="zh-CN" w:bidi="ar-SA"/>
              </w:rPr>
            </w:pPr>
            <w:r>
              <w:rPr>
                <w:rFonts w:hint="default" w:ascii="Times New Roman" w:hAnsi="Times New Roman" w:eastAsia="宋体" w:cs="Times New Roman"/>
                <w:color w:val="auto"/>
                <w:kern w:val="2"/>
                <w:sz w:val="24"/>
                <w:szCs w:val="24"/>
                <w:highlight w:val="none"/>
                <w:u w:val="none" w:color="auto"/>
                <w:lang w:val="en-US" w:eastAsia="zh-CN" w:bidi="ar-SA"/>
              </w:rPr>
              <w:t>本次项目增加的一般固废主要为衡阳市珠晖区原中盐天友化工有限公司及学宫路附近遗留废渣整治项目（主要为钛石膏及磷石膏），根据衡阳市生态环境局批复的《衡阳市珠晖区原中盐天友化工有限公司及学宫路附近遗留废渣整治项目实施方案》，中盐天友化工有限公司及学宫路附近遗留废渣送至附近砖厂进行做砖综合利用。</w:t>
            </w:r>
          </w:p>
          <w:p>
            <w:pPr>
              <w:spacing w:line="360" w:lineRule="auto"/>
              <w:ind w:firstLine="480" w:firstLineChars="200"/>
              <w:rPr>
                <w:rFonts w:hint="default" w:ascii="Times New Roman" w:hAnsi="Times New Roman" w:eastAsia="宋体" w:cs="Times New Roman"/>
                <w:color w:val="auto"/>
                <w:kern w:val="2"/>
                <w:sz w:val="24"/>
                <w:szCs w:val="24"/>
                <w:highlight w:val="none"/>
                <w:u w:val="single" w:color="auto"/>
                <w:lang w:val="en-US" w:eastAsia="zh-CN" w:bidi="ar-SA"/>
              </w:rPr>
            </w:pPr>
            <w:r>
              <w:rPr>
                <w:rFonts w:hint="eastAsia" w:ascii="Times New Roman" w:hAnsi="Times New Roman" w:eastAsia="宋体" w:cs="Times New Roman"/>
                <w:color w:val="auto"/>
                <w:kern w:val="2"/>
                <w:sz w:val="24"/>
                <w:szCs w:val="24"/>
                <w:highlight w:val="none"/>
                <w:u w:val="single" w:color="auto"/>
                <w:lang w:val="en-US" w:eastAsia="zh-CN" w:bidi="ar-SA"/>
              </w:rPr>
              <w:t>本项目</w:t>
            </w:r>
            <w:r>
              <w:rPr>
                <w:rFonts w:hint="eastAsia" w:cs="Times New Roman"/>
                <w:color w:val="auto"/>
                <w:kern w:val="2"/>
                <w:sz w:val="24"/>
                <w:szCs w:val="24"/>
                <w:highlight w:val="none"/>
                <w:u w:val="single" w:color="auto"/>
                <w:lang w:val="en-US" w:eastAsia="zh-CN" w:bidi="ar-SA"/>
              </w:rPr>
              <w:t>掺配</w:t>
            </w:r>
            <w:r>
              <w:rPr>
                <w:rFonts w:hint="eastAsia" w:ascii="Times New Roman" w:hAnsi="Times New Roman" w:eastAsia="宋体" w:cs="Times New Roman"/>
                <w:color w:val="auto"/>
                <w:kern w:val="2"/>
                <w:sz w:val="24"/>
                <w:szCs w:val="24"/>
                <w:highlight w:val="none"/>
                <w:u w:val="single" w:color="auto"/>
                <w:lang w:val="en-US" w:eastAsia="zh-CN" w:bidi="ar-SA"/>
              </w:rPr>
              <w:t>的一般固废主要为钛石膏及磷石膏，其所含的硫元素为结晶硫，</w:t>
            </w:r>
            <w:r>
              <w:rPr>
                <w:rFonts w:hint="eastAsia" w:cs="Times New Roman"/>
                <w:color w:val="auto"/>
                <w:kern w:val="2"/>
                <w:sz w:val="24"/>
                <w:szCs w:val="24"/>
                <w:highlight w:val="none"/>
                <w:u w:val="single" w:color="auto"/>
                <w:lang w:val="en-US" w:eastAsia="zh-CN" w:bidi="ar-SA"/>
              </w:rPr>
              <w:t>掺配</w:t>
            </w:r>
            <w:r>
              <w:rPr>
                <w:rFonts w:hint="eastAsia" w:ascii="Times New Roman" w:hAnsi="Times New Roman" w:eastAsia="宋体" w:cs="Times New Roman"/>
                <w:color w:val="auto"/>
                <w:kern w:val="2"/>
                <w:sz w:val="24"/>
                <w:szCs w:val="24"/>
                <w:highlight w:val="none"/>
                <w:u w:val="single" w:color="auto"/>
                <w:lang w:val="en-US" w:eastAsia="zh-CN" w:bidi="ar-SA"/>
              </w:rPr>
              <w:t>制砖过程不会导致二氧化硫排放量增加。</w:t>
            </w:r>
            <w:r>
              <w:rPr>
                <w:rFonts w:hint="default" w:ascii="Times New Roman" w:hAnsi="Times New Roman" w:eastAsia="宋体" w:cs="Times New Roman"/>
                <w:color w:val="auto"/>
                <w:kern w:val="2"/>
                <w:sz w:val="24"/>
                <w:szCs w:val="24"/>
                <w:highlight w:val="none"/>
                <w:u w:val="single" w:color="auto"/>
                <w:lang w:val="en-US" w:eastAsia="zh-CN" w:bidi="ar-SA"/>
              </w:rPr>
              <w:t>根据《脱硫石膏热分解特性及其动力学参数研究》章静，卢平相关研究，三种石膏的分解均包括四个阶段，第一阶段是石膏干燥阶段，主要脱除石膏外在水分；第二阶段为石膏失去结晶水的阶段；第三阶段是样品升温和石膏中杂质成分的分解反应阶段，在此阶段中分析纯石膏基本没有失重，湿法脱硫石膏表现为缓慢失重的特点，而干法脱硫石膏则存在较为明显的分段失重现象，脱硫石膏的失重主要是由于其中含有一定量CaCO₃的分解所造成的。已有的研究表明，在氮气气氛下碳酸钙分解反应主要发生在670～820℃。结合表2可知：干法脱硫石膏中含有26.3%的CaCO₃,因此呈现了分段失重现象，而湿法脱硫石膏只有2%的CaCO₃,因此其失重现象并不显著;第四阶段是石膏中硫酸钙分解反应阶段，三种石膏的起始分解反应温度在1000~1200℃之间，本项目隧道窑烧结温度为800-1050℃，</w:t>
            </w:r>
            <w:r>
              <w:rPr>
                <w:rFonts w:hint="eastAsia" w:ascii="Times New Roman" w:hAnsi="Times New Roman" w:eastAsia="宋体" w:cs="Times New Roman"/>
                <w:color w:val="auto"/>
                <w:kern w:val="2"/>
                <w:sz w:val="24"/>
                <w:szCs w:val="24"/>
                <w:highlight w:val="none"/>
                <w:u w:val="single" w:color="auto"/>
                <w:lang w:val="en-US" w:eastAsia="zh-CN" w:bidi="ar-SA"/>
              </w:rPr>
              <w:t>基本不</w:t>
            </w:r>
            <w:r>
              <w:rPr>
                <w:rFonts w:hint="default" w:ascii="Times New Roman" w:hAnsi="Times New Roman" w:eastAsia="宋体" w:cs="Times New Roman"/>
                <w:color w:val="auto"/>
                <w:kern w:val="2"/>
                <w:sz w:val="24"/>
                <w:szCs w:val="24"/>
                <w:highlight w:val="none"/>
                <w:u w:val="single" w:color="auto"/>
                <w:lang w:val="en-US" w:eastAsia="zh-CN" w:bidi="ar-SA"/>
              </w:rPr>
              <w:t>会发生分解反应</w:t>
            </w:r>
            <w:r>
              <w:rPr>
                <w:rFonts w:hint="eastAsia" w:ascii="Times New Roman" w:hAnsi="Times New Roman" w:eastAsia="宋体" w:cs="Times New Roman"/>
                <w:color w:val="auto"/>
                <w:kern w:val="2"/>
                <w:sz w:val="24"/>
                <w:szCs w:val="24"/>
                <w:highlight w:val="none"/>
                <w:u w:val="single" w:color="auto"/>
                <w:lang w:val="en-US" w:eastAsia="zh-CN" w:bidi="ar-SA"/>
              </w:rPr>
              <w:t>，即使少量</w:t>
            </w:r>
            <w:r>
              <w:rPr>
                <w:rFonts w:hint="default" w:ascii="Times New Roman" w:hAnsi="Times New Roman" w:eastAsia="宋体" w:cs="Times New Roman"/>
                <w:color w:val="auto"/>
                <w:kern w:val="2"/>
                <w:sz w:val="24"/>
                <w:szCs w:val="24"/>
                <w:highlight w:val="none"/>
                <w:u w:val="single" w:color="auto"/>
                <w:lang w:val="en-US" w:eastAsia="zh-CN" w:bidi="ar-SA"/>
              </w:rPr>
              <w:t>硫酸钙分解</w:t>
            </w:r>
            <w:r>
              <w:rPr>
                <w:rFonts w:hint="eastAsia" w:ascii="Times New Roman" w:hAnsi="Times New Roman" w:eastAsia="宋体" w:cs="Times New Roman"/>
                <w:color w:val="auto"/>
                <w:kern w:val="2"/>
                <w:sz w:val="24"/>
                <w:szCs w:val="24"/>
                <w:highlight w:val="none"/>
                <w:u w:val="single" w:color="auto"/>
                <w:lang w:val="en-US" w:eastAsia="zh-CN" w:bidi="ar-SA"/>
              </w:rPr>
              <w:t>生成</w:t>
            </w:r>
            <w:r>
              <w:rPr>
                <w:rFonts w:hint="default" w:ascii="Times New Roman" w:hAnsi="Times New Roman" w:eastAsia="宋体" w:cs="Times New Roman"/>
                <w:color w:val="auto"/>
                <w:kern w:val="2"/>
                <w:sz w:val="24"/>
                <w:szCs w:val="24"/>
                <w:highlight w:val="none"/>
                <w:u w:val="single" w:color="auto"/>
                <w:lang w:val="en-US" w:eastAsia="zh-CN" w:bidi="ar-SA"/>
              </w:rPr>
              <w:t>CaO</w:t>
            </w:r>
            <w:r>
              <w:rPr>
                <w:rFonts w:hint="eastAsia" w:ascii="Times New Roman" w:hAnsi="Times New Roman" w:eastAsia="宋体" w:cs="Times New Roman"/>
                <w:color w:val="auto"/>
                <w:kern w:val="2"/>
                <w:sz w:val="24"/>
                <w:szCs w:val="24"/>
                <w:highlight w:val="none"/>
                <w:u w:val="single" w:color="auto"/>
                <w:lang w:val="en-US" w:eastAsia="zh-CN" w:bidi="ar-SA"/>
              </w:rPr>
              <w:t>，会在隧道窑中与烟气中的</w:t>
            </w:r>
            <w:r>
              <w:rPr>
                <w:rFonts w:hint="default" w:ascii="Times New Roman" w:hAnsi="Times New Roman" w:eastAsia="宋体" w:cs="Times New Roman"/>
                <w:color w:val="auto"/>
                <w:kern w:val="2"/>
                <w:sz w:val="24"/>
                <w:szCs w:val="24"/>
                <w:highlight w:val="none"/>
                <w:u w:val="single" w:color="auto"/>
                <w:lang w:val="en-US" w:eastAsia="zh-CN" w:bidi="ar-SA"/>
              </w:rPr>
              <w:t>SO</w:t>
            </w:r>
            <w:r>
              <w:rPr>
                <w:rFonts w:hint="default" w:ascii="Times New Roman" w:hAnsi="Times New Roman" w:eastAsia="宋体" w:cs="Times New Roman"/>
                <w:color w:val="auto"/>
                <w:kern w:val="2"/>
                <w:sz w:val="24"/>
                <w:szCs w:val="24"/>
                <w:highlight w:val="none"/>
                <w:u w:val="single" w:color="auto"/>
                <w:vertAlign w:val="subscript"/>
                <w:lang w:val="en-US" w:eastAsia="zh-CN" w:bidi="ar-SA"/>
              </w:rPr>
              <w:t>2</w:t>
            </w:r>
            <w:r>
              <w:rPr>
                <w:rFonts w:hint="eastAsia" w:ascii="Times New Roman" w:hAnsi="Times New Roman" w:eastAsia="宋体" w:cs="Times New Roman"/>
                <w:color w:val="auto"/>
                <w:kern w:val="2"/>
                <w:sz w:val="24"/>
                <w:szCs w:val="24"/>
                <w:highlight w:val="none"/>
                <w:u w:val="single" w:color="auto"/>
                <w:vertAlign w:val="baseline"/>
                <w:lang w:val="en-US" w:eastAsia="zh-CN" w:bidi="ar-SA"/>
              </w:rPr>
              <w:t>重新结合</w:t>
            </w:r>
            <w:r>
              <w:rPr>
                <w:rFonts w:hint="default" w:ascii="Times New Roman" w:hAnsi="Times New Roman" w:eastAsia="宋体" w:cs="Times New Roman"/>
                <w:color w:val="auto"/>
                <w:kern w:val="2"/>
                <w:sz w:val="24"/>
                <w:szCs w:val="24"/>
                <w:highlight w:val="none"/>
                <w:u w:val="single" w:color="auto"/>
                <w:lang w:val="en-US" w:eastAsia="zh-CN" w:bidi="ar-SA"/>
              </w:rPr>
              <w:t>。</w:t>
            </w:r>
          </w:p>
          <w:p>
            <w:pPr>
              <w:spacing w:line="360" w:lineRule="auto"/>
              <w:ind w:firstLine="480" w:firstLineChars="200"/>
              <w:rPr>
                <w:rFonts w:hint="eastAsia" w:cs="Times New Roman"/>
                <w:color w:val="auto"/>
                <w:kern w:val="2"/>
                <w:sz w:val="24"/>
                <w:szCs w:val="24"/>
                <w:highlight w:val="none"/>
                <w:u w:val="none" w:color="auto"/>
                <w:vertAlign w:val="baseline"/>
                <w:lang w:val="en-US" w:eastAsia="zh-CN" w:bidi="ar-SA"/>
              </w:rPr>
            </w:pPr>
            <w:r>
              <w:rPr>
                <w:rFonts w:hint="default" w:ascii="Times New Roman" w:hAnsi="Times New Roman" w:eastAsia="宋体" w:cs="Times New Roman"/>
                <w:color w:val="auto"/>
                <w:kern w:val="2"/>
                <w:sz w:val="24"/>
                <w:szCs w:val="24"/>
                <w:highlight w:val="none"/>
                <w:u w:val="single" w:color="auto"/>
                <w:lang w:val="en-US" w:eastAsia="zh-CN" w:bidi="ar-SA"/>
              </w:rPr>
              <w:t>根据该研究“表5湿法脱硫石膏热分解动力学参数”，30～155℃反应物的质量百分数为17.53%，主要为石膏失去结晶水的阶段；155～1128℃反应物的质量百分数为5.69%，主要为碳酸钙和部分硫酸钙分解反应，其中有2%为CaCO</w:t>
            </w:r>
            <w:r>
              <w:rPr>
                <w:rFonts w:hint="default" w:ascii="Times New Roman" w:hAnsi="Times New Roman" w:eastAsia="宋体" w:cs="Times New Roman"/>
                <w:color w:val="auto"/>
                <w:kern w:val="2"/>
                <w:sz w:val="24"/>
                <w:szCs w:val="24"/>
                <w:highlight w:val="none"/>
                <w:u w:val="single" w:color="auto"/>
                <w:vertAlign w:val="subscript"/>
                <w:lang w:val="en-US" w:eastAsia="zh-CN" w:bidi="ar-SA"/>
              </w:rPr>
              <w:t>3</w:t>
            </w:r>
            <w:r>
              <w:rPr>
                <w:rFonts w:hint="default" w:ascii="Times New Roman" w:hAnsi="Times New Roman" w:eastAsia="宋体" w:cs="Times New Roman"/>
                <w:color w:val="auto"/>
                <w:kern w:val="2"/>
                <w:sz w:val="24"/>
                <w:szCs w:val="24"/>
                <w:highlight w:val="none"/>
                <w:u w:val="single" w:color="auto"/>
                <w:vertAlign w:val="baseline"/>
                <w:lang w:val="en-US" w:eastAsia="zh-CN" w:bidi="ar-SA"/>
              </w:rPr>
              <w:t>，约3.69%为</w:t>
            </w:r>
            <w:r>
              <w:rPr>
                <w:rFonts w:hint="default" w:ascii="Times New Roman" w:hAnsi="Times New Roman" w:eastAsia="宋体" w:cs="Times New Roman"/>
                <w:color w:val="auto"/>
                <w:kern w:val="2"/>
                <w:sz w:val="24"/>
                <w:szCs w:val="24"/>
                <w:highlight w:val="none"/>
                <w:u w:val="single" w:color="auto"/>
                <w:lang w:val="en-US" w:eastAsia="zh-CN" w:bidi="ar-SA"/>
              </w:rPr>
              <w:t>硫酸钙分解。碳酸钙和部分硫酸钙分解反应会产生CaO，CaO是主要的钙基固硫剂，在隧道窑后半段冷却过程中会吸收烟气中的SO</w:t>
            </w:r>
            <w:r>
              <w:rPr>
                <w:rFonts w:hint="default" w:ascii="Times New Roman" w:hAnsi="Times New Roman" w:eastAsia="宋体" w:cs="Times New Roman"/>
                <w:color w:val="auto"/>
                <w:kern w:val="2"/>
                <w:sz w:val="24"/>
                <w:szCs w:val="24"/>
                <w:highlight w:val="none"/>
                <w:u w:val="single" w:color="auto"/>
                <w:vertAlign w:val="subscript"/>
                <w:lang w:val="en-US" w:eastAsia="zh-CN" w:bidi="ar-SA"/>
              </w:rPr>
              <w:t>2</w:t>
            </w:r>
            <w:r>
              <w:rPr>
                <w:rFonts w:hint="default" w:ascii="Times New Roman" w:hAnsi="Times New Roman" w:eastAsia="宋体" w:cs="Times New Roman"/>
                <w:color w:val="auto"/>
                <w:kern w:val="2"/>
                <w:sz w:val="24"/>
                <w:szCs w:val="24"/>
                <w:highlight w:val="none"/>
                <w:u w:val="single" w:color="auto"/>
                <w:lang w:val="en-US" w:eastAsia="zh-CN" w:bidi="ar-SA"/>
              </w:rPr>
              <w:t>，而且由于硫石膏中含有碳酸钙，其分解产生的CaO分子比SO</w:t>
            </w:r>
            <w:r>
              <w:rPr>
                <w:rFonts w:hint="default" w:ascii="Times New Roman" w:hAnsi="Times New Roman" w:eastAsia="宋体" w:cs="Times New Roman"/>
                <w:color w:val="auto"/>
                <w:kern w:val="2"/>
                <w:sz w:val="24"/>
                <w:szCs w:val="24"/>
                <w:highlight w:val="none"/>
                <w:u w:val="single" w:color="auto"/>
                <w:vertAlign w:val="subscript"/>
                <w:lang w:val="en-US" w:eastAsia="zh-CN" w:bidi="ar-SA"/>
              </w:rPr>
              <w:t>2</w:t>
            </w:r>
            <w:r>
              <w:rPr>
                <w:rFonts w:hint="default" w:ascii="Times New Roman" w:hAnsi="Times New Roman" w:eastAsia="宋体" w:cs="Times New Roman"/>
                <w:color w:val="auto"/>
                <w:kern w:val="2"/>
                <w:sz w:val="24"/>
                <w:szCs w:val="24"/>
                <w:highlight w:val="none"/>
                <w:u w:val="single" w:color="auto"/>
                <w:vertAlign w:val="baseline"/>
                <w:lang w:val="en-US" w:eastAsia="zh-CN" w:bidi="ar-SA"/>
              </w:rPr>
              <w:t>多，所以理论上硫石膏在</w:t>
            </w:r>
            <w:r>
              <w:rPr>
                <w:rFonts w:hint="eastAsia" w:cs="Times New Roman"/>
                <w:color w:val="auto"/>
                <w:kern w:val="2"/>
                <w:sz w:val="24"/>
                <w:szCs w:val="24"/>
                <w:highlight w:val="none"/>
                <w:u w:val="single" w:color="auto"/>
                <w:vertAlign w:val="baseline"/>
                <w:lang w:val="en-US" w:eastAsia="zh-CN" w:bidi="ar-SA"/>
              </w:rPr>
              <w:t>掺配</w:t>
            </w:r>
            <w:r>
              <w:rPr>
                <w:rFonts w:hint="default" w:ascii="Times New Roman" w:hAnsi="Times New Roman" w:eastAsia="宋体" w:cs="Times New Roman"/>
                <w:color w:val="auto"/>
                <w:kern w:val="2"/>
                <w:sz w:val="24"/>
                <w:szCs w:val="24"/>
                <w:highlight w:val="none"/>
                <w:u w:val="single" w:color="auto"/>
                <w:vertAlign w:val="baseline"/>
                <w:lang w:val="en-US" w:eastAsia="zh-CN" w:bidi="ar-SA"/>
              </w:rPr>
              <w:t>制砖过程中不会产生额外的</w:t>
            </w:r>
            <w:r>
              <w:rPr>
                <w:rFonts w:hint="default" w:ascii="Times New Roman" w:hAnsi="Times New Roman" w:eastAsia="宋体" w:cs="Times New Roman"/>
                <w:color w:val="auto"/>
                <w:kern w:val="2"/>
                <w:sz w:val="24"/>
                <w:szCs w:val="24"/>
                <w:highlight w:val="none"/>
                <w:u w:val="single" w:color="auto"/>
                <w:lang w:val="en-US" w:eastAsia="zh-CN" w:bidi="ar-SA"/>
              </w:rPr>
              <w:t>SO</w:t>
            </w:r>
            <w:r>
              <w:rPr>
                <w:rFonts w:hint="default" w:ascii="Times New Roman" w:hAnsi="Times New Roman" w:eastAsia="宋体" w:cs="Times New Roman"/>
                <w:color w:val="auto"/>
                <w:kern w:val="2"/>
                <w:sz w:val="24"/>
                <w:szCs w:val="24"/>
                <w:highlight w:val="none"/>
                <w:u w:val="single" w:color="auto"/>
                <w:vertAlign w:val="subscript"/>
                <w:lang w:val="en-US" w:eastAsia="zh-CN" w:bidi="ar-SA"/>
              </w:rPr>
              <w:t>2</w:t>
            </w:r>
            <w:r>
              <w:rPr>
                <w:rFonts w:hint="default" w:ascii="Times New Roman" w:hAnsi="Times New Roman" w:eastAsia="宋体" w:cs="Times New Roman"/>
                <w:color w:val="auto"/>
                <w:kern w:val="2"/>
                <w:sz w:val="24"/>
                <w:szCs w:val="24"/>
                <w:highlight w:val="none"/>
                <w:u w:val="single" w:color="auto"/>
                <w:vertAlign w:val="baseline"/>
                <w:lang w:val="en-US" w:eastAsia="zh-CN" w:bidi="ar-SA"/>
              </w:rPr>
              <w:t>，可能还有一定的固硫效应。根据《衡阳市原中盐天友化工有限公司及宫路附近遗留废渣资源化利用中试试验》，在固废</w:t>
            </w:r>
            <w:r>
              <w:rPr>
                <w:rFonts w:hint="eastAsia" w:cs="Times New Roman"/>
                <w:color w:val="auto"/>
                <w:kern w:val="2"/>
                <w:sz w:val="24"/>
                <w:szCs w:val="24"/>
                <w:highlight w:val="none"/>
                <w:u w:val="single" w:color="auto"/>
                <w:vertAlign w:val="baseline"/>
                <w:lang w:val="en-US" w:eastAsia="zh-CN" w:bidi="ar-SA"/>
              </w:rPr>
              <w:t>掺配</w:t>
            </w:r>
            <w:r>
              <w:rPr>
                <w:rFonts w:hint="default" w:ascii="Times New Roman" w:hAnsi="Times New Roman" w:eastAsia="宋体" w:cs="Times New Roman"/>
                <w:color w:val="auto"/>
                <w:kern w:val="2"/>
                <w:sz w:val="24"/>
                <w:szCs w:val="24"/>
                <w:highlight w:val="none"/>
                <w:u w:val="single" w:color="auto"/>
                <w:vertAlign w:val="baseline"/>
                <w:lang w:val="en-US" w:eastAsia="zh-CN" w:bidi="ar-SA"/>
              </w:rPr>
              <w:t>中试试验过程中，在线监控系统显示</w:t>
            </w:r>
            <w:r>
              <w:rPr>
                <w:rFonts w:hint="default" w:ascii="Times New Roman" w:hAnsi="Times New Roman" w:eastAsia="宋体" w:cs="Times New Roman"/>
                <w:color w:val="auto"/>
                <w:kern w:val="2"/>
                <w:sz w:val="24"/>
                <w:szCs w:val="24"/>
                <w:highlight w:val="none"/>
                <w:u w:val="single" w:color="auto"/>
                <w:lang w:val="en-US" w:eastAsia="zh-CN" w:bidi="ar-SA"/>
              </w:rPr>
              <w:t>SO</w:t>
            </w:r>
            <w:r>
              <w:rPr>
                <w:rFonts w:hint="default" w:ascii="Times New Roman" w:hAnsi="Times New Roman" w:eastAsia="宋体" w:cs="Times New Roman"/>
                <w:color w:val="auto"/>
                <w:kern w:val="2"/>
                <w:sz w:val="24"/>
                <w:szCs w:val="24"/>
                <w:highlight w:val="none"/>
                <w:u w:val="single" w:color="auto"/>
                <w:vertAlign w:val="subscript"/>
                <w:lang w:val="en-US" w:eastAsia="zh-CN" w:bidi="ar-SA"/>
              </w:rPr>
              <w:t>2</w:t>
            </w:r>
            <w:r>
              <w:rPr>
                <w:rFonts w:hint="default" w:ascii="Times New Roman" w:hAnsi="Times New Roman" w:eastAsia="宋体" w:cs="Times New Roman"/>
                <w:color w:val="auto"/>
                <w:kern w:val="2"/>
                <w:sz w:val="24"/>
                <w:szCs w:val="24"/>
                <w:highlight w:val="none"/>
                <w:u w:val="single" w:color="auto"/>
                <w:vertAlign w:val="baseline"/>
                <w:lang w:val="en-US" w:eastAsia="zh-CN" w:bidi="ar-SA"/>
              </w:rPr>
              <w:t>无明显变化，说明在</w:t>
            </w:r>
            <w:r>
              <w:rPr>
                <w:rFonts w:hint="eastAsia" w:cs="Times New Roman"/>
                <w:color w:val="auto"/>
                <w:kern w:val="2"/>
                <w:sz w:val="24"/>
                <w:szCs w:val="24"/>
                <w:highlight w:val="none"/>
                <w:u w:val="single" w:color="auto"/>
                <w:vertAlign w:val="baseline"/>
                <w:lang w:val="en-US" w:eastAsia="zh-CN" w:bidi="ar-SA"/>
              </w:rPr>
              <w:t>掺配</w:t>
            </w:r>
            <w:r>
              <w:rPr>
                <w:rFonts w:hint="default" w:ascii="Times New Roman" w:hAnsi="Times New Roman" w:eastAsia="宋体" w:cs="Times New Roman"/>
                <w:color w:val="auto"/>
                <w:kern w:val="2"/>
                <w:sz w:val="24"/>
                <w:szCs w:val="24"/>
                <w:highlight w:val="none"/>
                <w:u w:val="single" w:color="auto"/>
                <w:vertAlign w:val="baseline"/>
                <w:lang w:val="en-US" w:eastAsia="zh-CN" w:bidi="ar-SA"/>
              </w:rPr>
              <w:t>固废过程中</w:t>
            </w:r>
            <w:r>
              <w:rPr>
                <w:rFonts w:hint="default" w:ascii="Times New Roman" w:hAnsi="Times New Roman" w:eastAsia="宋体" w:cs="Times New Roman"/>
                <w:color w:val="auto"/>
                <w:kern w:val="2"/>
                <w:sz w:val="24"/>
                <w:szCs w:val="24"/>
                <w:highlight w:val="none"/>
                <w:u w:val="single" w:color="auto"/>
                <w:lang w:val="en-US" w:eastAsia="zh-CN" w:bidi="ar-SA"/>
              </w:rPr>
              <w:t>SO</w:t>
            </w:r>
            <w:r>
              <w:rPr>
                <w:rFonts w:hint="default" w:ascii="Times New Roman" w:hAnsi="Times New Roman" w:eastAsia="宋体" w:cs="Times New Roman"/>
                <w:color w:val="auto"/>
                <w:kern w:val="2"/>
                <w:sz w:val="24"/>
                <w:szCs w:val="24"/>
                <w:highlight w:val="none"/>
                <w:u w:val="single" w:color="auto"/>
                <w:vertAlign w:val="subscript"/>
                <w:lang w:val="en-US" w:eastAsia="zh-CN" w:bidi="ar-SA"/>
              </w:rPr>
              <w:t>2</w:t>
            </w:r>
            <w:r>
              <w:rPr>
                <w:rFonts w:hint="default" w:ascii="Times New Roman" w:hAnsi="Times New Roman" w:eastAsia="宋体" w:cs="Times New Roman"/>
                <w:color w:val="auto"/>
                <w:kern w:val="2"/>
                <w:sz w:val="24"/>
                <w:szCs w:val="24"/>
                <w:highlight w:val="none"/>
                <w:u w:val="single" w:color="auto"/>
                <w:vertAlign w:val="baseline"/>
                <w:lang w:val="en-US" w:eastAsia="zh-CN" w:bidi="ar-SA"/>
              </w:rPr>
              <w:t>排放量无变化</w:t>
            </w:r>
            <w:r>
              <w:rPr>
                <w:rFonts w:hint="eastAsia" w:cs="Times New Roman"/>
                <w:color w:val="auto"/>
                <w:kern w:val="2"/>
                <w:sz w:val="24"/>
                <w:szCs w:val="24"/>
                <w:highlight w:val="none"/>
                <w:u w:val="single" w:color="auto"/>
                <w:vertAlign w:val="baseline"/>
                <w:lang w:val="en-US" w:eastAsia="zh-CN" w:bidi="ar-SA"/>
              </w:rPr>
              <w:t>，中试阶段在线数据如下表：</w:t>
            </w:r>
          </w:p>
          <w:p>
            <w:pPr>
              <w:spacing w:line="360" w:lineRule="auto"/>
              <w:ind w:firstLine="420" w:firstLineChars="200"/>
              <w:rPr>
                <w:rFonts w:hint="default" w:cs="Times New Roman"/>
                <w:color w:val="auto"/>
                <w:kern w:val="2"/>
                <w:sz w:val="24"/>
                <w:szCs w:val="24"/>
                <w:highlight w:val="none"/>
                <w:u w:val="none" w:color="auto"/>
                <w:vertAlign w:val="baseline"/>
                <w:lang w:val="en-US" w:eastAsia="zh-CN" w:bidi="ar-SA"/>
              </w:rPr>
            </w:pPr>
            <w:r>
              <w:drawing>
                <wp:inline distT="0" distB="0" distL="114300" distR="114300">
                  <wp:extent cx="4841875" cy="4570730"/>
                  <wp:effectExtent l="0" t="0" r="4445" b="1270"/>
                  <wp:docPr id="1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
                          <pic:cNvPicPr>
                            <a:picLocks noChangeAspect="1"/>
                          </pic:cNvPicPr>
                        </pic:nvPicPr>
                        <pic:blipFill>
                          <a:blip r:embed="rId17"/>
                          <a:stretch>
                            <a:fillRect/>
                          </a:stretch>
                        </pic:blipFill>
                        <pic:spPr>
                          <a:xfrm>
                            <a:off x="0" y="0"/>
                            <a:ext cx="4841875" cy="4570730"/>
                          </a:xfrm>
                          <a:prstGeom prst="rect">
                            <a:avLst/>
                          </a:prstGeom>
                          <a:noFill/>
                          <a:ln>
                            <a:noFill/>
                          </a:ln>
                        </pic:spPr>
                      </pic:pic>
                    </a:graphicData>
                  </a:graphic>
                </wp:inline>
              </w:drawing>
            </w:r>
          </w:p>
          <w:p>
            <w:pPr>
              <w:pStyle w:val="2"/>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drawing>
                <wp:inline distT="0" distB="0" distL="114300" distR="114300">
                  <wp:extent cx="5128260" cy="1103630"/>
                  <wp:effectExtent l="0" t="0" r="2540" b="1270"/>
                  <wp:docPr id="235" name="图片 166" descr="微信截图_20240824110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166" descr="微信截图_20240824110145"/>
                          <pic:cNvPicPr>
                            <a:picLocks noChangeAspect="1"/>
                          </pic:cNvPicPr>
                        </pic:nvPicPr>
                        <pic:blipFill>
                          <a:blip r:embed="rId18"/>
                          <a:stretch>
                            <a:fillRect/>
                          </a:stretch>
                        </pic:blipFill>
                        <pic:spPr>
                          <a:xfrm>
                            <a:off x="0" y="0"/>
                            <a:ext cx="5128260" cy="1103630"/>
                          </a:xfrm>
                          <a:prstGeom prst="rect">
                            <a:avLst/>
                          </a:prstGeom>
                          <a:noFill/>
                          <a:ln>
                            <a:noFill/>
                          </a:ln>
                        </pic:spPr>
                      </pic:pic>
                    </a:graphicData>
                  </a:graphic>
                </wp:inline>
              </w:drawing>
            </w:r>
            <w:r>
              <w:rPr>
                <w:rFonts w:hint="default" w:ascii="Times New Roman" w:hAnsi="Times New Roman" w:eastAsia="宋体" w:cs="Times New Roman"/>
                <w:color w:val="auto"/>
                <w:sz w:val="24"/>
                <w:u w:val="none" w:color="auto"/>
              </w:rPr>
              <mc:AlternateContent>
                <mc:Choice Requires="wps">
                  <w:drawing>
                    <wp:anchor distT="0" distB="0" distL="114300" distR="114300" simplePos="0" relativeHeight="251666432" behindDoc="0" locked="0" layoutInCell="1" allowOverlap="1">
                      <wp:simplePos x="0" y="0"/>
                      <wp:positionH relativeFrom="column">
                        <wp:posOffset>95885</wp:posOffset>
                      </wp:positionH>
                      <wp:positionV relativeFrom="paragraph">
                        <wp:posOffset>677545</wp:posOffset>
                      </wp:positionV>
                      <wp:extent cx="4024630" cy="142875"/>
                      <wp:effectExtent l="4445" t="5080" r="9525" b="4445"/>
                      <wp:wrapNone/>
                      <wp:docPr id="236" name="矩形 236"/>
                      <wp:cNvGraphicFramePr/>
                      <a:graphic xmlns:a="http://schemas.openxmlformats.org/drawingml/2006/main">
                        <a:graphicData uri="http://schemas.microsoft.com/office/word/2010/wordprocessingShape">
                          <wps:wsp>
                            <wps:cNvSpPr/>
                            <wps:spPr>
                              <a:xfrm>
                                <a:off x="0" y="0"/>
                                <a:ext cx="4024630" cy="142875"/>
                              </a:xfrm>
                              <a:prstGeom prst="rect">
                                <a:avLst/>
                              </a:prstGeom>
                              <a:noFill/>
                              <a:ln w="9525" cap="flat" cmpd="sng">
                                <a:solidFill>
                                  <a:srgbClr val="FF0000"/>
                                </a:solidFill>
                                <a:prstDash val="solid"/>
                                <a:miter/>
                                <a:headEnd type="none" w="med" len="med"/>
                                <a:tailEnd type="none" w="med" len="med"/>
                              </a:ln>
                            </wps:spPr>
                            <wps:bodyPr upright="1"/>
                          </wps:wsp>
                        </a:graphicData>
                      </a:graphic>
                    </wp:anchor>
                  </w:drawing>
                </mc:Choice>
                <mc:Fallback>
                  <w:pict>
                    <v:rect id="_x0000_s1026" o:spid="_x0000_s1026" o:spt="1" style="position:absolute;left:0pt;margin-left:7.55pt;margin-top:53.35pt;height:11.25pt;width:316.9pt;z-index:251666432;mso-width-relative:page;mso-height-relative:page;" filled="f" stroked="t" coordsize="21600,21600" o:gfxdata="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2ZcawNoAAAAKAQAADwAAAAAAAAABACAAAAAiAAAAZHJzL2Rvd25y&#10;ZXYueG1sUEsBAhQAFAAAAAgAh07iQGJ+Cwr8AQAA+QMAAA4AAAAAAAAAAQAgAAAAKQEAAGRycy9l&#10;Mm9Eb2MueG1sUEsFBgAAAAAGAAYAWQEAAJcFAAAAAA==&#10;">
                      <v:fill on="f" focussize="0,0"/>
                      <v:stroke color="#FF0000" joinstyle="miter"/>
                      <v:imagedata o:title=""/>
                      <o:lock v:ext="edit" aspectratio="f"/>
                    </v:rect>
                  </w:pict>
                </mc:Fallback>
              </mc:AlternateContent>
            </w:r>
          </w:p>
          <w:p>
            <w:pPr>
              <w:spacing w:line="360" w:lineRule="auto"/>
              <w:ind w:firstLine="480" w:firstLineChars="200"/>
              <w:rPr>
                <w:rFonts w:hint="default" w:ascii="Times New Roman" w:hAnsi="Times New Roman" w:eastAsia="宋体" w:cs="Times New Roman"/>
                <w:color w:val="auto"/>
                <w:kern w:val="2"/>
                <w:sz w:val="24"/>
                <w:szCs w:val="24"/>
                <w:highlight w:val="none"/>
                <w:u w:val="none" w:color="auto"/>
                <w:lang w:val="en-US" w:eastAsia="zh-CN" w:bidi="ar-SA"/>
              </w:rPr>
            </w:pPr>
            <w:r>
              <w:rPr>
                <w:rFonts w:hint="default" w:ascii="Times New Roman" w:hAnsi="Times New Roman" w:eastAsia="宋体" w:cs="Times New Roman"/>
                <w:color w:val="auto"/>
                <w:kern w:val="2"/>
                <w:sz w:val="24"/>
                <w:szCs w:val="24"/>
                <w:highlight w:val="none"/>
                <w:u w:val="none" w:color="auto"/>
                <w:lang w:val="en-US" w:eastAsia="zh-CN" w:bidi="ar-SA"/>
              </w:rPr>
              <w:t>参考中国环境科学研究院固体废物污染控制技术研究所对江苏太白集团有限公司产生的工业副产钛石膏废渣进行了固体废物危险特性鉴别，同时进行了化学分析。经过样品的腐蚀性分析，浸出毒性分析和毒性物质含量分析，综合判断样品不属于危险废物。其经550℃煅烧后，它的主要化学组成如下所示：</w:t>
            </w:r>
          </w:p>
          <w:p>
            <w:pPr>
              <w:pStyle w:val="2"/>
              <w:ind w:firstLine="241" w:firstLineChars="100"/>
              <w:jc w:val="center"/>
              <w:rPr>
                <w:rFonts w:hint="default" w:ascii="Times New Roman" w:hAnsi="Times New Roman" w:eastAsia="宋体" w:cs="Times New Roman"/>
                <w:color w:val="auto"/>
                <w:highlight w:val="none"/>
                <w:u w:val="none" w:color="auto"/>
                <w:lang w:val="en-US" w:eastAsia="zh-CN"/>
              </w:rPr>
            </w:pPr>
            <w:r>
              <w:rPr>
                <w:rFonts w:hint="default" w:ascii="Times New Roman" w:hAnsi="Times New Roman" w:eastAsia="宋体" w:cs="Times New Roman"/>
                <w:b/>
                <w:bCs/>
                <w:color w:val="auto"/>
                <w:szCs w:val="21"/>
                <w:highlight w:val="none"/>
                <w:u w:val="none" w:color="auto"/>
              </w:rPr>
              <w:t>表2-</w:t>
            </w:r>
            <w:r>
              <w:rPr>
                <w:rFonts w:hint="default" w:ascii="Times New Roman" w:hAnsi="Times New Roman" w:eastAsia="宋体" w:cs="Times New Roman"/>
                <w:b/>
                <w:bCs/>
                <w:color w:val="auto"/>
                <w:szCs w:val="21"/>
                <w:highlight w:val="none"/>
                <w:u w:val="none" w:color="auto"/>
                <w:lang w:val="en-US" w:eastAsia="zh-CN"/>
              </w:rPr>
              <w:t>7</w:t>
            </w:r>
            <w:r>
              <w:rPr>
                <w:rFonts w:hint="default" w:ascii="Times New Roman" w:hAnsi="Times New Roman" w:eastAsia="宋体" w:cs="Times New Roman"/>
                <w:b/>
                <w:bCs/>
                <w:color w:val="auto"/>
                <w:szCs w:val="21"/>
                <w:highlight w:val="none"/>
                <w:u w:val="none" w:color="auto"/>
              </w:rPr>
              <w:t>钛石膏主要化学成分分析(%)</w:t>
            </w:r>
          </w:p>
          <w:tbl>
            <w:tblPr>
              <w:tblStyle w:val="30"/>
              <w:tblW w:w="8090"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898"/>
              <w:gridCol w:w="898"/>
              <w:gridCol w:w="898"/>
              <w:gridCol w:w="898"/>
              <w:gridCol w:w="898"/>
              <w:gridCol w:w="898"/>
              <w:gridCol w:w="898"/>
              <w:gridCol w:w="898"/>
              <w:gridCol w:w="90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898" w:type="dxa"/>
                  <w:noWrap w:val="0"/>
                  <w:vAlign w:val="center"/>
                </w:tcPr>
                <w:p>
                  <w:pPr>
                    <w:jc w:val="center"/>
                    <w:rPr>
                      <w:rFonts w:hint="default" w:ascii="Times New Roman" w:hAnsi="Times New Roman" w:eastAsia="宋体" w:cs="Times New Roman"/>
                      <w:bCs/>
                      <w:color w:val="auto"/>
                      <w:sz w:val="18"/>
                      <w:highlight w:val="none"/>
                      <w:u w:val="none" w:color="auto"/>
                    </w:rPr>
                  </w:pPr>
                  <w:r>
                    <w:rPr>
                      <w:rFonts w:hint="default" w:ascii="Times New Roman" w:hAnsi="Times New Roman" w:eastAsia="宋体" w:cs="Times New Roman"/>
                      <w:bCs/>
                      <w:color w:val="auto"/>
                      <w:sz w:val="18"/>
                      <w:highlight w:val="none"/>
                      <w:u w:val="none" w:color="auto"/>
                    </w:rPr>
                    <w:t>物料</w:t>
                  </w:r>
                </w:p>
              </w:tc>
              <w:tc>
                <w:tcPr>
                  <w:tcW w:w="898" w:type="dxa"/>
                  <w:noWrap w:val="0"/>
                  <w:vAlign w:val="center"/>
                </w:tcPr>
                <w:p>
                  <w:pPr>
                    <w:jc w:val="center"/>
                    <w:rPr>
                      <w:rFonts w:hint="default" w:ascii="Times New Roman" w:hAnsi="Times New Roman" w:eastAsia="宋体" w:cs="Times New Roman"/>
                      <w:bCs/>
                      <w:color w:val="auto"/>
                      <w:sz w:val="18"/>
                      <w:highlight w:val="none"/>
                      <w:u w:val="none" w:color="auto"/>
                      <w:lang w:val="en-US" w:eastAsia="zh-CN"/>
                    </w:rPr>
                  </w:pPr>
                  <w:r>
                    <w:rPr>
                      <w:rFonts w:hint="default" w:ascii="Times New Roman" w:hAnsi="Times New Roman" w:eastAsia="宋体" w:cs="Times New Roman"/>
                      <w:bCs/>
                      <w:color w:val="auto"/>
                      <w:sz w:val="18"/>
                      <w:highlight w:val="none"/>
                      <w:u w:val="none" w:color="auto"/>
                      <w:lang w:val="en-US" w:eastAsia="zh-CN"/>
                    </w:rPr>
                    <w:t>SO</w:t>
                  </w:r>
                  <w:r>
                    <w:rPr>
                      <w:rFonts w:hint="default" w:ascii="Times New Roman" w:hAnsi="Times New Roman" w:eastAsia="宋体" w:cs="Times New Roman"/>
                      <w:bCs/>
                      <w:color w:val="auto"/>
                      <w:sz w:val="18"/>
                      <w:highlight w:val="none"/>
                      <w:u w:val="none" w:color="auto"/>
                      <w:vertAlign w:val="subscript"/>
                      <w:lang w:val="en-US" w:eastAsia="zh-CN"/>
                    </w:rPr>
                    <w:t>3</w:t>
                  </w:r>
                </w:p>
              </w:tc>
              <w:tc>
                <w:tcPr>
                  <w:tcW w:w="898" w:type="dxa"/>
                  <w:noWrap w:val="0"/>
                  <w:vAlign w:val="center"/>
                </w:tcPr>
                <w:p>
                  <w:pPr>
                    <w:jc w:val="center"/>
                    <w:rPr>
                      <w:rFonts w:hint="default" w:ascii="Times New Roman" w:hAnsi="Times New Roman" w:eastAsia="宋体" w:cs="Times New Roman"/>
                      <w:bCs/>
                      <w:color w:val="auto"/>
                      <w:sz w:val="18"/>
                      <w:highlight w:val="none"/>
                      <w:u w:val="none" w:color="auto"/>
                      <w:lang w:val="en-US" w:eastAsia="zh-CN"/>
                    </w:rPr>
                  </w:pPr>
                  <w:r>
                    <w:rPr>
                      <w:rFonts w:hint="default" w:ascii="Times New Roman" w:hAnsi="Times New Roman" w:eastAsia="宋体" w:cs="Times New Roman"/>
                      <w:bCs/>
                      <w:color w:val="auto"/>
                      <w:sz w:val="18"/>
                      <w:highlight w:val="none"/>
                      <w:u w:val="none" w:color="auto"/>
                      <w:lang w:val="en-US" w:eastAsia="zh-CN"/>
                    </w:rPr>
                    <w:t>CaO</w:t>
                  </w:r>
                </w:p>
              </w:tc>
              <w:tc>
                <w:tcPr>
                  <w:tcW w:w="898" w:type="dxa"/>
                  <w:noWrap w:val="0"/>
                  <w:vAlign w:val="center"/>
                </w:tcPr>
                <w:p>
                  <w:pPr>
                    <w:jc w:val="center"/>
                    <w:rPr>
                      <w:rFonts w:hint="default" w:ascii="Times New Roman" w:hAnsi="Times New Roman" w:eastAsia="宋体" w:cs="Times New Roman"/>
                      <w:bCs/>
                      <w:color w:val="auto"/>
                      <w:sz w:val="18"/>
                      <w:highlight w:val="none"/>
                      <w:u w:val="none" w:color="auto"/>
                    </w:rPr>
                  </w:pPr>
                  <w:r>
                    <w:rPr>
                      <w:rFonts w:hint="default" w:ascii="Times New Roman" w:hAnsi="Times New Roman" w:eastAsia="宋体" w:cs="Times New Roman"/>
                      <w:bCs/>
                      <w:color w:val="auto"/>
                      <w:sz w:val="18"/>
                      <w:highlight w:val="none"/>
                      <w:u w:val="none" w:color="auto"/>
                    </w:rPr>
                    <w:t>Fe</w:t>
                  </w:r>
                  <w:r>
                    <w:rPr>
                      <w:rFonts w:hint="default" w:ascii="Times New Roman" w:hAnsi="Times New Roman" w:eastAsia="宋体" w:cs="Times New Roman"/>
                      <w:bCs/>
                      <w:color w:val="auto"/>
                      <w:sz w:val="18"/>
                      <w:highlight w:val="none"/>
                      <w:u w:val="none" w:color="auto"/>
                      <w:vertAlign w:val="subscript"/>
                    </w:rPr>
                    <w:t>2</w:t>
                  </w:r>
                  <w:r>
                    <w:rPr>
                      <w:rFonts w:hint="default" w:ascii="Times New Roman" w:hAnsi="Times New Roman" w:eastAsia="宋体" w:cs="Times New Roman"/>
                      <w:bCs/>
                      <w:color w:val="auto"/>
                      <w:sz w:val="18"/>
                      <w:highlight w:val="none"/>
                      <w:u w:val="none" w:color="auto"/>
                    </w:rPr>
                    <w:t>O</w:t>
                  </w:r>
                  <w:r>
                    <w:rPr>
                      <w:rFonts w:hint="default" w:ascii="Times New Roman" w:hAnsi="Times New Roman" w:eastAsia="宋体" w:cs="Times New Roman"/>
                      <w:bCs/>
                      <w:color w:val="auto"/>
                      <w:sz w:val="18"/>
                      <w:highlight w:val="none"/>
                      <w:u w:val="none" w:color="auto"/>
                      <w:vertAlign w:val="subscript"/>
                    </w:rPr>
                    <w:t>3</w:t>
                  </w:r>
                </w:p>
              </w:tc>
              <w:tc>
                <w:tcPr>
                  <w:tcW w:w="898" w:type="dxa"/>
                  <w:noWrap w:val="0"/>
                  <w:vAlign w:val="center"/>
                </w:tcPr>
                <w:p>
                  <w:pPr>
                    <w:jc w:val="center"/>
                    <w:rPr>
                      <w:rFonts w:hint="default" w:ascii="Times New Roman" w:hAnsi="Times New Roman" w:eastAsia="宋体" w:cs="Times New Roman"/>
                      <w:bCs/>
                      <w:color w:val="auto"/>
                      <w:sz w:val="18"/>
                      <w:highlight w:val="none"/>
                      <w:u w:val="none" w:color="auto"/>
                    </w:rPr>
                  </w:pPr>
                  <w:r>
                    <w:rPr>
                      <w:rFonts w:hint="default" w:ascii="Times New Roman" w:hAnsi="Times New Roman" w:eastAsia="宋体" w:cs="Times New Roman"/>
                      <w:bCs/>
                      <w:color w:val="auto"/>
                      <w:sz w:val="18"/>
                      <w:highlight w:val="none"/>
                      <w:u w:val="none" w:color="auto"/>
                      <w:lang w:val="en-US" w:eastAsia="zh-CN"/>
                    </w:rPr>
                    <w:t>Ti</w:t>
                  </w:r>
                  <w:r>
                    <w:rPr>
                      <w:rFonts w:hint="default" w:ascii="Times New Roman" w:hAnsi="Times New Roman" w:eastAsia="宋体" w:cs="Times New Roman"/>
                      <w:bCs/>
                      <w:color w:val="auto"/>
                      <w:sz w:val="18"/>
                      <w:highlight w:val="none"/>
                      <w:u w:val="none" w:color="auto"/>
                      <w:vertAlign w:val="subscript"/>
                    </w:rPr>
                    <w:t>2</w:t>
                  </w:r>
                  <w:r>
                    <w:rPr>
                      <w:rFonts w:hint="default" w:ascii="Times New Roman" w:hAnsi="Times New Roman" w:eastAsia="宋体" w:cs="Times New Roman"/>
                      <w:bCs/>
                      <w:color w:val="auto"/>
                      <w:sz w:val="18"/>
                      <w:highlight w:val="none"/>
                      <w:u w:val="none" w:color="auto"/>
                    </w:rPr>
                    <w:t>O</w:t>
                  </w:r>
                  <w:r>
                    <w:rPr>
                      <w:rFonts w:hint="default" w:ascii="Times New Roman" w:hAnsi="Times New Roman" w:eastAsia="宋体" w:cs="Times New Roman"/>
                      <w:bCs/>
                      <w:color w:val="auto"/>
                      <w:sz w:val="18"/>
                      <w:highlight w:val="none"/>
                      <w:u w:val="none" w:color="auto"/>
                      <w:vertAlign w:val="subscript"/>
                    </w:rPr>
                    <w:t>3</w:t>
                  </w:r>
                </w:p>
              </w:tc>
              <w:tc>
                <w:tcPr>
                  <w:tcW w:w="898" w:type="dxa"/>
                  <w:noWrap w:val="0"/>
                  <w:vAlign w:val="center"/>
                </w:tcPr>
                <w:p>
                  <w:pPr>
                    <w:jc w:val="center"/>
                    <w:rPr>
                      <w:rFonts w:hint="default" w:ascii="Times New Roman" w:hAnsi="Times New Roman" w:eastAsia="宋体" w:cs="Times New Roman"/>
                      <w:bCs/>
                      <w:color w:val="auto"/>
                      <w:sz w:val="18"/>
                      <w:highlight w:val="none"/>
                      <w:u w:val="none" w:color="auto"/>
                    </w:rPr>
                  </w:pPr>
                  <w:r>
                    <w:rPr>
                      <w:rFonts w:hint="default" w:ascii="Times New Roman" w:hAnsi="Times New Roman" w:eastAsia="宋体" w:cs="Times New Roman"/>
                      <w:bCs/>
                      <w:color w:val="auto"/>
                      <w:sz w:val="18"/>
                      <w:highlight w:val="none"/>
                      <w:u w:val="none" w:color="auto"/>
                    </w:rPr>
                    <w:t>SiO</w:t>
                  </w:r>
                  <w:r>
                    <w:rPr>
                      <w:rFonts w:hint="default" w:ascii="Times New Roman" w:hAnsi="Times New Roman" w:eastAsia="宋体" w:cs="Times New Roman"/>
                      <w:bCs/>
                      <w:color w:val="auto"/>
                      <w:sz w:val="18"/>
                      <w:highlight w:val="none"/>
                      <w:u w:val="none" w:color="auto"/>
                      <w:vertAlign w:val="subscript"/>
                    </w:rPr>
                    <w:t>2</w:t>
                  </w:r>
                </w:p>
              </w:tc>
              <w:tc>
                <w:tcPr>
                  <w:tcW w:w="898" w:type="dxa"/>
                  <w:noWrap w:val="0"/>
                  <w:vAlign w:val="center"/>
                </w:tcPr>
                <w:p>
                  <w:pPr>
                    <w:jc w:val="center"/>
                    <w:rPr>
                      <w:rFonts w:hint="default" w:ascii="Times New Roman" w:hAnsi="Times New Roman" w:eastAsia="宋体" w:cs="Times New Roman"/>
                      <w:bCs/>
                      <w:color w:val="auto"/>
                      <w:sz w:val="18"/>
                      <w:highlight w:val="none"/>
                      <w:u w:val="none" w:color="auto"/>
                    </w:rPr>
                  </w:pPr>
                  <w:r>
                    <w:rPr>
                      <w:rFonts w:hint="default" w:ascii="Times New Roman" w:hAnsi="Times New Roman" w:eastAsia="宋体" w:cs="Times New Roman"/>
                      <w:bCs/>
                      <w:color w:val="auto"/>
                      <w:sz w:val="18"/>
                      <w:highlight w:val="none"/>
                      <w:u w:val="none" w:color="auto"/>
                    </w:rPr>
                    <w:t>Al</w:t>
                  </w:r>
                  <w:r>
                    <w:rPr>
                      <w:rFonts w:hint="default" w:ascii="Times New Roman" w:hAnsi="Times New Roman" w:eastAsia="宋体" w:cs="Times New Roman"/>
                      <w:bCs/>
                      <w:color w:val="auto"/>
                      <w:sz w:val="18"/>
                      <w:highlight w:val="none"/>
                      <w:u w:val="none" w:color="auto"/>
                      <w:vertAlign w:val="subscript"/>
                    </w:rPr>
                    <w:t>2</w:t>
                  </w:r>
                  <w:r>
                    <w:rPr>
                      <w:rFonts w:hint="default" w:ascii="Times New Roman" w:hAnsi="Times New Roman" w:eastAsia="宋体" w:cs="Times New Roman"/>
                      <w:bCs/>
                      <w:color w:val="auto"/>
                      <w:sz w:val="18"/>
                      <w:highlight w:val="none"/>
                      <w:u w:val="none" w:color="auto"/>
                    </w:rPr>
                    <w:t>O</w:t>
                  </w:r>
                  <w:r>
                    <w:rPr>
                      <w:rFonts w:hint="default" w:ascii="Times New Roman" w:hAnsi="Times New Roman" w:eastAsia="宋体" w:cs="Times New Roman"/>
                      <w:bCs/>
                      <w:color w:val="auto"/>
                      <w:sz w:val="18"/>
                      <w:highlight w:val="none"/>
                      <w:u w:val="none" w:color="auto"/>
                      <w:vertAlign w:val="subscript"/>
                    </w:rPr>
                    <w:t>3</w:t>
                  </w:r>
                </w:p>
              </w:tc>
              <w:tc>
                <w:tcPr>
                  <w:tcW w:w="898" w:type="dxa"/>
                  <w:noWrap w:val="0"/>
                  <w:vAlign w:val="center"/>
                </w:tcPr>
                <w:p>
                  <w:pPr>
                    <w:jc w:val="center"/>
                    <w:rPr>
                      <w:rFonts w:hint="default" w:ascii="Times New Roman" w:hAnsi="Times New Roman" w:eastAsia="宋体" w:cs="Times New Roman"/>
                      <w:bCs/>
                      <w:color w:val="auto"/>
                      <w:sz w:val="18"/>
                      <w:highlight w:val="none"/>
                      <w:u w:val="none" w:color="auto"/>
                    </w:rPr>
                  </w:pPr>
                  <w:r>
                    <w:rPr>
                      <w:rFonts w:hint="default" w:ascii="Times New Roman" w:hAnsi="Times New Roman" w:eastAsia="宋体" w:cs="Times New Roman"/>
                      <w:bCs/>
                      <w:color w:val="auto"/>
                      <w:sz w:val="18"/>
                      <w:highlight w:val="none"/>
                      <w:u w:val="none" w:color="auto"/>
                    </w:rPr>
                    <w:t>M</w:t>
                  </w:r>
                  <w:r>
                    <w:rPr>
                      <w:rFonts w:hint="default" w:ascii="Times New Roman" w:hAnsi="Times New Roman" w:eastAsia="宋体" w:cs="Times New Roman"/>
                      <w:bCs/>
                      <w:color w:val="auto"/>
                      <w:sz w:val="18"/>
                      <w:highlight w:val="none"/>
                      <w:u w:val="none" w:color="auto"/>
                      <w:lang w:val="en-US" w:eastAsia="zh-CN"/>
                    </w:rPr>
                    <w:t>n</w:t>
                  </w:r>
                  <w:r>
                    <w:rPr>
                      <w:rFonts w:hint="default" w:ascii="Times New Roman" w:hAnsi="Times New Roman" w:eastAsia="宋体" w:cs="Times New Roman"/>
                      <w:bCs/>
                      <w:color w:val="auto"/>
                      <w:sz w:val="18"/>
                      <w:highlight w:val="none"/>
                      <w:u w:val="none" w:color="auto"/>
                    </w:rPr>
                    <w:t>O</w:t>
                  </w:r>
                </w:p>
              </w:tc>
              <w:tc>
                <w:tcPr>
                  <w:tcW w:w="906" w:type="dxa"/>
                  <w:noWrap w:val="0"/>
                  <w:vAlign w:val="center"/>
                </w:tcPr>
                <w:p>
                  <w:pPr>
                    <w:jc w:val="center"/>
                    <w:rPr>
                      <w:rFonts w:hint="default" w:ascii="Times New Roman" w:hAnsi="Times New Roman" w:eastAsia="宋体" w:cs="Times New Roman"/>
                      <w:color w:val="auto"/>
                      <w:sz w:val="18"/>
                      <w:highlight w:val="none"/>
                      <w:u w:val="none" w:color="auto"/>
                    </w:rPr>
                  </w:pPr>
                  <w:r>
                    <w:rPr>
                      <w:rFonts w:hint="default" w:ascii="Times New Roman" w:hAnsi="Times New Roman" w:eastAsia="宋体" w:cs="Times New Roman"/>
                      <w:bCs/>
                      <w:color w:val="auto"/>
                      <w:sz w:val="18"/>
                      <w:highlight w:val="none"/>
                      <w:u w:val="none" w:color="auto"/>
                    </w:rPr>
                    <w:t>MgO</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898" w:type="dxa"/>
                  <w:noWrap w:val="0"/>
                  <w:vAlign w:val="center"/>
                </w:tcPr>
                <w:p>
                  <w:pPr>
                    <w:jc w:val="center"/>
                    <w:rPr>
                      <w:rFonts w:hint="default" w:ascii="Times New Roman" w:hAnsi="Times New Roman" w:eastAsia="宋体" w:cs="Times New Roman"/>
                      <w:color w:val="auto"/>
                      <w:sz w:val="18"/>
                      <w:highlight w:val="none"/>
                      <w:u w:val="none" w:color="auto"/>
                      <w:lang w:eastAsia="zh-CN"/>
                    </w:rPr>
                  </w:pPr>
                  <w:r>
                    <w:rPr>
                      <w:rFonts w:hint="default" w:ascii="Times New Roman" w:hAnsi="Times New Roman" w:eastAsia="宋体" w:cs="Times New Roman"/>
                      <w:color w:val="auto"/>
                      <w:sz w:val="18"/>
                      <w:highlight w:val="none"/>
                      <w:u w:val="none" w:color="auto"/>
                      <w:lang w:eastAsia="zh-CN"/>
                    </w:rPr>
                    <w:t>钛石膏</w:t>
                  </w:r>
                </w:p>
              </w:tc>
              <w:tc>
                <w:tcPr>
                  <w:tcW w:w="898" w:type="dxa"/>
                  <w:noWrap w:val="0"/>
                  <w:vAlign w:val="center"/>
                </w:tcPr>
                <w:p>
                  <w:pPr>
                    <w:jc w:val="center"/>
                    <w:rPr>
                      <w:rFonts w:hint="default" w:ascii="Times New Roman" w:hAnsi="Times New Roman" w:eastAsia="宋体" w:cs="Times New Roman"/>
                      <w:color w:val="auto"/>
                      <w:sz w:val="18"/>
                      <w:highlight w:val="none"/>
                      <w:u w:val="none" w:color="auto"/>
                      <w:lang w:val="en-US" w:eastAsia="zh-CN"/>
                    </w:rPr>
                  </w:pPr>
                  <w:r>
                    <w:rPr>
                      <w:rFonts w:hint="default" w:ascii="Times New Roman" w:hAnsi="Times New Roman" w:eastAsia="宋体" w:cs="Times New Roman"/>
                      <w:color w:val="auto"/>
                      <w:sz w:val="18"/>
                      <w:highlight w:val="none"/>
                      <w:u w:val="none" w:color="auto"/>
                      <w:lang w:val="en-US" w:eastAsia="zh-CN"/>
                    </w:rPr>
                    <w:t>44.85</w:t>
                  </w:r>
                </w:p>
              </w:tc>
              <w:tc>
                <w:tcPr>
                  <w:tcW w:w="898" w:type="dxa"/>
                  <w:noWrap w:val="0"/>
                  <w:vAlign w:val="center"/>
                </w:tcPr>
                <w:p>
                  <w:pPr>
                    <w:jc w:val="center"/>
                    <w:rPr>
                      <w:rFonts w:hint="default" w:ascii="Times New Roman" w:hAnsi="Times New Roman" w:eastAsia="宋体" w:cs="Times New Roman"/>
                      <w:color w:val="auto"/>
                      <w:sz w:val="18"/>
                      <w:highlight w:val="none"/>
                      <w:u w:val="none" w:color="auto"/>
                      <w:lang w:val="en-US" w:eastAsia="zh-CN"/>
                    </w:rPr>
                  </w:pPr>
                  <w:r>
                    <w:rPr>
                      <w:rFonts w:hint="default" w:ascii="Times New Roman" w:hAnsi="Times New Roman" w:eastAsia="宋体" w:cs="Times New Roman"/>
                      <w:color w:val="auto"/>
                      <w:sz w:val="18"/>
                      <w:highlight w:val="none"/>
                      <w:u w:val="none" w:color="auto"/>
                      <w:lang w:val="en-US" w:eastAsia="zh-CN"/>
                    </w:rPr>
                    <w:t>36.54</w:t>
                  </w:r>
                </w:p>
              </w:tc>
              <w:tc>
                <w:tcPr>
                  <w:tcW w:w="898" w:type="dxa"/>
                  <w:noWrap w:val="0"/>
                  <w:vAlign w:val="center"/>
                </w:tcPr>
                <w:p>
                  <w:pPr>
                    <w:jc w:val="center"/>
                    <w:rPr>
                      <w:rFonts w:hint="default" w:ascii="Times New Roman" w:hAnsi="Times New Roman" w:eastAsia="宋体" w:cs="Times New Roman"/>
                      <w:color w:val="auto"/>
                      <w:sz w:val="18"/>
                      <w:highlight w:val="none"/>
                      <w:u w:val="none" w:color="auto"/>
                    </w:rPr>
                  </w:pPr>
                  <w:r>
                    <w:rPr>
                      <w:rFonts w:hint="default" w:ascii="Times New Roman" w:hAnsi="Times New Roman" w:eastAsia="宋体" w:cs="Times New Roman"/>
                      <w:color w:val="auto"/>
                      <w:sz w:val="18"/>
                      <w:highlight w:val="none"/>
                      <w:u w:val="none" w:color="auto"/>
                    </w:rPr>
                    <w:t>12.4</w:t>
                  </w:r>
                </w:p>
              </w:tc>
              <w:tc>
                <w:tcPr>
                  <w:tcW w:w="898" w:type="dxa"/>
                  <w:noWrap w:val="0"/>
                  <w:vAlign w:val="center"/>
                </w:tcPr>
                <w:p>
                  <w:pPr>
                    <w:jc w:val="center"/>
                    <w:rPr>
                      <w:rFonts w:hint="default" w:ascii="Times New Roman" w:hAnsi="Times New Roman" w:eastAsia="宋体" w:cs="Times New Roman"/>
                      <w:color w:val="auto"/>
                      <w:sz w:val="18"/>
                      <w:highlight w:val="none"/>
                      <w:u w:val="none" w:color="auto"/>
                    </w:rPr>
                  </w:pPr>
                  <w:r>
                    <w:rPr>
                      <w:rFonts w:hint="default" w:ascii="Times New Roman" w:hAnsi="Times New Roman" w:eastAsia="宋体" w:cs="Times New Roman"/>
                      <w:color w:val="auto"/>
                      <w:sz w:val="18"/>
                      <w:highlight w:val="none"/>
                      <w:u w:val="none" w:color="auto"/>
                    </w:rPr>
                    <w:t>3.32</w:t>
                  </w:r>
                </w:p>
              </w:tc>
              <w:tc>
                <w:tcPr>
                  <w:tcW w:w="898" w:type="dxa"/>
                  <w:noWrap w:val="0"/>
                  <w:vAlign w:val="center"/>
                </w:tcPr>
                <w:p>
                  <w:pPr>
                    <w:jc w:val="center"/>
                    <w:rPr>
                      <w:rFonts w:hint="default" w:ascii="Times New Roman" w:hAnsi="Times New Roman" w:eastAsia="宋体" w:cs="Times New Roman"/>
                      <w:color w:val="auto"/>
                      <w:sz w:val="18"/>
                      <w:highlight w:val="none"/>
                      <w:u w:val="none" w:color="auto"/>
                    </w:rPr>
                  </w:pPr>
                  <w:r>
                    <w:rPr>
                      <w:rFonts w:hint="default" w:ascii="Times New Roman" w:hAnsi="Times New Roman" w:eastAsia="宋体" w:cs="Times New Roman"/>
                      <w:color w:val="auto"/>
                      <w:sz w:val="18"/>
                      <w:highlight w:val="none"/>
                      <w:u w:val="none" w:color="auto"/>
                    </w:rPr>
                    <w:t>1.53</w:t>
                  </w:r>
                </w:p>
              </w:tc>
              <w:tc>
                <w:tcPr>
                  <w:tcW w:w="898" w:type="dxa"/>
                  <w:noWrap w:val="0"/>
                  <w:vAlign w:val="center"/>
                </w:tcPr>
                <w:p>
                  <w:pPr>
                    <w:jc w:val="center"/>
                    <w:rPr>
                      <w:rFonts w:hint="default" w:ascii="Times New Roman" w:hAnsi="Times New Roman" w:eastAsia="宋体" w:cs="Times New Roman"/>
                      <w:color w:val="auto"/>
                      <w:sz w:val="18"/>
                      <w:highlight w:val="none"/>
                      <w:u w:val="none" w:color="auto"/>
                    </w:rPr>
                  </w:pPr>
                  <w:r>
                    <w:rPr>
                      <w:rFonts w:hint="default" w:ascii="Times New Roman" w:hAnsi="Times New Roman" w:eastAsia="宋体" w:cs="Times New Roman"/>
                      <w:color w:val="auto"/>
                      <w:sz w:val="18"/>
                      <w:highlight w:val="none"/>
                      <w:u w:val="none" w:color="auto"/>
                    </w:rPr>
                    <w:t>1.0</w:t>
                  </w:r>
                </w:p>
              </w:tc>
              <w:tc>
                <w:tcPr>
                  <w:tcW w:w="898" w:type="dxa"/>
                  <w:noWrap w:val="0"/>
                  <w:vAlign w:val="center"/>
                </w:tcPr>
                <w:p>
                  <w:pPr>
                    <w:jc w:val="center"/>
                    <w:rPr>
                      <w:rFonts w:hint="default" w:ascii="Times New Roman" w:hAnsi="Times New Roman" w:eastAsia="宋体" w:cs="Times New Roman"/>
                      <w:color w:val="auto"/>
                      <w:sz w:val="18"/>
                      <w:highlight w:val="none"/>
                      <w:u w:val="none" w:color="auto"/>
                    </w:rPr>
                  </w:pPr>
                  <w:r>
                    <w:rPr>
                      <w:rFonts w:hint="default" w:ascii="Times New Roman" w:hAnsi="Times New Roman" w:eastAsia="宋体" w:cs="Times New Roman"/>
                      <w:color w:val="auto"/>
                      <w:sz w:val="18"/>
                      <w:highlight w:val="none"/>
                      <w:u w:val="none" w:color="auto"/>
                    </w:rPr>
                    <w:t>0.14</w:t>
                  </w:r>
                </w:p>
              </w:tc>
              <w:tc>
                <w:tcPr>
                  <w:tcW w:w="906" w:type="dxa"/>
                  <w:noWrap w:val="0"/>
                  <w:vAlign w:val="center"/>
                </w:tcPr>
                <w:p>
                  <w:pPr>
                    <w:jc w:val="center"/>
                    <w:rPr>
                      <w:rFonts w:hint="default" w:ascii="Times New Roman" w:hAnsi="Times New Roman" w:eastAsia="宋体" w:cs="Times New Roman"/>
                      <w:color w:val="auto"/>
                      <w:sz w:val="18"/>
                      <w:highlight w:val="none"/>
                      <w:u w:val="none" w:color="auto"/>
                    </w:rPr>
                  </w:pPr>
                  <w:r>
                    <w:rPr>
                      <w:rFonts w:hint="default" w:ascii="Times New Roman" w:hAnsi="Times New Roman" w:eastAsia="宋体" w:cs="Times New Roman"/>
                      <w:color w:val="auto"/>
                      <w:sz w:val="18"/>
                      <w:highlight w:val="none"/>
                      <w:u w:val="none" w:color="auto"/>
                    </w:rPr>
                    <w:t>0.1</w:t>
                  </w:r>
                </w:p>
              </w:tc>
            </w:tr>
          </w:tbl>
          <w:p>
            <w:pPr>
              <w:numPr>
                <w:ilvl w:val="0"/>
                <w:numId w:val="1"/>
              </w:numPr>
              <w:spacing w:line="360" w:lineRule="auto"/>
              <w:ind w:left="0" w:leftChars="0" w:firstLine="482" w:firstLineChars="200"/>
              <w:rPr>
                <w:rFonts w:hint="eastAsia"/>
                <w:b/>
                <w:bCs/>
                <w:color w:val="auto"/>
                <w:sz w:val="24"/>
                <w:highlight w:val="none"/>
                <w:u w:val="none" w:color="auto"/>
                <w:lang w:val="en-US" w:eastAsia="zh-CN"/>
              </w:rPr>
            </w:pPr>
            <w:r>
              <w:rPr>
                <w:rFonts w:hint="eastAsia"/>
                <w:b/>
                <w:bCs/>
                <w:color w:val="auto"/>
                <w:sz w:val="24"/>
                <w:highlight w:val="none"/>
                <w:u w:val="none" w:color="auto"/>
                <w:lang w:val="en-US" w:eastAsia="zh-CN"/>
              </w:rPr>
              <w:t>制砖可行性分析</w:t>
            </w:r>
          </w:p>
          <w:p>
            <w:pPr>
              <w:numPr>
                <w:ilvl w:val="0"/>
                <w:numId w:val="3"/>
              </w:numPr>
              <w:spacing w:line="360" w:lineRule="auto"/>
              <w:ind w:leftChars="200"/>
              <w:rPr>
                <w:rFonts w:hint="eastAsia"/>
                <w:b/>
                <w:bCs/>
                <w:color w:val="auto"/>
                <w:sz w:val="24"/>
                <w:highlight w:val="none"/>
                <w:u w:val="none" w:color="auto"/>
                <w:lang w:val="en-US" w:eastAsia="zh-CN"/>
              </w:rPr>
            </w:pPr>
            <w:r>
              <w:rPr>
                <w:rFonts w:hint="eastAsia"/>
                <w:b/>
                <w:bCs/>
                <w:color w:val="auto"/>
                <w:sz w:val="24"/>
                <w:highlight w:val="none"/>
                <w:u w:val="none" w:color="auto"/>
                <w:lang w:val="en-US" w:eastAsia="zh-CN"/>
              </w:rPr>
              <w:t>原中盐天友化工有限公司黑泥、钛石膏及学宫路附近遗留废渣一般固废鉴定过程及结论</w:t>
            </w:r>
          </w:p>
          <w:p>
            <w:pPr>
              <w:spacing w:line="360" w:lineRule="auto"/>
              <w:ind w:firstLine="480" w:firstLineChars="200"/>
              <w:rPr>
                <w:rFonts w:hint="eastAsia" w:ascii="Times New Roman" w:hAnsi="Times New Roman" w:eastAsia="宋体" w:cs="Times New Roman"/>
                <w:color w:val="auto"/>
                <w:kern w:val="2"/>
                <w:sz w:val="24"/>
                <w:szCs w:val="24"/>
                <w:highlight w:val="none"/>
                <w:u w:val="none" w:color="auto"/>
                <w:lang w:val="en-US" w:eastAsia="zh-CN" w:bidi="ar-SA"/>
              </w:rPr>
            </w:pPr>
            <w:r>
              <w:rPr>
                <w:rFonts w:hint="eastAsia" w:ascii="Times New Roman" w:hAnsi="Times New Roman" w:eastAsia="宋体" w:cs="Times New Roman"/>
                <w:color w:val="auto"/>
                <w:kern w:val="2"/>
                <w:sz w:val="24"/>
                <w:szCs w:val="24"/>
                <w:highlight w:val="none"/>
                <w:u w:val="none" w:color="auto"/>
                <w:lang w:val="en-US" w:eastAsia="zh-CN" w:bidi="ar-SA"/>
              </w:rPr>
              <w:t>根据《衡阳市珠晖区原中盐天友化工有限公司及学宫路附近遗留废渣整治项目实施方案》，对废渣性质采用《危险废物鉴别标准-浸出毒性鉴别》（GB5085.3-2007）对废渣酸性浸出结果进行危废鉴别分析。同时采用《污水综合排放标准（GB8978-1996）对废渣水浸结果进行评价，鉴别一般固废属性，其中第一类污染物采用表1排放浓度限值，第二类污染物采用表4中二级标准限值，经检测原中盐天友化工有限公司黑泥、钛石膏及学宫路附近遗留废渣均为一般固废。</w:t>
            </w:r>
          </w:p>
          <w:p>
            <w:pPr>
              <w:spacing w:line="360" w:lineRule="auto"/>
              <w:ind w:firstLine="480" w:firstLineChars="200"/>
              <w:rPr>
                <w:rFonts w:hint="eastAsia" w:ascii="Times New Roman" w:hAnsi="Times New Roman" w:eastAsia="宋体" w:cs="Times New Roman"/>
                <w:color w:val="auto"/>
                <w:kern w:val="2"/>
                <w:sz w:val="24"/>
                <w:szCs w:val="24"/>
                <w:highlight w:val="none"/>
                <w:u w:val="none" w:color="auto"/>
                <w:lang w:val="en-US" w:eastAsia="zh-CN" w:bidi="ar-SA"/>
              </w:rPr>
            </w:pPr>
            <w:r>
              <w:rPr>
                <w:rFonts w:hint="eastAsia" w:ascii="Times New Roman" w:hAnsi="Times New Roman" w:eastAsia="宋体" w:cs="Times New Roman"/>
                <w:color w:val="auto"/>
                <w:kern w:val="2"/>
                <w:sz w:val="24"/>
                <w:szCs w:val="24"/>
                <w:highlight w:val="none"/>
                <w:u w:val="none" w:color="auto"/>
                <w:lang w:val="en-US" w:eastAsia="zh-CN" w:bidi="ar-SA"/>
              </w:rPr>
              <w:t>通过检测数据可知，原中盐天友废渣详细调查废渣酸浸结果均低于《危险废物鉴别标准浸出毒性鉴别》（GB5085.3-2007）表1中限值，不属于危险废物；废渣水浸检测结果pH均低于6，超标率100%；铜有8个数据未检出，其余7个检出数据中有5个数据超标，超标率为33.33%，最大超标倍数为13.5倍；废渣水浸结果不满足《污水综合排放标准》（GB8978-1996）表4中二级标准限值。补充采样为56个废渣样，酸浸结果均低于《危险废物鉴别标准浸出毒性鉴别》（GB5085.3-2007）表1中限值，废渣不属于危险废物。水浸结果ph有46个样品超标，超标率为82.1%；总铜有19个样品超标，超标率为33.9%；总锌有9个样品超标，超标率为16.1%；总镉有1个样品超标，超标率为1.8%；总镍有12个样品超标，超标率为21.5%；所以水浸结果ph，总铜，总锌，总镉，总镍不满足《污水综合排放标准》（GB8978-1996）表4二级标准限值。具体检测结果见“附件</w:t>
            </w:r>
            <w:r>
              <w:rPr>
                <w:rFonts w:hint="eastAsia" w:cs="Times New Roman"/>
                <w:color w:val="auto"/>
                <w:kern w:val="2"/>
                <w:sz w:val="24"/>
                <w:szCs w:val="24"/>
                <w:highlight w:val="none"/>
                <w:u w:val="none" w:color="auto"/>
                <w:lang w:val="en-US" w:eastAsia="zh-CN" w:bidi="ar-SA"/>
              </w:rPr>
              <w:t>8</w:t>
            </w:r>
            <w:r>
              <w:rPr>
                <w:rFonts w:hint="eastAsia" w:ascii="Times New Roman" w:hAnsi="Times New Roman" w:eastAsia="宋体" w:cs="Times New Roman"/>
                <w:color w:val="auto"/>
                <w:kern w:val="2"/>
                <w:sz w:val="24"/>
                <w:szCs w:val="24"/>
                <w:highlight w:val="none"/>
                <w:u w:val="none" w:color="auto"/>
                <w:lang w:val="en-US" w:eastAsia="zh-CN" w:bidi="ar-SA"/>
              </w:rPr>
              <w:t>原中盐天友遗留废渣酸浸、水浸检测结果”。</w:t>
            </w:r>
          </w:p>
          <w:p>
            <w:pPr>
              <w:spacing w:line="360" w:lineRule="auto"/>
              <w:ind w:firstLine="480" w:firstLineChars="200"/>
              <w:rPr>
                <w:rFonts w:hint="eastAsia" w:ascii="Times New Roman" w:hAnsi="Times New Roman" w:eastAsia="宋体" w:cs="Times New Roman"/>
                <w:color w:val="auto"/>
                <w:kern w:val="2"/>
                <w:sz w:val="24"/>
                <w:szCs w:val="24"/>
                <w:highlight w:val="none"/>
                <w:u w:val="none" w:color="auto"/>
                <w:lang w:val="en-US" w:eastAsia="zh-CN" w:bidi="ar-SA"/>
              </w:rPr>
            </w:pPr>
            <w:r>
              <w:rPr>
                <w:rFonts w:hint="eastAsia" w:ascii="Times New Roman" w:hAnsi="Times New Roman" w:eastAsia="宋体" w:cs="Times New Roman"/>
                <w:color w:val="auto"/>
                <w:kern w:val="2"/>
                <w:sz w:val="24"/>
                <w:szCs w:val="24"/>
                <w:highlight w:val="none"/>
                <w:u w:val="none" w:color="auto"/>
                <w:lang w:val="en-US" w:eastAsia="zh-CN" w:bidi="ar-SA"/>
              </w:rPr>
              <w:t>衡阳职安环保科技有限责任公司对学宫路遗留废渣分别采集了100个废渣样，检测指标为六价铬、砷、汞、铜、锌、铅、镉、镍，经检测上述废渣不属于危险废物，学宫路附近遗留废渣水浸检测超标因子为pH，属于酸性废渣。具体检测结果见“附件</w:t>
            </w:r>
            <w:r>
              <w:rPr>
                <w:rFonts w:hint="eastAsia" w:cs="Times New Roman"/>
                <w:color w:val="auto"/>
                <w:kern w:val="2"/>
                <w:sz w:val="24"/>
                <w:szCs w:val="24"/>
                <w:highlight w:val="none"/>
                <w:u w:val="none" w:color="auto"/>
                <w:lang w:val="en-US" w:eastAsia="zh-CN" w:bidi="ar-SA"/>
              </w:rPr>
              <w:t>9</w:t>
            </w:r>
            <w:r>
              <w:rPr>
                <w:rFonts w:hint="eastAsia" w:ascii="Times New Roman" w:hAnsi="Times New Roman" w:eastAsia="宋体" w:cs="Times New Roman"/>
                <w:color w:val="auto"/>
                <w:kern w:val="2"/>
                <w:sz w:val="24"/>
                <w:szCs w:val="24"/>
                <w:highlight w:val="none"/>
                <w:u w:val="none" w:color="auto"/>
                <w:lang w:val="en-US" w:eastAsia="zh-CN" w:bidi="ar-SA"/>
              </w:rPr>
              <w:t>学宫路遗留废渣酸浸、水浸检测结果”。</w:t>
            </w:r>
          </w:p>
          <w:p>
            <w:pPr>
              <w:spacing w:line="360" w:lineRule="auto"/>
              <w:ind w:firstLine="480" w:firstLineChars="200"/>
              <w:rPr>
                <w:rFonts w:hint="eastAsia" w:ascii="Times New Roman" w:hAnsi="Times New Roman" w:eastAsia="宋体" w:cs="Times New Roman"/>
                <w:color w:val="auto"/>
                <w:kern w:val="2"/>
                <w:sz w:val="24"/>
                <w:szCs w:val="24"/>
                <w:highlight w:val="none"/>
                <w:u w:val="none" w:color="auto"/>
                <w:lang w:val="en-US" w:eastAsia="zh-CN" w:bidi="ar-SA"/>
              </w:rPr>
            </w:pPr>
            <w:r>
              <w:rPr>
                <w:rFonts w:hint="eastAsia" w:ascii="Times New Roman" w:hAnsi="Times New Roman" w:eastAsia="宋体" w:cs="Times New Roman"/>
                <w:color w:val="auto"/>
                <w:kern w:val="2"/>
                <w:sz w:val="24"/>
                <w:szCs w:val="24"/>
                <w:highlight w:val="none"/>
                <w:u w:val="none" w:color="auto"/>
                <w:lang w:val="en-US" w:eastAsia="zh-CN" w:bidi="ar-SA"/>
              </w:rPr>
              <w:t>综上所述，前后两次采样检测结论一致，废渣酸浸结果均低于《危险废物鉴别标准浸出毒性鉴别》（GB5085.3-2007）表1中限值，不属于危险废物。水浸结果不满足《污水综合排放标准》（GB8978-1996）表4中二级标准限值。根据废渣的产生环节以及《固体废物鉴别标准通则》，结合废渣酸浸、水浸试验结果，综合判定原中盐天友化工有限公司黑泥、钛石膏及学宫路附近遗留废渣为一般Ⅱ类固体废物。</w:t>
            </w:r>
          </w:p>
          <w:p>
            <w:pPr>
              <w:pStyle w:val="24"/>
              <w:numPr>
                <w:ilvl w:val="0"/>
                <w:numId w:val="3"/>
              </w:numPr>
              <w:spacing w:after="0" w:line="360" w:lineRule="auto"/>
              <w:ind w:left="420" w:leftChars="200" w:firstLine="0" w:firstLineChars="0"/>
              <w:rPr>
                <w:rFonts w:hint="eastAsia"/>
                <w:b/>
                <w:bCs/>
                <w:color w:val="auto"/>
                <w:sz w:val="24"/>
                <w:highlight w:val="none"/>
                <w:u w:val="none" w:color="auto"/>
                <w:lang w:val="en-US" w:eastAsia="zh-CN"/>
              </w:rPr>
            </w:pPr>
            <w:r>
              <w:rPr>
                <w:rFonts w:hint="eastAsia"/>
                <w:b/>
                <w:bCs/>
                <w:color w:val="auto"/>
                <w:sz w:val="24"/>
                <w:highlight w:val="none"/>
                <w:u w:val="none" w:color="auto"/>
                <w:lang w:val="en-US" w:eastAsia="zh-CN"/>
              </w:rPr>
              <w:t>掺配一般固废中试试验过程</w:t>
            </w:r>
          </w:p>
          <w:p>
            <w:pPr>
              <w:spacing w:line="360" w:lineRule="auto"/>
              <w:ind w:firstLine="480" w:firstLineChars="200"/>
              <w:rPr>
                <w:rFonts w:hint="eastAsia" w:ascii="Times New Roman" w:hAnsi="Times New Roman" w:eastAsia="宋体" w:cs="Times New Roman"/>
                <w:color w:val="auto"/>
                <w:kern w:val="2"/>
                <w:sz w:val="24"/>
                <w:szCs w:val="24"/>
                <w:highlight w:val="none"/>
                <w:u w:val="none" w:color="auto"/>
                <w:lang w:val="en-US" w:eastAsia="zh-CN" w:bidi="ar-SA"/>
              </w:rPr>
            </w:pPr>
            <w:r>
              <w:rPr>
                <w:rFonts w:hint="default" w:ascii="Times New Roman" w:hAnsi="Times New Roman" w:eastAsia="宋体" w:cs="Times New Roman"/>
                <w:color w:val="auto"/>
                <w:kern w:val="2"/>
                <w:sz w:val="24"/>
                <w:szCs w:val="24"/>
                <w:highlight w:val="none"/>
                <w:u w:val="none" w:color="auto"/>
                <w:lang w:val="en-US" w:eastAsia="zh-CN" w:bidi="ar-SA"/>
              </w:rPr>
              <w:t>①</w:t>
            </w:r>
            <w:r>
              <w:rPr>
                <w:rFonts w:hint="eastAsia" w:ascii="Times New Roman" w:hAnsi="Times New Roman" w:eastAsia="宋体" w:cs="Times New Roman"/>
                <w:color w:val="auto"/>
                <w:kern w:val="2"/>
                <w:sz w:val="24"/>
                <w:szCs w:val="24"/>
                <w:highlight w:val="none"/>
                <w:u w:val="none" w:color="auto"/>
                <w:lang w:val="en-US" w:eastAsia="zh-CN" w:bidi="ar-SA"/>
              </w:rPr>
              <w:t>、取渣，三种固废（原中盐天友黑泥、钛石膏，学宫路废渣）制各取1车（每种固废约30吨）运至砖厂原料棚，取样时每种固废应在场地内分3-5个点采集。采集后三种固废应分别进行运输，分开存放；</w:t>
            </w:r>
          </w:p>
          <w:p>
            <w:pPr>
              <w:spacing w:line="360" w:lineRule="auto"/>
              <w:ind w:firstLine="480" w:firstLineChars="200"/>
              <w:rPr>
                <w:rFonts w:hint="eastAsia" w:ascii="Times New Roman" w:hAnsi="Times New Roman" w:eastAsia="宋体" w:cs="Times New Roman"/>
                <w:color w:val="auto"/>
                <w:kern w:val="2"/>
                <w:sz w:val="24"/>
                <w:szCs w:val="24"/>
                <w:highlight w:val="none"/>
                <w:u w:val="none" w:color="auto"/>
                <w:lang w:val="en-US" w:eastAsia="zh-CN" w:bidi="ar-SA"/>
              </w:rPr>
            </w:pPr>
            <w:r>
              <w:rPr>
                <w:rFonts w:hint="default" w:ascii="Times New Roman" w:hAnsi="Times New Roman" w:eastAsia="宋体" w:cs="Times New Roman"/>
                <w:color w:val="auto"/>
                <w:kern w:val="2"/>
                <w:sz w:val="24"/>
                <w:szCs w:val="24"/>
                <w:highlight w:val="none"/>
                <w:u w:val="none" w:color="auto"/>
                <w:lang w:val="en-US" w:eastAsia="zh-CN" w:bidi="ar-SA"/>
              </w:rPr>
              <w:t>②</w:t>
            </w:r>
            <w:r>
              <w:rPr>
                <w:rFonts w:hint="eastAsia" w:ascii="Times New Roman" w:hAnsi="Times New Roman" w:eastAsia="宋体" w:cs="Times New Roman"/>
                <w:color w:val="auto"/>
                <w:kern w:val="2"/>
                <w:sz w:val="24"/>
                <w:szCs w:val="24"/>
                <w:highlight w:val="none"/>
                <w:u w:val="none" w:color="auto"/>
                <w:lang w:val="en-US" w:eastAsia="zh-CN" w:bidi="ar-SA"/>
              </w:rPr>
              <w:t>、粉碎，三种固废在固废暂存间进行干化至固废含水量为</w:t>
            </w:r>
            <w:r>
              <w:rPr>
                <w:rFonts w:hint="default" w:ascii="Times New Roman" w:hAnsi="Times New Roman" w:eastAsia="宋体" w:cs="Times New Roman"/>
                <w:color w:val="auto"/>
                <w:kern w:val="2"/>
                <w:sz w:val="24"/>
                <w:szCs w:val="24"/>
                <w:highlight w:val="none"/>
                <w:u w:val="none" w:color="auto"/>
                <w:lang w:val="en-US" w:eastAsia="zh-CN" w:bidi="ar-SA"/>
              </w:rPr>
              <w:t>40%</w:t>
            </w:r>
            <w:r>
              <w:rPr>
                <w:rFonts w:hint="eastAsia" w:ascii="Times New Roman" w:hAnsi="Times New Roman" w:eastAsia="宋体" w:cs="Times New Roman"/>
                <w:color w:val="auto"/>
                <w:kern w:val="2"/>
                <w:sz w:val="24"/>
                <w:szCs w:val="24"/>
                <w:highlight w:val="none"/>
                <w:u w:val="none" w:color="auto"/>
                <w:lang w:val="en-US" w:eastAsia="zh-CN" w:bidi="ar-SA"/>
              </w:rPr>
              <w:t>左右可进行辊轴机粉碎，在粉碎车间分别进行粉碎备用；</w:t>
            </w:r>
          </w:p>
          <w:p>
            <w:pPr>
              <w:spacing w:line="360" w:lineRule="auto"/>
              <w:ind w:firstLine="480" w:firstLineChars="200"/>
              <w:rPr>
                <w:rFonts w:hint="eastAsia" w:ascii="Times New Roman" w:hAnsi="Times New Roman" w:eastAsia="宋体" w:cs="Times New Roman"/>
                <w:color w:val="auto"/>
                <w:kern w:val="2"/>
                <w:sz w:val="24"/>
                <w:szCs w:val="24"/>
                <w:highlight w:val="none"/>
                <w:u w:val="single" w:color="auto"/>
                <w:lang w:val="en-US" w:eastAsia="zh-CN" w:bidi="ar-SA"/>
              </w:rPr>
            </w:pPr>
            <w:r>
              <w:rPr>
                <w:rFonts w:hint="default" w:ascii="Times New Roman" w:hAnsi="Times New Roman" w:eastAsia="宋体" w:cs="Times New Roman"/>
                <w:color w:val="auto"/>
                <w:kern w:val="2"/>
                <w:sz w:val="24"/>
                <w:szCs w:val="24"/>
                <w:highlight w:val="none"/>
                <w:u w:val="single" w:color="auto"/>
                <w:lang w:val="en-US" w:eastAsia="zh-CN" w:bidi="ar-SA"/>
              </w:rPr>
              <w:t>③</w:t>
            </w:r>
            <w:r>
              <w:rPr>
                <w:rFonts w:hint="eastAsia" w:ascii="Times New Roman" w:hAnsi="Times New Roman" w:eastAsia="宋体" w:cs="Times New Roman"/>
                <w:color w:val="auto"/>
                <w:kern w:val="2"/>
                <w:sz w:val="24"/>
                <w:szCs w:val="24"/>
                <w:highlight w:val="none"/>
                <w:u w:val="single" w:color="auto"/>
                <w:lang w:val="en-US" w:eastAsia="zh-CN" w:bidi="ar-SA"/>
              </w:rPr>
              <w:t>、进行第一阶段试验，三种固废分别按10%，15%，20%，25%，30%比例及不加固废的对照组，共制作16组样品，每组样品制作10块砖，并在砖体印制不同组编号（黑泥：1-1，1-2，1-3，1-4，1-5；钛石膏：2-1，2-2，2-3，2-4，2-5；学宫路废渣：3-1，3-2，3-3，3-4，3-5；对照组：0#组）。砖坯做好后，一同送至隧道窑烧制。出窑后对比各组试验砖尺寸偏差，外观质量（主要看砖的颜色有无变化）。另外抽取每组抽取2个样品进行水浸试验，进行浸出试验前应先将样品破碎，使样品颗粒全部通过3mm孔径的筛。浸出试验检测因子为铜、镍、铅、锌、镉，pH。</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360" w:lineRule="auto"/>
              <w:ind w:leftChars="200"/>
              <w:jc w:val="center"/>
              <w:textAlignment w:val="auto"/>
              <w:rPr>
                <w:rFonts w:hint="default" w:ascii="宋体" w:hAnsi="宋体" w:eastAsia="宋体" w:cs="宋体"/>
                <w:b/>
                <w:bCs/>
                <w:color w:val="auto"/>
                <w:kern w:val="0"/>
                <w:sz w:val="24"/>
                <w:szCs w:val="24"/>
                <w:u w:val="none" w:color="auto"/>
                <w:lang w:val="en-US" w:eastAsia="zh-CN" w:bidi="ar"/>
              </w:rPr>
            </w:pPr>
            <w:r>
              <w:rPr>
                <w:rFonts w:hint="eastAsia" w:ascii="宋体" w:hAnsi="宋体" w:cs="宋体"/>
                <w:b/>
                <w:bCs/>
                <w:color w:val="auto"/>
                <w:kern w:val="0"/>
                <w:sz w:val="24"/>
                <w:szCs w:val="24"/>
                <w:u w:val="none" w:color="auto"/>
                <w:lang w:val="en-US" w:eastAsia="zh-CN" w:bidi="ar"/>
              </w:rPr>
              <w:t>表2-8第一阶段试验配比</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360" w:lineRule="auto"/>
              <w:jc w:val="left"/>
              <w:textAlignment w:val="auto"/>
              <w:rPr>
                <w:rFonts w:hint="eastAsia" w:ascii="宋体" w:hAnsi="宋体" w:eastAsia="宋体" w:cs="宋体"/>
                <w:color w:val="auto"/>
                <w:kern w:val="0"/>
                <w:sz w:val="24"/>
                <w:szCs w:val="24"/>
                <w:u w:val="none" w:color="auto"/>
                <w:lang w:val="en-US" w:eastAsia="zh-CN" w:bidi="ar"/>
              </w:rPr>
            </w:pPr>
          </w:p>
          <w:p>
            <w:pPr>
              <w:keepNext w:val="0"/>
              <w:keepLines w:val="0"/>
              <w:pageBreakBefore w:val="0"/>
              <w:widowControl/>
              <w:suppressLineNumbers w:val="0"/>
              <w:kinsoku/>
              <w:wordWrap/>
              <w:overflowPunct/>
              <w:topLinePunct w:val="0"/>
              <w:autoSpaceDE/>
              <w:autoSpaceDN/>
              <w:bidi w:val="0"/>
              <w:adjustRightInd/>
              <w:snapToGrid/>
              <w:spacing w:line="360" w:lineRule="auto"/>
              <w:jc w:val="center"/>
              <w:textAlignment w:val="auto"/>
              <w:rPr>
                <w:rFonts w:hint="eastAsia" w:ascii="宋体" w:hAnsi="宋体" w:eastAsia="宋体" w:cs="宋体"/>
                <w:color w:val="auto"/>
                <w:kern w:val="0"/>
                <w:sz w:val="24"/>
                <w:szCs w:val="24"/>
                <w:u w:val="none" w:color="auto"/>
                <w:lang w:val="en-US" w:eastAsia="zh-CN" w:bidi="ar"/>
              </w:rPr>
            </w:pPr>
            <w:r>
              <w:rPr>
                <w:color w:val="auto"/>
                <w:u w:val="none" w:color="auto"/>
              </w:rPr>
              <w:drawing>
                <wp:inline distT="0" distB="0" distL="114300" distR="114300">
                  <wp:extent cx="4840605" cy="1115695"/>
                  <wp:effectExtent l="0" t="0" r="0" b="0"/>
                  <wp:docPr id="166"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59"/>
                          <pic:cNvPicPr>
                            <a:picLocks noChangeAspect="1"/>
                          </pic:cNvPicPr>
                        </pic:nvPicPr>
                        <pic:blipFill>
                          <a:blip r:embed="rId19"/>
                          <a:stretch>
                            <a:fillRect/>
                          </a:stretch>
                        </pic:blipFill>
                        <pic:spPr>
                          <a:xfrm>
                            <a:off x="0" y="0"/>
                            <a:ext cx="4840605" cy="1115695"/>
                          </a:xfrm>
                          <a:prstGeom prst="rect">
                            <a:avLst/>
                          </a:prstGeom>
                          <a:noFill/>
                          <a:ln>
                            <a:noFill/>
                          </a:ln>
                        </pic:spPr>
                      </pic:pic>
                    </a:graphicData>
                  </a:graphic>
                </wp:inline>
              </w:drawing>
            </w:r>
            <w:r>
              <w:rPr>
                <w:color w:val="auto"/>
                <w:u w:val="none" w:color="auto"/>
              </w:rPr>
              <w:drawing>
                <wp:inline distT="0" distB="0" distL="114300" distR="114300">
                  <wp:extent cx="4839335" cy="3717925"/>
                  <wp:effectExtent l="0" t="0" r="0" b="0"/>
                  <wp:docPr id="167"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63"/>
                          <pic:cNvPicPr>
                            <a:picLocks noChangeAspect="1"/>
                          </pic:cNvPicPr>
                        </pic:nvPicPr>
                        <pic:blipFill>
                          <a:blip r:embed="rId20"/>
                          <a:stretch>
                            <a:fillRect/>
                          </a:stretch>
                        </pic:blipFill>
                        <pic:spPr>
                          <a:xfrm>
                            <a:off x="0" y="0"/>
                            <a:ext cx="4839335" cy="3717925"/>
                          </a:xfrm>
                          <a:prstGeom prst="rect">
                            <a:avLst/>
                          </a:prstGeom>
                          <a:noFill/>
                          <a:ln>
                            <a:noFill/>
                          </a:ln>
                        </pic:spPr>
                      </pic:pic>
                    </a:graphicData>
                  </a:graphic>
                </wp:inline>
              </w:drawing>
            </w:r>
          </w:p>
          <w:p>
            <w:pPr>
              <w:spacing w:line="360" w:lineRule="auto"/>
              <w:ind w:firstLine="480" w:firstLineChars="200"/>
              <w:rPr>
                <w:rFonts w:hint="eastAsia" w:ascii="Times New Roman" w:hAnsi="Times New Roman" w:eastAsia="宋体" w:cs="Times New Roman"/>
                <w:color w:val="auto"/>
                <w:kern w:val="2"/>
                <w:sz w:val="24"/>
                <w:szCs w:val="24"/>
                <w:highlight w:val="none"/>
                <w:u w:val="none" w:color="auto"/>
                <w:lang w:val="en-US" w:eastAsia="zh-CN" w:bidi="ar-SA"/>
              </w:rPr>
            </w:pPr>
            <w:r>
              <w:rPr>
                <w:rFonts w:hint="eastAsia" w:ascii="Times New Roman" w:hAnsi="Times New Roman" w:eastAsia="宋体" w:cs="Times New Roman"/>
                <w:color w:val="auto"/>
                <w:kern w:val="2"/>
                <w:sz w:val="24"/>
                <w:szCs w:val="24"/>
                <w:highlight w:val="none"/>
                <w:u w:val="none" w:color="auto"/>
                <w:lang w:val="en-US" w:eastAsia="zh-CN" w:bidi="ar-SA"/>
              </w:rPr>
              <w:t>④、第一阶段试验结果分析，经现场对各组试验砖颜色变化对比，以及专业烧砖师傅现场敲击试验，初步确定第二阶段批量试验黑泥和钛石膏批量试验掺比为25%，学宫路废渣试验掺比为15%较合适。</w:t>
            </w:r>
          </w:p>
          <w:p>
            <w:pPr>
              <w:spacing w:line="360" w:lineRule="auto"/>
              <w:ind w:firstLine="480" w:firstLineChars="200"/>
              <w:rPr>
                <w:rFonts w:hint="eastAsia" w:ascii="Times New Roman" w:hAnsi="Times New Roman" w:eastAsia="宋体" w:cs="Times New Roman"/>
                <w:color w:val="auto"/>
                <w:kern w:val="2"/>
                <w:sz w:val="24"/>
                <w:szCs w:val="24"/>
                <w:highlight w:val="none"/>
                <w:u w:val="none" w:color="auto"/>
                <w:lang w:val="en-US" w:eastAsia="zh-CN" w:bidi="ar-SA"/>
              </w:rPr>
            </w:pPr>
            <w:r>
              <w:rPr>
                <w:rFonts w:hint="eastAsia" w:ascii="Times New Roman" w:hAnsi="Times New Roman" w:eastAsia="宋体" w:cs="Times New Roman"/>
                <w:color w:val="auto"/>
                <w:kern w:val="2"/>
                <w:sz w:val="24"/>
                <w:szCs w:val="24"/>
                <w:highlight w:val="none"/>
                <w:u w:val="none" w:color="auto"/>
                <w:lang w:val="en-US" w:eastAsia="zh-CN" w:bidi="ar-SA"/>
              </w:rPr>
              <w:t>⑤、第二阶段试验，三种固废分别按第一阶段确定的初步掺配比例进行生产线试生产，4.12-4.14号进行了第一次试生产，三种固废各生产了一窑（一板）约10000块砖，第一次试生产出窑后确认试验砖符合要求后，分别在4.19-4.21，4.23-4.25号再进行了两次试生产，验证试验结果的可重复性，三种固废各试生产了30000块砖。在进行试生产时需关注砖厂污染物达标排放情况。</w:t>
            </w:r>
          </w:p>
          <w:p>
            <w:pPr>
              <w:spacing w:line="360" w:lineRule="auto"/>
              <w:ind w:firstLine="480" w:firstLineChars="200"/>
              <w:rPr>
                <w:rFonts w:hint="eastAsia" w:ascii="Times New Roman" w:hAnsi="Times New Roman" w:eastAsia="宋体" w:cs="Times New Roman"/>
                <w:color w:val="auto"/>
                <w:kern w:val="2"/>
                <w:sz w:val="24"/>
                <w:szCs w:val="24"/>
                <w:highlight w:val="none"/>
                <w:u w:val="none" w:color="auto"/>
                <w:lang w:val="en-US" w:eastAsia="zh-CN" w:bidi="ar-SA"/>
              </w:rPr>
            </w:pPr>
            <w:r>
              <w:rPr>
                <w:rFonts w:hint="eastAsia" w:ascii="Times New Roman" w:hAnsi="Times New Roman" w:eastAsia="宋体" w:cs="Times New Roman"/>
                <w:color w:val="auto"/>
                <w:kern w:val="2"/>
                <w:sz w:val="24"/>
                <w:szCs w:val="24"/>
                <w:highlight w:val="none"/>
                <w:u w:val="none" w:color="auto"/>
                <w:lang w:val="en-US" w:eastAsia="zh-CN" w:bidi="ar-SA"/>
              </w:rPr>
              <w:t>第二阶段试验每次试生产完成后将每组各抽取10块样品砖送检，检查尺寸偏差，外观质量，抗压强度。同时抽取每组抽取2个样品进行水浸试验，进行浸出试验前应先将样品破碎，使样品颗粒全部通过3mm孔径的筛。浸出试验检测因子为铜、镍、铅、锌、镉，pH。</w:t>
            </w:r>
          </w:p>
          <w:p>
            <w:pPr>
              <w:keepNext w:val="0"/>
              <w:keepLines w:val="0"/>
              <w:widowControl/>
              <w:suppressLineNumbers w:val="0"/>
              <w:jc w:val="center"/>
              <w:rPr>
                <w:b/>
                <w:bCs/>
                <w:color w:val="auto"/>
                <w:sz w:val="24"/>
                <w:szCs w:val="24"/>
                <w:u w:val="none" w:color="auto"/>
              </w:rPr>
            </w:pPr>
            <w:r>
              <w:rPr>
                <w:rFonts w:hint="eastAsia" w:ascii="宋体" w:hAnsi="宋体" w:cs="宋体"/>
                <w:b/>
                <w:bCs/>
                <w:color w:val="auto"/>
                <w:kern w:val="0"/>
                <w:sz w:val="24"/>
                <w:szCs w:val="24"/>
                <w:u w:val="none" w:color="auto"/>
                <w:lang w:val="en-US" w:eastAsia="zh-CN" w:bidi="ar"/>
              </w:rPr>
              <w:t>表2-9</w:t>
            </w:r>
            <w:r>
              <w:rPr>
                <w:rFonts w:hint="eastAsia" w:ascii="宋体" w:hAnsi="宋体" w:eastAsia="宋体" w:cs="宋体"/>
                <w:b/>
                <w:bCs/>
                <w:color w:val="auto"/>
                <w:kern w:val="0"/>
                <w:sz w:val="24"/>
                <w:szCs w:val="24"/>
                <w:u w:val="none" w:color="auto"/>
                <w:lang w:val="en-US" w:eastAsia="zh-CN" w:bidi="ar"/>
              </w:rPr>
              <w:t>试生产掺配比</w:t>
            </w:r>
          </w:p>
          <w:tbl>
            <w:tblPr>
              <w:tblStyle w:val="3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42"/>
              <w:gridCol w:w="1058"/>
              <w:gridCol w:w="1144"/>
              <w:gridCol w:w="1282"/>
              <w:gridCol w:w="1232"/>
              <w:gridCol w:w="12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8" w:hRule="atLeast"/>
                <w:jc w:val="center"/>
              </w:trPr>
              <w:tc>
                <w:tcPr>
                  <w:tcW w:w="1842" w:type="dxa"/>
                  <w:tcBorders>
                    <w:top w:val="single" w:color="auto" w:sz="12" w:space="0"/>
                    <w:left w:val="single" w:color="auto" w:sz="12" w:space="0"/>
                  </w:tcBorders>
                  <w:noWrap w:val="0"/>
                  <w:vAlign w:val="center"/>
                </w:tcPr>
                <w:p>
                  <w:pPr>
                    <w:keepNext w:val="0"/>
                    <w:keepLines w:val="0"/>
                    <w:widowControl/>
                    <w:suppressLineNumbers w:val="0"/>
                    <w:jc w:val="center"/>
                    <w:rPr>
                      <w:rFonts w:hint="default" w:ascii="宋体" w:hAnsi="宋体" w:eastAsia="宋体" w:cs="宋体"/>
                      <w:b/>
                      <w:bCs/>
                      <w:color w:val="auto"/>
                      <w:kern w:val="0"/>
                      <w:sz w:val="21"/>
                      <w:szCs w:val="21"/>
                      <w:u w:val="none" w:color="auto"/>
                      <w:vertAlign w:val="baseline"/>
                      <w:lang w:val="en-US" w:eastAsia="zh-CN" w:bidi="ar"/>
                    </w:rPr>
                  </w:pPr>
                  <w:r>
                    <w:rPr>
                      <w:rFonts w:hint="eastAsia" w:ascii="宋体" w:hAnsi="宋体" w:eastAsia="宋体" w:cs="宋体"/>
                      <w:b/>
                      <w:bCs/>
                      <w:color w:val="auto"/>
                      <w:kern w:val="0"/>
                      <w:sz w:val="21"/>
                      <w:szCs w:val="21"/>
                      <w:u w:val="none" w:color="auto"/>
                      <w:lang w:val="en-US" w:eastAsia="zh-CN" w:bidi="ar"/>
                    </w:rPr>
                    <w:t>试生产组</w:t>
                  </w:r>
                </w:p>
              </w:tc>
              <w:tc>
                <w:tcPr>
                  <w:tcW w:w="1058" w:type="dxa"/>
                  <w:tcBorders>
                    <w:top w:val="single" w:color="auto" w:sz="12" w:space="0"/>
                  </w:tcBorders>
                  <w:noWrap w:val="0"/>
                  <w:vAlign w:val="center"/>
                </w:tcPr>
                <w:p>
                  <w:pPr>
                    <w:keepNext w:val="0"/>
                    <w:keepLines w:val="0"/>
                    <w:widowControl/>
                    <w:suppressLineNumbers w:val="0"/>
                    <w:jc w:val="center"/>
                    <w:rPr>
                      <w:rFonts w:hint="default" w:ascii="宋体" w:hAnsi="宋体" w:eastAsia="宋体" w:cs="宋体"/>
                      <w:b/>
                      <w:bCs/>
                      <w:color w:val="auto"/>
                      <w:kern w:val="0"/>
                      <w:sz w:val="21"/>
                      <w:szCs w:val="21"/>
                      <w:u w:val="none" w:color="auto"/>
                      <w:vertAlign w:val="baseline"/>
                      <w:lang w:val="en-US" w:eastAsia="zh-CN" w:bidi="ar"/>
                    </w:rPr>
                  </w:pPr>
                  <w:r>
                    <w:rPr>
                      <w:rFonts w:hint="eastAsia" w:ascii="宋体" w:hAnsi="宋体" w:eastAsia="宋体" w:cs="宋体"/>
                      <w:b/>
                      <w:bCs/>
                      <w:color w:val="auto"/>
                      <w:kern w:val="0"/>
                      <w:sz w:val="21"/>
                      <w:szCs w:val="21"/>
                      <w:u w:val="none" w:color="auto"/>
                      <w:lang w:val="en-US" w:eastAsia="zh-CN" w:bidi="ar"/>
                    </w:rPr>
                    <w:t>黑泥</w:t>
                  </w:r>
                </w:p>
              </w:tc>
              <w:tc>
                <w:tcPr>
                  <w:tcW w:w="1144" w:type="dxa"/>
                  <w:tcBorders>
                    <w:top w:val="single" w:color="auto" w:sz="12" w:space="0"/>
                  </w:tcBorders>
                  <w:noWrap w:val="0"/>
                  <w:vAlign w:val="center"/>
                </w:tcPr>
                <w:p>
                  <w:pPr>
                    <w:keepNext w:val="0"/>
                    <w:keepLines w:val="0"/>
                    <w:widowControl/>
                    <w:suppressLineNumbers w:val="0"/>
                    <w:jc w:val="center"/>
                    <w:rPr>
                      <w:rFonts w:hint="default" w:ascii="宋体" w:hAnsi="宋体" w:eastAsia="宋体" w:cs="宋体"/>
                      <w:b/>
                      <w:bCs/>
                      <w:color w:val="auto"/>
                      <w:kern w:val="0"/>
                      <w:sz w:val="21"/>
                      <w:szCs w:val="21"/>
                      <w:u w:val="none" w:color="auto"/>
                      <w:vertAlign w:val="baseline"/>
                      <w:lang w:val="en-US" w:eastAsia="zh-CN" w:bidi="ar"/>
                    </w:rPr>
                  </w:pPr>
                  <w:r>
                    <w:rPr>
                      <w:rFonts w:hint="eastAsia" w:ascii="宋体" w:hAnsi="宋体" w:eastAsia="宋体" w:cs="宋体"/>
                      <w:b/>
                      <w:bCs/>
                      <w:color w:val="auto"/>
                      <w:kern w:val="0"/>
                      <w:sz w:val="21"/>
                      <w:szCs w:val="21"/>
                      <w:u w:val="none" w:color="auto"/>
                      <w:lang w:val="en-US" w:eastAsia="zh-CN" w:bidi="ar"/>
                    </w:rPr>
                    <w:t>钛石膏</w:t>
                  </w:r>
                </w:p>
              </w:tc>
              <w:tc>
                <w:tcPr>
                  <w:tcW w:w="1282" w:type="dxa"/>
                  <w:tcBorders>
                    <w:top w:val="single" w:color="auto" w:sz="12"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jc w:val="center"/>
                    <w:textAlignment w:val="auto"/>
                    <w:rPr>
                      <w:rFonts w:hint="default" w:ascii="宋体" w:hAnsi="宋体" w:eastAsia="宋体" w:cs="宋体"/>
                      <w:b/>
                      <w:bCs/>
                      <w:color w:val="auto"/>
                      <w:kern w:val="0"/>
                      <w:sz w:val="21"/>
                      <w:szCs w:val="21"/>
                      <w:u w:val="none" w:color="auto"/>
                      <w:vertAlign w:val="baseline"/>
                      <w:lang w:val="en-US" w:eastAsia="zh-CN" w:bidi="ar"/>
                    </w:rPr>
                  </w:pPr>
                  <w:r>
                    <w:rPr>
                      <w:rFonts w:hint="eastAsia" w:ascii="宋体" w:hAnsi="宋体" w:eastAsia="宋体" w:cs="宋体"/>
                      <w:b/>
                      <w:bCs/>
                      <w:color w:val="auto"/>
                      <w:kern w:val="0"/>
                      <w:sz w:val="21"/>
                      <w:szCs w:val="21"/>
                      <w:u w:val="none" w:color="auto"/>
                      <w:lang w:val="en-US" w:eastAsia="zh-CN" w:bidi="ar"/>
                    </w:rPr>
                    <w:t>学宫路废渣</w:t>
                  </w:r>
                </w:p>
              </w:tc>
              <w:tc>
                <w:tcPr>
                  <w:tcW w:w="1232" w:type="dxa"/>
                  <w:tcBorders>
                    <w:top w:val="single" w:color="auto" w:sz="12" w:space="0"/>
                  </w:tcBorders>
                  <w:noWrap w:val="0"/>
                  <w:vAlign w:val="center"/>
                </w:tcPr>
                <w:p>
                  <w:pPr>
                    <w:keepNext w:val="0"/>
                    <w:keepLines w:val="0"/>
                    <w:widowControl/>
                    <w:suppressLineNumbers w:val="0"/>
                    <w:jc w:val="center"/>
                    <w:rPr>
                      <w:rFonts w:hint="default" w:ascii="宋体" w:hAnsi="宋体" w:eastAsia="宋体" w:cs="宋体"/>
                      <w:b/>
                      <w:bCs/>
                      <w:color w:val="auto"/>
                      <w:kern w:val="0"/>
                      <w:sz w:val="21"/>
                      <w:szCs w:val="21"/>
                      <w:u w:val="none" w:color="auto"/>
                      <w:vertAlign w:val="baseline"/>
                      <w:lang w:val="en-US" w:eastAsia="zh-CN" w:bidi="ar"/>
                    </w:rPr>
                  </w:pPr>
                  <w:r>
                    <w:rPr>
                      <w:rFonts w:hint="eastAsia" w:ascii="宋体" w:hAnsi="宋体" w:eastAsia="宋体" w:cs="宋体"/>
                      <w:b/>
                      <w:bCs/>
                      <w:color w:val="auto"/>
                      <w:kern w:val="0"/>
                      <w:sz w:val="21"/>
                      <w:szCs w:val="21"/>
                      <w:u w:val="none" w:color="auto"/>
                      <w:lang w:val="en-US" w:eastAsia="zh-CN" w:bidi="ar"/>
                    </w:rPr>
                    <w:t>页岩</w:t>
                  </w:r>
                </w:p>
              </w:tc>
              <w:tc>
                <w:tcPr>
                  <w:tcW w:w="1219" w:type="dxa"/>
                  <w:tcBorders>
                    <w:top w:val="single" w:color="auto" w:sz="12" w:space="0"/>
                    <w:right w:val="single" w:color="auto" w:sz="12" w:space="0"/>
                  </w:tcBorders>
                  <w:noWrap w:val="0"/>
                  <w:vAlign w:val="center"/>
                </w:tcPr>
                <w:p>
                  <w:pPr>
                    <w:keepNext w:val="0"/>
                    <w:keepLines w:val="0"/>
                    <w:widowControl/>
                    <w:suppressLineNumbers w:val="0"/>
                    <w:jc w:val="center"/>
                    <w:rPr>
                      <w:rFonts w:hint="default" w:ascii="宋体" w:hAnsi="宋体" w:eastAsia="宋体" w:cs="宋体"/>
                      <w:b/>
                      <w:bCs/>
                      <w:color w:val="auto"/>
                      <w:kern w:val="0"/>
                      <w:sz w:val="21"/>
                      <w:szCs w:val="21"/>
                      <w:u w:val="none" w:color="auto"/>
                      <w:vertAlign w:val="baseline"/>
                      <w:lang w:val="en-US" w:eastAsia="zh-CN" w:bidi="ar"/>
                    </w:rPr>
                  </w:pPr>
                  <w:r>
                    <w:rPr>
                      <w:rFonts w:hint="eastAsia" w:ascii="宋体" w:hAnsi="宋体" w:eastAsia="宋体" w:cs="宋体"/>
                      <w:b/>
                      <w:bCs/>
                      <w:color w:val="auto"/>
                      <w:kern w:val="0"/>
                      <w:sz w:val="21"/>
                      <w:szCs w:val="21"/>
                      <w:u w:val="none" w:color="auto"/>
                      <w:lang w:val="en-US" w:eastAsia="zh-CN" w:bidi="ar"/>
                    </w:rPr>
                    <w:t>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1" w:hRule="atLeast"/>
                <w:jc w:val="center"/>
              </w:trPr>
              <w:tc>
                <w:tcPr>
                  <w:tcW w:w="1842" w:type="dxa"/>
                  <w:tcBorders>
                    <w:left w:val="single" w:color="auto" w:sz="12" w:space="0"/>
                  </w:tcBorders>
                  <w:noWrap w:val="0"/>
                  <w:vAlign w:val="center"/>
                </w:tcPr>
                <w:p>
                  <w:pPr>
                    <w:keepNext w:val="0"/>
                    <w:keepLines w:val="0"/>
                    <w:widowControl/>
                    <w:suppressLineNumbers w:val="0"/>
                    <w:jc w:val="center"/>
                    <w:rPr>
                      <w:rFonts w:hint="default" w:ascii="宋体" w:hAnsi="宋体" w:eastAsia="宋体" w:cs="宋体"/>
                      <w:b/>
                      <w:bCs/>
                      <w:color w:val="auto"/>
                      <w:kern w:val="0"/>
                      <w:sz w:val="21"/>
                      <w:szCs w:val="21"/>
                      <w:u w:val="none" w:color="auto"/>
                      <w:vertAlign w:val="baseline"/>
                      <w:lang w:val="en-US" w:eastAsia="zh-CN" w:bidi="ar"/>
                    </w:rPr>
                  </w:pPr>
                  <w:r>
                    <w:rPr>
                      <w:rFonts w:hint="eastAsia" w:ascii="宋体" w:hAnsi="宋体" w:eastAsia="宋体" w:cs="宋体"/>
                      <w:b/>
                      <w:bCs/>
                      <w:color w:val="auto"/>
                      <w:kern w:val="0"/>
                      <w:sz w:val="21"/>
                      <w:szCs w:val="21"/>
                      <w:u w:val="none" w:color="auto"/>
                      <w:lang w:val="en-US" w:eastAsia="zh-CN" w:bidi="ar"/>
                    </w:rPr>
                    <w:t>对照组</w:t>
                  </w:r>
                  <w:r>
                    <w:rPr>
                      <w:rFonts w:hint="default" w:ascii="Times New Roman" w:hAnsi="Times New Roman" w:eastAsia="宋体" w:cs="Times New Roman"/>
                      <w:b/>
                      <w:bCs/>
                      <w:color w:val="auto"/>
                      <w:kern w:val="0"/>
                      <w:sz w:val="21"/>
                      <w:szCs w:val="21"/>
                      <w:u w:val="none" w:color="auto"/>
                      <w:lang w:val="en-US" w:eastAsia="zh-CN" w:bidi="ar"/>
                    </w:rPr>
                    <w:t>0#</w:t>
                  </w:r>
                </w:p>
              </w:tc>
              <w:tc>
                <w:tcPr>
                  <w:tcW w:w="1058"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jc w:val="center"/>
                    <w:textAlignment w:val="auto"/>
                    <w:rPr>
                      <w:rFonts w:hint="default" w:ascii="宋体" w:hAnsi="宋体" w:eastAsia="宋体" w:cs="宋体"/>
                      <w:b w:val="0"/>
                      <w:bCs w:val="0"/>
                      <w:color w:val="auto"/>
                      <w:kern w:val="0"/>
                      <w:sz w:val="21"/>
                      <w:szCs w:val="21"/>
                      <w:u w:val="none" w:color="auto"/>
                      <w:vertAlign w:val="baseline"/>
                      <w:lang w:val="en-US" w:eastAsia="zh-CN" w:bidi="ar"/>
                    </w:rPr>
                  </w:pPr>
                  <w:r>
                    <w:rPr>
                      <w:rFonts w:hint="eastAsia" w:ascii="宋体" w:hAnsi="宋体" w:cs="宋体"/>
                      <w:b w:val="0"/>
                      <w:bCs w:val="0"/>
                      <w:color w:val="auto"/>
                      <w:kern w:val="0"/>
                      <w:sz w:val="21"/>
                      <w:szCs w:val="21"/>
                      <w:u w:val="none" w:color="auto"/>
                      <w:vertAlign w:val="baseline"/>
                      <w:lang w:val="en-US" w:eastAsia="zh-CN" w:bidi="ar"/>
                    </w:rPr>
                    <w:t>-</w:t>
                  </w:r>
                </w:p>
              </w:tc>
              <w:tc>
                <w:tcPr>
                  <w:tcW w:w="1144"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jc w:val="center"/>
                    <w:textAlignment w:val="auto"/>
                    <w:rPr>
                      <w:rFonts w:hint="default" w:ascii="宋体" w:hAnsi="宋体" w:eastAsia="宋体" w:cs="宋体"/>
                      <w:b w:val="0"/>
                      <w:bCs w:val="0"/>
                      <w:color w:val="auto"/>
                      <w:kern w:val="0"/>
                      <w:sz w:val="21"/>
                      <w:szCs w:val="21"/>
                      <w:u w:val="none" w:color="auto"/>
                      <w:vertAlign w:val="baseline"/>
                      <w:lang w:val="en-US" w:eastAsia="zh-CN" w:bidi="ar"/>
                    </w:rPr>
                  </w:pPr>
                  <w:r>
                    <w:rPr>
                      <w:rFonts w:hint="eastAsia" w:ascii="宋体" w:hAnsi="宋体" w:cs="宋体"/>
                      <w:b w:val="0"/>
                      <w:bCs w:val="0"/>
                      <w:color w:val="auto"/>
                      <w:kern w:val="0"/>
                      <w:sz w:val="21"/>
                      <w:szCs w:val="21"/>
                      <w:u w:val="none" w:color="auto"/>
                      <w:vertAlign w:val="baseline"/>
                      <w:lang w:val="en-US" w:eastAsia="zh-CN" w:bidi="ar"/>
                    </w:rPr>
                    <w:t>-</w:t>
                  </w:r>
                </w:p>
              </w:tc>
              <w:tc>
                <w:tcPr>
                  <w:tcW w:w="1282"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jc w:val="center"/>
                    <w:textAlignment w:val="auto"/>
                    <w:rPr>
                      <w:rFonts w:hint="default" w:ascii="宋体" w:hAnsi="宋体" w:eastAsia="宋体" w:cs="宋体"/>
                      <w:b w:val="0"/>
                      <w:bCs w:val="0"/>
                      <w:color w:val="auto"/>
                      <w:kern w:val="0"/>
                      <w:sz w:val="21"/>
                      <w:szCs w:val="21"/>
                      <w:u w:val="none" w:color="auto"/>
                      <w:vertAlign w:val="baseline"/>
                      <w:lang w:val="en-US" w:eastAsia="zh-CN" w:bidi="ar"/>
                    </w:rPr>
                  </w:pPr>
                  <w:r>
                    <w:rPr>
                      <w:rFonts w:hint="eastAsia" w:ascii="宋体" w:hAnsi="宋体" w:cs="宋体"/>
                      <w:b w:val="0"/>
                      <w:bCs w:val="0"/>
                      <w:color w:val="auto"/>
                      <w:kern w:val="0"/>
                      <w:sz w:val="21"/>
                      <w:szCs w:val="21"/>
                      <w:u w:val="none" w:color="auto"/>
                      <w:vertAlign w:val="baseline"/>
                      <w:lang w:val="en-US" w:eastAsia="zh-CN" w:bidi="ar"/>
                    </w:rPr>
                    <w:t>-</w:t>
                  </w:r>
                </w:p>
              </w:tc>
              <w:tc>
                <w:tcPr>
                  <w:tcW w:w="1232"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jc w:val="center"/>
                    <w:textAlignment w:val="auto"/>
                    <w:rPr>
                      <w:rFonts w:hint="default" w:ascii="宋体" w:hAnsi="宋体" w:eastAsia="宋体" w:cs="宋体"/>
                      <w:b w:val="0"/>
                      <w:bCs w:val="0"/>
                      <w:color w:val="auto"/>
                      <w:kern w:val="0"/>
                      <w:sz w:val="21"/>
                      <w:szCs w:val="21"/>
                      <w:u w:val="none" w:color="auto"/>
                      <w:vertAlign w:val="baseline"/>
                      <w:lang w:val="en-US" w:eastAsia="zh-CN" w:bidi="ar"/>
                    </w:rPr>
                  </w:pPr>
                  <w:r>
                    <w:rPr>
                      <w:rFonts w:hint="eastAsia" w:ascii="宋体" w:hAnsi="宋体" w:cs="宋体"/>
                      <w:b w:val="0"/>
                      <w:bCs w:val="0"/>
                      <w:color w:val="auto"/>
                      <w:kern w:val="0"/>
                      <w:sz w:val="21"/>
                      <w:szCs w:val="21"/>
                      <w:u w:val="none" w:color="auto"/>
                      <w:vertAlign w:val="baseline"/>
                      <w:lang w:val="en-US" w:eastAsia="zh-CN" w:bidi="ar"/>
                    </w:rPr>
                    <w:t>80%</w:t>
                  </w:r>
                </w:p>
              </w:tc>
              <w:tc>
                <w:tcPr>
                  <w:tcW w:w="1219" w:type="dxa"/>
                  <w:tcBorders>
                    <w:right w:val="single" w:color="auto" w:sz="12"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jc w:val="center"/>
                    <w:textAlignment w:val="auto"/>
                    <w:rPr>
                      <w:rFonts w:hint="default" w:ascii="宋体" w:hAnsi="宋体" w:eastAsia="宋体" w:cs="宋体"/>
                      <w:b w:val="0"/>
                      <w:bCs w:val="0"/>
                      <w:color w:val="auto"/>
                      <w:kern w:val="0"/>
                      <w:sz w:val="21"/>
                      <w:szCs w:val="21"/>
                      <w:u w:val="none" w:color="auto"/>
                      <w:vertAlign w:val="baseline"/>
                      <w:lang w:val="en-US" w:eastAsia="zh-CN" w:bidi="ar"/>
                    </w:rPr>
                  </w:pPr>
                  <w:r>
                    <w:rPr>
                      <w:rFonts w:hint="eastAsia" w:ascii="宋体" w:hAnsi="宋体" w:cs="宋体"/>
                      <w:b w:val="0"/>
                      <w:bCs w:val="0"/>
                      <w:color w:val="auto"/>
                      <w:kern w:val="0"/>
                      <w:sz w:val="21"/>
                      <w:szCs w:val="21"/>
                      <w:u w:val="none" w:color="auto"/>
                      <w:vertAlign w:val="baseline"/>
                      <w:lang w:val="en-US" w:eastAsia="zh-CN" w:bidi="ar"/>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1" w:hRule="atLeast"/>
                <w:jc w:val="center"/>
              </w:trPr>
              <w:tc>
                <w:tcPr>
                  <w:tcW w:w="1842" w:type="dxa"/>
                  <w:tcBorders>
                    <w:left w:val="single" w:color="auto" w:sz="12" w:space="0"/>
                  </w:tcBorders>
                  <w:noWrap w:val="0"/>
                  <w:vAlign w:val="center"/>
                </w:tcPr>
                <w:p>
                  <w:pPr>
                    <w:keepNext w:val="0"/>
                    <w:keepLines w:val="0"/>
                    <w:widowControl/>
                    <w:suppressLineNumbers w:val="0"/>
                    <w:jc w:val="center"/>
                    <w:rPr>
                      <w:rFonts w:hint="default" w:ascii="宋体" w:hAnsi="宋体" w:eastAsia="宋体" w:cs="宋体"/>
                      <w:b/>
                      <w:bCs/>
                      <w:color w:val="auto"/>
                      <w:kern w:val="0"/>
                      <w:sz w:val="21"/>
                      <w:szCs w:val="21"/>
                      <w:u w:val="none" w:color="auto"/>
                      <w:vertAlign w:val="baseline"/>
                      <w:lang w:val="en-US" w:eastAsia="zh-CN" w:bidi="ar"/>
                    </w:rPr>
                  </w:pPr>
                  <w:r>
                    <w:rPr>
                      <w:rFonts w:hint="eastAsia" w:ascii="宋体" w:hAnsi="宋体" w:eastAsia="宋体" w:cs="宋体"/>
                      <w:b/>
                      <w:bCs/>
                      <w:color w:val="auto"/>
                      <w:kern w:val="0"/>
                      <w:sz w:val="21"/>
                      <w:szCs w:val="21"/>
                      <w:u w:val="none" w:color="auto"/>
                      <w:lang w:val="en-US" w:eastAsia="zh-CN" w:bidi="ar"/>
                    </w:rPr>
                    <w:t>黑泥试验砖</w:t>
                  </w:r>
                </w:p>
              </w:tc>
              <w:tc>
                <w:tcPr>
                  <w:tcW w:w="1058"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jc w:val="center"/>
                    <w:textAlignment w:val="auto"/>
                    <w:rPr>
                      <w:rFonts w:hint="default" w:ascii="宋体" w:hAnsi="宋体" w:eastAsia="宋体" w:cs="宋体"/>
                      <w:b w:val="0"/>
                      <w:bCs w:val="0"/>
                      <w:color w:val="auto"/>
                      <w:kern w:val="0"/>
                      <w:sz w:val="21"/>
                      <w:szCs w:val="21"/>
                      <w:u w:val="none" w:color="auto"/>
                      <w:vertAlign w:val="baseline"/>
                      <w:lang w:val="en-US" w:eastAsia="zh-CN" w:bidi="ar"/>
                    </w:rPr>
                  </w:pPr>
                  <w:r>
                    <w:rPr>
                      <w:rFonts w:hint="eastAsia" w:ascii="宋体" w:hAnsi="宋体" w:cs="宋体"/>
                      <w:b w:val="0"/>
                      <w:bCs w:val="0"/>
                      <w:color w:val="auto"/>
                      <w:kern w:val="0"/>
                      <w:sz w:val="21"/>
                      <w:szCs w:val="21"/>
                      <w:u w:val="none" w:color="auto"/>
                      <w:vertAlign w:val="baseline"/>
                      <w:lang w:val="en-US" w:eastAsia="zh-CN" w:bidi="ar"/>
                    </w:rPr>
                    <w:t>25%</w:t>
                  </w:r>
                </w:p>
              </w:tc>
              <w:tc>
                <w:tcPr>
                  <w:tcW w:w="1144"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jc w:val="center"/>
                    <w:textAlignment w:val="auto"/>
                    <w:rPr>
                      <w:rFonts w:hint="default" w:ascii="宋体" w:hAnsi="宋体" w:eastAsia="宋体" w:cs="宋体"/>
                      <w:b w:val="0"/>
                      <w:bCs w:val="0"/>
                      <w:color w:val="auto"/>
                      <w:kern w:val="0"/>
                      <w:sz w:val="21"/>
                      <w:szCs w:val="21"/>
                      <w:u w:val="none" w:color="auto"/>
                      <w:vertAlign w:val="baseline"/>
                      <w:lang w:val="en-US" w:eastAsia="zh-CN" w:bidi="ar"/>
                    </w:rPr>
                  </w:pPr>
                  <w:r>
                    <w:rPr>
                      <w:rFonts w:hint="eastAsia" w:ascii="宋体" w:hAnsi="宋体" w:cs="宋体"/>
                      <w:b w:val="0"/>
                      <w:bCs w:val="0"/>
                      <w:color w:val="auto"/>
                      <w:kern w:val="0"/>
                      <w:sz w:val="21"/>
                      <w:szCs w:val="21"/>
                      <w:u w:val="none" w:color="auto"/>
                      <w:vertAlign w:val="baseline"/>
                      <w:lang w:val="en-US" w:eastAsia="zh-CN" w:bidi="ar"/>
                    </w:rPr>
                    <w:t>-</w:t>
                  </w:r>
                </w:p>
              </w:tc>
              <w:tc>
                <w:tcPr>
                  <w:tcW w:w="1282"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jc w:val="center"/>
                    <w:textAlignment w:val="auto"/>
                    <w:rPr>
                      <w:rFonts w:hint="default" w:ascii="宋体" w:hAnsi="宋体" w:eastAsia="宋体" w:cs="宋体"/>
                      <w:b w:val="0"/>
                      <w:bCs w:val="0"/>
                      <w:color w:val="auto"/>
                      <w:kern w:val="0"/>
                      <w:sz w:val="21"/>
                      <w:szCs w:val="21"/>
                      <w:u w:val="none" w:color="auto"/>
                      <w:vertAlign w:val="baseline"/>
                      <w:lang w:val="en-US" w:eastAsia="zh-CN" w:bidi="ar"/>
                    </w:rPr>
                  </w:pPr>
                  <w:r>
                    <w:rPr>
                      <w:rFonts w:hint="eastAsia" w:ascii="宋体" w:hAnsi="宋体" w:cs="宋体"/>
                      <w:b w:val="0"/>
                      <w:bCs w:val="0"/>
                      <w:color w:val="auto"/>
                      <w:kern w:val="0"/>
                      <w:sz w:val="21"/>
                      <w:szCs w:val="21"/>
                      <w:u w:val="none" w:color="auto"/>
                      <w:vertAlign w:val="baseline"/>
                      <w:lang w:val="en-US" w:eastAsia="zh-CN" w:bidi="ar"/>
                    </w:rPr>
                    <w:t>-</w:t>
                  </w:r>
                </w:p>
              </w:tc>
              <w:tc>
                <w:tcPr>
                  <w:tcW w:w="1232"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jc w:val="center"/>
                    <w:textAlignment w:val="auto"/>
                    <w:rPr>
                      <w:rFonts w:hint="default" w:ascii="宋体" w:hAnsi="宋体" w:eastAsia="宋体" w:cs="宋体"/>
                      <w:b w:val="0"/>
                      <w:bCs w:val="0"/>
                      <w:color w:val="auto"/>
                      <w:kern w:val="0"/>
                      <w:sz w:val="21"/>
                      <w:szCs w:val="21"/>
                      <w:u w:val="none" w:color="auto"/>
                      <w:vertAlign w:val="baseline"/>
                      <w:lang w:val="en-US" w:eastAsia="zh-CN" w:bidi="ar"/>
                    </w:rPr>
                  </w:pPr>
                  <w:r>
                    <w:rPr>
                      <w:rFonts w:hint="eastAsia" w:ascii="宋体" w:hAnsi="宋体" w:cs="宋体"/>
                      <w:b w:val="0"/>
                      <w:bCs w:val="0"/>
                      <w:color w:val="auto"/>
                      <w:kern w:val="0"/>
                      <w:sz w:val="21"/>
                      <w:szCs w:val="21"/>
                      <w:u w:val="none" w:color="auto"/>
                      <w:vertAlign w:val="baseline"/>
                      <w:lang w:val="en-US" w:eastAsia="zh-CN" w:bidi="ar"/>
                    </w:rPr>
                    <w:t>55%</w:t>
                  </w:r>
                </w:p>
              </w:tc>
              <w:tc>
                <w:tcPr>
                  <w:tcW w:w="1219" w:type="dxa"/>
                  <w:tcBorders>
                    <w:right w:val="single" w:color="auto" w:sz="12"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jc w:val="center"/>
                    <w:textAlignment w:val="auto"/>
                    <w:rPr>
                      <w:rFonts w:hint="default" w:ascii="宋体" w:hAnsi="宋体" w:eastAsia="宋体" w:cs="宋体"/>
                      <w:b w:val="0"/>
                      <w:bCs w:val="0"/>
                      <w:color w:val="auto"/>
                      <w:kern w:val="0"/>
                      <w:sz w:val="21"/>
                      <w:szCs w:val="21"/>
                      <w:u w:val="none" w:color="auto"/>
                      <w:vertAlign w:val="baseline"/>
                      <w:lang w:val="en-US" w:eastAsia="zh-CN" w:bidi="ar"/>
                    </w:rPr>
                  </w:pPr>
                  <w:r>
                    <w:rPr>
                      <w:rFonts w:hint="eastAsia" w:ascii="宋体" w:hAnsi="宋体" w:cs="宋体"/>
                      <w:b w:val="0"/>
                      <w:bCs w:val="0"/>
                      <w:color w:val="auto"/>
                      <w:kern w:val="0"/>
                      <w:sz w:val="21"/>
                      <w:szCs w:val="21"/>
                      <w:u w:val="none" w:color="auto"/>
                      <w:vertAlign w:val="baseline"/>
                      <w:lang w:val="en-US" w:eastAsia="zh-CN" w:bidi="ar"/>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1" w:hRule="atLeast"/>
                <w:jc w:val="center"/>
              </w:trPr>
              <w:tc>
                <w:tcPr>
                  <w:tcW w:w="1842" w:type="dxa"/>
                  <w:tcBorders>
                    <w:left w:val="single" w:color="auto" w:sz="12" w:space="0"/>
                  </w:tcBorders>
                  <w:noWrap w:val="0"/>
                  <w:vAlign w:val="center"/>
                </w:tcPr>
                <w:p>
                  <w:pPr>
                    <w:keepNext w:val="0"/>
                    <w:keepLines w:val="0"/>
                    <w:widowControl/>
                    <w:suppressLineNumbers w:val="0"/>
                    <w:jc w:val="center"/>
                    <w:rPr>
                      <w:rFonts w:hint="default" w:ascii="宋体" w:hAnsi="宋体" w:eastAsia="宋体" w:cs="宋体"/>
                      <w:b/>
                      <w:bCs/>
                      <w:color w:val="auto"/>
                      <w:kern w:val="0"/>
                      <w:sz w:val="21"/>
                      <w:szCs w:val="21"/>
                      <w:u w:val="none" w:color="auto"/>
                      <w:vertAlign w:val="baseline"/>
                      <w:lang w:val="en-US" w:eastAsia="zh-CN" w:bidi="ar"/>
                    </w:rPr>
                  </w:pPr>
                  <w:r>
                    <w:rPr>
                      <w:rFonts w:hint="eastAsia" w:ascii="宋体" w:hAnsi="宋体" w:eastAsia="宋体" w:cs="宋体"/>
                      <w:b/>
                      <w:bCs/>
                      <w:color w:val="auto"/>
                      <w:kern w:val="0"/>
                      <w:sz w:val="21"/>
                      <w:szCs w:val="21"/>
                      <w:u w:val="none" w:color="auto"/>
                      <w:lang w:val="en-US" w:eastAsia="zh-CN" w:bidi="ar"/>
                    </w:rPr>
                    <w:t>钛石膏试验砖</w:t>
                  </w:r>
                </w:p>
              </w:tc>
              <w:tc>
                <w:tcPr>
                  <w:tcW w:w="1058"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jc w:val="center"/>
                    <w:textAlignment w:val="auto"/>
                    <w:rPr>
                      <w:rFonts w:hint="default" w:ascii="宋体" w:hAnsi="宋体" w:eastAsia="宋体" w:cs="宋体"/>
                      <w:b w:val="0"/>
                      <w:bCs w:val="0"/>
                      <w:color w:val="auto"/>
                      <w:kern w:val="0"/>
                      <w:sz w:val="21"/>
                      <w:szCs w:val="21"/>
                      <w:u w:val="none" w:color="auto"/>
                      <w:vertAlign w:val="baseline"/>
                      <w:lang w:val="en-US" w:eastAsia="zh-CN" w:bidi="ar"/>
                    </w:rPr>
                  </w:pPr>
                  <w:r>
                    <w:rPr>
                      <w:rFonts w:hint="eastAsia" w:ascii="宋体" w:hAnsi="宋体" w:cs="宋体"/>
                      <w:b w:val="0"/>
                      <w:bCs w:val="0"/>
                      <w:color w:val="auto"/>
                      <w:kern w:val="0"/>
                      <w:sz w:val="21"/>
                      <w:szCs w:val="21"/>
                      <w:u w:val="none" w:color="auto"/>
                      <w:vertAlign w:val="baseline"/>
                      <w:lang w:val="en-US" w:eastAsia="zh-CN" w:bidi="ar"/>
                    </w:rPr>
                    <w:t>-</w:t>
                  </w:r>
                </w:p>
              </w:tc>
              <w:tc>
                <w:tcPr>
                  <w:tcW w:w="1144"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jc w:val="center"/>
                    <w:textAlignment w:val="auto"/>
                    <w:rPr>
                      <w:rFonts w:hint="default" w:ascii="宋体" w:hAnsi="宋体" w:eastAsia="宋体" w:cs="宋体"/>
                      <w:b w:val="0"/>
                      <w:bCs w:val="0"/>
                      <w:color w:val="auto"/>
                      <w:kern w:val="0"/>
                      <w:sz w:val="21"/>
                      <w:szCs w:val="21"/>
                      <w:u w:val="none" w:color="auto"/>
                      <w:vertAlign w:val="baseline"/>
                      <w:lang w:val="en-US" w:eastAsia="zh-CN" w:bidi="ar"/>
                    </w:rPr>
                  </w:pPr>
                  <w:r>
                    <w:rPr>
                      <w:rFonts w:hint="eastAsia" w:ascii="宋体" w:hAnsi="宋体" w:cs="宋体"/>
                      <w:b w:val="0"/>
                      <w:bCs w:val="0"/>
                      <w:color w:val="auto"/>
                      <w:kern w:val="0"/>
                      <w:sz w:val="21"/>
                      <w:szCs w:val="21"/>
                      <w:u w:val="none" w:color="auto"/>
                      <w:vertAlign w:val="baseline"/>
                      <w:lang w:val="en-US" w:eastAsia="zh-CN" w:bidi="ar"/>
                    </w:rPr>
                    <w:t>25%</w:t>
                  </w:r>
                </w:p>
              </w:tc>
              <w:tc>
                <w:tcPr>
                  <w:tcW w:w="1282"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jc w:val="center"/>
                    <w:textAlignment w:val="auto"/>
                    <w:rPr>
                      <w:rFonts w:hint="default" w:ascii="宋体" w:hAnsi="宋体" w:eastAsia="宋体" w:cs="宋体"/>
                      <w:b w:val="0"/>
                      <w:bCs w:val="0"/>
                      <w:color w:val="auto"/>
                      <w:kern w:val="0"/>
                      <w:sz w:val="21"/>
                      <w:szCs w:val="21"/>
                      <w:u w:val="none" w:color="auto"/>
                      <w:vertAlign w:val="baseline"/>
                      <w:lang w:val="en-US" w:eastAsia="zh-CN" w:bidi="ar"/>
                    </w:rPr>
                  </w:pPr>
                  <w:r>
                    <w:rPr>
                      <w:rFonts w:hint="eastAsia" w:ascii="宋体" w:hAnsi="宋体" w:cs="宋体"/>
                      <w:b w:val="0"/>
                      <w:bCs w:val="0"/>
                      <w:color w:val="auto"/>
                      <w:kern w:val="0"/>
                      <w:sz w:val="21"/>
                      <w:szCs w:val="21"/>
                      <w:u w:val="none" w:color="auto"/>
                      <w:vertAlign w:val="baseline"/>
                      <w:lang w:val="en-US" w:eastAsia="zh-CN" w:bidi="ar"/>
                    </w:rPr>
                    <w:t>-</w:t>
                  </w:r>
                </w:p>
              </w:tc>
              <w:tc>
                <w:tcPr>
                  <w:tcW w:w="1232"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jc w:val="center"/>
                    <w:textAlignment w:val="auto"/>
                    <w:rPr>
                      <w:rFonts w:hint="default" w:ascii="宋体" w:hAnsi="宋体" w:eastAsia="宋体" w:cs="宋体"/>
                      <w:b w:val="0"/>
                      <w:bCs w:val="0"/>
                      <w:color w:val="auto"/>
                      <w:kern w:val="0"/>
                      <w:sz w:val="21"/>
                      <w:szCs w:val="21"/>
                      <w:u w:val="none" w:color="auto"/>
                      <w:vertAlign w:val="baseline"/>
                      <w:lang w:val="en-US" w:eastAsia="zh-CN" w:bidi="ar"/>
                    </w:rPr>
                  </w:pPr>
                  <w:r>
                    <w:rPr>
                      <w:rFonts w:hint="eastAsia" w:ascii="宋体" w:hAnsi="宋体" w:cs="宋体"/>
                      <w:b w:val="0"/>
                      <w:bCs w:val="0"/>
                      <w:color w:val="auto"/>
                      <w:kern w:val="0"/>
                      <w:sz w:val="21"/>
                      <w:szCs w:val="21"/>
                      <w:u w:val="none" w:color="auto"/>
                      <w:vertAlign w:val="baseline"/>
                      <w:lang w:val="en-US" w:eastAsia="zh-CN" w:bidi="ar"/>
                    </w:rPr>
                    <w:t>55%</w:t>
                  </w:r>
                </w:p>
              </w:tc>
              <w:tc>
                <w:tcPr>
                  <w:tcW w:w="1219" w:type="dxa"/>
                  <w:tcBorders>
                    <w:right w:val="single" w:color="auto" w:sz="12"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jc w:val="center"/>
                    <w:textAlignment w:val="auto"/>
                    <w:rPr>
                      <w:rFonts w:hint="default" w:ascii="宋体" w:hAnsi="宋体" w:eastAsia="宋体" w:cs="宋体"/>
                      <w:b w:val="0"/>
                      <w:bCs w:val="0"/>
                      <w:color w:val="auto"/>
                      <w:kern w:val="0"/>
                      <w:sz w:val="21"/>
                      <w:szCs w:val="21"/>
                      <w:u w:val="none" w:color="auto"/>
                      <w:vertAlign w:val="baseline"/>
                      <w:lang w:val="en-US" w:eastAsia="zh-CN" w:bidi="ar"/>
                    </w:rPr>
                  </w:pPr>
                  <w:r>
                    <w:rPr>
                      <w:rFonts w:hint="eastAsia" w:ascii="宋体" w:hAnsi="宋体" w:cs="宋体"/>
                      <w:b w:val="0"/>
                      <w:bCs w:val="0"/>
                      <w:color w:val="auto"/>
                      <w:kern w:val="0"/>
                      <w:sz w:val="21"/>
                      <w:szCs w:val="21"/>
                      <w:u w:val="none" w:color="auto"/>
                      <w:vertAlign w:val="baseline"/>
                      <w:lang w:val="en-US" w:eastAsia="zh-CN" w:bidi="ar"/>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6" w:hRule="atLeast"/>
                <w:jc w:val="center"/>
              </w:trPr>
              <w:tc>
                <w:tcPr>
                  <w:tcW w:w="1842" w:type="dxa"/>
                  <w:tcBorders>
                    <w:left w:val="single" w:color="auto" w:sz="12" w:space="0"/>
                    <w:bottom w:val="single" w:color="auto" w:sz="12" w:space="0"/>
                  </w:tcBorders>
                  <w:noWrap w:val="0"/>
                  <w:vAlign w:val="center"/>
                </w:tcPr>
                <w:p>
                  <w:pPr>
                    <w:keepNext w:val="0"/>
                    <w:keepLines w:val="0"/>
                    <w:widowControl/>
                    <w:suppressLineNumbers w:val="0"/>
                    <w:jc w:val="center"/>
                    <w:rPr>
                      <w:rFonts w:hint="default" w:ascii="宋体" w:hAnsi="宋体" w:eastAsia="宋体" w:cs="宋体"/>
                      <w:b/>
                      <w:bCs/>
                      <w:color w:val="auto"/>
                      <w:kern w:val="0"/>
                      <w:sz w:val="21"/>
                      <w:szCs w:val="21"/>
                      <w:u w:val="none" w:color="auto"/>
                      <w:vertAlign w:val="baseline"/>
                      <w:lang w:val="en-US" w:eastAsia="zh-CN" w:bidi="ar"/>
                    </w:rPr>
                  </w:pPr>
                  <w:r>
                    <w:rPr>
                      <w:rFonts w:hint="eastAsia" w:ascii="宋体" w:hAnsi="宋体" w:eastAsia="宋体" w:cs="宋体"/>
                      <w:b/>
                      <w:bCs/>
                      <w:color w:val="auto"/>
                      <w:kern w:val="0"/>
                      <w:sz w:val="21"/>
                      <w:szCs w:val="21"/>
                      <w:u w:val="none" w:color="auto"/>
                      <w:lang w:val="en-US" w:eastAsia="zh-CN" w:bidi="ar"/>
                    </w:rPr>
                    <w:t>学宫路废渣试验砖</w:t>
                  </w:r>
                </w:p>
              </w:tc>
              <w:tc>
                <w:tcPr>
                  <w:tcW w:w="1058" w:type="dxa"/>
                  <w:tcBorders>
                    <w:bottom w:val="single" w:color="auto" w:sz="12"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jc w:val="center"/>
                    <w:textAlignment w:val="auto"/>
                    <w:rPr>
                      <w:rFonts w:hint="default" w:ascii="宋体" w:hAnsi="宋体" w:eastAsia="宋体" w:cs="宋体"/>
                      <w:b w:val="0"/>
                      <w:bCs w:val="0"/>
                      <w:color w:val="auto"/>
                      <w:kern w:val="0"/>
                      <w:sz w:val="21"/>
                      <w:szCs w:val="21"/>
                      <w:u w:val="none" w:color="auto"/>
                      <w:vertAlign w:val="baseline"/>
                      <w:lang w:val="en-US" w:eastAsia="zh-CN" w:bidi="ar"/>
                    </w:rPr>
                  </w:pPr>
                  <w:r>
                    <w:rPr>
                      <w:rFonts w:hint="eastAsia" w:ascii="宋体" w:hAnsi="宋体" w:cs="宋体"/>
                      <w:b w:val="0"/>
                      <w:bCs w:val="0"/>
                      <w:color w:val="auto"/>
                      <w:kern w:val="0"/>
                      <w:sz w:val="21"/>
                      <w:szCs w:val="21"/>
                      <w:u w:val="none" w:color="auto"/>
                      <w:vertAlign w:val="baseline"/>
                      <w:lang w:val="en-US" w:eastAsia="zh-CN" w:bidi="ar"/>
                    </w:rPr>
                    <w:t>-</w:t>
                  </w:r>
                </w:p>
              </w:tc>
              <w:tc>
                <w:tcPr>
                  <w:tcW w:w="1144" w:type="dxa"/>
                  <w:tcBorders>
                    <w:bottom w:val="single" w:color="auto" w:sz="12"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jc w:val="center"/>
                    <w:textAlignment w:val="auto"/>
                    <w:rPr>
                      <w:rFonts w:hint="default" w:ascii="宋体" w:hAnsi="宋体" w:eastAsia="宋体" w:cs="宋体"/>
                      <w:b w:val="0"/>
                      <w:bCs w:val="0"/>
                      <w:color w:val="auto"/>
                      <w:kern w:val="0"/>
                      <w:sz w:val="21"/>
                      <w:szCs w:val="21"/>
                      <w:u w:val="none" w:color="auto"/>
                      <w:vertAlign w:val="baseline"/>
                      <w:lang w:val="en-US" w:eastAsia="zh-CN" w:bidi="ar"/>
                    </w:rPr>
                  </w:pPr>
                  <w:r>
                    <w:rPr>
                      <w:rFonts w:hint="eastAsia" w:ascii="宋体" w:hAnsi="宋体" w:cs="宋体"/>
                      <w:b w:val="0"/>
                      <w:bCs w:val="0"/>
                      <w:color w:val="auto"/>
                      <w:kern w:val="0"/>
                      <w:sz w:val="21"/>
                      <w:szCs w:val="21"/>
                      <w:u w:val="none" w:color="auto"/>
                      <w:vertAlign w:val="baseline"/>
                      <w:lang w:val="en-US" w:eastAsia="zh-CN" w:bidi="ar"/>
                    </w:rPr>
                    <w:t>-</w:t>
                  </w:r>
                </w:p>
              </w:tc>
              <w:tc>
                <w:tcPr>
                  <w:tcW w:w="1282" w:type="dxa"/>
                  <w:tcBorders>
                    <w:bottom w:val="single" w:color="auto" w:sz="12"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jc w:val="center"/>
                    <w:textAlignment w:val="auto"/>
                    <w:rPr>
                      <w:rFonts w:hint="default" w:ascii="宋体" w:hAnsi="宋体" w:eastAsia="宋体" w:cs="宋体"/>
                      <w:b w:val="0"/>
                      <w:bCs w:val="0"/>
                      <w:color w:val="auto"/>
                      <w:kern w:val="0"/>
                      <w:sz w:val="21"/>
                      <w:szCs w:val="21"/>
                      <w:u w:val="none" w:color="auto"/>
                      <w:vertAlign w:val="baseline"/>
                      <w:lang w:val="en-US" w:eastAsia="zh-CN" w:bidi="ar"/>
                    </w:rPr>
                  </w:pPr>
                  <w:r>
                    <w:rPr>
                      <w:rFonts w:hint="eastAsia" w:ascii="宋体" w:hAnsi="宋体" w:cs="宋体"/>
                      <w:b w:val="0"/>
                      <w:bCs w:val="0"/>
                      <w:color w:val="auto"/>
                      <w:kern w:val="0"/>
                      <w:sz w:val="21"/>
                      <w:szCs w:val="21"/>
                      <w:u w:val="none" w:color="auto"/>
                      <w:vertAlign w:val="baseline"/>
                      <w:lang w:val="en-US" w:eastAsia="zh-CN" w:bidi="ar"/>
                    </w:rPr>
                    <w:t>15%</w:t>
                  </w:r>
                </w:p>
              </w:tc>
              <w:tc>
                <w:tcPr>
                  <w:tcW w:w="1232" w:type="dxa"/>
                  <w:tcBorders>
                    <w:bottom w:val="single" w:color="auto" w:sz="12"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jc w:val="center"/>
                    <w:textAlignment w:val="auto"/>
                    <w:rPr>
                      <w:rFonts w:hint="default" w:ascii="宋体" w:hAnsi="宋体" w:eastAsia="宋体" w:cs="宋体"/>
                      <w:b w:val="0"/>
                      <w:bCs w:val="0"/>
                      <w:color w:val="auto"/>
                      <w:kern w:val="0"/>
                      <w:sz w:val="21"/>
                      <w:szCs w:val="21"/>
                      <w:u w:val="none" w:color="auto"/>
                      <w:vertAlign w:val="baseline"/>
                      <w:lang w:val="en-US" w:eastAsia="zh-CN" w:bidi="ar"/>
                    </w:rPr>
                  </w:pPr>
                  <w:r>
                    <w:rPr>
                      <w:rFonts w:hint="eastAsia" w:ascii="宋体" w:hAnsi="宋体" w:cs="宋体"/>
                      <w:b w:val="0"/>
                      <w:bCs w:val="0"/>
                      <w:color w:val="auto"/>
                      <w:kern w:val="0"/>
                      <w:sz w:val="21"/>
                      <w:szCs w:val="21"/>
                      <w:u w:val="none" w:color="auto"/>
                      <w:vertAlign w:val="baseline"/>
                      <w:lang w:val="en-US" w:eastAsia="zh-CN" w:bidi="ar"/>
                    </w:rPr>
                    <w:t>65%</w:t>
                  </w:r>
                </w:p>
              </w:tc>
              <w:tc>
                <w:tcPr>
                  <w:tcW w:w="1219" w:type="dxa"/>
                  <w:tcBorders>
                    <w:bottom w:val="single" w:color="auto" w:sz="12" w:space="0"/>
                    <w:right w:val="single" w:color="auto" w:sz="12"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jc w:val="center"/>
                    <w:textAlignment w:val="auto"/>
                    <w:rPr>
                      <w:rFonts w:hint="default" w:ascii="宋体" w:hAnsi="宋体" w:eastAsia="宋体" w:cs="宋体"/>
                      <w:b w:val="0"/>
                      <w:bCs w:val="0"/>
                      <w:color w:val="auto"/>
                      <w:kern w:val="0"/>
                      <w:sz w:val="21"/>
                      <w:szCs w:val="21"/>
                      <w:u w:val="none" w:color="auto"/>
                      <w:vertAlign w:val="baseline"/>
                      <w:lang w:val="en-US" w:eastAsia="zh-CN" w:bidi="ar"/>
                    </w:rPr>
                  </w:pPr>
                  <w:r>
                    <w:rPr>
                      <w:rFonts w:hint="eastAsia" w:ascii="宋体" w:hAnsi="宋体" w:cs="宋体"/>
                      <w:b w:val="0"/>
                      <w:bCs w:val="0"/>
                      <w:color w:val="auto"/>
                      <w:kern w:val="0"/>
                      <w:sz w:val="21"/>
                      <w:szCs w:val="21"/>
                      <w:u w:val="none" w:color="auto"/>
                      <w:vertAlign w:val="baseline"/>
                      <w:lang w:val="en-US" w:eastAsia="zh-CN" w:bidi="ar"/>
                    </w:rPr>
                    <w:t>20%</w:t>
                  </w:r>
                </w:p>
              </w:tc>
            </w:tr>
          </w:tbl>
          <w:p>
            <w:pPr>
              <w:pStyle w:val="24"/>
              <w:numPr>
                <w:ilvl w:val="0"/>
                <w:numId w:val="3"/>
              </w:numPr>
              <w:spacing w:after="0" w:line="360" w:lineRule="auto"/>
              <w:ind w:left="420" w:leftChars="200" w:firstLine="0" w:firstLineChars="0"/>
              <w:rPr>
                <w:rFonts w:hint="default"/>
                <w:b/>
                <w:bCs/>
                <w:color w:val="auto"/>
                <w:sz w:val="24"/>
                <w:highlight w:val="none"/>
                <w:u w:val="single" w:color="auto"/>
                <w:lang w:val="en-US" w:eastAsia="zh-CN"/>
              </w:rPr>
            </w:pPr>
            <w:r>
              <w:rPr>
                <w:rFonts w:hint="eastAsia"/>
                <w:b/>
                <w:bCs/>
                <w:color w:val="auto"/>
                <w:sz w:val="24"/>
                <w:highlight w:val="none"/>
                <w:u w:val="single" w:color="auto"/>
                <w:lang w:val="en-US" w:eastAsia="zh-CN"/>
              </w:rPr>
              <w:t>掺配比及中试结论</w:t>
            </w:r>
          </w:p>
          <w:p>
            <w:pPr>
              <w:spacing w:line="360" w:lineRule="auto"/>
              <w:ind w:firstLine="480" w:firstLineChars="200"/>
              <w:rPr>
                <w:rFonts w:hint="default" w:ascii="Times New Roman" w:hAnsi="Times New Roman" w:eastAsia="宋体" w:cs="Times New Roman"/>
                <w:color w:val="auto"/>
                <w:kern w:val="2"/>
                <w:sz w:val="24"/>
                <w:szCs w:val="24"/>
                <w:highlight w:val="none"/>
                <w:u w:val="single" w:color="auto"/>
                <w:lang w:val="en-US" w:eastAsia="zh-CN" w:bidi="ar-SA"/>
              </w:rPr>
            </w:pPr>
            <w:r>
              <w:rPr>
                <w:rFonts w:hint="eastAsia" w:ascii="Times New Roman" w:hAnsi="Times New Roman" w:eastAsia="宋体" w:cs="Times New Roman"/>
                <w:color w:val="auto"/>
                <w:kern w:val="2"/>
                <w:sz w:val="24"/>
                <w:szCs w:val="24"/>
                <w:highlight w:val="none"/>
                <w:u w:val="single" w:color="auto"/>
                <w:lang w:val="en-US" w:eastAsia="zh-CN" w:bidi="ar-SA"/>
              </w:rPr>
              <w:t>经过批量中试试验，掺比为25%黑泥试验组(1#组)，25%的钛石膏试验组，15%的学宫路废渣试验组，及不加固废的对照组，四组样品砖水浸检测结果表明浸出液的铜、镍、铅、锌、镉的达标率均高达100%，pH为6~9，各项指标符合《污水综合排放标准》（GB8978-1996）中一级标准，同时抗压强度满足《烧结普通砖》GB/T5101-2017标准中MU15砖强度要求，该试验掺比可做为下一步项目实施过程中固废掺量依据。本项目</w:t>
            </w:r>
            <w:r>
              <w:rPr>
                <w:rFonts w:hint="eastAsia" w:cs="Times New Roman"/>
                <w:color w:val="auto"/>
                <w:kern w:val="2"/>
                <w:sz w:val="24"/>
                <w:szCs w:val="24"/>
                <w:highlight w:val="none"/>
                <w:u w:val="single" w:color="auto"/>
                <w:lang w:val="en-US" w:eastAsia="zh-CN" w:bidi="ar-SA"/>
              </w:rPr>
              <w:t>掺配</w:t>
            </w:r>
            <w:r>
              <w:rPr>
                <w:rFonts w:hint="eastAsia" w:ascii="Times New Roman" w:hAnsi="Times New Roman" w:eastAsia="宋体" w:cs="Times New Roman"/>
                <w:color w:val="auto"/>
                <w:kern w:val="2"/>
                <w:sz w:val="24"/>
                <w:szCs w:val="24"/>
                <w:highlight w:val="none"/>
                <w:u w:val="single" w:color="auto"/>
                <w:lang w:val="en-US" w:eastAsia="zh-CN" w:bidi="ar-SA"/>
              </w:rPr>
              <w:t>固废比例统一按10%进行掺加，低于中试试验最大</w:t>
            </w:r>
            <w:r>
              <w:rPr>
                <w:rFonts w:hint="eastAsia" w:cs="Times New Roman"/>
                <w:color w:val="auto"/>
                <w:kern w:val="2"/>
                <w:sz w:val="24"/>
                <w:szCs w:val="24"/>
                <w:highlight w:val="none"/>
                <w:u w:val="single" w:color="auto"/>
                <w:lang w:val="en-US" w:eastAsia="zh-CN" w:bidi="ar-SA"/>
              </w:rPr>
              <w:t>掺配</w:t>
            </w:r>
            <w:r>
              <w:rPr>
                <w:rFonts w:hint="eastAsia" w:ascii="Times New Roman" w:hAnsi="Times New Roman" w:eastAsia="宋体" w:cs="Times New Roman"/>
                <w:color w:val="auto"/>
                <w:kern w:val="2"/>
                <w:sz w:val="24"/>
                <w:szCs w:val="24"/>
                <w:highlight w:val="none"/>
                <w:u w:val="single" w:color="auto"/>
                <w:lang w:val="en-US" w:eastAsia="zh-CN" w:bidi="ar-SA"/>
              </w:rPr>
              <w:t>比例。</w:t>
            </w:r>
          </w:p>
          <w:p>
            <w:pPr>
              <w:pStyle w:val="24"/>
              <w:keepNext w:val="0"/>
              <w:keepLines w:val="0"/>
              <w:pageBreakBefore w:val="0"/>
              <w:widowControl/>
              <w:numPr>
                <w:ilvl w:val="0"/>
                <w:numId w:val="3"/>
              </w:numPr>
              <w:kinsoku/>
              <w:wordWrap/>
              <w:overflowPunct/>
              <w:topLinePunct w:val="0"/>
              <w:bidi w:val="0"/>
              <w:spacing w:after="0" w:afterLines="0" w:line="360" w:lineRule="auto"/>
              <w:ind w:left="0" w:leftChars="0" w:firstLine="482" w:firstLineChars="200"/>
              <w:rPr>
                <w:rFonts w:hint="default" w:ascii="Times New Roman" w:hAnsi="Times New Roman" w:eastAsia="宋体" w:cs="Times New Roman"/>
                <w:b/>
                <w:bCs/>
                <w:color w:val="auto"/>
                <w:sz w:val="24"/>
                <w:highlight w:val="none"/>
                <w:u w:val="none" w:color="auto"/>
                <w:lang w:val="en-US" w:eastAsia="zh-CN"/>
              </w:rPr>
            </w:pPr>
            <w:r>
              <w:rPr>
                <w:rFonts w:hint="eastAsia" w:ascii="Times New Roman" w:hAnsi="Times New Roman" w:eastAsia="宋体" w:cs="Times New Roman"/>
                <w:b/>
                <w:bCs/>
                <w:color w:val="auto"/>
                <w:sz w:val="24"/>
                <w:highlight w:val="none"/>
                <w:u w:val="none" w:color="auto"/>
                <w:lang w:val="en-US" w:eastAsia="zh-CN"/>
              </w:rPr>
              <w:t>原中盐天友遗留废渣放射性调查结果</w:t>
            </w:r>
          </w:p>
          <w:p>
            <w:pPr>
              <w:spacing w:line="360" w:lineRule="auto"/>
              <w:ind w:firstLine="480" w:firstLineChars="200"/>
              <w:rPr>
                <w:rFonts w:hint="eastAsia" w:ascii="Times New Roman" w:hAnsi="Times New Roman" w:eastAsia="宋体" w:cs="Times New Roman"/>
                <w:color w:val="auto"/>
                <w:kern w:val="2"/>
                <w:sz w:val="24"/>
                <w:szCs w:val="24"/>
                <w:highlight w:val="none"/>
                <w:u w:val="none" w:color="auto"/>
                <w:lang w:val="en-US" w:eastAsia="zh-CN" w:bidi="ar-SA"/>
              </w:rPr>
            </w:pPr>
            <w:r>
              <w:rPr>
                <w:rFonts w:hint="default" w:ascii="Times New Roman" w:hAnsi="Times New Roman" w:eastAsia="宋体" w:cs="Times New Roman"/>
                <w:color w:val="auto"/>
                <w:kern w:val="2"/>
                <w:sz w:val="24"/>
                <w:szCs w:val="24"/>
                <w:highlight w:val="none"/>
                <w:u w:val="none" w:color="auto"/>
                <w:lang w:val="en-US" w:eastAsia="zh-CN" w:bidi="ar-SA"/>
              </w:rPr>
              <w:t>由于该废渣场地距离湘核新材放射性生产区域约300m,距离二七二放射性生产区域约500m,距离已闭库的二七二尾矿库约150m,加之钛白粉生产使用的钛金矿可能残留极少伴生放射性物质，存在被放射性污染的风险，从防止放射性交叉污染考虑，该废渣在再利用前有必要对其进行放射性调查</w:t>
            </w:r>
            <w:r>
              <w:rPr>
                <w:rFonts w:hint="eastAsia" w:ascii="Times New Roman" w:hAnsi="Times New Roman" w:eastAsia="宋体" w:cs="Times New Roman"/>
                <w:color w:val="auto"/>
                <w:kern w:val="2"/>
                <w:sz w:val="24"/>
                <w:szCs w:val="24"/>
                <w:highlight w:val="none"/>
                <w:u w:val="none" w:color="auto"/>
                <w:lang w:val="en-US" w:eastAsia="zh-CN" w:bidi="ar-SA"/>
              </w:rPr>
              <w:t>，经中核二七二铀业有限责任公司检测计量中心(具备CMA检测资质)对该渣堆表层样和柱状样分别进行铀、钍、镭含量/浓度检测。</w:t>
            </w:r>
          </w:p>
          <w:p>
            <w:pPr>
              <w:spacing w:line="360" w:lineRule="auto"/>
              <w:ind w:firstLine="480" w:firstLineChars="200"/>
              <w:rPr>
                <w:rFonts w:hint="eastAsia" w:ascii="Times New Roman" w:hAnsi="Times New Roman" w:eastAsia="宋体" w:cs="Times New Roman"/>
                <w:color w:val="auto"/>
                <w:kern w:val="2"/>
                <w:sz w:val="24"/>
                <w:szCs w:val="24"/>
                <w:highlight w:val="none"/>
                <w:u w:val="none" w:color="auto"/>
                <w:lang w:val="en-US" w:eastAsia="zh-CN" w:bidi="ar-SA"/>
              </w:rPr>
            </w:pPr>
            <w:r>
              <w:rPr>
                <w:rFonts w:hint="eastAsia" w:ascii="Times New Roman" w:hAnsi="Times New Roman" w:eastAsia="宋体" w:cs="Times New Roman"/>
                <w:color w:val="auto"/>
                <w:kern w:val="2"/>
                <w:sz w:val="24"/>
                <w:szCs w:val="24"/>
                <w:highlight w:val="none"/>
                <w:u w:val="none" w:color="auto"/>
                <w:lang w:val="en-US" w:eastAsia="zh-CN" w:bidi="ar-SA"/>
              </w:rPr>
              <w:t>表层样检测结果分别为U174Bq/kg、246Bq/kg、250Bq/kg,23Th161Bq/kg、250Bq/kg、116Bq/kg,22Ra314Bq/kg、456Bq/kg、208Bq/kg;与《中国环境天然放射性水平》比较：U-238浓度略高于衡阳地区土壤天然放射性核素U-238浓度水平(31.27--148.2Bq/kg)、Th-232与衡阳地区土壤天然放射性核素浓度水平(9.69--226.3Bq/kg)比较基本相当，Ra-226高于衡阳地区土壤天然放射性核素浓度水平(35.12--100.9Bq/kg)。</w:t>
            </w:r>
          </w:p>
          <w:p>
            <w:pPr>
              <w:spacing w:line="360" w:lineRule="auto"/>
              <w:ind w:firstLine="480" w:firstLineChars="200"/>
              <w:rPr>
                <w:rFonts w:hint="eastAsia" w:ascii="Times New Roman" w:hAnsi="Times New Roman" w:eastAsia="宋体" w:cs="Times New Roman"/>
                <w:color w:val="auto"/>
                <w:kern w:val="2"/>
                <w:sz w:val="24"/>
                <w:szCs w:val="24"/>
                <w:highlight w:val="none"/>
                <w:u w:val="none" w:color="auto"/>
                <w:lang w:val="en-US" w:eastAsia="zh-CN" w:bidi="ar-SA"/>
              </w:rPr>
            </w:pPr>
            <w:r>
              <w:rPr>
                <w:rFonts w:hint="eastAsia" w:ascii="Times New Roman" w:hAnsi="Times New Roman" w:eastAsia="宋体" w:cs="Times New Roman"/>
                <w:color w:val="auto"/>
                <w:kern w:val="2"/>
                <w:sz w:val="24"/>
                <w:szCs w:val="24"/>
                <w:highlight w:val="none"/>
                <w:u w:val="none" w:color="auto"/>
                <w:lang w:val="en-US" w:eastAsia="zh-CN" w:bidi="ar-SA"/>
              </w:rPr>
              <w:t>柱状样检测结果上层废渣(0-</w:t>
            </w:r>
            <w:r>
              <w:rPr>
                <w:rFonts w:hint="eastAsia" w:cs="Times New Roman"/>
                <w:color w:val="auto"/>
                <w:kern w:val="2"/>
                <w:sz w:val="24"/>
                <w:szCs w:val="24"/>
                <w:highlight w:val="none"/>
                <w:u w:val="none" w:color="auto"/>
                <w:lang w:val="en-US" w:eastAsia="zh-CN" w:bidi="ar-SA"/>
              </w:rPr>
              <w:t>3</w:t>
            </w:r>
            <w:r>
              <w:rPr>
                <w:rFonts w:hint="eastAsia" w:ascii="Times New Roman" w:hAnsi="Times New Roman" w:eastAsia="宋体" w:cs="Times New Roman"/>
                <w:color w:val="auto"/>
                <w:kern w:val="2"/>
                <w:sz w:val="24"/>
                <w:szCs w:val="24"/>
                <w:highlight w:val="none"/>
                <w:u w:val="none" w:color="auto"/>
                <w:lang w:val="en-US" w:eastAsia="zh-CN" w:bidi="ar-SA"/>
              </w:rPr>
              <w:t>米)238U174Bq/kg、255Bq/kg、123Bq/kg,232Th84.5Bq/kg、84.7Bq/kg、51.7Bq/kg,226Ra53.2Bq/kg、63Bq/kg、39Bq/kg。中层废渣(3-6米)238U48Bq/kg、199Bq/kg、174Bq/kg,232Th310Bq/kg、87.7Bq/kg、82Bq/kg,226Ra403Bq/kg、59.9Bq/kg、54.9Bq/kg。下层废渣(6-10米)238U917Bq/kg、548Bq/kg、281Bq/kg,232Th424Bq/kg、222Bq/kg、129Bq/kg,226Ra690Bq/kg、361Bq/kg、202Bq/kg。部分废渣样品较衡阳地区土壤天然放射性核素浓度偏高，但均低于天然放射性核素免管浓度值1000Bq/kg。具体检测结果详见附件</w:t>
            </w:r>
            <w:r>
              <w:rPr>
                <w:rFonts w:hint="eastAsia" w:ascii="Times New Roman" w:hAnsi="Times New Roman" w:cs="Times New Roman"/>
                <w:color w:val="auto"/>
                <w:kern w:val="2"/>
                <w:sz w:val="24"/>
                <w:szCs w:val="24"/>
                <w:highlight w:val="none"/>
                <w:u w:val="none" w:color="auto"/>
                <w:lang w:val="en-US" w:eastAsia="zh-CN" w:bidi="ar-SA"/>
              </w:rPr>
              <w:t>1</w:t>
            </w:r>
            <w:r>
              <w:rPr>
                <w:rFonts w:hint="eastAsia" w:cs="Times New Roman"/>
                <w:color w:val="auto"/>
                <w:kern w:val="2"/>
                <w:sz w:val="24"/>
                <w:szCs w:val="24"/>
                <w:highlight w:val="none"/>
                <w:u w:val="none" w:color="auto"/>
                <w:lang w:val="en-US" w:eastAsia="zh-CN" w:bidi="ar-SA"/>
              </w:rPr>
              <w:t>0</w:t>
            </w:r>
            <w:r>
              <w:rPr>
                <w:rFonts w:hint="eastAsia" w:ascii="Times New Roman" w:hAnsi="Times New Roman" w:eastAsia="宋体" w:cs="Times New Roman"/>
                <w:color w:val="auto"/>
                <w:kern w:val="2"/>
                <w:sz w:val="24"/>
                <w:szCs w:val="24"/>
                <w:highlight w:val="none"/>
                <w:u w:val="none" w:color="auto"/>
                <w:lang w:val="en-US" w:eastAsia="zh-CN" w:bidi="ar-SA"/>
              </w:rPr>
              <w:t>及附件</w:t>
            </w:r>
            <w:r>
              <w:rPr>
                <w:rFonts w:hint="eastAsia" w:ascii="Times New Roman" w:hAnsi="Times New Roman" w:cs="Times New Roman"/>
                <w:color w:val="auto"/>
                <w:kern w:val="2"/>
                <w:sz w:val="24"/>
                <w:szCs w:val="24"/>
                <w:highlight w:val="none"/>
                <w:u w:val="none" w:color="auto"/>
                <w:lang w:val="en-US" w:eastAsia="zh-CN" w:bidi="ar-SA"/>
              </w:rPr>
              <w:t>1</w:t>
            </w:r>
            <w:r>
              <w:rPr>
                <w:rFonts w:hint="eastAsia" w:cs="Times New Roman"/>
                <w:color w:val="auto"/>
                <w:kern w:val="2"/>
                <w:sz w:val="24"/>
                <w:szCs w:val="24"/>
                <w:highlight w:val="none"/>
                <w:u w:val="none" w:color="auto"/>
                <w:lang w:val="en-US" w:eastAsia="zh-CN" w:bidi="ar-SA"/>
              </w:rPr>
              <w:t>1</w:t>
            </w:r>
            <w:r>
              <w:rPr>
                <w:rFonts w:hint="eastAsia" w:ascii="Times New Roman" w:hAnsi="Times New Roman" w:eastAsia="宋体" w:cs="Times New Roman"/>
                <w:color w:val="auto"/>
                <w:kern w:val="2"/>
                <w:sz w:val="24"/>
                <w:szCs w:val="24"/>
                <w:highlight w:val="none"/>
                <w:u w:val="none" w:color="auto"/>
                <w:lang w:val="en-US" w:eastAsia="zh-CN" w:bidi="ar-SA"/>
              </w:rPr>
              <w:t>。</w:t>
            </w:r>
          </w:p>
          <w:p>
            <w:pPr>
              <w:spacing w:line="360" w:lineRule="auto"/>
              <w:ind w:firstLine="480" w:firstLineChars="200"/>
              <w:rPr>
                <w:rFonts w:hint="default" w:ascii="Times New Roman" w:hAnsi="Times New Roman" w:eastAsia="宋体" w:cs="Times New Roman"/>
                <w:color w:val="auto"/>
                <w:kern w:val="2"/>
                <w:sz w:val="24"/>
                <w:szCs w:val="24"/>
                <w:highlight w:val="none"/>
                <w:u w:val="none" w:color="auto"/>
                <w:lang w:val="en-US" w:eastAsia="zh-CN" w:bidi="ar-SA"/>
              </w:rPr>
            </w:pPr>
            <w:r>
              <w:rPr>
                <w:rFonts w:hint="default" w:ascii="Times New Roman" w:hAnsi="Times New Roman" w:eastAsia="宋体" w:cs="Times New Roman"/>
                <w:color w:val="auto"/>
                <w:kern w:val="2"/>
                <w:sz w:val="24"/>
                <w:szCs w:val="24"/>
                <w:highlight w:val="none"/>
                <w:u w:val="none" w:color="auto"/>
                <w:lang w:val="en-US" w:eastAsia="zh-CN" w:bidi="ar-SA"/>
              </w:rPr>
              <w:t>衡阳市生态环境局珠晖分局组织召开了《衡阳市珠晖区原中盐天友化工有限公司遗留废渣放射性调查报告</w:t>
            </w:r>
            <w:r>
              <w:rPr>
                <w:rFonts w:hint="eastAsia" w:ascii="Times New Roman" w:hAnsi="Times New Roman" w:eastAsia="宋体" w:cs="Times New Roman"/>
                <w:color w:val="auto"/>
                <w:kern w:val="2"/>
                <w:sz w:val="24"/>
                <w:szCs w:val="24"/>
                <w:highlight w:val="none"/>
                <w:u w:val="none" w:color="auto"/>
                <w:lang w:val="en-US" w:eastAsia="zh-CN" w:bidi="ar-SA"/>
              </w:rPr>
              <w:t>》</w:t>
            </w:r>
            <w:r>
              <w:rPr>
                <w:rFonts w:hint="default" w:ascii="Times New Roman" w:hAnsi="Times New Roman" w:eastAsia="宋体" w:cs="Times New Roman"/>
                <w:color w:val="auto"/>
                <w:kern w:val="2"/>
                <w:sz w:val="24"/>
                <w:szCs w:val="24"/>
                <w:highlight w:val="none"/>
                <w:u w:val="none" w:color="auto"/>
                <w:lang w:val="en-US" w:eastAsia="zh-CN" w:bidi="ar-SA"/>
              </w:rPr>
              <w:t>专家评审会，参加</w:t>
            </w:r>
            <w:r>
              <w:rPr>
                <w:rFonts w:hint="eastAsia" w:ascii="Times New Roman" w:hAnsi="Times New Roman" w:eastAsia="宋体" w:cs="Times New Roman"/>
                <w:color w:val="auto"/>
                <w:kern w:val="2"/>
                <w:sz w:val="24"/>
                <w:szCs w:val="24"/>
                <w:highlight w:val="none"/>
                <w:u w:val="none" w:color="auto"/>
                <w:lang w:val="en-US" w:eastAsia="zh-CN" w:bidi="ar-SA"/>
              </w:rPr>
              <w:t>评审会议的还有</w:t>
            </w:r>
            <w:r>
              <w:rPr>
                <w:rFonts w:hint="default" w:ascii="Times New Roman" w:hAnsi="Times New Roman" w:eastAsia="宋体" w:cs="Times New Roman"/>
                <w:color w:val="auto"/>
                <w:kern w:val="2"/>
                <w:sz w:val="24"/>
                <w:szCs w:val="24"/>
                <w:highlight w:val="none"/>
                <w:u w:val="none" w:color="auto"/>
                <w:lang w:val="en-US" w:eastAsia="zh-CN" w:bidi="ar-SA"/>
              </w:rPr>
              <w:t>会议有衡阳市生态环境局核与辐射管理科、固体废物与化学品科、土壤生态环境科、衡阳市珠晖区农业文旅经营有限公司(业主单位)</w:t>
            </w:r>
            <w:r>
              <w:rPr>
                <w:rFonts w:hint="eastAsia" w:ascii="Times New Roman" w:hAnsi="Times New Roman" w:eastAsia="宋体" w:cs="Times New Roman"/>
                <w:color w:val="auto"/>
                <w:kern w:val="2"/>
                <w:sz w:val="24"/>
                <w:szCs w:val="24"/>
                <w:highlight w:val="none"/>
                <w:u w:val="none" w:color="auto"/>
                <w:lang w:val="en-US" w:eastAsia="zh-CN" w:bidi="ar-SA"/>
              </w:rPr>
              <w:t>，会议邀请了3名辐射方面专家组成评审小组。根据评审会议专家意见，认为衡阳市原中盐天友化工有限公司遗留废渣其放射性单一核素均处于豁免水平以下(不属于放射性固体废物),但高于当地天然放射性本底水平，不宜用于食品行业，可作为其他行业(如制砖)的搭配原料(所制成的产品应保证满足行业对放射性的标准要求)。所以，原中盐天友遗留废渣送砖厂资源化利用从辐射防护角度考虑可行。辐射调查报告专家意见见附件</w:t>
            </w:r>
            <w:r>
              <w:rPr>
                <w:rFonts w:hint="eastAsia" w:cs="Times New Roman"/>
                <w:color w:val="auto"/>
                <w:kern w:val="2"/>
                <w:sz w:val="24"/>
                <w:szCs w:val="24"/>
                <w:highlight w:val="none"/>
                <w:u w:val="none" w:color="auto"/>
                <w:lang w:val="en-US" w:eastAsia="zh-CN" w:bidi="ar-SA"/>
              </w:rPr>
              <w:t>12</w:t>
            </w:r>
            <w:r>
              <w:rPr>
                <w:rFonts w:hint="eastAsia" w:ascii="Times New Roman" w:hAnsi="Times New Roman" w:eastAsia="宋体" w:cs="Times New Roman"/>
                <w:color w:val="auto"/>
                <w:kern w:val="2"/>
                <w:sz w:val="24"/>
                <w:szCs w:val="24"/>
                <w:highlight w:val="none"/>
                <w:u w:val="none" w:color="auto"/>
                <w:lang w:val="en-US" w:eastAsia="zh-CN" w:bidi="ar-SA"/>
              </w:rPr>
              <w:t>原中盐天友化工有限公司放射性调查专家意见。</w:t>
            </w:r>
          </w:p>
          <w:p>
            <w:pPr>
              <w:pStyle w:val="24"/>
              <w:numPr>
                <w:ilvl w:val="0"/>
                <w:numId w:val="3"/>
              </w:numPr>
              <w:spacing w:after="0" w:line="360" w:lineRule="auto"/>
              <w:ind w:left="420" w:leftChars="200" w:firstLine="0" w:firstLineChars="0"/>
              <w:rPr>
                <w:rFonts w:hint="default"/>
                <w:b/>
                <w:bCs/>
                <w:color w:val="auto"/>
                <w:sz w:val="24"/>
                <w:highlight w:val="none"/>
                <w:u w:val="none" w:color="auto"/>
                <w:lang w:val="en-US" w:eastAsia="zh-CN"/>
              </w:rPr>
            </w:pPr>
            <w:r>
              <w:rPr>
                <w:rFonts w:hint="default"/>
                <w:b/>
                <w:bCs/>
                <w:color w:val="auto"/>
                <w:sz w:val="24"/>
                <w:highlight w:val="none"/>
                <w:u w:val="none" w:color="auto"/>
                <w:lang w:val="en-US" w:eastAsia="zh-CN"/>
              </w:rPr>
              <w:t>实施方案主要结论</w:t>
            </w:r>
          </w:p>
          <w:p>
            <w:pPr>
              <w:spacing w:line="360" w:lineRule="auto"/>
              <w:ind w:firstLine="480" w:firstLineChars="200"/>
              <w:rPr>
                <w:rFonts w:hint="eastAsia" w:ascii="Times New Roman" w:hAnsi="Times New Roman" w:eastAsia="宋体" w:cs="Times New Roman"/>
                <w:color w:val="auto"/>
                <w:kern w:val="2"/>
                <w:sz w:val="24"/>
                <w:szCs w:val="24"/>
                <w:highlight w:val="none"/>
                <w:u w:val="none" w:color="auto"/>
                <w:lang w:val="en-US" w:eastAsia="zh-CN" w:bidi="ar-SA"/>
              </w:rPr>
            </w:pPr>
            <w:r>
              <w:rPr>
                <w:rFonts w:hint="eastAsia" w:ascii="Times New Roman" w:hAnsi="Times New Roman" w:eastAsia="宋体" w:cs="Times New Roman"/>
                <w:color w:val="auto"/>
                <w:kern w:val="2"/>
                <w:sz w:val="24"/>
                <w:szCs w:val="24"/>
                <w:highlight w:val="none"/>
                <w:u w:val="none" w:color="auto"/>
                <w:lang w:val="en-US" w:eastAsia="zh-CN" w:bidi="ar-SA"/>
              </w:rPr>
              <w:t>在选取的砖厂拥有相应配套二次污染防治措施及经济可行的前提下，可彻底解决原中盐天友遗留废渣问题，从经济性及技术角度，考虑采取制砖资源化利用的方式处置原中盐天友遗留废渣。</w:t>
            </w:r>
          </w:p>
          <w:p>
            <w:pPr>
              <w:pStyle w:val="24"/>
              <w:numPr>
                <w:ilvl w:val="0"/>
                <w:numId w:val="3"/>
              </w:numPr>
              <w:spacing w:after="0" w:line="360" w:lineRule="auto"/>
              <w:ind w:left="420" w:leftChars="200" w:firstLine="0" w:firstLineChars="0"/>
              <w:rPr>
                <w:rFonts w:hint="default" w:ascii="Times New Roman" w:hAnsi="Times New Roman" w:eastAsia="宋体" w:cs="Times New Roman"/>
                <w:b/>
                <w:bCs/>
                <w:color w:val="auto"/>
                <w:sz w:val="24"/>
                <w:highlight w:val="none"/>
                <w:u w:val="none" w:color="auto"/>
                <w:lang w:val="en-US" w:eastAsia="zh-CN"/>
              </w:rPr>
            </w:pPr>
            <w:r>
              <w:rPr>
                <w:rFonts w:hint="eastAsia" w:ascii="Times New Roman" w:hAnsi="Times New Roman" w:eastAsia="宋体" w:cs="Times New Roman"/>
                <w:b/>
                <w:bCs/>
                <w:color w:val="auto"/>
                <w:sz w:val="24"/>
                <w:highlight w:val="none"/>
                <w:u w:val="none" w:color="auto"/>
                <w:lang w:val="en-US" w:eastAsia="zh-CN"/>
              </w:rPr>
              <w:t>制砖可行性分析结论</w:t>
            </w:r>
          </w:p>
          <w:p>
            <w:pPr>
              <w:spacing w:line="360" w:lineRule="auto"/>
              <w:ind w:firstLine="480" w:firstLineChars="200"/>
              <w:rPr>
                <w:rFonts w:hint="default" w:ascii="Times New Roman" w:hAnsi="Times New Roman" w:eastAsia="宋体" w:cs="Times New Roman"/>
                <w:color w:val="auto"/>
                <w:kern w:val="2"/>
                <w:sz w:val="24"/>
                <w:szCs w:val="24"/>
                <w:highlight w:val="none"/>
                <w:u w:val="none" w:color="auto"/>
                <w:lang w:val="en-US" w:eastAsia="zh-CN" w:bidi="ar-SA"/>
              </w:rPr>
            </w:pPr>
            <w:r>
              <w:rPr>
                <w:rFonts w:hint="eastAsia" w:ascii="Times New Roman" w:hAnsi="Times New Roman" w:eastAsia="宋体" w:cs="Times New Roman"/>
                <w:color w:val="auto"/>
                <w:kern w:val="2"/>
                <w:sz w:val="24"/>
                <w:szCs w:val="24"/>
                <w:highlight w:val="none"/>
                <w:u w:val="none" w:color="auto"/>
                <w:lang w:val="en-US" w:eastAsia="zh-CN" w:bidi="ar-SA"/>
              </w:rPr>
              <w:t>综合以上分析，本项目</w:t>
            </w:r>
            <w:r>
              <w:rPr>
                <w:rFonts w:hint="eastAsia" w:cs="Times New Roman"/>
                <w:color w:val="auto"/>
                <w:kern w:val="2"/>
                <w:sz w:val="24"/>
                <w:szCs w:val="24"/>
                <w:highlight w:val="none"/>
                <w:u w:val="none" w:color="auto"/>
                <w:lang w:val="en-US" w:eastAsia="zh-CN" w:bidi="ar-SA"/>
              </w:rPr>
              <w:t>掺配</w:t>
            </w:r>
            <w:r>
              <w:rPr>
                <w:rFonts w:hint="eastAsia" w:ascii="Times New Roman" w:hAnsi="Times New Roman" w:eastAsia="宋体" w:cs="Times New Roman"/>
                <w:color w:val="auto"/>
                <w:kern w:val="2"/>
                <w:sz w:val="24"/>
                <w:szCs w:val="24"/>
                <w:highlight w:val="none"/>
                <w:u w:val="none" w:color="auto"/>
                <w:lang w:val="en-US" w:eastAsia="zh-CN" w:bidi="ar-SA"/>
              </w:rPr>
              <w:t>原中盐天友遗留废渣制砖，从环保、经济等方面考量可行。</w:t>
            </w:r>
          </w:p>
          <w:p>
            <w:pPr>
              <w:spacing w:line="360" w:lineRule="auto"/>
              <w:ind w:firstLine="482" w:firstLineChars="200"/>
              <w:rPr>
                <w:b/>
                <w:bCs/>
                <w:color w:val="auto"/>
                <w:sz w:val="24"/>
                <w:highlight w:val="none"/>
                <w:u w:val="none" w:color="auto"/>
              </w:rPr>
            </w:pPr>
            <w:r>
              <w:rPr>
                <w:rFonts w:hint="eastAsia"/>
                <w:b/>
                <w:bCs/>
                <w:color w:val="auto"/>
                <w:sz w:val="24"/>
                <w:highlight w:val="none"/>
                <w:u w:val="none" w:color="auto"/>
                <w:lang w:val="en-US" w:eastAsia="zh-CN"/>
              </w:rPr>
              <w:t>7</w:t>
            </w:r>
            <w:r>
              <w:rPr>
                <w:b/>
                <w:bCs/>
                <w:color w:val="auto"/>
                <w:sz w:val="24"/>
                <w:highlight w:val="none"/>
                <w:u w:val="none" w:color="auto"/>
              </w:rPr>
              <w:t>、公用工程</w:t>
            </w:r>
          </w:p>
          <w:p>
            <w:pPr>
              <w:spacing w:line="360" w:lineRule="auto"/>
              <w:ind w:firstLine="482" w:firstLineChars="200"/>
              <w:rPr>
                <w:b/>
                <w:bCs/>
                <w:color w:val="auto"/>
                <w:sz w:val="24"/>
                <w:highlight w:val="none"/>
                <w:u w:val="none" w:color="auto"/>
              </w:rPr>
            </w:pPr>
            <w:r>
              <w:rPr>
                <w:b/>
                <w:bCs/>
                <w:color w:val="auto"/>
                <w:sz w:val="24"/>
                <w:highlight w:val="none"/>
                <w:u w:val="none" w:color="auto"/>
              </w:rPr>
              <w:t>（1）给、排水</w:t>
            </w:r>
          </w:p>
          <w:p>
            <w:pPr>
              <w:pStyle w:val="24"/>
              <w:spacing w:after="0" w:line="360" w:lineRule="auto"/>
              <w:ind w:left="0" w:leftChars="0" w:firstLine="465"/>
              <w:rPr>
                <w:color w:val="auto"/>
                <w:sz w:val="24"/>
                <w:szCs w:val="24"/>
                <w:highlight w:val="none"/>
                <w:u w:val="none" w:color="auto"/>
              </w:rPr>
            </w:pPr>
            <w:r>
              <w:rPr>
                <w:color w:val="auto"/>
                <w:sz w:val="24"/>
                <w:szCs w:val="24"/>
                <w:highlight w:val="none"/>
                <w:u w:val="none" w:color="auto"/>
              </w:rPr>
              <w:t>①给水</w:t>
            </w:r>
          </w:p>
          <w:p>
            <w:pPr>
              <w:pStyle w:val="24"/>
              <w:spacing w:after="0" w:line="360" w:lineRule="auto"/>
              <w:ind w:left="0" w:leftChars="0" w:firstLine="465"/>
              <w:rPr>
                <w:color w:val="auto"/>
                <w:sz w:val="24"/>
                <w:szCs w:val="24"/>
                <w:highlight w:val="none"/>
                <w:u w:val="none" w:color="auto"/>
              </w:rPr>
            </w:pPr>
            <w:r>
              <w:rPr>
                <w:color w:val="auto"/>
                <w:sz w:val="24"/>
                <w:szCs w:val="24"/>
                <w:highlight w:val="none"/>
                <w:u w:val="none" w:color="auto"/>
              </w:rPr>
              <w:t>A、供水水源</w:t>
            </w:r>
          </w:p>
          <w:p>
            <w:pPr>
              <w:pStyle w:val="24"/>
              <w:spacing w:after="0" w:line="360" w:lineRule="auto"/>
              <w:ind w:left="0" w:leftChars="0" w:firstLine="465"/>
              <w:rPr>
                <w:color w:val="auto"/>
                <w:sz w:val="24"/>
                <w:szCs w:val="24"/>
                <w:highlight w:val="none"/>
                <w:u w:val="none" w:color="auto"/>
              </w:rPr>
            </w:pPr>
            <w:r>
              <w:rPr>
                <w:color w:val="auto"/>
                <w:sz w:val="24"/>
                <w:szCs w:val="24"/>
                <w:highlight w:val="none"/>
                <w:u w:val="none" w:color="auto"/>
              </w:rPr>
              <w:t>项目员工生活用水来自自打井水，生产用水来源于收集的雨水和厂区西侧的水塘。</w:t>
            </w:r>
          </w:p>
          <w:p>
            <w:pPr>
              <w:pStyle w:val="24"/>
              <w:spacing w:after="0" w:line="360" w:lineRule="auto"/>
              <w:ind w:left="0" w:leftChars="0" w:firstLine="465"/>
              <w:rPr>
                <w:color w:val="auto"/>
                <w:sz w:val="24"/>
                <w:szCs w:val="24"/>
                <w:highlight w:val="none"/>
                <w:u w:val="none" w:color="auto"/>
              </w:rPr>
            </w:pPr>
            <w:r>
              <w:rPr>
                <w:color w:val="auto"/>
                <w:sz w:val="24"/>
                <w:szCs w:val="24"/>
                <w:highlight w:val="none"/>
                <w:u w:val="none" w:color="auto"/>
              </w:rPr>
              <w:t>B、用水量</w:t>
            </w:r>
          </w:p>
          <w:p>
            <w:pPr>
              <w:pStyle w:val="24"/>
              <w:spacing w:after="0" w:line="360" w:lineRule="auto"/>
              <w:ind w:left="0" w:leftChars="0" w:firstLine="465"/>
              <w:rPr>
                <w:color w:val="auto"/>
                <w:sz w:val="24"/>
                <w:szCs w:val="24"/>
                <w:highlight w:val="none"/>
                <w:u w:val="none" w:color="auto"/>
              </w:rPr>
            </w:pPr>
            <w:r>
              <w:rPr>
                <w:b/>
                <w:bCs/>
                <w:color w:val="auto"/>
                <w:sz w:val="24"/>
                <w:szCs w:val="24"/>
                <w:highlight w:val="none"/>
                <w:u w:val="none" w:color="auto"/>
              </w:rPr>
              <w:t>生活用水：</w:t>
            </w:r>
            <w:r>
              <w:rPr>
                <w:color w:val="auto"/>
                <w:sz w:val="24"/>
                <w:szCs w:val="24"/>
                <w:highlight w:val="none"/>
                <w:u w:val="none" w:color="auto"/>
              </w:rPr>
              <w:t>本项目不新增人员</w:t>
            </w:r>
            <w:r>
              <w:rPr>
                <w:rFonts w:hint="eastAsia"/>
                <w:color w:val="auto"/>
                <w:sz w:val="24"/>
                <w:szCs w:val="24"/>
                <w:highlight w:val="none"/>
                <w:u w:val="none" w:color="auto"/>
                <w:lang w:eastAsia="zh-CN"/>
              </w:rPr>
              <w:t>，</w:t>
            </w:r>
            <w:r>
              <w:rPr>
                <w:rFonts w:hint="eastAsia"/>
                <w:color w:val="auto"/>
                <w:sz w:val="24"/>
                <w:szCs w:val="24"/>
                <w:highlight w:val="none"/>
                <w:u w:val="none" w:color="auto"/>
                <w:lang w:val="en-US" w:eastAsia="zh-CN"/>
              </w:rPr>
              <w:t>依托原产线工作人员</w:t>
            </w:r>
            <w:r>
              <w:rPr>
                <w:color w:val="auto"/>
                <w:sz w:val="24"/>
                <w:szCs w:val="24"/>
                <w:highlight w:val="none"/>
                <w:u w:val="none" w:color="auto"/>
              </w:rPr>
              <w:t>，</w:t>
            </w:r>
            <w:r>
              <w:rPr>
                <w:rFonts w:hint="eastAsia"/>
                <w:color w:val="auto"/>
                <w:sz w:val="24"/>
                <w:szCs w:val="24"/>
                <w:highlight w:val="none"/>
                <w:u w:val="none" w:color="auto"/>
                <w:lang w:eastAsia="zh-CN"/>
              </w:rPr>
              <w:t>只为常驻员工提供住宿，不设置食堂，其中</w:t>
            </w:r>
            <w:r>
              <w:rPr>
                <w:color w:val="auto"/>
                <w:sz w:val="24"/>
                <w:szCs w:val="24"/>
                <w:highlight w:val="none"/>
                <w:u w:val="none" w:color="auto"/>
              </w:rPr>
              <w:t>常驻职工即在厂内</w:t>
            </w:r>
            <w:r>
              <w:rPr>
                <w:rFonts w:hint="eastAsia"/>
                <w:color w:val="auto"/>
                <w:sz w:val="24"/>
                <w:szCs w:val="24"/>
                <w:highlight w:val="none"/>
                <w:u w:val="none" w:color="auto"/>
                <w:lang w:val="en-US" w:eastAsia="zh-CN"/>
              </w:rPr>
              <w:t>住</w:t>
            </w:r>
            <w:r>
              <w:rPr>
                <w:color w:val="auto"/>
                <w:sz w:val="24"/>
                <w:szCs w:val="24"/>
                <w:highlight w:val="none"/>
                <w:u w:val="none" w:color="auto"/>
              </w:rPr>
              <w:t>宿人员</w:t>
            </w:r>
            <w:r>
              <w:rPr>
                <w:rFonts w:hint="eastAsia"/>
                <w:color w:val="auto"/>
                <w:sz w:val="24"/>
                <w:szCs w:val="24"/>
                <w:highlight w:val="none"/>
                <w:u w:val="none" w:color="auto"/>
                <w:lang w:val="en-US" w:eastAsia="zh-CN"/>
              </w:rPr>
              <w:t>为20</w:t>
            </w:r>
            <w:r>
              <w:rPr>
                <w:color w:val="auto"/>
                <w:sz w:val="24"/>
                <w:szCs w:val="24"/>
                <w:highlight w:val="none"/>
                <w:u w:val="none" w:color="auto"/>
              </w:rPr>
              <w:t>人。用水</w:t>
            </w:r>
            <w:r>
              <w:rPr>
                <w:rFonts w:hint="eastAsia"/>
                <w:color w:val="auto"/>
                <w:sz w:val="24"/>
                <w:szCs w:val="24"/>
                <w:highlight w:val="none"/>
                <w:u w:val="none" w:color="auto"/>
                <w:lang w:val="en-US" w:eastAsia="zh-CN"/>
              </w:rPr>
              <w:t>根据《湖南省用水定额（DB43T388-2020》</w:t>
            </w:r>
            <w:r>
              <w:rPr>
                <w:color w:val="auto"/>
                <w:sz w:val="24"/>
                <w:szCs w:val="24"/>
                <w:highlight w:val="none"/>
                <w:u w:val="none" w:color="auto"/>
              </w:rPr>
              <w:t>，在厂内</w:t>
            </w:r>
            <w:r>
              <w:rPr>
                <w:rFonts w:hint="eastAsia"/>
                <w:color w:val="auto"/>
                <w:sz w:val="24"/>
                <w:szCs w:val="24"/>
                <w:highlight w:val="none"/>
                <w:u w:val="none" w:color="auto"/>
                <w:lang w:val="en-US" w:eastAsia="zh-CN"/>
              </w:rPr>
              <w:t>住</w:t>
            </w:r>
            <w:r>
              <w:rPr>
                <w:color w:val="auto"/>
                <w:sz w:val="24"/>
                <w:szCs w:val="24"/>
                <w:highlight w:val="none"/>
                <w:u w:val="none" w:color="auto"/>
              </w:rPr>
              <w:t>宿人员用水量按照1</w:t>
            </w:r>
            <w:r>
              <w:rPr>
                <w:rFonts w:hint="eastAsia"/>
                <w:color w:val="auto"/>
                <w:sz w:val="24"/>
                <w:szCs w:val="24"/>
                <w:highlight w:val="none"/>
                <w:u w:val="none" w:color="auto"/>
                <w:lang w:val="en-US" w:eastAsia="zh-CN"/>
              </w:rPr>
              <w:t>5</w:t>
            </w:r>
            <w:r>
              <w:rPr>
                <w:color w:val="auto"/>
                <w:sz w:val="24"/>
                <w:szCs w:val="24"/>
                <w:highlight w:val="none"/>
                <w:u w:val="none" w:color="auto"/>
              </w:rPr>
              <w:t>0L/人•d计算，则本项目生活用水总量为</w:t>
            </w:r>
            <w:r>
              <w:rPr>
                <w:rFonts w:hint="eastAsia"/>
                <w:color w:val="auto"/>
                <w:sz w:val="24"/>
                <w:szCs w:val="24"/>
                <w:highlight w:val="none"/>
                <w:u w:val="none" w:color="auto"/>
                <w:lang w:val="en-US" w:eastAsia="zh-CN"/>
              </w:rPr>
              <w:t>3.0</w:t>
            </w:r>
            <w:r>
              <w:rPr>
                <w:rFonts w:hint="eastAsia"/>
                <w:color w:val="auto"/>
                <w:sz w:val="24"/>
                <w:szCs w:val="24"/>
                <w:highlight w:val="none"/>
                <w:u w:val="none" w:color="auto"/>
                <w:lang w:eastAsia="zh-CN"/>
              </w:rPr>
              <w:t>m³</w:t>
            </w:r>
            <w:r>
              <w:rPr>
                <w:color w:val="auto"/>
                <w:sz w:val="24"/>
                <w:szCs w:val="24"/>
                <w:highlight w:val="none"/>
                <w:u w:val="none" w:color="auto"/>
              </w:rPr>
              <w:t>/d（</w:t>
            </w:r>
            <w:r>
              <w:rPr>
                <w:rFonts w:hint="eastAsia"/>
                <w:color w:val="auto"/>
                <w:sz w:val="24"/>
                <w:szCs w:val="24"/>
                <w:highlight w:val="none"/>
                <w:u w:val="none" w:color="auto"/>
                <w:lang w:val="en-US" w:eastAsia="zh-CN"/>
              </w:rPr>
              <w:t>90</w:t>
            </w:r>
            <w:r>
              <w:rPr>
                <w:color w:val="auto"/>
                <w:sz w:val="24"/>
                <w:szCs w:val="24"/>
                <w:highlight w:val="none"/>
                <w:u w:val="none" w:color="auto"/>
              </w:rPr>
              <w:t>0</w:t>
            </w:r>
            <w:r>
              <w:rPr>
                <w:rFonts w:hint="eastAsia"/>
                <w:color w:val="auto"/>
                <w:sz w:val="24"/>
                <w:szCs w:val="24"/>
                <w:highlight w:val="none"/>
                <w:u w:val="none" w:color="auto"/>
                <w:lang w:eastAsia="zh-CN"/>
              </w:rPr>
              <w:t>m³</w:t>
            </w:r>
            <w:r>
              <w:rPr>
                <w:color w:val="auto"/>
                <w:sz w:val="24"/>
                <w:szCs w:val="24"/>
                <w:highlight w:val="none"/>
                <w:u w:val="none" w:color="auto"/>
              </w:rPr>
              <w:t>/a）。</w:t>
            </w:r>
          </w:p>
          <w:p>
            <w:pPr>
              <w:pStyle w:val="24"/>
              <w:spacing w:after="0" w:line="360" w:lineRule="auto"/>
              <w:ind w:left="0" w:leftChars="0" w:firstLine="465"/>
              <w:rPr>
                <w:b/>
                <w:bCs/>
                <w:color w:val="auto"/>
                <w:sz w:val="24"/>
                <w:szCs w:val="24"/>
                <w:highlight w:val="none"/>
                <w:u w:val="none" w:color="auto"/>
              </w:rPr>
            </w:pPr>
            <w:r>
              <w:rPr>
                <w:b/>
                <w:bCs/>
                <w:color w:val="auto"/>
                <w:sz w:val="24"/>
                <w:szCs w:val="24"/>
                <w:highlight w:val="none"/>
                <w:u w:val="none" w:color="auto"/>
              </w:rPr>
              <w:t>生产工艺用水：</w:t>
            </w:r>
            <w:r>
              <w:rPr>
                <w:color w:val="auto"/>
                <w:sz w:val="24"/>
                <w:szCs w:val="24"/>
                <w:highlight w:val="none"/>
                <w:u w:val="none" w:color="auto"/>
              </w:rPr>
              <w:t>本项目生产工艺用水主要包含搅拌工序加水拌和用水。</w:t>
            </w:r>
            <w:r>
              <w:rPr>
                <w:rFonts w:hint="eastAsia"/>
                <w:color w:val="auto"/>
                <w:sz w:val="24"/>
                <w:szCs w:val="24"/>
                <w:highlight w:val="none"/>
                <w:u w:val="none" w:color="auto"/>
                <w:lang w:val="en-US" w:eastAsia="zh-CN"/>
              </w:rPr>
              <w:t>根据资料收集及业主所提供资料，在制砖和泥过程中，日平均用水约22.5</w:t>
            </w:r>
            <w:r>
              <w:rPr>
                <w:rFonts w:hint="eastAsia"/>
                <w:color w:val="auto"/>
                <w:sz w:val="24"/>
                <w:szCs w:val="24"/>
                <w:highlight w:val="none"/>
                <w:u w:val="none" w:color="auto"/>
                <w:lang w:eastAsia="zh-CN"/>
              </w:rPr>
              <w:t>m³</w:t>
            </w:r>
            <w:r>
              <w:rPr>
                <w:color w:val="auto"/>
                <w:sz w:val="24"/>
                <w:szCs w:val="24"/>
                <w:highlight w:val="none"/>
                <w:u w:val="none" w:color="auto"/>
              </w:rPr>
              <w:t>/d（</w:t>
            </w:r>
            <w:r>
              <w:rPr>
                <w:rFonts w:hint="eastAsia"/>
                <w:color w:val="auto"/>
                <w:sz w:val="24"/>
                <w:szCs w:val="24"/>
                <w:highlight w:val="none"/>
                <w:u w:val="none" w:color="auto"/>
                <w:lang w:val="en-US" w:eastAsia="zh-CN"/>
              </w:rPr>
              <w:t>6750</w:t>
            </w:r>
            <w:r>
              <w:rPr>
                <w:rFonts w:hint="eastAsia"/>
                <w:color w:val="auto"/>
                <w:sz w:val="24"/>
                <w:szCs w:val="24"/>
                <w:highlight w:val="none"/>
                <w:u w:val="none" w:color="auto"/>
                <w:lang w:eastAsia="zh-CN"/>
              </w:rPr>
              <w:t>m³</w:t>
            </w:r>
            <w:r>
              <w:rPr>
                <w:color w:val="auto"/>
                <w:sz w:val="24"/>
                <w:szCs w:val="24"/>
                <w:highlight w:val="none"/>
                <w:u w:val="none" w:color="auto"/>
              </w:rPr>
              <w:t>/a）。搅拌制砖用水经干燥焙烧后，约95%的搅拌用水以蒸汽的形式蒸发掉，其余进入产品中。</w:t>
            </w:r>
          </w:p>
          <w:p>
            <w:pPr>
              <w:pStyle w:val="24"/>
              <w:spacing w:after="0" w:line="360" w:lineRule="auto"/>
              <w:ind w:left="0" w:leftChars="0" w:firstLine="465"/>
              <w:rPr>
                <w:rFonts w:hint="default"/>
                <w:color w:val="auto"/>
                <w:sz w:val="24"/>
                <w:szCs w:val="24"/>
                <w:highlight w:val="none"/>
                <w:u w:val="none" w:color="auto"/>
                <w:lang w:val="en-US"/>
              </w:rPr>
            </w:pPr>
            <w:r>
              <w:rPr>
                <w:b/>
                <w:bCs/>
                <w:color w:val="auto"/>
                <w:sz w:val="24"/>
                <w:szCs w:val="24"/>
                <w:highlight w:val="none"/>
                <w:u w:val="none" w:color="auto"/>
              </w:rPr>
              <w:t>脱硫塔补充水：</w:t>
            </w:r>
            <w:r>
              <w:rPr>
                <w:color w:val="auto"/>
                <w:sz w:val="24"/>
                <w:szCs w:val="24"/>
                <w:highlight w:val="none"/>
                <w:u w:val="none" w:color="auto"/>
              </w:rPr>
              <w:t>项目砖窑燃烧烟气采用水</w:t>
            </w:r>
            <w:r>
              <w:rPr>
                <w:rFonts w:hint="eastAsia"/>
                <w:color w:val="auto"/>
                <w:sz w:val="24"/>
                <w:szCs w:val="24"/>
                <w:highlight w:val="none"/>
                <w:u w:val="none" w:color="auto"/>
                <w:lang w:val="en-US" w:eastAsia="zh-CN"/>
              </w:rPr>
              <w:t>湿式氢氧化钠法</w:t>
            </w:r>
            <w:r>
              <w:rPr>
                <w:color w:val="auto"/>
                <w:sz w:val="24"/>
                <w:szCs w:val="24"/>
                <w:highlight w:val="none"/>
                <w:u w:val="none" w:color="auto"/>
              </w:rPr>
              <w:t>脱硫除尘工艺设施进行处理，处理后废水经沉淀池沉淀后上清液可循环使用，不外排。仅需补充因蒸发和淤泥存留损失的新鲜水，除尘脱硫水在洗涤塔与沉淀池之间闭路循环，蒸发损耗量较少，</w:t>
            </w:r>
            <w:r>
              <w:rPr>
                <w:rFonts w:hint="eastAsia"/>
                <w:color w:val="auto"/>
                <w:sz w:val="24"/>
                <w:szCs w:val="24"/>
                <w:highlight w:val="none"/>
                <w:u w:val="none" w:color="auto"/>
                <w:lang w:val="en-US" w:eastAsia="zh-CN"/>
              </w:rPr>
              <w:t>每天</w:t>
            </w:r>
            <w:r>
              <w:rPr>
                <w:color w:val="auto"/>
                <w:sz w:val="24"/>
                <w:szCs w:val="24"/>
                <w:highlight w:val="none"/>
                <w:u w:val="none" w:color="auto"/>
              </w:rPr>
              <w:t>补充</w:t>
            </w:r>
            <w:r>
              <w:rPr>
                <w:rFonts w:hint="eastAsia"/>
                <w:color w:val="auto"/>
                <w:sz w:val="24"/>
                <w:szCs w:val="24"/>
                <w:highlight w:val="none"/>
                <w:u w:val="none" w:color="auto"/>
                <w:lang w:val="en-US" w:eastAsia="zh-CN"/>
              </w:rPr>
              <w:t>新鲜</w:t>
            </w:r>
            <w:r>
              <w:rPr>
                <w:color w:val="auto"/>
                <w:sz w:val="24"/>
                <w:szCs w:val="24"/>
                <w:highlight w:val="none"/>
                <w:u w:val="none" w:color="auto"/>
              </w:rPr>
              <w:t>水量</w:t>
            </w:r>
            <w:r>
              <w:rPr>
                <w:rFonts w:hint="eastAsia"/>
                <w:color w:val="auto"/>
                <w:sz w:val="24"/>
                <w:szCs w:val="24"/>
                <w:highlight w:val="none"/>
                <w:u w:val="none" w:color="auto"/>
                <w:lang w:val="en-US" w:eastAsia="zh-CN"/>
              </w:rPr>
              <w:t>约4.6m</w:t>
            </w:r>
            <w:r>
              <w:rPr>
                <w:rFonts w:hint="eastAsia"/>
                <w:color w:val="auto"/>
                <w:sz w:val="24"/>
                <w:szCs w:val="24"/>
                <w:highlight w:val="none"/>
                <w:u w:val="none" w:color="auto"/>
                <w:vertAlign w:val="superscript"/>
                <w:lang w:val="en-US" w:eastAsia="zh-CN"/>
              </w:rPr>
              <w:t>3</w:t>
            </w:r>
            <w:r>
              <w:rPr>
                <w:rFonts w:hint="eastAsia"/>
                <w:color w:val="auto"/>
                <w:sz w:val="24"/>
                <w:szCs w:val="24"/>
                <w:highlight w:val="none"/>
                <w:u w:val="none" w:color="auto"/>
                <w:lang w:val="en-US" w:eastAsia="zh-CN"/>
              </w:rPr>
              <w:t>/d</w:t>
            </w:r>
            <w:r>
              <w:rPr>
                <w:color w:val="auto"/>
                <w:sz w:val="24"/>
                <w:szCs w:val="24"/>
                <w:highlight w:val="none"/>
                <w:u w:val="none" w:color="auto"/>
              </w:rPr>
              <w:t>，约为</w:t>
            </w:r>
            <w:r>
              <w:rPr>
                <w:rFonts w:hint="eastAsia"/>
                <w:color w:val="auto"/>
                <w:sz w:val="24"/>
                <w:szCs w:val="24"/>
                <w:highlight w:val="none"/>
                <w:u w:val="none" w:color="auto"/>
                <w:lang w:val="en-US" w:eastAsia="zh-CN"/>
              </w:rPr>
              <w:t>1380m</w:t>
            </w:r>
            <w:r>
              <w:rPr>
                <w:rFonts w:hint="eastAsia"/>
                <w:color w:val="auto"/>
                <w:sz w:val="24"/>
                <w:szCs w:val="24"/>
                <w:highlight w:val="none"/>
                <w:u w:val="none" w:color="auto"/>
                <w:vertAlign w:val="superscript"/>
                <w:lang w:val="en-US" w:eastAsia="zh-CN"/>
              </w:rPr>
              <w:t>3</w:t>
            </w:r>
            <w:r>
              <w:rPr>
                <w:rFonts w:hint="eastAsia"/>
                <w:color w:val="auto"/>
                <w:sz w:val="24"/>
                <w:szCs w:val="24"/>
                <w:highlight w:val="none"/>
                <w:u w:val="none" w:color="auto"/>
                <w:lang w:val="en-US" w:eastAsia="zh-CN"/>
              </w:rPr>
              <w:t>/a。</w:t>
            </w:r>
          </w:p>
          <w:p>
            <w:pPr>
              <w:pStyle w:val="24"/>
              <w:spacing w:after="0" w:line="360" w:lineRule="auto"/>
              <w:ind w:left="0" w:leftChars="0" w:firstLine="465"/>
              <w:rPr>
                <w:color w:val="auto"/>
                <w:sz w:val="24"/>
                <w:szCs w:val="24"/>
                <w:highlight w:val="none"/>
                <w:u w:val="none" w:color="auto"/>
              </w:rPr>
            </w:pPr>
            <w:r>
              <w:rPr>
                <w:b/>
                <w:bCs/>
                <w:color w:val="auto"/>
                <w:sz w:val="24"/>
                <w:szCs w:val="24"/>
                <w:highlight w:val="none"/>
                <w:u w:val="none" w:color="auto"/>
              </w:rPr>
              <w:t>原料堆场及道路抑尘洒水：</w:t>
            </w:r>
            <w:r>
              <w:rPr>
                <w:color w:val="auto"/>
                <w:sz w:val="24"/>
                <w:szCs w:val="24"/>
                <w:highlight w:val="none"/>
                <w:u w:val="none" w:color="auto"/>
              </w:rPr>
              <w:t>根据建设单位提供，原料堆场及道路洒水抑尘用水量为</w:t>
            </w:r>
            <w:r>
              <w:rPr>
                <w:rFonts w:hint="eastAsia"/>
                <w:color w:val="auto"/>
                <w:sz w:val="24"/>
                <w:szCs w:val="24"/>
                <w:highlight w:val="none"/>
                <w:u w:val="none" w:color="auto"/>
                <w:lang w:val="en-US" w:eastAsia="zh-CN"/>
              </w:rPr>
              <w:t>8</w:t>
            </w:r>
            <w:r>
              <w:rPr>
                <w:rFonts w:hint="eastAsia"/>
                <w:color w:val="auto"/>
                <w:sz w:val="24"/>
                <w:szCs w:val="24"/>
                <w:highlight w:val="none"/>
                <w:u w:val="none" w:color="auto"/>
                <w:lang w:eastAsia="zh-CN"/>
              </w:rPr>
              <w:t>m³</w:t>
            </w:r>
            <w:r>
              <w:rPr>
                <w:color w:val="auto"/>
                <w:sz w:val="24"/>
                <w:szCs w:val="24"/>
                <w:highlight w:val="none"/>
                <w:u w:val="none" w:color="auto"/>
              </w:rPr>
              <w:t>/d（</w:t>
            </w:r>
            <w:r>
              <w:rPr>
                <w:rFonts w:hint="eastAsia"/>
                <w:color w:val="auto"/>
                <w:sz w:val="24"/>
                <w:szCs w:val="24"/>
                <w:highlight w:val="none"/>
                <w:u w:val="none" w:color="auto"/>
                <w:lang w:val="en-US" w:eastAsia="zh-CN"/>
              </w:rPr>
              <w:t>240</w:t>
            </w:r>
            <w:r>
              <w:rPr>
                <w:color w:val="auto"/>
                <w:sz w:val="24"/>
                <w:szCs w:val="24"/>
                <w:highlight w:val="none"/>
                <w:u w:val="none" w:color="auto"/>
              </w:rPr>
              <w:t>0</w:t>
            </w:r>
            <w:r>
              <w:rPr>
                <w:rFonts w:hint="eastAsia"/>
                <w:color w:val="auto"/>
                <w:sz w:val="24"/>
                <w:szCs w:val="24"/>
                <w:highlight w:val="none"/>
                <w:u w:val="none" w:color="auto"/>
                <w:lang w:eastAsia="zh-CN"/>
              </w:rPr>
              <w:t>m³</w:t>
            </w:r>
            <w:r>
              <w:rPr>
                <w:color w:val="auto"/>
                <w:sz w:val="24"/>
                <w:szCs w:val="24"/>
                <w:highlight w:val="none"/>
                <w:u w:val="none" w:color="auto"/>
              </w:rPr>
              <w:t>/a），洒水抑尘用水以蒸汽的形式蒸发掉，不外排。</w:t>
            </w:r>
          </w:p>
          <w:p>
            <w:pPr>
              <w:spacing w:line="360" w:lineRule="auto"/>
              <w:ind w:firstLine="482"/>
              <w:rPr>
                <w:bCs/>
                <w:color w:val="auto"/>
                <w:kern w:val="0"/>
                <w:sz w:val="24"/>
                <w:highlight w:val="none"/>
                <w:u w:val="none" w:color="auto"/>
              </w:rPr>
            </w:pPr>
            <w:r>
              <w:rPr>
                <w:bCs/>
                <w:color w:val="auto"/>
                <w:kern w:val="0"/>
                <w:sz w:val="24"/>
                <w:highlight w:val="none"/>
                <w:u w:val="none" w:color="auto"/>
              </w:rPr>
              <w:t>项目新鲜用水量为</w:t>
            </w:r>
            <w:r>
              <w:rPr>
                <w:rFonts w:hint="eastAsia"/>
                <w:bCs/>
                <w:color w:val="auto"/>
                <w:kern w:val="0"/>
                <w:sz w:val="24"/>
                <w:highlight w:val="none"/>
                <w:u w:val="none" w:color="auto"/>
                <w:lang w:val="en-US" w:eastAsia="zh-CN"/>
              </w:rPr>
              <w:t>38.1</w:t>
            </w:r>
            <w:r>
              <w:rPr>
                <w:rFonts w:hint="eastAsia"/>
                <w:color w:val="auto"/>
                <w:sz w:val="24"/>
                <w:highlight w:val="none"/>
                <w:u w:val="none" w:color="auto"/>
                <w:lang w:eastAsia="zh-CN"/>
              </w:rPr>
              <w:t>m³</w:t>
            </w:r>
            <w:r>
              <w:rPr>
                <w:color w:val="auto"/>
                <w:sz w:val="24"/>
                <w:highlight w:val="none"/>
                <w:u w:val="none" w:color="auto"/>
              </w:rPr>
              <w:t>/</w:t>
            </w:r>
            <w:r>
              <w:rPr>
                <w:rFonts w:hint="eastAsia"/>
                <w:color w:val="auto"/>
                <w:sz w:val="24"/>
                <w:highlight w:val="none"/>
                <w:u w:val="none" w:color="auto"/>
                <w:lang w:val="en-US" w:eastAsia="zh-CN"/>
              </w:rPr>
              <w:t>d</w:t>
            </w:r>
            <w:r>
              <w:rPr>
                <w:color w:val="auto"/>
                <w:sz w:val="24"/>
                <w:highlight w:val="none"/>
                <w:u w:val="none" w:color="auto"/>
              </w:rPr>
              <w:t>（</w:t>
            </w:r>
            <w:r>
              <w:rPr>
                <w:rFonts w:hint="eastAsia"/>
                <w:color w:val="auto"/>
                <w:sz w:val="24"/>
                <w:highlight w:val="none"/>
                <w:u w:val="none" w:color="auto"/>
                <w:lang w:val="en-US" w:eastAsia="zh-CN"/>
              </w:rPr>
              <w:t>11430</w:t>
            </w:r>
            <w:r>
              <w:rPr>
                <w:rFonts w:hint="eastAsia"/>
                <w:color w:val="auto"/>
                <w:sz w:val="24"/>
                <w:highlight w:val="none"/>
                <w:u w:val="none" w:color="auto"/>
                <w:lang w:eastAsia="zh-CN"/>
              </w:rPr>
              <w:t>m³</w:t>
            </w:r>
            <w:r>
              <w:rPr>
                <w:color w:val="auto"/>
                <w:sz w:val="24"/>
                <w:highlight w:val="none"/>
                <w:u w:val="none" w:color="auto"/>
              </w:rPr>
              <w:t>/a）</w:t>
            </w:r>
            <w:r>
              <w:rPr>
                <w:bCs/>
                <w:color w:val="auto"/>
                <w:kern w:val="0"/>
                <w:sz w:val="24"/>
                <w:highlight w:val="none"/>
                <w:u w:val="none" w:color="auto"/>
              </w:rPr>
              <w:t>。</w:t>
            </w:r>
          </w:p>
          <w:p>
            <w:pPr>
              <w:spacing w:line="360" w:lineRule="auto"/>
              <w:ind w:firstLine="482"/>
              <w:rPr>
                <w:b/>
                <w:color w:val="auto"/>
                <w:kern w:val="0"/>
                <w:sz w:val="24"/>
                <w:highlight w:val="none"/>
                <w:u w:val="none" w:color="auto"/>
              </w:rPr>
            </w:pPr>
            <w:r>
              <w:rPr>
                <w:b/>
                <w:color w:val="auto"/>
                <w:kern w:val="0"/>
                <w:sz w:val="24"/>
                <w:highlight w:val="none"/>
                <w:u w:val="none" w:color="auto"/>
              </w:rPr>
              <w:t>（2）排水</w:t>
            </w:r>
          </w:p>
          <w:p>
            <w:pPr>
              <w:spacing w:line="360" w:lineRule="auto"/>
              <w:ind w:firstLine="482"/>
              <w:rPr>
                <w:bCs/>
                <w:color w:val="auto"/>
                <w:kern w:val="0"/>
                <w:sz w:val="24"/>
                <w:highlight w:val="none"/>
                <w:u w:val="none" w:color="auto"/>
              </w:rPr>
            </w:pPr>
            <w:r>
              <w:rPr>
                <w:bCs/>
                <w:color w:val="auto"/>
                <w:kern w:val="0"/>
                <w:sz w:val="24"/>
                <w:highlight w:val="none"/>
                <w:u w:val="none" w:color="auto"/>
              </w:rPr>
              <w:t>本项目采取雨污分流、污污分流制。</w:t>
            </w:r>
          </w:p>
          <w:p>
            <w:pPr>
              <w:spacing w:line="360" w:lineRule="auto"/>
              <w:ind w:firstLine="482"/>
              <w:rPr>
                <w:bCs/>
                <w:color w:val="auto"/>
                <w:kern w:val="0"/>
                <w:sz w:val="24"/>
                <w:highlight w:val="none"/>
                <w:u w:val="none" w:color="auto"/>
              </w:rPr>
            </w:pPr>
            <w:r>
              <w:rPr>
                <w:bCs/>
                <w:color w:val="auto"/>
                <w:kern w:val="0"/>
                <w:sz w:val="24"/>
                <w:highlight w:val="none"/>
                <w:u w:val="none" w:color="auto"/>
              </w:rPr>
              <w:t>根据调查，项目位于农村环境，区域无雨水管网，雨水经初期雨水池收集后用于生产，后期或剩余雨水顺地势进入周边地表水体。</w:t>
            </w:r>
          </w:p>
          <w:p>
            <w:pPr>
              <w:spacing w:line="360" w:lineRule="auto"/>
              <w:ind w:firstLine="482"/>
              <w:rPr>
                <w:bCs/>
                <w:color w:val="auto"/>
                <w:kern w:val="0"/>
                <w:sz w:val="24"/>
                <w:highlight w:val="none"/>
                <w:u w:val="none" w:color="auto"/>
              </w:rPr>
            </w:pPr>
            <w:r>
              <w:rPr>
                <w:bCs/>
                <w:color w:val="auto"/>
                <w:kern w:val="0"/>
                <w:sz w:val="24"/>
                <w:highlight w:val="none"/>
                <w:u w:val="none" w:color="auto"/>
              </w:rPr>
              <w:t>生活污水经隔油池、化粪池收集处理后用作</w:t>
            </w:r>
            <w:r>
              <w:rPr>
                <w:rFonts w:hint="eastAsia"/>
                <w:bCs/>
                <w:color w:val="auto"/>
                <w:kern w:val="0"/>
                <w:sz w:val="24"/>
                <w:highlight w:val="none"/>
                <w:u w:val="none" w:color="auto"/>
                <w:lang w:val="en-US" w:eastAsia="zh-CN"/>
              </w:rPr>
              <w:t>农肥</w:t>
            </w:r>
            <w:r>
              <w:rPr>
                <w:bCs/>
                <w:color w:val="auto"/>
                <w:kern w:val="0"/>
                <w:sz w:val="24"/>
                <w:highlight w:val="none"/>
                <w:u w:val="none" w:color="auto"/>
              </w:rPr>
              <w:t>；项目不产生工艺废水，工艺废水一部分在烧制过程中蒸发，一部分进入到产品；原料堆场及道路抑尘洒水蒸发损耗，不外排；脱硫除尘用水循环使</w:t>
            </w:r>
            <w:r>
              <w:rPr>
                <w:rFonts w:hint="eastAsia"/>
                <w:bCs/>
                <w:color w:val="auto"/>
                <w:kern w:val="0"/>
                <w:sz w:val="24"/>
                <w:highlight w:val="none"/>
                <w:u w:val="none" w:color="auto"/>
                <w:lang w:val="en-US" w:eastAsia="zh-CN"/>
              </w:rPr>
              <w:t>用，定期补充新水，定期回用制砖</w:t>
            </w:r>
            <w:r>
              <w:rPr>
                <w:bCs/>
                <w:color w:val="auto"/>
                <w:kern w:val="0"/>
                <w:sz w:val="24"/>
                <w:highlight w:val="none"/>
                <w:u w:val="none" w:color="auto"/>
              </w:rPr>
              <w:t>，沉渣</w:t>
            </w:r>
            <w:r>
              <w:rPr>
                <w:rFonts w:hint="eastAsia"/>
                <w:bCs/>
                <w:color w:val="auto"/>
                <w:kern w:val="0"/>
                <w:sz w:val="24"/>
                <w:highlight w:val="none"/>
                <w:u w:val="none" w:color="auto"/>
                <w:lang w:val="en-US" w:eastAsia="zh-CN"/>
              </w:rPr>
              <w:t>回</w:t>
            </w:r>
            <w:r>
              <w:rPr>
                <w:bCs/>
                <w:color w:val="auto"/>
                <w:kern w:val="0"/>
                <w:sz w:val="24"/>
                <w:highlight w:val="none"/>
                <w:u w:val="none" w:color="auto"/>
              </w:rPr>
              <w:t>用作制砖原料。</w:t>
            </w:r>
          </w:p>
          <w:p>
            <w:pPr>
              <w:spacing w:line="360" w:lineRule="auto"/>
              <w:ind w:firstLine="482"/>
              <w:rPr>
                <w:bCs/>
                <w:color w:val="auto"/>
                <w:kern w:val="0"/>
                <w:sz w:val="24"/>
                <w:highlight w:val="none"/>
                <w:u w:val="none" w:color="auto"/>
              </w:rPr>
            </w:pPr>
            <w:r>
              <w:rPr>
                <w:bCs/>
                <w:color w:val="auto"/>
                <w:kern w:val="0"/>
                <w:sz w:val="24"/>
                <w:highlight w:val="none"/>
                <w:u w:val="none" w:color="auto"/>
              </w:rPr>
              <w:t>项目水平衡见下图：</w:t>
            </w:r>
          </w:p>
          <w:p>
            <w:pPr>
              <w:pStyle w:val="2"/>
              <w:rPr>
                <w:rFonts w:hint="default" w:ascii="Times New Roman" w:hAnsi="Times New Roman"/>
                <w:color w:val="auto"/>
                <w:highlight w:val="none"/>
                <w:u w:val="none" w:color="auto"/>
              </w:rPr>
            </w:pPr>
            <w:r>
              <w:rPr>
                <w:rFonts w:hint="default" w:ascii="Times New Roman" w:hAnsi="Times New Roman"/>
                <w:color w:val="auto"/>
                <w:highlight w:val="none"/>
                <w:u w:val="none" w:color="auto"/>
                <w:lang w:val="en-US"/>
              </w:rPr>
              <mc:AlternateContent>
                <mc:Choice Requires="wpc">
                  <w:drawing>
                    <wp:inline distT="0" distB="0" distL="114300" distR="114300">
                      <wp:extent cx="5048250" cy="3166110"/>
                      <wp:effectExtent l="0" t="0" r="0" b="0"/>
                      <wp:docPr id="40" name="画布 249"/>
                      <wp:cNvGraphicFramePr/>
                      <a:graphic xmlns:a="http://schemas.openxmlformats.org/drawingml/2006/main">
                        <a:graphicData uri="http://schemas.microsoft.com/office/word/2010/wordprocessingCanvas">
                          <wpc:wpc>
                            <wpc:bg>
                              <a:noFill/>
                            </wpc:bg>
                            <wpc:whole>
                              <a:ln>
                                <a:noFill/>
                              </a:ln>
                            </wpc:whole>
                            <wps:wsp>
                              <wps:cNvPr id="1" name="矩形 252"/>
                              <wps:cNvSpPr/>
                              <wps:spPr>
                                <a:xfrm>
                                  <a:off x="1767205" y="0"/>
                                  <a:ext cx="555625" cy="215900"/>
                                </a:xfrm>
                                <a:prstGeom prst="rect">
                                  <a:avLst/>
                                </a:prstGeom>
                                <a:noFill/>
                                <a:ln w="6350">
                                  <a:noFill/>
                                </a:ln>
                              </wps:spPr>
                              <wps:txbx>
                                <w:txbxContent>
                                  <w:p>
                                    <w:pPr>
                                      <w:jc w:val="center"/>
                                      <w:rPr>
                                        <w:rFonts w:hint="default" w:eastAsia="宋体"/>
                                        <w:sz w:val="18"/>
                                        <w:szCs w:val="18"/>
                                        <w:lang w:val="en-US" w:eastAsia="zh-CN"/>
                                      </w:rPr>
                                    </w:pPr>
                                    <w:r>
                                      <w:rPr>
                                        <w:rFonts w:hint="eastAsia"/>
                                        <w:sz w:val="18"/>
                                        <w:szCs w:val="18"/>
                                      </w:rPr>
                                      <w:t>损耗</w:t>
                                    </w:r>
                                    <w:r>
                                      <w:rPr>
                                        <w:rFonts w:hint="eastAsia"/>
                                        <w:sz w:val="18"/>
                                        <w:szCs w:val="18"/>
                                        <w:lang w:val="en-US" w:eastAsia="zh-CN"/>
                                      </w:rPr>
                                      <w:t>180</w:t>
                                    </w:r>
                                  </w:p>
                                </w:txbxContent>
                              </wps:txbx>
                              <wps:bodyPr vert="horz" wrap="square" lIns="0" tIns="0" rIns="0" bIns="0" anchor="t" anchorCtr="0" upright="1"/>
                            </wps:wsp>
                            <wps:wsp>
                              <wps:cNvPr id="2" name="直线 272"/>
                              <wps:cNvCnPr/>
                              <wps:spPr>
                                <a:xfrm>
                                  <a:off x="596265" y="357505"/>
                                  <a:ext cx="0" cy="2411981"/>
                                </a:xfrm>
                                <a:prstGeom prst="line">
                                  <a:avLst/>
                                </a:prstGeom>
                                <a:ln w="6350" cap="flat" cmpd="sng">
                                  <a:solidFill>
                                    <a:srgbClr val="000000"/>
                                  </a:solidFill>
                                  <a:prstDash val="solid"/>
                                  <a:headEnd type="none" w="med" len="med"/>
                                  <a:tailEnd type="none" w="med" len="med"/>
                                </a:ln>
                              </wps:spPr>
                              <wps:bodyPr upright="1"/>
                            </wps:wsp>
                            <wps:wsp>
                              <wps:cNvPr id="3" name="矩形 250"/>
                              <wps:cNvSpPr/>
                              <wps:spPr>
                                <a:xfrm>
                                  <a:off x="1119505" y="239395"/>
                                  <a:ext cx="683995" cy="215264"/>
                                </a:xfrm>
                                <a:prstGeom prst="rect">
                                  <a:avLst/>
                                </a:prstGeom>
                                <a:noFill/>
                                <a:ln w="6350" cap="flat" cmpd="sng">
                                  <a:solidFill>
                                    <a:srgbClr val="000000"/>
                                  </a:solidFill>
                                  <a:prstDash val="solid"/>
                                  <a:miter/>
                                  <a:headEnd type="none" w="med" len="med"/>
                                  <a:tailEnd type="none" w="med" len="med"/>
                                </a:ln>
                              </wps:spPr>
                              <wps:txbx>
                                <w:txbxContent>
                                  <w:p>
                                    <w:pPr>
                                      <w:jc w:val="center"/>
                                      <w:rPr>
                                        <w:sz w:val="18"/>
                                        <w:szCs w:val="18"/>
                                      </w:rPr>
                                    </w:pPr>
                                    <w:r>
                                      <w:rPr>
                                        <w:rFonts w:hint="eastAsia"/>
                                        <w:sz w:val="18"/>
                                        <w:szCs w:val="18"/>
                                      </w:rPr>
                                      <w:t>生活用水</w:t>
                                    </w:r>
                                  </w:p>
                                </w:txbxContent>
                              </wps:txbx>
                              <wps:bodyPr vert="horz" wrap="square" lIns="0" tIns="10800" rIns="0" bIns="10800" anchor="t" anchorCtr="0" upright="1"/>
                            </wps:wsp>
                            <wps:wsp>
                              <wps:cNvPr id="4" name="直线 251"/>
                              <wps:cNvCnPr/>
                              <wps:spPr>
                                <a:xfrm flipV="1">
                                  <a:off x="1481455" y="106045"/>
                                  <a:ext cx="285750" cy="123825"/>
                                </a:xfrm>
                                <a:prstGeom prst="line">
                                  <a:avLst/>
                                </a:prstGeom>
                                <a:ln w="9525" cap="flat" cmpd="sng">
                                  <a:solidFill>
                                    <a:srgbClr val="000000"/>
                                  </a:solidFill>
                                  <a:prstDash val="dash"/>
                                  <a:headEnd type="none" w="med" len="med"/>
                                  <a:tailEnd type="triangle" w="med" len="med"/>
                                </a:ln>
                              </wps:spPr>
                              <wps:bodyPr upright="1"/>
                            </wps:wsp>
                            <wps:wsp>
                              <wps:cNvPr id="5" name="直线 268"/>
                              <wps:cNvCnPr/>
                              <wps:spPr>
                                <a:xfrm>
                                  <a:off x="595630" y="359410"/>
                                  <a:ext cx="539750" cy="635"/>
                                </a:xfrm>
                                <a:prstGeom prst="line">
                                  <a:avLst/>
                                </a:prstGeom>
                                <a:ln w="6350" cap="flat" cmpd="sng">
                                  <a:solidFill>
                                    <a:srgbClr val="000000"/>
                                  </a:solidFill>
                                  <a:prstDash val="solid"/>
                                  <a:headEnd type="none" w="med" len="med"/>
                                  <a:tailEnd type="triangle" w="med" len="med"/>
                                </a:ln>
                              </wps:spPr>
                              <wps:bodyPr upright="1"/>
                            </wps:wsp>
                            <wps:wsp>
                              <wps:cNvPr id="6" name="矩形 269"/>
                              <wps:cNvSpPr/>
                              <wps:spPr>
                                <a:xfrm>
                                  <a:off x="652780" y="211455"/>
                                  <a:ext cx="356235" cy="215899"/>
                                </a:xfrm>
                                <a:prstGeom prst="rect">
                                  <a:avLst/>
                                </a:prstGeom>
                                <a:noFill/>
                                <a:ln w="6350">
                                  <a:noFill/>
                                </a:ln>
                              </wps:spPr>
                              <wps:txbx>
                                <w:txbxContent>
                                  <w:p>
                                    <w:pPr>
                                      <w:jc w:val="center"/>
                                      <w:rPr>
                                        <w:rFonts w:hint="default" w:eastAsia="宋体"/>
                                        <w:sz w:val="18"/>
                                        <w:szCs w:val="18"/>
                                        <w:lang w:val="en-US" w:eastAsia="zh-CN"/>
                                      </w:rPr>
                                    </w:pPr>
                                    <w:r>
                                      <w:rPr>
                                        <w:rFonts w:hint="eastAsia"/>
                                        <w:sz w:val="18"/>
                                        <w:szCs w:val="18"/>
                                        <w:lang w:val="en-US" w:eastAsia="zh-CN"/>
                                      </w:rPr>
                                      <w:t>900</w:t>
                                    </w:r>
                                  </w:p>
                                </w:txbxContent>
                              </wps:txbx>
                              <wps:bodyPr vert="horz" wrap="square" lIns="0" tIns="0" rIns="0" bIns="0" anchor="t" anchorCtr="0" upright="1"/>
                            </wps:wsp>
                            <wps:wsp>
                              <wps:cNvPr id="7" name="直线 308"/>
                              <wps:cNvCnPr/>
                              <wps:spPr>
                                <a:xfrm>
                                  <a:off x="1798955" y="342901"/>
                                  <a:ext cx="539750" cy="0"/>
                                </a:xfrm>
                                <a:prstGeom prst="line">
                                  <a:avLst/>
                                </a:prstGeom>
                                <a:ln w="6350" cap="flat" cmpd="sng">
                                  <a:solidFill>
                                    <a:srgbClr val="000000"/>
                                  </a:solidFill>
                                  <a:prstDash val="solid"/>
                                  <a:headEnd type="none" w="med" len="med"/>
                                  <a:tailEnd type="triangle" w="med" len="med"/>
                                </a:ln>
                              </wps:spPr>
                              <wps:bodyPr upright="1"/>
                            </wps:wsp>
                            <wps:wsp>
                              <wps:cNvPr id="8" name="矩形 455"/>
                              <wps:cNvSpPr/>
                              <wps:spPr>
                                <a:xfrm>
                                  <a:off x="2338705" y="218440"/>
                                  <a:ext cx="866775" cy="245744"/>
                                </a:xfrm>
                                <a:prstGeom prst="rect">
                                  <a:avLst/>
                                </a:prstGeom>
                                <a:noFill/>
                                <a:ln w="6350" cap="flat" cmpd="sng">
                                  <a:solidFill>
                                    <a:srgbClr val="000000"/>
                                  </a:solidFill>
                                  <a:prstDash val="solid"/>
                                  <a:miter/>
                                  <a:headEnd type="none" w="med" len="med"/>
                                  <a:tailEnd type="none" w="med" len="med"/>
                                </a:ln>
                              </wps:spPr>
                              <wps:txbx>
                                <w:txbxContent>
                                  <w:p>
                                    <w:pPr>
                                      <w:jc w:val="center"/>
                                      <w:rPr>
                                        <w:sz w:val="18"/>
                                        <w:szCs w:val="18"/>
                                      </w:rPr>
                                    </w:pPr>
                                    <w:r>
                                      <w:rPr>
                                        <w:rFonts w:hint="eastAsia"/>
                                        <w:sz w:val="18"/>
                                        <w:szCs w:val="18"/>
                                      </w:rPr>
                                      <w:t>隔油池、化粪池</w:t>
                                    </w:r>
                                  </w:p>
                                </w:txbxContent>
                              </wps:txbx>
                              <wps:bodyPr vert="horz" wrap="square" lIns="0" tIns="10800" rIns="0" bIns="10800" anchor="t" anchorCtr="0" upright="1"/>
                            </wps:wsp>
                            <wps:wsp>
                              <wps:cNvPr id="9" name="矩形 463"/>
                              <wps:cNvSpPr/>
                              <wps:spPr>
                                <a:xfrm>
                                  <a:off x="95250" y="1242060"/>
                                  <a:ext cx="508000" cy="406401"/>
                                </a:xfrm>
                                <a:prstGeom prst="rect">
                                  <a:avLst/>
                                </a:prstGeom>
                                <a:noFill/>
                                <a:ln w="6350">
                                  <a:noFill/>
                                </a:ln>
                              </wps:spPr>
                              <wps:txbx>
                                <w:txbxContent>
                                  <w:p>
                                    <w:pPr>
                                      <w:pStyle w:val="9"/>
                                      <w:spacing w:before="0" w:after="0" w:line="240" w:lineRule="auto"/>
                                      <w:jc w:val="center"/>
                                      <w:rPr>
                                        <w:b w:val="0"/>
                                        <w:bCs w:val="0"/>
                                      </w:rPr>
                                    </w:pPr>
                                    <w:r>
                                      <w:rPr>
                                        <w:rFonts w:hint="eastAsia"/>
                                        <w:b w:val="0"/>
                                        <w:bCs w:val="0"/>
                                        <w:color w:val="000000"/>
                                        <w:sz w:val="18"/>
                                        <w:szCs w:val="18"/>
                                        <w:lang w:val="en-US" w:eastAsia="zh-CN"/>
                                      </w:rPr>
                                      <w:t>11430</w:t>
                                    </w:r>
                                    <w:r>
                                      <w:rPr>
                                        <w:rFonts w:hint="eastAsia"/>
                                        <w:b w:val="0"/>
                                        <w:bCs w:val="0"/>
                                        <w:sz w:val="18"/>
                                        <w:szCs w:val="18"/>
                                      </w:rPr>
                                      <w:t>新鲜水</w:t>
                                    </w:r>
                                  </w:p>
                                </w:txbxContent>
                              </wps:txbx>
                              <wps:bodyPr vert="horz" wrap="square" lIns="0" tIns="0" rIns="0" bIns="0" anchor="t" anchorCtr="0" upright="1"/>
                            </wps:wsp>
                            <wps:wsp>
                              <wps:cNvPr id="10" name="直线 268"/>
                              <wps:cNvCnPr/>
                              <wps:spPr>
                                <a:xfrm>
                                  <a:off x="596265" y="948690"/>
                                  <a:ext cx="539750" cy="0"/>
                                </a:xfrm>
                                <a:prstGeom prst="line">
                                  <a:avLst/>
                                </a:prstGeom>
                                <a:ln w="6350" cap="flat" cmpd="sng">
                                  <a:solidFill>
                                    <a:srgbClr val="000000"/>
                                  </a:solidFill>
                                  <a:prstDash val="solid"/>
                                  <a:headEnd type="none" w="med" len="med"/>
                                  <a:tailEnd type="triangle" w="med" len="med"/>
                                </a:ln>
                              </wps:spPr>
                              <wps:bodyPr upright="1"/>
                            </wps:wsp>
                            <wps:wsp>
                              <wps:cNvPr id="11" name="矩形 269"/>
                              <wps:cNvSpPr/>
                              <wps:spPr>
                                <a:xfrm>
                                  <a:off x="685165" y="755015"/>
                                  <a:ext cx="355600" cy="215900"/>
                                </a:xfrm>
                                <a:prstGeom prst="rect">
                                  <a:avLst/>
                                </a:prstGeom>
                                <a:noFill/>
                                <a:ln w="6350">
                                  <a:noFill/>
                                </a:ln>
                              </wps:spPr>
                              <wps:txbx>
                                <w:txbxContent>
                                  <w:p>
                                    <w:pPr>
                                      <w:jc w:val="center"/>
                                      <w:rPr>
                                        <w:rFonts w:hint="default" w:eastAsia="宋体"/>
                                        <w:sz w:val="18"/>
                                        <w:szCs w:val="18"/>
                                        <w:lang w:val="en-US" w:eastAsia="zh-CN"/>
                                      </w:rPr>
                                    </w:pPr>
                                    <w:r>
                                      <w:rPr>
                                        <w:rFonts w:hint="eastAsia"/>
                                        <w:sz w:val="18"/>
                                        <w:szCs w:val="18"/>
                                        <w:lang w:val="en-US" w:eastAsia="zh-CN"/>
                                      </w:rPr>
                                      <w:t>6750</w:t>
                                    </w:r>
                                  </w:p>
                                </w:txbxContent>
                              </wps:txbx>
                              <wps:bodyPr vert="horz" wrap="square" lIns="0" tIns="0" rIns="0" bIns="0" anchor="t" anchorCtr="0" upright="1"/>
                            </wps:wsp>
                            <wps:wsp>
                              <wps:cNvPr id="12" name="直线 460"/>
                              <wps:cNvCnPr/>
                              <wps:spPr>
                                <a:xfrm>
                                  <a:off x="65405" y="1461770"/>
                                  <a:ext cx="533400" cy="0"/>
                                </a:xfrm>
                                <a:prstGeom prst="line">
                                  <a:avLst/>
                                </a:prstGeom>
                                <a:ln w="6350" cap="flat" cmpd="sng">
                                  <a:solidFill>
                                    <a:srgbClr val="000000"/>
                                  </a:solidFill>
                                  <a:prstDash val="solid"/>
                                  <a:headEnd type="none" w="med" len="med"/>
                                  <a:tailEnd type="triangle" w="med" len="med"/>
                                </a:ln>
                              </wps:spPr>
                              <wps:bodyPr upright="1"/>
                            </wps:wsp>
                            <wps:wsp>
                              <wps:cNvPr id="13" name="直线 448"/>
                              <wps:cNvCnPr/>
                              <wps:spPr>
                                <a:xfrm>
                                  <a:off x="1818005" y="951231"/>
                                  <a:ext cx="521970" cy="635"/>
                                </a:xfrm>
                                <a:prstGeom prst="line">
                                  <a:avLst/>
                                </a:prstGeom>
                                <a:ln w="6350" cap="flat" cmpd="sng">
                                  <a:solidFill>
                                    <a:srgbClr val="000000"/>
                                  </a:solidFill>
                                  <a:prstDash val="solid"/>
                                  <a:headEnd type="none" w="med" len="med"/>
                                  <a:tailEnd type="triangle" w="med" len="med"/>
                                </a:ln>
                              </wps:spPr>
                              <wps:bodyPr upright="1"/>
                            </wps:wsp>
                            <wps:wsp>
                              <wps:cNvPr id="14" name="矩形 250"/>
                              <wps:cNvSpPr/>
                              <wps:spPr>
                                <a:xfrm>
                                  <a:off x="1119505" y="830580"/>
                                  <a:ext cx="683895" cy="215900"/>
                                </a:xfrm>
                                <a:prstGeom prst="rect">
                                  <a:avLst/>
                                </a:prstGeom>
                                <a:noFill/>
                                <a:ln w="6350" cap="flat" cmpd="sng">
                                  <a:solidFill>
                                    <a:srgbClr val="000000"/>
                                  </a:solidFill>
                                  <a:prstDash val="solid"/>
                                  <a:miter/>
                                  <a:headEnd type="none" w="med" len="med"/>
                                  <a:tailEnd type="none" w="med" len="med"/>
                                </a:ln>
                              </wps:spPr>
                              <wps:txbx>
                                <w:txbxContent>
                                  <w:p>
                                    <w:pPr>
                                      <w:jc w:val="center"/>
                                      <w:rPr>
                                        <w:sz w:val="18"/>
                                        <w:szCs w:val="18"/>
                                      </w:rPr>
                                    </w:pPr>
                                    <w:r>
                                      <w:rPr>
                                        <w:rFonts w:hint="eastAsia"/>
                                        <w:sz w:val="18"/>
                                        <w:szCs w:val="18"/>
                                      </w:rPr>
                                      <w:t>制砖用水</w:t>
                                    </w:r>
                                  </w:p>
                                </w:txbxContent>
                              </wps:txbx>
                              <wps:bodyPr vert="horz" wrap="square" lIns="0" tIns="10800" rIns="0" bIns="10800" anchor="t" anchorCtr="0" upright="1"/>
                            </wps:wsp>
                            <wps:wsp>
                              <wps:cNvPr id="15" name="直线 251"/>
                              <wps:cNvCnPr/>
                              <wps:spPr>
                                <a:xfrm flipV="1">
                                  <a:off x="1424305" y="716280"/>
                                  <a:ext cx="279400" cy="114300"/>
                                </a:xfrm>
                                <a:prstGeom prst="line">
                                  <a:avLst/>
                                </a:prstGeom>
                                <a:ln w="9525" cap="flat" cmpd="sng">
                                  <a:solidFill>
                                    <a:srgbClr val="000000"/>
                                  </a:solidFill>
                                  <a:prstDash val="dash"/>
                                  <a:headEnd type="none" w="med" len="med"/>
                                  <a:tailEnd type="triangle" w="med" len="med"/>
                                </a:ln>
                              </wps:spPr>
                              <wps:bodyPr upright="1"/>
                            </wps:wsp>
                            <wps:wsp>
                              <wps:cNvPr id="16" name="矩形 252"/>
                              <wps:cNvSpPr/>
                              <wps:spPr>
                                <a:xfrm>
                                  <a:off x="1675765" y="567690"/>
                                  <a:ext cx="789305" cy="215900"/>
                                </a:xfrm>
                                <a:prstGeom prst="rect">
                                  <a:avLst/>
                                </a:prstGeom>
                                <a:noFill/>
                                <a:ln w="6350">
                                  <a:noFill/>
                                </a:ln>
                              </wps:spPr>
                              <wps:txbx>
                                <w:txbxContent>
                                  <w:p>
                                    <w:pPr>
                                      <w:jc w:val="center"/>
                                      <w:rPr>
                                        <w:rFonts w:hint="default" w:eastAsia="宋体"/>
                                        <w:sz w:val="18"/>
                                        <w:szCs w:val="18"/>
                                        <w:lang w:val="en-US" w:eastAsia="zh-CN"/>
                                      </w:rPr>
                                    </w:pPr>
                                    <w:r>
                                      <w:rPr>
                                        <w:rFonts w:hint="eastAsia"/>
                                        <w:sz w:val="18"/>
                                        <w:szCs w:val="18"/>
                                      </w:rPr>
                                      <w:t>损耗</w:t>
                                    </w:r>
                                    <w:r>
                                      <w:rPr>
                                        <w:rFonts w:hint="eastAsia"/>
                                        <w:sz w:val="18"/>
                                        <w:szCs w:val="18"/>
                                        <w:lang w:val="en-US" w:eastAsia="zh-CN"/>
                                      </w:rPr>
                                      <w:t>6412.5</w:t>
                                    </w:r>
                                  </w:p>
                                </w:txbxContent>
                              </wps:txbx>
                              <wps:bodyPr vert="horz" wrap="square" lIns="0" tIns="0" rIns="0" bIns="0" anchor="t" anchorCtr="0" upright="1"/>
                            </wps:wsp>
                            <wps:wsp>
                              <wps:cNvPr id="17" name="矩形 312"/>
                              <wps:cNvSpPr/>
                              <wps:spPr>
                                <a:xfrm>
                                  <a:off x="1852930" y="165735"/>
                                  <a:ext cx="355600" cy="215899"/>
                                </a:xfrm>
                                <a:prstGeom prst="rect">
                                  <a:avLst/>
                                </a:prstGeom>
                                <a:noFill/>
                                <a:ln w="6350">
                                  <a:noFill/>
                                </a:ln>
                              </wps:spPr>
                              <wps:txbx>
                                <w:txbxContent>
                                  <w:p>
                                    <w:pPr>
                                      <w:jc w:val="center"/>
                                      <w:rPr>
                                        <w:rFonts w:hint="default" w:eastAsia="宋体"/>
                                        <w:sz w:val="18"/>
                                        <w:szCs w:val="18"/>
                                        <w:lang w:val="en-US" w:eastAsia="zh-CN"/>
                                      </w:rPr>
                                    </w:pPr>
                                    <w:r>
                                      <w:rPr>
                                        <w:rFonts w:hint="eastAsia"/>
                                        <w:sz w:val="18"/>
                                        <w:szCs w:val="18"/>
                                        <w:lang w:val="en-US" w:eastAsia="zh-CN"/>
                                      </w:rPr>
                                      <w:t>720</w:t>
                                    </w:r>
                                  </w:p>
                                </w:txbxContent>
                              </wps:txbx>
                              <wps:bodyPr vert="horz" wrap="square" lIns="0" tIns="0" rIns="0" bIns="0" anchor="t" anchorCtr="0" upright="1"/>
                            </wps:wsp>
                            <wps:wsp>
                              <wps:cNvPr id="18" name="矩形 312"/>
                              <wps:cNvSpPr/>
                              <wps:spPr>
                                <a:xfrm>
                                  <a:off x="1881505" y="775970"/>
                                  <a:ext cx="355600" cy="203200"/>
                                </a:xfrm>
                                <a:prstGeom prst="rect">
                                  <a:avLst/>
                                </a:prstGeom>
                                <a:noFill/>
                                <a:ln w="6350">
                                  <a:noFill/>
                                </a:ln>
                              </wps:spPr>
                              <wps:txbx>
                                <w:txbxContent>
                                  <w:p>
                                    <w:pPr>
                                      <w:jc w:val="center"/>
                                      <w:rPr>
                                        <w:rFonts w:hint="default" w:eastAsia="宋体"/>
                                        <w:sz w:val="18"/>
                                        <w:szCs w:val="18"/>
                                        <w:lang w:val="en-US" w:eastAsia="zh-CN"/>
                                      </w:rPr>
                                    </w:pPr>
                                    <w:r>
                                      <w:rPr>
                                        <w:rFonts w:hint="eastAsia"/>
                                        <w:sz w:val="18"/>
                                        <w:szCs w:val="18"/>
                                        <w:lang w:val="en-US" w:eastAsia="zh-CN"/>
                                      </w:rPr>
                                      <w:t>337.5</w:t>
                                    </w:r>
                                  </w:p>
                                </w:txbxContent>
                              </wps:txbx>
                              <wps:bodyPr vert="horz" wrap="square" lIns="0" tIns="0" rIns="0" bIns="0" anchor="t" anchorCtr="0" upright="1"/>
                            </wps:wsp>
                            <wps:wsp>
                              <wps:cNvPr id="19" name="矩形 312"/>
                              <wps:cNvSpPr/>
                              <wps:spPr>
                                <a:xfrm>
                                  <a:off x="3738880" y="233680"/>
                                  <a:ext cx="859790" cy="200024"/>
                                </a:xfrm>
                                <a:prstGeom prst="rect">
                                  <a:avLst/>
                                </a:prstGeom>
                                <a:noFill/>
                                <a:ln w="6350">
                                  <a:noFill/>
                                </a:ln>
                              </wps:spPr>
                              <wps:txbx>
                                <w:txbxContent>
                                  <w:p>
                                    <w:pPr>
                                      <w:jc w:val="center"/>
                                      <w:rPr>
                                        <w:rFonts w:hint="eastAsia" w:eastAsia="宋体"/>
                                        <w:sz w:val="18"/>
                                        <w:szCs w:val="18"/>
                                        <w:lang w:eastAsia="zh-CN"/>
                                      </w:rPr>
                                    </w:pPr>
                                    <w:r>
                                      <w:rPr>
                                        <w:rFonts w:hint="eastAsia"/>
                                        <w:sz w:val="18"/>
                                        <w:szCs w:val="18"/>
                                        <w:lang w:eastAsia="zh-CN"/>
                                      </w:rPr>
                                      <w:t>用作农肥</w:t>
                                    </w:r>
                                  </w:p>
                                </w:txbxContent>
                              </wps:txbx>
                              <wps:bodyPr vert="horz" wrap="square" lIns="0" tIns="0" rIns="0" bIns="0" anchor="t" anchorCtr="0" upright="1"/>
                            </wps:wsp>
                            <wps:wsp>
                              <wps:cNvPr id="20" name="直线 251"/>
                              <wps:cNvCnPr/>
                              <wps:spPr>
                                <a:xfrm flipV="1">
                                  <a:off x="1434465" y="2014855"/>
                                  <a:ext cx="279400" cy="114300"/>
                                </a:xfrm>
                                <a:prstGeom prst="line">
                                  <a:avLst/>
                                </a:prstGeom>
                                <a:ln w="9525" cap="flat" cmpd="sng">
                                  <a:solidFill>
                                    <a:srgbClr val="000000"/>
                                  </a:solidFill>
                                  <a:prstDash val="dash"/>
                                  <a:headEnd type="none" w="med" len="med"/>
                                  <a:tailEnd type="triangle" w="med" len="med"/>
                                </a:ln>
                              </wps:spPr>
                              <wps:bodyPr upright="1"/>
                            </wps:wsp>
                            <wps:wsp>
                              <wps:cNvPr id="21" name="矩形 252"/>
                              <wps:cNvSpPr/>
                              <wps:spPr>
                                <a:xfrm>
                                  <a:off x="1700530" y="1914525"/>
                                  <a:ext cx="546100" cy="215900"/>
                                </a:xfrm>
                                <a:prstGeom prst="rect">
                                  <a:avLst/>
                                </a:prstGeom>
                                <a:noFill/>
                                <a:ln w="6350">
                                  <a:noFill/>
                                </a:ln>
                              </wps:spPr>
                              <wps:txbx>
                                <w:txbxContent>
                                  <w:p>
                                    <w:pPr>
                                      <w:jc w:val="center"/>
                                      <w:rPr>
                                        <w:rFonts w:hint="default" w:eastAsia="宋体"/>
                                        <w:sz w:val="18"/>
                                        <w:szCs w:val="18"/>
                                        <w:lang w:val="en-US" w:eastAsia="zh-CN"/>
                                      </w:rPr>
                                    </w:pPr>
                                    <w:r>
                                      <w:rPr>
                                        <w:rFonts w:hint="eastAsia"/>
                                        <w:sz w:val="18"/>
                                        <w:szCs w:val="18"/>
                                      </w:rPr>
                                      <w:t>损耗</w:t>
                                    </w:r>
                                    <w:r>
                                      <w:rPr>
                                        <w:rFonts w:hint="eastAsia"/>
                                        <w:sz w:val="18"/>
                                        <w:szCs w:val="18"/>
                                        <w:lang w:val="en-US" w:eastAsia="zh-CN"/>
                                      </w:rPr>
                                      <w:t>2400</w:t>
                                    </w:r>
                                  </w:p>
                                </w:txbxContent>
                              </wps:txbx>
                              <wps:bodyPr vert="horz" wrap="square" lIns="0" tIns="0" rIns="0" bIns="0" anchor="t" anchorCtr="0" upright="1"/>
                            </wps:wsp>
                            <wps:wsp>
                              <wps:cNvPr id="22" name="直线 308"/>
                              <wps:cNvCnPr/>
                              <wps:spPr>
                                <a:xfrm>
                                  <a:off x="3208655" y="344171"/>
                                  <a:ext cx="533400" cy="0"/>
                                </a:xfrm>
                                <a:prstGeom prst="line">
                                  <a:avLst/>
                                </a:prstGeom>
                                <a:ln w="6350" cap="flat" cmpd="sng">
                                  <a:solidFill>
                                    <a:srgbClr val="000000"/>
                                  </a:solidFill>
                                  <a:prstDash val="solid"/>
                                  <a:headEnd type="none" w="med" len="med"/>
                                  <a:tailEnd type="triangle" w="med" len="med"/>
                                </a:ln>
                              </wps:spPr>
                              <wps:bodyPr upright="1"/>
                            </wps:wsp>
                            <wps:wsp>
                              <wps:cNvPr id="23" name="矩形 312"/>
                              <wps:cNvSpPr/>
                              <wps:spPr>
                                <a:xfrm>
                                  <a:off x="3259455" y="166370"/>
                                  <a:ext cx="355600" cy="203199"/>
                                </a:xfrm>
                                <a:prstGeom prst="rect">
                                  <a:avLst/>
                                </a:prstGeom>
                                <a:noFill/>
                                <a:ln w="6350">
                                  <a:noFill/>
                                </a:ln>
                              </wps:spPr>
                              <wps:txbx>
                                <w:txbxContent>
                                  <w:p>
                                    <w:pPr>
                                      <w:jc w:val="center"/>
                                      <w:rPr>
                                        <w:rFonts w:hint="default" w:eastAsia="宋体"/>
                                        <w:sz w:val="18"/>
                                        <w:szCs w:val="18"/>
                                        <w:lang w:val="en-US" w:eastAsia="zh-CN"/>
                                      </w:rPr>
                                    </w:pPr>
                                    <w:r>
                                      <w:rPr>
                                        <w:rFonts w:hint="eastAsia"/>
                                        <w:sz w:val="18"/>
                                        <w:szCs w:val="18"/>
                                        <w:lang w:val="en-US" w:eastAsia="zh-CN"/>
                                      </w:rPr>
                                      <w:t>900</w:t>
                                    </w:r>
                                  </w:p>
                                </w:txbxContent>
                              </wps:txbx>
                              <wps:bodyPr vert="horz" wrap="square" lIns="0" tIns="0" rIns="0" bIns="0" anchor="t" anchorCtr="0" upright="1"/>
                            </wps:wsp>
                            <wps:wsp>
                              <wps:cNvPr id="24" name="矩形 312"/>
                              <wps:cNvSpPr/>
                              <wps:spPr>
                                <a:xfrm>
                                  <a:off x="2310130" y="834390"/>
                                  <a:ext cx="527050" cy="209550"/>
                                </a:xfrm>
                                <a:prstGeom prst="rect">
                                  <a:avLst/>
                                </a:prstGeom>
                                <a:noFill/>
                                <a:ln w="6350">
                                  <a:noFill/>
                                </a:ln>
                              </wps:spPr>
                              <wps:txbx>
                                <w:txbxContent>
                                  <w:p>
                                    <w:pPr>
                                      <w:jc w:val="center"/>
                                      <w:rPr>
                                        <w:sz w:val="18"/>
                                        <w:szCs w:val="18"/>
                                      </w:rPr>
                                    </w:pPr>
                                    <w:r>
                                      <w:rPr>
                                        <w:rFonts w:hint="eastAsia"/>
                                        <w:sz w:val="18"/>
                                        <w:szCs w:val="18"/>
                                      </w:rPr>
                                      <w:t>进入产品</w:t>
                                    </w:r>
                                  </w:p>
                                </w:txbxContent>
                              </wps:txbx>
                              <wps:bodyPr vert="horz" wrap="square" lIns="0" tIns="0" rIns="0" bIns="0" anchor="t" anchorCtr="0" upright="1"/>
                            </wps:wsp>
                            <wps:wsp>
                              <wps:cNvPr id="25" name="矩形 250"/>
                              <wps:cNvSpPr/>
                              <wps:spPr>
                                <a:xfrm>
                                  <a:off x="1129665" y="2139315"/>
                                  <a:ext cx="673100" cy="215900"/>
                                </a:xfrm>
                                <a:prstGeom prst="rect">
                                  <a:avLst/>
                                </a:prstGeom>
                                <a:noFill/>
                                <a:ln w="6350" cap="flat" cmpd="sng">
                                  <a:solidFill>
                                    <a:srgbClr val="000000"/>
                                  </a:solidFill>
                                  <a:prstDash val="solid"/>
                                  <a:miter/>
                                  <a:headEnd type="none" w="med" len="med"/>
                                  <a:tailEnd type="none" w="med" len="med"/>
                                </a:ln>
                              </wps:spPr>
                              <wps:txbx>
                                <w:txbxContent>
                                  <w:p>
                                    <w:pPr>
                                      <w:jc w:val="center"/>
                                      <w:rPr>
                                        <w:sz w:val="18"/>
                                        <w:szCs w:val="18"/>
                                      </w:rPr>
                                    </w:pPr>
                                    <w:r>
                                      <w:rPr>
                                        <w:rFonts w:hint="eastAsia"/>
                                        <w:sz w:val="18"/>
                                        <w:szCs w:val="18"/>
                                      </w:rPr>
                                      <w:t>降尘用水</w:t>
                                    </w:r>
                                  </w:p>
                                </w:txbxContent>
                              </wps:txbx>
                              <wps:bodyPr vert="horz" wrap="square" lIns="0" tIns="10800" rIns="0" bIns="10800" anchor="t" anchorCtr="0" upright="1"/>
                            </wps:wsp>
                            <wps:wsp>
                              <wps:cNvPr id="26" name="直线 268"/>
                              <wps:cNvCnPr/>
                              <wps:spPr>
                                <a:xfrm>
                                  <a:off x="596265" y="2244726"/>
                                  <a:ext cx="533400" cy="0"/>
                                </a:xfrm>
                                <a:prstGeom prst="line">
                                  <a:avLst/>
                                </a:prstGeom>
                                <a:ln w="6350" cap="flat" cmpd="sng">
                                  <a:solidFill>
                                    <a:srgbClr val="000000"/>
                                  </a:solidFill>
                                  <a:prstDash val="solid"/>
                                  <a:headEnd type="none" w="med" len="med"/>
                                  <a:tailEnd type="triangle" w="med" len="med"/>
                                </a:ln>
                              </wps:spPr>
                              <wps:bodyPr upright="1"/>
                            </wps:wsp>
                            <wps:wsp>
                              <wps:cNvPr id="27" name="矩形 269"/>
                              <wps:cNvSpPr/>
                              <wps:spPr>
                                <a:xfrm>
                                  <a:off x="685165" y="2079625"/>
                                  <a:ext cx="355600" cy="203200"/>
                                </a:xfrm>
                                <a:prstGeom prst="rect">
                                  <a:avLst/>
                                </a:prstGeom>
                                <a:noFill/>
                                <a:ln w="6350">
                                  <a:noFill/>
                                </a:ln>
                              </wps:spPr>
                              <wps:txbx>
                                <w:txbxContent>
                                  <w:p>
                                    <w:pPr>
                                      <w:jc w:val="center"/>
                                      <w:rPr>
                                        <w:rFonts w:hint="default" w:eastAsia="宋体"/>
                                        <w:sz w:val="18"/>
                                        <w:szCs w:val="18"/>
                                        <w:lang w:val="en-US" w:eastAsia="zh-CN"/>
                                      </w:rPr>
                                    </w:pPr>
                                    <w:r>
                                      <w:rPr>
                                        <w:rFonts w:hint="eastAsia"/>
                                        <w:sz w:val="18"/>
                                        <w:szCs w:val="18"/>
                                        <w:lang w:val="en-US" w:eastAsia="zh-CN"/>
                                      </w:rPr>
                                      <w:t>2400</w:t>
                                    </w:r>
                                  </w:p>
                                </w:txbxContent>
                              </wps:txbx>
                              <wps:bodyPr vert="horz" wrap="square" lIns="0" tIns="0" rIns="0" bIns="0" anchor="t" anchorCtr="0" upright="1"/>
                            </wps:wsp>
                            <wps:wsp>
                              <wps:cNvPr id="28" name="矩形 250"/>
                              <wps:cNvSpPr/>
                              <wps:spPr>
                                <a:xfrm>
                                  <a:off x="1139190" y="2660650"/>
                                  <a:ext cx="673100" cy="215900"/>
                                </a:xfrm>
                                <a:prstGeom prst="rect">
                                  <a:avLst/>
                                </a:prstGeom>
                                <a:noFill/>
                                <a:ln w="6350" cap="flat" cmpd="sng">
                                  <a:solidFill>
                                    <a:srgbClr val="000000"/>
                                  </a:solidFill>
                                  <a:prstDash val="solid"/>
                                  <a:miter/>
                                  <a:headEnd type="none" w="med" len="med"/>
                                  <a:tailEnd type="none" w="med" len="med"/>
                                </a:ln>
                              </wps:spPr>
                              <wps:txbx>
                                <w:txbxContent>
                                  <w:p>
                                    <w:pPr>
                                      <w:jc w:val="center"/>
                                      <w:rPr>
                                        <w:sz w:val="18"/>
                                        <w:szCs w:val="18"/>
                                      </w:rPr>
                                    </w:pPr>
                                    <w:r>
                                      <w:rPr>
                                        <w:rFonts w:hint="eastAsia"/>
                                        <w:sz w:val="18"/>
                                        <w:szCs w:val="18"/>
                                      </w:rPr>
                                      <w:t>脱硫除尘用水</w:t>
                                    </w:r>
                                  </w:p>
                                </w:txbxContent>
                              </wps:txbx>
                              <wps:bodyPr vert="horz" wrap="square" lIns="0" tIns="10800" rIns="0" bIns="10800" anchor="t" anchorCtr="0" upright="1"/>
                            </wps:wsp>
                            <wps:wsp>
                              <wps:cNvPr id="29" name="直线 251"/>
                              <wps:cNvCnPr/>
                              <wps:spPr>
                                <a:xfrm flipV="1">
                                  <a:off x="1494790" y="2533650"/>
                                  <a:ext cx="279400" cy="114300"/>
                                </a:xfrm>
                                <a:prstGeom prst="line">
                                  <a:avLst/>
                                </a:prstGeom>
                                <a:ln w="9525" cap="flat" cmpd="sng">
                                  <a:solidFill>
                                    <a:srgbClr val="000000"/>
                                  </a:solidFill>
                                  <a:prstDash val="dash"/>
                                  <a:headEnd type="none" w="med" len="med"/>
                                  <a:tailEnd type="triangle" w="med" len="med"/>
                                </a:ln>
                              </wps:spPr>
                              <wps:bodyPr upright="1"/>
                            </wps:wsp>
                            <wps:wsp>
                              <wps:cNvPr id="30" name="直线 268"/>
                              <wps:cNvCnPr/>
                              <wps:spPr>
                                <a:xfrm>
                                  <a:off x="605790" y="2774950"/>
                                  <a:ext cx="533400" cy="0"/>
                                </a:xfrm>
                                <a:prstGeom prst="line">
                                  <a:avLst/>
                                </a:prstGeom>
                                <a:ln w="6350" cap="flat" cmpd="sng">
                                  <a:solidFill>
                                    <a:srgbClr val="000000"/>
                                  </a:solidFill>
                                  <a:prstDash val="solid"/>
                                  <a:headEnd type="none" w="med" len="med"/>
                                  <a:tailEnd type="triangle" w="med" len="med"/>
                                </a:ln>
                              </wps:spPr>
                              <wps:bodyPr upright="1"/>
                            </wps:wsp>
                            <wps:wsp>
                              <wps:cNvPr id="31" name="矩形 269"/>
                              <wps:cNvSpPr/>
                              <wps:spPr>
                                <a:xfrm>
                                  <a:off x="602615" y="2604135"/>
                                  <a:ext cx="493395" cy="203200"/>
                                </a:xfrm>
                                <a:prstGeom prst="rect">
                                  <a:avLst/>
                                </a:prstGeom>
                                <a:noFill/>
                                <a:ln w="6350">
                                  <a:noFill/>
                                </a:ln>
                              </wps:spPr>
                              <wps:txbx>
                                <w:txbxContent>
                                  <w:p>
                                    <w:pPr>
                                      <w:jc w:val="center"/>
                                      <w:rPr>
                                        <w:rFonts w:hint="default" w:eastAsia="宋体"/>
                                        <w:color w:val="FF0000"/>
                                        <w:sz w:val="18"/>
                                        <w:szCs w:val="18"/>
                                        <w:lang w:val="en-US" w:eastAsia="zh-CN"/>
                                      </w:rPr>
                                    </w:pPr>
                                    <w:r>
                                      <w:rPr>
                                        <w:rFonts w:hint="eastAsia"/>
                                        <w:color w:val="000000"/>
                                        <w:sz w:val="18"/>
                                        <w:szCs w:val="18"/>
                                        <w:lang w:val="en-US" w:eastAsia="zh-CN"/>
                                      </w:rPr>
                                      <w:t>1380</w:t>
                                    </w:r>
                                  </w:p>
                                </w:txbxContent>
                              </wps:txbx>
                              <wps:bodyPr vert="horz" wrap="square" lIns="0" tIns="0" rIns="0" bIns="0" anchor="t" anchorCtr="0" upright="1"/>
                            </wps:wsp>
                            <wps:wsp>
                              <wps:cNvPr id="32" name="矩形 252"/>
                              <wps:cNvSpPr/>
                              <wps:spPr>
                                <a:xfrm>
                                  <a:off x="1786890" y="2419350"/>
                                  <a:ext cx="805815" cy="215900"/>
                                </a:xfrm>
                                <a:prstGeom prst="rect">
                                  <a:avLst/>
                                </a:prstGeom>
                                <a:noFill/>
                                <a:ln w="6350">
                                  <a:noFill/>
                                </a:ln>
                              </wps:spPr>
                              <wps:txbx>
                                <w:txbxContent>
                                  <w:p>
                                    <w:pPr>
                                      <w:jc w:val="center"/>
                                      <w:rPr>
                                        <w:rFonts w:hint="default" w:eastAsia="宋体"/>
                                        <w:sz w:val="18"/>
                                        <w:szCs w:val="18"/>
                                        <w:lang w:val="en-US" w:eastAsia="zh-CN"/>
                                      </w:rPr>
                                    </w:pPr>
                                    <w:r>
                                      <w:rPr>
                                        <w:rFonts w:hint="eastAsia"/>
                                        <w:sz w:val="18"/>
                                        <w:szCs w:val="18"/>
                                      </w:rPr>
                                      <w:t>损耗</w:t>
                                    </w:r>
                                    <w:r>
                                      <w:rPr>
                                        <w:rFonts w:hint="eastAsia"/>
                                        <w:color w:val="000000"/>
                                        <w:sz w:val="18"/>
                                        <w:szCs w:val="18"/>
                                        <w:lang w:val="en-US" w:eastAsia="zh-CN"/>
                                      </w:rPr>
                                      <w:t>1380</w:t>
                                    </w:r>
                                  </w:p>
                                </w:txbxContent>
                              </wps:txbx>
                              <wps:bodyPr vert="horz" wrap="square" lIns="0" tIns="0" rIns="0" bIns="0" anchor="t" anchorCtr="0" upright="1"/>
                            </wps:wsp>
                            <wps:wsp>
                              <wps:cNvPr id="33" name="直线 268"/>
                              <wps:cNvCnPr/>
                              <wps:spPr>
                                <a:xfrm flipV="1">
                                  <a:off x="1837690" y="2762250"/>
                                  <a:ext cx="711200" cy="0"/>
                                </a:xfrm>
                                <a:prstGeom prst="line">
                                  <a:avLst/>
                                </a:prstGeom>
                                <a:ln w="6350" cap="flat" cmpd="sng">
                                  <a:solidFill>
                                    <a:srgbClr val="000000"/>
                                  </a:solidFill>
                                  <a:prstDash val="solid"/>
                                  <a:headEnd type="none" w="med" len="med"/>
                                  <a:tailEnd type="triangle" w="med" len="med"/>
                                </a:ln>
                              </wps:spPr>
                              <wps:bodyPr upright="1"/>
                            </wps:wsp>
                            <wps:wsp>
                              <wps:cNvPr id="34" name="矩形 269"/>
                              <wps:cNvSpPr/>
                              <wps:spPr>
                                <a:xfrm>
                                  <a:off x="1894840" y="2609850"/>
                                  <a:ext cx="631825" cy="222250"/>
                                </a:xfrm>
                                <a:prstGeom prst="rect">
                                  <a:avLst/>
                                </a:prstGeom>
                                <a:noFill/>
                                <a:ln w="6350">
                                  <a:noFill/>
                                </a:ln>
                              </wps:spPr>
                              <wps:txbx>
                                <w:txbxContent>
                                  <w:p>
                                    <w:pPr>
                                      <w:jc w:val="center"/>
                                      <w:rPr>
                                        <w:rFonts w:hint="default" w:eastAsia="宋体"/>
                                        <w:sz w:val="18"/>
                                        <w:szCs w:val="18"/>
                                        <w:lang w:val="en-US" w:eastAsia="zh-CN"/>
                                      </w:rPr>
                                    </w:pPr>
                                    <w:r>
                                      <w:rPr>
                                        <w:rFonts w:hint="eastAsia"/>
                                        <w:sz w:val="18"/>
                                        <w:szCs w:val="18"/>
                                        <w:lang w:val="en-US" w:eastAsia="zh-CN"/>
                                      </w:rPr>
                                      <w:t>4380</w:t>
                                    </w:r>
                                  </w:p>
                                </w:txbxContent>
                              </wps:txbx>
                              <wps:bodyPr vert="horz" wrap="square" lIns="0" tIns="0" rIns="0" bIns="0" anchor="t" anchorCtr="0" upright="1"/>
                            </wps:wsp>
                            <wps:wsp>
                              <wps:cNvPr id="36" name="直线 308"/>
                              <wps:cNvCnPr/>
                              <wps:spPr>
                                <a:xfrm rot="5400000">
                                  <a:off x="2828290" y="2965451"/>
                                  <a:ext cx="177800" cy="0"/>
                                </a:xfrm>
                                <a:prstGeom prst="line">
                                  <a:avLst/>
                                </a:prstGeom>
                                <a:ln w="6350" cap="flat" cmpd="sng">
                                  <a:solidFill>
                                    <a:srgbClr val="000000"/>
                                  </a:solidFill>
                                  <a:prstDash val="solid"/>
                                  <a:headEnd type="none" w="med" len="med"/>
                                  <a:tailEnd type="none" w="med" len="med"/>
                                </a:ln>
                              </wps:spPr>
                              <wps:bodyPr upright="1"/>
                            </wps:wsp>
                            <wps:wsp>
                              <wps:cNvPr id="37" name="直线 308"/>
                              <wps:cNvCnPr/>
                              <wps:spPr>
                                <a:xfrm flipV="1">
                                  <a:off x="1482090" y="3054351"/>
                                  <a:ext cx="1435100" cy="0"/>
                                </a:xfrm>
                                <a:prstGeom prst="line">
                                  <a:avLst/>
                                </a:prstGeom>
                                <a:ln w="6350" cap="flat" cmpd="sng">
                                  <a:solidFill>
                                    <a:srgbClr val="000000"/>
                                  </a:solidFill>
                                  <a:prstDash val="solid"/>
                                  <a:headEnd type="none" w="med" len="med"/>
                                  <a:tailEnd type="none" w="med" len="med"/>
                                </a:ln>
                              </wps:spPr>
                              <wps:bodyPr upright="1"/>
                            </wps:wsp>
                            <wps:wsp>
                              <wps:cNvPr id="38" name="直线 308"/>
                              <wps:cNvCnPr/>
                              <wps:spPr>
                                <a:xfrm rot="5400000">
                                  <a:off x="1405890" y="2978151"/>
                                  <a:ext cx="177800" cy="0"/>
                                </a:xfrm>
                                <a:prstGeom prst="line">
                                  <a:avLst/>
                                </a:prstGeom>
                                <a:ln w="6350" cap="flat" cmpd="sng">
                                  <a:solidFill>
                                    <a:srgbClr val="000000"/>
                                  </a:solidFill>
                                  <a:prstDash val="solid"/>
                                  <a:headEnd type="triangle" w="med" len="med"/>
                                  <a:tailEnd type="none" w="med" len="med"/>
                                </a:ln>
                              </wps:spPr>
                              <wps:bodyPr upright="1"/>
                            </wps:wsp>
                            <wps:wsp>
                              <wps:cNvPr id="39" name="矩形 269"/>
                              <wps:cNvSpPr/>
                              <wps:spPr>
                                <a:xfrm>
                                  <a:off x="1945640" y="2873375"/>
                                  <a:ext cx="565150" cy="228600"/>
                                </a:xfrm>
                                <a:prstGeom prst="rect">
                                  <a:avLst/>
                                </a:prstGeom>
                                <a:noFill/>
                                <a:ln w="6350">
                                  <a:noFill/>
                                </a:ln>
                              </wps:spPr>
                              <wps:txbx>
                                <w:txbxContent>
                                  <w:p>
                                    <w:pPr>
                                      <w:jc w:val="center"/>
                                      <w:rPr>
                                        <w:rFonts w:hint="default" w:eastAsia="宋体"/>
                                        <w:sz w:val="18"/>
                                        <w:szCs w:val="18"/>
                                        <w:lang w:val="en-US" w:eastAsia="zh-CN"/>
                                      </w:rPr>
                                    </w:pPr>
                                    <w:r>
                                      <w:rPr>
                                        <w:rFonts w:hint="eastAsia"/>
                                        <w:sz w:val="18"/>
                                        <w:szCs w:val="18"/>
                                        <w:lang w:val="en-US" w:eastAsia="zh-CN"/>
                                      </w:rPr>
                                      <w:t>4380</w:t>
                                    </w:r>
                                  </w:p>
                                </w:txbxContent>
                              </wps:txbx>
                              <wps:bodyPr vert="horz" wrap="square" lIns="0" tIns="0" rIns="0" bIns="0" anchor="t" anchorCtr="0" upright="1"/>
                            </wps:wsp>
                            <wps:wsp>
                              <wps:cNvPr id="155" name="矩形 455"/>
                              <wps:cNvSpPr/>
                              <wps:spPr>
                                <a:xfrm>
                                  <a:off x="2592705" y="2592705"/>
                                  <a:ext cx="866775" cy="245745"/>
                                </a:xfrm>
                                <a:prstGeom prst="rect">
                                  <a:avLst/>
                                </a:prstGeom>
                                <a:noFill/>
                                <a:ln w="6350" cap="flat" cmpd="sng">
                                  <a:solidFill>
                                    <a:srgbClr val="000000"/>
                                  </a:solidFill>
                                  <a:prstDash val="solid"/>
                                  <a:miter/>
                                  <a:headEnd type="none" w="med" len="med"/>
                                  <a:tailEnd type="none" w="med" len="med"/>
                                </a:ln>
                              </wps:spPr>
                              <wps:txbx>
                                <w:txbxContent>
                                  <w:p>
                                    <w:pPr>
                                      <w:jc w:val="center"/>
                                      <w:rPr>
                                        <w:rFonts w:hint="default" w:eastAsia="宋体"/>
                                        <w:sz w:val="18"/>
                                        <w:szCs w:val="18"/>
                                        <w:lang w:val="en-US" w:eastAsia="zh-CN"/>
                                      </w:rPr>
                                    </w:pPr>
                                    <w:r>
                                      <w:rPr>
                                        <w:rFonts w:hint="eastAsia"/>
                                        <w:sz w:val="18"/>
                                        <w:szCs w:val="18"/>
                                        <w:lang w:val="en-US" w:eastAsia="zh-CN"/>
                                      </w:rPr>
                                      <w:t>循环池</w:t>
                                    </w:r>
                                  </w:p>
                                </w:txbxContent>
                              </wps:txbx>
                              <wps:bodyPr vert="horz" wrap="square" lIns="0" tIns="10800" rIns="0" bIns="10800" anchor="t" anchorCtr="0" upright="1"/>
                            </wps:wsp>
                          </wpc:wpc>
                        </a:graphicData>
                      </a:graphic>
                    </wp:inline>
                  </w:drawing>
                </mc:Choice>
                <mc:Fallback>
                  <w:pict>
                    <v:group id="画布 249" o:spid="_x0000_s1026" o:spt="203" style="height:249.3pt;width:397.5pt;" coordsize="5048250,3166110" editas="canvas" o:gfxdata="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">
                      <o:lock v:ext="edit" aspectratio="f"/>
                      <v:shape id="画布 249" o:spid="_x0000_s1026" style="position:absolute;left:0;top:0;height:3166110;width:5048250;" filled="f" stroked="f" coordsize="21600,21600" o:gfxdata="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">
                        <v:fill on="f" focussize="0,0"/>
                        <v:stroke on="f"/>
                        <v:imagedata o:title=""/>
                        <o:lock v:ext="edit" aspectratio="f"/>
                      </v:shape>
                      <v:rect id="矩形 252" o:spid="_x0000_s1026" o:spt="1" style="position:absolute;left:1767205;top:0;height:215900;width:555625;" filled="f" stroked="f" coordsize="21600,21600" o:gfxdata="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">
                        <v:fill on="f" focussize="0,0"/>
                        <v:stroke on="f" weight="0.5pt"/>
                        <v:imagedata o:title=""/>
                        <o:lock v:ext="edit" aspectratio="f"/>
                        <v:textbox inset="0mm,0mm,0mm,0mm">
                          <w:txbxContent>
                            <w:p>
                              <w:pPr>
                                <w:jc w:val="center"/>
                                <w:rPr>
                                  <w:rFonts w:hint="default" w:eastAsia="宋体"/>
                                  <w:sz w:val="18"/>
                                  <w:szCs w:val="18"/>
                                  <w:lang w:val="en-US" w:eastAsia="zh-CN"/>
                                </w:rPr>
                              </w:pPr>
                              <w:r>
                                <w:rPr>
                                  <w:rFonts w:hint="eastAsia"/>
                                  <w:sz w:val="18"/>
                                  <w:szCs w:val="18"/>
                                </w:rPr>
                                <w:t>损耗</w:t>
                              </w:r>
                              <w:r>
                                <w:rPr>
                                  <w:rFonts w:hint="eastAsia"/>
                                  <w:sz w:val="18"/>
                                  <w:szCs w:val="18"/>
                                  <w:lang w:val="en-US" w:eastAsia="zh-CN"/>
                                </w:rPr>
                                <w:t>180</w:t>
                              </w:r>
                            </w:p>
                          </w:txbxContent>
                        </v:textbox>
                      </v:rect>
                      <v:line id="直线 272" o:spid="_x0000_s1026" o:spt="20" style="position:absolute;left:596265;top:357505;height:2411981;width:0;" filled="f" stroked="t" coordsize="21600,21600" o:gfxdata="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VoGkNdMAAAAFAQAADwAAAAAAAAABACAAAAAiAAAAZHJzL2Rvd25yZXYueG1sUEsBAhQAFAAA&#10;AAgAh07iQLmCTTf0AQAA5wMAAA4AAAAAAAAAAQAgAAAAIgEAAGRycy9lMm9Eb2MueG1sUEsFBgAA&#10;AAAGAAYAWQEAAIgFAAAAAA==&#10;">
                        <v:fill on="f" focussize="0,0"/>
                        <v:stroke weight="0.5pt" color="#000000" joinstyle="round"/>
                        <v:imagedata o:title=""/>
                        <o:lock v:ext="edit" aspectratio="f"/>
                      </v:line>
                      <v:rect id="矩形 250" o:spid="_x0000_s1026" o:spt="1" style="position:absolute;left:1119505;top:239395;height:215264;width:683995;" filled="f" stroked="t" coordsize="21600,21600" o:gfxdata="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FUhDVNUAAAAFAQAADwAAAAAAAAABACAAAAAiAAAAZHJzL2Rvd25yZXYu&#10;eG1sUEsBAhQAFAAAAAgAh07iQClgvnQ3AgAAawQAAA4AAAAAAAAAAQAgAAAAJAEAAGRycy9lMm9E&#10;b2MueG1sUEsFBgAAAAAGAAYAWQEAAM0FAAAAAA==&#10;">
                        <v:fill on="f" focussize="0,0"/>
                        <v:stroke weight="0.5pt" color="#000000" joinstyle="miter"/>
                        <v:imagedata o:title=""/>
                        <o:lock v:ext="edit" aspectratio="f"/>
                        <v:textbox inset="0mm,0.3mm,0mm,0.3mm">
                          <w:txbxContent>
                            <w:p>
                              <w:pPr>
                                <w:jc w:val="center"/>
                                <w:rPr>
                                  <w:sz w:val="18"/>
                                  <w:szCs w:val="18"/>
                                </w:rPr>
                              </w:pPr>
                              <w:r>
                                <w:rPr>
                                  <w:rFonts w:hint="eastAsia"/>
                                  <w:sz w:val="18"/>
                                  <w:szCs w:val="18"/>
                                </w:rPr>
                                <w:t>生活用水</w:t>
                              </w:r>
                            </w:p>
                          </w:txbxContent>
                        </v:textbox>
                      </v:rect>
                      <v:line id="直线 251" o:spid="_x0000_s1026" o:spt="20" style="position:absolute;left:1481455;top:106045;flip:y;height:123825;width:285750;" filled="f" stroked="t" coordsize="21600,21600" o:gfxdata="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IsIPC7TAAAABQEAAA8AAAAAAAAAAQAgAAAAIgAAAGRycy9k&#10;b3ducmV2LnhtbFBLAQIUABQAAAAIAIdO4kCpTLueBwIAAPkDAAAOAAAAAAAAAAEAIAAAACIBAABk&#10;cnMvZTJvRG9jLnhtbFBLBQYAAAAABgAGAFkBAACbBQAAAAA=&#10;">
                        <v:fill on="f" focussize="0,0"/>
                        <v:stroke color="#000000" joinstyle="round" dashstyle="dash" endarrow="block"/>
                        <v:imagedata o:title=""/>
                        <o:lock v:ext="edit" aspectratio="f"/>
                      </v:line>
                      <v:line id="直线 268" o:spid="_x0000_s1026" o:spt="20" style="position:absolute;left:595630;top:359410;height:635;width:539750;" filled="f" stroked="t" coordsize="21600,21600" o:gfxdata="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AHrIbZ1QAAAAUBAAAPAAAAAAAAAAEAIAAAACIAAABkcnMvZG93bnJldi54bWxQSwEC&#10;FAAUAAAACACHTuJAh8FujPcBAADsAwAADgAAAAAAAAABACAAAAAkAQAAZHJzL2Uyb0RvYy54bWxQ&#10;SwUGAAAAAAYABgBZAQAAjQUAAAAA&#10;">
                        <v:fill on="f" focussize="0,0"/>
                        <v:stroke weight="0.5pt" color="#000000" joinstyle="round" endarrow="block"/>
                        <v:imagedata o:title=""/>
                        <o:lock v:ext="edit" aspectratio="f"/>
                      </v:line>
                      <v:rect id="矩形 269" o:spid="_x0000_s1026" o:spt="1" style="position:absolute;left:652780;top:211455;height:215899;width:356235;" filled="f" stroked="f" coordsize="21600,21600" o:gfxdata="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">
                        <v:fill on="f" focussize="0,0"/>
                        <v:stroke on="f" weight="0.5pt"/>
                        <v:imagedata o:title=""/>
                        <o:lock v:ext="edit" aspectratio="f"/>
                        <v:textbox inset="0mm,0mm,0mm,0mm">
                          <w:txbxContent>
                            <w:p>
                              <w:pPr>
                                <w:jc w:val="center"/>
                                <w:rPr>
                                  <w:rFonts w:hint="default" w:eastAsia="宋体"/>
                                  <w:sz w:val="18"/>
                                  <w:szCs w:val="18"/>
                                  <w:lang w:val="en-US" w:eastAsia="zh-CN"/>
                                </w:rPr>
                              </w:pPr>
                              <w:r>
                                <w:rPr>
                                  <w:rFonts w:hint="eastAsia"/>
                                  <w:sz w:val="18"/>
                                  <w:szCs w:val="18"/>
                                  <w:lang w:val="en-US" w:eastAsia="zh-CN"/>
                                </w:rPr>
                                <w:t>900</w:t>
                              </w:r>
                            </w:p>
                          </w:txbxContent>
                        </v:textbox>
                      </v:rect>
                      <v:line id="直线 308" o:spid="_x0000_s1026" o:spt="20" style="position:absolute;left:1798955;top:342901;height:0;width:539750;" filled="f" stroked="t" coordsize="21600,21600" o:gfxdata="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AHrIbZ1QAAAAUBAAAPAAAAAAAAAAEAIAAAACIAAABkcnMvZG93bnJldi54&#10;bWxQSwECFAAUAAAACACHTuJAXkuM7v0BAADrAwAADgAAAAAAAAABACAAAAAkAQAAZHJzL2Uyb0Rv&#10;Yy54bWxQSwUGAAAAAAYABgBZAQAAkwUAAAAA&#10;">
                        <v:fill on="f" focussize="0,0"/>
                        <v:stroke weight="0.5pt" color="#000000" joinstyle="round" endarrow="block"/>
                        <v:imagedata o:title=""/>
                        <o:lock v:ext="edit" aspectratio="f"/>
                      </v:line>
                      <v:rect id="矩形 455" o:spid="_x0000_s1026" o:spt="1" style="position:absolute;left:2338705;top:218440;height:245744;width:866775;" filled="f" stroked="t" coordsize="21600,21600" o:gfxdata="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FUhDVNUAAAAFAQAADwAAAAAAAAABACAAAAAiAAAAZHJzL2Rvd25y&#10;ZXYueG1sUEsBAhQAFAAAAAgAh07iQItcW2E6AgAAawQAAA4AAAAAAAAAAQAgAAAAJAEAAGRycy9l&#10;Mm9Eb2MueG1sUEsFBgAAAAAGAAYAWQEAANAFAAAAAA==&#10;">
                        <v:fill on="f" focussize="0,0"/>
                        <v:stroke weight="0.5pt" color="#000000" joinstyle="miter"/>
                        <v:imagedata o:title=""/>
                        <o:lock v:ext="edit" aspectratio="f"/>
                        <v:textbox inset="0mm,0.3mm,0mm,0.3mm">
                          <w:txbxContent>
                            <w:p>
                              <w:pPr>
                                <w:jc w:val="center"/>
                                <w:rPr>
                                  <w:sz w:val="18"/>
                                  <w:szCs w:val="18"/>
                                </w:rPr>
                              </w:pPr>
                              <w:r>
                                <w:rPr>
                                  <w:rFonts w:hint="eastAsia"/>
                                  <w:sz w:val="18"/>
                                  <w:szCs w:val="18"/>
                                </w:rPr>
                                <w:t>隔油池、化粪池</w:t>
                              </w:r>
                            </w:p>
                          </w:txbxContent>
                        </v:textbox>
                      </v:rect>
                      <v:rect id="矩形 463" o:spid="_x0000_s1026" o:spt="1" style="position:absolute;left:95250;top:1242060;height:406401;width:508000;" filled="f" stroked="f" coordsize="21600,21600" o:gfxdata="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apgpn9UAAAAFAQAADwAA&#10;AAAAAAABACAAAAAiAAAAZHJzL2Rvd25yZXYueG1sUEsBAhQAFAAAAAgAh07iQO6GgsTgAQAArAMA&#10;AA4AAAAAAAAAAQAgAAAAJAEAAGRycy9lMm9Eb2MueG1sUEsFBgAAAAAGAAYAWQEAAHYFAAAAAA==&#10;">
                        <v:fill on="f" focussize="0,0"/>
                        <v:stroke on="f" weight="0.5pt"/>
                        <v:imagedata o:title=""/>
                        <o:lock v:ext="edit" aspectratio="f"/>
                        <v:textbox inset="0mm,0mm,0mm,0mm">
                          <w:txbxContent>
                            <w:p>
                              <w:pPr>
                                <w:pStyle w:val="9"/>
                                <w:spacing w:before="0" w:after="0" w:line="240" w:lineRule="auto"/>
                                <w:jc w:val="center"/>
                                <w:rPr>
                                  <w:b w:val="0"/>
                                  <w:bCs w:val="0"/>
                                </w:rPr>
                              </w:pPr>
                              <w:r>
                                <w:rPr>
                                  <w:rFonts w:hint="eastAsia"/>
                                  <w:b w:val="0"/>
                                  <w:bCs w:val="0"/>
                                  <w:color w:val="000000"/>
                                  <w:sz w:val="18"/>
                                  <w:szCs w:val="18"/>
                                  <w:lang w:val="en-US" w:eastAsia="zh-CN"/>
                                </w:rPr>
                                <w:t>11430</w:t>
                              </w:r>
                              <w:r>
                                <w:rPr>
                                  <w:rFonts w:hint="eastAsia"/>
                                  <w:b w:val="0"/>
                                  <w:bCs w:val="0"/>
                                  <w:sz w:val="18"/>
                                  <w:szCs w:val="18"/>
                                </w:rPr>
                                <w:t>新鲜水</w:t>
                              </w:r>
                            </w:p>
                          </w:txbxContent>
                        </v:textbox>
                      </v:rect>
                      <v:line id="直线 268" o:spid="_x0000_s1026" o:spt="20" style="position:absolute;left:596265;top:948690;height:0;width:539750;" filled="f" stroked="t" coordsize="21600,21600" o:gfxdata="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B6yG2dUAAAAFAQAADwAAAAAAAAABACAAAAAiAAAAZHJzL2Rvd25yZXYueG1s&#10;UEsBAhQAFAAAAAgAh07iQLG91R37AQAA6wMAAA4AAAAAAAAAAQAgAAAAJAEAAGRycy9lMm9Eb2Mu&#10;eG1sUEsFBgAAAAAGAAYAWQEAAJEFAAAAAA==&#10;">
                        <v:fill on="f" focussize="0,0"/>
                        <v:stroke weight="0.5pt" color="#000000" joinstyle="round" endarrow="block"/>
                        <v:imagedata o:title=""/>
                        <o:lock v:ext="edit" aspectratio="f"/>
                      </v:line>
                      <v:rect id="矩形 269" o:spid="_x0000_s1026" o:spt="1" style="position:absolute;left:685165;top:755015;height:215900;width:355600;" filled="f" stroked="f" coordsize="21600,21600" o:gfxdata="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">
                        <v:fill on="f" focussize="0,0"/>
                        <v:stroke on="f" weight="0.5pt"/>
                        <v:imagedata o:title=""/>
                        <o:lock v:ext="edit" aspectratio="f"/>
                        <v:textbox inset="0mm,0mm,0mm,0mm">
                          <w:txbxContent>
                            <w:p>
                              <w:pPr>
                                <w:jc w:val="center"/>
                                <w:rPr>
                                  <w:rFonts w:hint="default" w:eastAsia="宋体"/>
                                  <w:sz w:val="18"/>
                                  <w:szCs w:val="18"/>
                                  <w:lang w:val="en-US" w:eastAsia="zh-CN"/>
                                </w:rPr>
                              </w:pPr>
                              <w:r>
                                <w:rPr>
                                  <w:rFonts w:hint="eastAsia"/>
                                  <w:sz w:val="18"/>
                                  <w:szCs w:val="18"/>
                                  <w:lang w:val="en-US" w:eastAsia="zh-CN"/>
                                </w:rPr>
                                <w:t>6750</w:t>
                              </w:r>
                            </w:p>
                          </w:txbxContent>
                        </v:textbox>
                      </v:rect>
                      <v:line id="直线 460" o:spid="_x0000_s1026" o:spt="20" style="position:absolute;left:65405;top:1461770;height:0;width:533400;" filled="f" stroked="t" coordsize="21600,21600" o:gfxdata="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AHrIbZ1QAAAAUBAAAPAAAAAAAAAAEAIAAAACIAAABkcnMvZG93bnJldi54bWxQ&#10;SwECFAAUAAAACACHTuJAfIsmRfoBAADrAwAADgAAAAAAAAABACAAAAAkAQAAZHJzL2Uyb0RvYy54&#10;bWxQSwUGAAAAAAYABgBZAQAAkAUAAAAA&#10;">
                        <v:fill on="f" focussize="0,0"/>
                        <v:stroke weight="0.5pt" color="#000000" joinstyle="round" endarrow="block"/>
                        <v:imagedata o:title=""/>
                        <o:lock v:ext="edit" aspectratio="f"/>
                      </v:line>
                      <v:line id="直线 448" o:spid="_x0000_s1026" o:spt="20" style="position:absolute;left:1818005;top:951231;height:635;width:521970;" filled="f" stroked="t" coordsize="21600,21600" o:gfxdata="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B6yG2dUAAAAFAQAADwAAAAAAAAABACAAAAAiAAAAZHJzL2Rvd25yZXYueG1s&#10;UEsBAhQAFAAAAAgAh07iQDpzlAv7AQAA7gMAAA4AAAAAAAAAAQAgAAAAJAEAAGRycy9lMm9Eb2Mu&#10;eG1sUEsFBgAAAAAGAAYAWQEAAJEFAAAAAA==&#10;">
                        <v:fill on="f" focussize="0,0"/>
                        <v:stroke weight="0.5pt" color="#000000" joinstyle="round" endarrow="block"/>
                        <v:imagedata o:title=""/>
                        <o:lock v:ext="edit" aspectratio="f"/>
                      </v:line>
                      <v:rect id="矩形 250" o:spid="_x0000_s1026" o:spt="1" style="position:absolute;left:1119505;top:830580;height:215900;width:683895;" filled="f" stroked="t" coordsize="21600,21600" o:gfxdata="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AVSENU1QAAAAUBAAAPAAAAAAAAAAEAIAAAACIAAABkcnMvZG93bnJl&#10;di54bWxQSwECFAAUAAAACACHTuJATiTeaDkCAABsBAAADgAAAAAAAAABACAAAAAkAQAAZHJzL2Uy&#10;b0RvYy54bWxQSwUGAAAAAAYABgBZAQAAzwUAAAAA&#10;">
                        <v:fill on="f" focussize="0,0"/>
                        <v:stroke weight="0.5pt" color="#000000" joinstyle="miter"/>
                        <v:imagedata o:title=""/>
                        <o:lock v:ext="edit" aspectratio="f"/>
                        <v:textbox inset="0mm,0.3mm,0mm,0.3mm">
                          <w:txbxContent>
                            <w:p>
                              <w:pPr>
                                <w:jc w:val="center"/>
                                <w:rPr>
                                  <w:sz w:val="18"/>
                                  <w:szCs w:val="18"/>
                                </w:rPr>
                              </w:pPr>
                              <w:r>
                                <w:rPr>
                                  <w:rFonts w:hint="eastAsia"/>
                                  <w:sz w:val="18"/>
                                  <w:szCs w:val="18"/>
                                </w:rPr>
                                <w:t>制砖用水</w:t>
                              </w:r>
                            </w:p>
                          </w:txbxContent>
                        </v:textbox>
                      </v:rect>
                      <v:line id="直线 251" o:spid="_x0000_s1026" o:spt="20" style="position:absolute;left:1424305;top:716280;flip:y;height:114300;width:279400;" filled="f" stroked="t" coordsize="21600,21600" o:gfxdata="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CLCDwu0wAAAAUBAAAPAAAAAAAAAAEAIAAAACIAAABkcnMv&#10;ZG93bnJldi54bWxQSwECFAAUAAAACACHTuJAQKEd9AgCAAD6AwAADgAAAAAAAAABACAAAAAiAQAA&#10;ZHJzL2Uyb0RvYy54bWxQSwUGAAAAAAYABgBZAQAAnAUAAAAA&#10;">
                        <v:fill on="f" focussize="0,0"/>
                        <v:stroke color="#000000" joinstyle="round" dashstyle="dash" endarrow="block"/>
                        <v:imagedata o:title=""/>
                        <o:lock v:ext="edit" aspectratio="f"/>
                      </v:line>
                      <v:rect id="矩形 252" o:spid="_x0000_s1026" o:spt="1" style="position:absolute;left:1675765;top:567690;height:215900;width:789305;" filled="f" stroked="f" coordsize="21600,21600" o:gfxdata="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GqYKZ/VAAAABQEA&#10;AA8AAAAAAAAAAQAgAAAAIgAAAGRycy9kb3ducmV2LnhtbFBLAQIUABQAAAAIAIdO4kDDOIOO5AEA&#10;AK4DAAAOAAAAAAAAAAEAIAAAACQBAABkcnMvZTJvRG9jLnhtbFBLBQYAAAAABgAGAFkBAAB6BQAA&#10;AAA=&#10;">
                        <v:fill on="f" focussize="0,0"/>
                        <v:stroke on="f" weight="0.5pt"/>
                        <v:imagedata o:title=""/>
                        <o:lock v:ext="edit" aspectratio="f"/>
                        <v:textbox inset="0mm,0mm,0mm,0mm">
                          <w:txbxContent>
                            <w:p>
                              <w:pPr>
                                <w:jc w:val="center"/>
                                <w:rPr>
                                  <w:rFonts w:hint="default" w:eastAsia="宋体"/>
                                  <w:sz w:val="18"/>
                                  <w:szCs w:val="18"/>
                                  <w:lang w:val="en-US" w:eastAsia="zh-CN"/>
                                </w:rPr>
                              </w:pPr>
                              <w:r>
                                <w:rPr>
                                  <w:rFonts w:hint="eastAsia"/>
                                  <w:sz w:val="18"/>
                                  <w:szCs w:val="18"/>
                                </w:rPr>
                                <w:t>损耗</w:t>
                              </w:r>
                              <w:r>
                                <w:rPr>
                                  <w:rFonts w:hint="eastAsia"/>
                                  <w:sz w:val="18"/>
                                  <w:szCs w:val="18"/>
                                  <w:lang w:val="en-US" w:eastAsia="zh-CN"/>
                                </w:rPr>
                                <w:t>6412.5</w:t>
                              </w:r>
                            </w:p>
                          </w:txbxContent>
                        </v:textbox>
                      </v:rect>
                      <v:rect id="矩形 312" o:spid="_x0000_s1026" o:spt="1" style="position:absolute;left:1852930;top:165735;height:215899;width:355600;" filled="f" stroked="f" coordsize="21600,21600" o:gfxdata="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">
                        <v:fill on="f" focussize="0,0"/>
                        <v:stroke on="f" weight="0.5pt"/>
                        <v:imagedata o:title=""/>
                        <o:lock v:ext="edit" aspectratio="f"/>
                        <v:textbox inset="0mm,0mm,0mm,0mm">
                          <w:txbxContent>
                            <w:p>
                              <w:pPr>
                                <w:jc w:val="center"/>
                                <w:rPr>
                                  <w:rFonts w:hint="default" w:eastAsia="宋体"/>
                                  <w:sz w:val="18"/>
                                  <w:szCs w:val="18"/>
                                  <w:lang w:val="en-US" w:eastAsia="zh-CN"/>
                                </w:rPr>
                              </w:pPr>
                              <w:r>
                                <w:rPr>
                                  <w:rFonts w:hint="eastAsia"/>
                                  <w:sz w:val="18"/>
                                  <w:szCs w:val="18"/>
                                  <w:lang w:val="en-US" w:eastAsia="zh-CN"/>
                                </w:rPr>
                                <w:t>720</w:t>
                              </w:r>
                            </w:p>
                          </w:txbxContent>
                        </v:textbox>
                      </v:rect>
                      <v:rect id="矩形 312" o:spid="_x0000_s1026" o:spt="1" style="position:absolute;left:1881505;top:775970;height:203200;width:355600;" filled="f" stroked="f" coordsize="21600,21600" o:gfxdata="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">
                        <v:fill on="f" focussize="0,0"/>
                        <v:stroke on="f" weight="0.5pt"/>
                        <v:imagedata o:title=""/>
                        <o:lock v:ext="edit" aspectratio="f"/>
                        <v:textbox inset="0mm,0mm,0mm,0mm">
                          <w:txbxContent>
                            <w:p>
                              <w:pPr>
                                <w:jc w:val="center"/>
                                <w:rPr>
                                  <w:rFonts w:hint="default" w:eastAsia="宋体"/>
                                  <w:sz w:val="18"/>
                                  <w:szCs w:val="18"/>
                                  <w:lang w:val="en-US" w:eastAsia="zh-CN"/>
                                </w:rPr>
                              </w:pPr>
                              <w:r>
                                <w:rPr>
                                  <w:rFonts w:hint="eastAsia"/>
                                  <w:sz w:val="18"/>
                                  <w:szCs w:val="18"/>
                                  <w:lang w:val="en-US" w:eastAsia="zh-CN"/>
                                </w:rPr>
                                <w:t>337.5</w:t>
                              </w:r>
                            </w:p>
                          </w:txbxContent>
                        </v:textbox>
                      </v:rect>
                      <v:rect id="矩形 312" o:spid="_x0000_s1026" o:spt="1" style="position:absolute;left:3738880;top:233680;height:200024;width:859790;" filled="f" stroked="f" coordsize="21600,21600" o:gfxdata="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GqYKZ/VAAAABQEA&#10;AA8AAAAAAAAAAQAgAAAAIgAAAGRycy9kb3ducmV2LnhtbFBLAQIUABQAAAAIAIdO4kAQMtyv5AEA&#10;AK4DAAAOAAAAAAAAAAEAIAAAACQBAABkcnMvZTJvRG9jLnhtbFBLBQYAAAAABgAGAFkBAAB6BQAA&#10;AAA=&#10;">
                        <v:fill on="f" focussize="0,0"/>
                        <v:stroke on="f" weight="0.5pt"/>
                        <v:imagedata o:title=""/>
                        <o:lock v:ext="edit" aspectratio="f"/>
                        <v:textbox inset="0mm,0mm,0mm,0mm">
                          <w:txbxContent>
                            <w:p>
                              <w:pPr>
                                <w:jc w:val="center"/>
                                <w:rPr>
                                  <w:rFonts w:hint="eastAsia" w:eastAsia="宋体"/>
                                  <w:sz w:val="18"/>
                                  <w:szCs w:val="18"/>
                                  <w:lang w:eastAsia="zh-CN"/>
                                </w:rPr>
                              </w:pPr>
                              <w:r>
                                <w:rPr>
                                  <w:rFonts w:hint="eastAsia"/>
                                  <w:sz w:val="18"/>
                                  <w:szCs w:val="18"/>
                                  <w:lang w:eastAsia="zh-CN"/>
                                </w:rPr>
                                <w:t>用作农肥</w:t>
                              </w:r>
                            </w:p>
                          </w:txbxContent>
                        </v:textbox>
                      </v:rect>
                      <v:line id="直线 251" o:spid="_x0000_s1026" o:spt="20" style="position:absolute;left:1434465;top:2014855;flip:y;height:114300;width:279400;" filled="f" stroked="t" coordsize="21600,21600" o:gfxdata="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iwg8LtMAAAAFAQAADwAAAAAAAAABACAAAAAiAAAAZHJzL2Rv&#10;d25yZXYueG1sUEsBAhQAFAAAAAgAh07iQPnHa+sGAgAA+wMAAA4AAAAAAAAAAQAgAAAAIgEAAGRy&#10;cy9lMm9Eb2MueG1sUEsFBgAAAAAGAAYAWQEAAJoFAAAAAA==&#10;">
                        <v:fill on="f" focussize="0,0"/>
                        <v:stroke color="#000000" joinstyle="round" dashstyle="dash" endarrow="block"/>
                        <v:imagedata o:title=""/>
                        <o:lock v:ext="edit" aspectratio="f"/>
                      </v:line>
                      <v:rect id="矩形 252" o:spid="_x0000_s1026" o:spt="1" style="position:absolute;left:1700530;top:1914525;height:215900;width:546100;" filled="f" stroked="f" coordsize="21600,21600" o:gfxdata="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BqmCmf1QAAAAUB&#10;AAAPAAAAAAAAAAEAIAAAACIAAABkcnMvZG93bnJldi54bWxQSwECFAAUAAAACACHTuJA2cnY0+UB&#10;AACvAwAADgAAAAAAAAABACAAAAAkAQAAZHJzL2Uyb0RvYy54bWxQSwUGAAAAAAYABgBZAQAAewUA&#10;AAAA&#10;">
                        <v:fill on="f" focussize="0,0"/>
                        <v:stroke on="f" weight="0.5pt"/>
                        <v:imagedata o:title=""/>
                        <o:lock v:ext="edit" aspectratio="f"/>
                        <v:textbox inset="0mm,0mm,0mm,0mm">
                          <w:txbxContent>
                            <w:p>
                              <w:pPr>
                                <w:jc w:val="center"/>
                                <w:rPr>
                                  <w:rFonts w:hint="default" w:eastAsia="宋体"/>
                                  <w:sz w:val="18"/>
                                  <w:szCs w:val="18"/>
                                  <w:lang w:val="en-US" w:eastAsia="zh-CN"/>
                                </w:rPr>
                              </w:pPr>
                              <w:r>
                                <w:rPr>
                                  <w:rFonts w:hint="eastAsia"/>
                                  <w:sz w:val="18"/>
                                  <w:szCs w:val="18"/>
                                </w:rPr>
                                <w:t>损耗</w:t>
                              </w:r>
                              <w:r>
                                <w:rPr>
                                  <w:rFonts w:hint="eastAsia"/>
                                  <w:sz w:val="18"/>
                                  <w:szCs w:val="18"/>
                                  <w:lang w:val="en-US" w:eastAsia="zh-CN"/>
                                </w:rPr>
                                <w:t>2400</w:t>
                              </w:r>
                            </w:p>
                          </w:txbxContent>
                        </v:textbox>
                      </v:rect>
                      <v:line id="直线 308" o:spid="_x0000_s1026" o:spt="20" style="position:absolute;left:3208655;top:344171;height:0;width:533400;" filled="f" stroked="t" coordsize="21600,21600" o:gfxdata="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AHrIbZ1QAAAAUBAAAPAAAAAAAAAAEAIAAAACIAAABkcnMvZG93bnJldi54&#10;bWxQSwECFAAUAAAACACHTuJAkoW2A/0BAADsAwAADgAAAAAAAAABACAAAAAkAQAAZHJzL2Uyb0Rv&#10;Yy54bWxQSwUGAAAAAAYABgBZAQAAkwUAAAAA&#10;">
                        <v:fill on="f" focussize="0,0"/>
                        <v:stroke weight="0.5pt" color="#000000" joinstyle="round" endarrow="block"/>
                        <v:imagedata o:title=""/>
                        <o:lock v:ext="edit" aspectratio="f"/>
                      </v:line>
                      <v:rect id="矩形 312" o:spid="_x0000_s1026" o:spt="1" style="position:absolute;left:3259455;top:166370;height:203199;width:355600;" filled="f" stroked="f" coordsize="21600,21600" o:gfxdata="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GqYKZ/VAAAABQEA&#10;AA8AAAAAAAAAAQAgAAAAIgAAAGRycy9kb3ducmV2LnhtbFBLAQIUABQAAAAIAIdO4kDWwwN65AEA&#10;AK4DAAAOAAAAAAAAAAEAIAAAACQBAABkcnMvZTJvRG9jLnhtbFBLBQYAAAAABgAGAFkBAAB6BQAA&#10;AAA=&#10;">
                        <v:fill on="f" focussize="0,0"/>
                        <v:stroke on="f" weight="0.5pt"/>
                        <v:imagedata o:title=""/>
                        <o:lock v:ext="edit" aspectratio="f"/>
                        <v:textbox inset="0mm,0mm,0mm,0mm">
                          <w:txbxContent>
                            <w:p>
                              <w:pPr>
                                <w:jc w:val="center"/>
                                <w:rPr>
                                  <w:rFonts w:hint="default" w:eastAsia="宋体"/>
                                  <w:sz w:val="18"/>
                                  <w:szCs w:val="18"/>
                                  <w:lang w:val="en-US" w:eastAsia="zh-CN"/>
                                </w:rPr>
                              </w:pPr>
                              <w:r>
                                <w:rPr>
                                  <w:rFonts w:hint="eastAsia"/>
                                  <w:sz w:val="18"/>
                                  <w:szCs w:val="18"/>
                                  <w:lang w:val="en-US" w:eastAsia="zh-CN"/>
                                </w:rPr>
                                <w:t>900</w:t>
                              </w:r>
                            </w:p>
                          </w:txbxContent>
                        </v:textbox>
                      </v:rect>
                      <v:rect id="矩形 312" o:spid="_x0000_s1026" o:spt="1" style="position:absolute;left:2310130;top:834390;height:209550;width:527050;" filled="f" stroked="f" coordsize="21600,21600" o:gfxdata="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">
                        <v:fill on="f" focussize="0,0"/>
                        <v:stroke on="f" weight="0.5pt"/>
                        <v:imagedata o:title=""/>
                        <o:lock v:ext="edit" aspectratio="f"/>
                        <v:textbox inset="0mm,0mm,0mm,0mm">
                          <w:txbxContent>
                            <w:p>
                              <w:pPr>
                                <w:jc w:val="center"/>
                                <w:rPr>
                                  <w:sz w:val="18"/>
                                  <w:szCs w:val="18"/>
                                </w:rPr>
                              </w:pPr>
                              <w:r>
                                <w:rPr>
                                  <w:rFonts w:hint="eastAsia"/>
                                  <w:sz w:val="18"/>
                                  <w:szCs w:val="18"/>
                                </w:rPr>
                                <w:t>进入产品</w:t>
                              </w:r>
                            </w:p>
                          </w:txbxContent>
                        </v:textbox>
                      </v:rect>
                      <v:rect id="矩形 250" o:spid="_x0000_s1026" o:spt="1" style="position:absolute;left:1129665;top:2139315;height:215900;width:673100;" filled="f" stroked="t" coordsize="21600,21600" o:gfxdata="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AVSENU1QAAAAUBAAAPAAAAAAAAAAEAIAAAACIAAABkcnMvZG93bnJldi54&#10;bWxQSwECFAAUAAAACACHTuJAL1T+VDYCAABtBAAADgAAAAAAAAABACAAAAAkAQAAZHJzL2Uyb0Rv&#10;Yy54bWxQSwUGAAAAAAYABgBZAQAAzAUAAAAA&#10;">
                        <v:fill on="f" focussize="0,0"/>
                        <v:stroke weight="0.5pt" color="#000000" joinstyle="miter"/>
                        <v:imagedata o:title=""/>
                        <o:lock v:ext="edit" aspectratio="f"/>
                        <v:textbox inset="0mm,0.3mm,0mm,0.3mm">
                          <w:txbxContent>
                            <w:p>
                              <w:pPr>
                                <w:jc w:val="center"/>
                                <w:rPr>
                                  <w:sz w:val="18"/>
                                  <w:szCs w:val="18"/>
                                </w:rPr>
                              </w:pPr>
                              <w:r>
                                <w:rPr>
                                  <w:rFonts w:hint="eastAsia"/>
                                  <w:sz w:val="18"/>
                                  <w:szCs w:val="18"/>
                                </w:rPr>
                                <w:t>降尘用水</w:t>
                              </w:r>
                            </w:p>
                          </w:txbxContent>
                        </v:textbox>
                      </v:rect>
                      <v:line id="直线 268" o:spid="_x0000_s1026" o:spt="20" style="position:absolute;left:596265;top:2244726;height:0;width:533400;" filled="f" stroked="t" coordsize="21600,21600" o:gfxdata="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AeshtnVAAAABQEAAA8AAAAAAAAAAQAgAAAAIgAAAGRycy9kb3ducmV2Lnht&#10;bFBLAQIUABQAAAAIAIdO4kCVVaYD/AEAAOwDAAAOAAAAAAAAAAEAIAAAACQBAABkcnMvZTJvRG9j&#10;LnhtbFBLBQYAAAAABgAGAFkBAACSBQAAAAA=&#10;">
                        <v:fill on="f" focussize="0,0"/>
                        <v:stroke weight="0.5pt" color="#000000" joinstyle="round" endarrow="block"/>
                        <v:imagedata o:title=""/>
                        <o:lock v:ext="edit" aspectratio="f"/>
                      </v:line>
                      <v:rect id="矩形 269" o:spid="_x0000_s1026" o:spt="1" style="position:absolute;left:685165;top:2079625;height:203200;width:355600;" filled="f" stroked="f" coordsize="21600,21600" o:gfxdata="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GqYKZ/VAAAABQEA&#10;AA8AAAAAAAAAAQAgAAAAIgAAAGRycy9kb3ducmV2LnhtbFBLAQIUABQAAAAIAIdO4kA48lHf5AEA&#10;AK4DAAAOAAAAAAAAAAEAIAAAACQBAABkcnMvZTJvRG9jLnhtbFBLBQYAAAAABgAGAFkBAAB6BQAA&#10;AAA=&#10;">
                        <v:fill on="f" focussize="0,0"/>
                        <v:stroke on="f" weight="0.5pt"/>
                        <v:imagedata o:title=""/>
                        <o:lock v:ext="edit" aspectratio="f"/>
                        <v:textbox inset="0mm,0mm,0mm,0mm">
                          <w:txbxContent>
                            <w:p>
                              <w:pPr>
                                <w:jc w:val="center"/>
                                <w:rPr>
                                  <w:rFonts w:hint="default" w:eastAsia="宋体"/>
                                  <w:sz w:val="18"/>
                                  <w:szCs w:val="18"/>
                                  <w:lang w:val="en-US" w:eastAsia="zh-CN"/>
                                </w:rPr>
                              </w:pPr>
                              <w:r>
                                <w:rPr>
                                  <w:rFonts w:hint="eastAsia"/>
                                  <w:sz w:val="18"/>
                                  <w:szCs w:val="18"/>
                                  <w:lang w:val="en-US" w:eastAsia="zh-CN"/>
                                </w:rPr>
                                <w:t>2400</w:t>
                              </w:r>
                            </w:p>
                          </w:txbxContent>
                        </v:textbox>
                      </v:rect>
                      <v:rect id="矩形 250" o:spid="_x0000_s1026" o:spt="1" style="position:absolute;left:1139190;top:2660650;height:215900;width:673100;" filled="f" stroked="t" coordsize="21600,21600" o:gfxdata="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FUhDVNUAAAAFAQAADwAAAAAAAAABACAAAAAiAAAAZHJzL2Rvd25yZXYu&#10;eG1sUEsBAhQAFAAAAAgAh07iQL0CKo83AgAAbQQAAA4AAAAAAAAAAQAgAAAAJAEAAGRycy9lMm9E&#10;b2MueG1sUEsFBgAAAAAGAAYAWQEAAM0FAAAAAA==&#10;">
                        <v:fill on="f" focussize="0,0"/>
                        <v:stroke weight="0.5pt" color="#000000" joinstyle="miter"/>
                        <v:imagedata o:title=""/>
                        <o:lock v:ext="edit" aspectratio="f"/>
                        <v:textbox inset="0mm,0.3mm,0mm,0.3mm">
                          <w:txbxContent>
                            <w:p>
                              <w:pPr>
                                <w:jc w:val="center"/>
                                <w:rPr>
                                  <w:sz w:val="18"/>
                                  <w:szCs w:val="18"/>
                                </w:rPr>
                              </w:pPr>
                              <w:r>
                                <w:rPr>
                                  <w:rFonts w:hint="eastAsia"/>
                                  <w:sz w:val="18"/>
                                  <w:szCs w:val="18"/>
                                </w:rPr>
                                <w:t>脱硫除尘用水</w:t>
                              </w:r>
                            </w:p>
                          </w:txbxContent>
                        </v:textbox>
                      </v:rect>
                      <v:line id="直线 251" o:spid="_x0000_s1026" o:spt="20" style="position:absolute;left:1494790;top:2533650;flip:y;height:114300;width:279400;" filled="f" stroked="t" coordsize="21600,21600" o:gfxdata="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IsIPC7TAAAABQEAAA8AAAAAAAAAAQAgAAAAIgAAAGRycy9k&#10;b3ducmV2LnhtbFBLAQIUABQAAAAIAIdO4kDeoISdBwIAAPsDAAAOAAAAAAAAAAEAIAAAACIBAABk&#10;cnMvZTJvRG9jLnhtbFBLBQYAAAAABgAGAFkBAACbBQAAAAA=&#10;">
                        <v:fill on="f" focussize="0,0"/>
                        <v:stroke color="#000000" joinstyle="round" dashstyle="dash" endarrow="block"/>
                        <v:imagedata o:title=""/>
                        <o:lock v:ext="edit" aspectratio="f"/>
                      </v:line>
                      <v:line id="直线 268" o:spid="_x0000_s1026" o:spt="20" style="position:absolute;left:605790;top:2774950;height:0;width:533400;" filled="f" stroked="t" coordsize="21600,21600" o:gfxdata="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B6yG2dUAAAAFAQAADwAAAAAAAAABACAAAAAiAAAAZHJzL2Rvd25yZXYu&#10;eG1sUEsBAhQAFAAAAAgAh07iQI0Ztp/+AQAA7AMAAA4AAAAAAAAAAQAgAAAAJAEAAGRycy9lMm9E&#10;b2MueG1sUEsFBgAAAAAGAAYAWQEAAJQFAAAAAA==&#10;">
                        <v:fill on="f" focussize="0,0"/>
                        <v:stroke weight="0.5pt" color="#000000" joinstyle="round" endarrow="block"/>
                        <v:imagedata o:title=""/>
                        <o:lock v:ext="edit" aspectratio="f"/>
                      </v:line>
                      <v:rect id="矩形 269" o:spid="_x0000_s1026" o:spt="1" style="position:absolute;left:602615;top:2604135;height:203200;width:493395;" filled="f" stroked="f" coordsize="21600,21600" o:gfxdata="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">
                        <v:fill on="f" focussize="0,0"/>
                        <v:stroke on="f" weight="0.5pt"/>
                        <v:imagedata o:title=""/>
                        <o:lock v:ext="edit" aspectratio="f"/>
                        <v:textbox inset="0mm,0mm,0mm,0mm">
                          <w:txbxContent>
                            <w:p>
                              <w:pPr>
                                <w:jc w:val="center"/>
                                <w:rPr>
                                  <w:rFonts w:hint="default" w:eastAsia="宋体"/>
                                  <w:color w:val="FF0000"/>
                                  <w:sz w:val="18"/>
                                  <w:szCs w:val="18"/>
                                  <w:lang w:val="en-US" w:eastAsia="zh-CN"/>
                                </w:rPr>
                              </w:pPr>
                              <w:r>
                                <w:rPr>
                                  <w:rFonts w:hint="eastAsia"/>
                                  <w:color w:val="000000"/>
                                  <w:sz w:val="18"/>
                                  <w:szCs w:val="18"/>
                                  <w:lang w:val="en-US" w:eastAsia="zh-CN"/>
                                </w:rPr>
                                <w:t>1380</w:t>
                              </w:r>
                            </w:p>
                          </w:txbxContent>
                        </v:textbox>
                      </v:rect>
                      <v:rect id="矩形 252" o:spid="_x0000_s1026" o:spt="1" style="position:absolute;left:1786890;top:2419350;height:215900;width:805815;" filled="f" stroked="f" coordsize="21600,21600" o:gfxdata="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">
                        <v:fill on="f" focussize="0,0"/>
                        <v:stroke on="f" weight="0.5pt"/>
                        <v:imagedata o:title=""/>
                        <o:lock v:ext="edit" aspectratio="f"/>
                        <v:textbox inset="0mm,0mm,0mm,0mm">
                          <w:txbxContent>
                            <w:p>
                              <w:pPr>
                                <w:jc w:val="center"/>
                                <w:rPr>
                                  <w:rFonts w:hint="default" w:eastAsia="宋体"/>
                                  <w:sz w:val="18"/>
                                  <w:szCs w:val="18"/>
                                  <w:lang w:val="en-US" w:eastAsia="zh-CN"/>
                                </w:rPr>
                              </w:pPr>
                              <w:r>
                                <w:rPr>
                                  <w:rFonts w:hint="eastAsia"/>
                                  <w:sz w:val="18"/>
                                  <w:szCs w:val="18"/>
                                </w:rPr>
                                <w:t>损耗</w:t>
                              </w:r>
                              <w:r>
                                <w:rPr>
                                  <w:rFonts w:hint="eastAsia"/>
                                  <w:color w:val="000000"/>
                                  <w:sz w:val="18"/>
                                  <w:szCs w:val="18"/>
                                  <w:lang w:val="en-US" w:eastAsia="zh-CN"/>
                                </w:rPr>
                                <w:t>1380</w:t>
                              </w:r>
                            </w:p>
                          </w:txbxContent>
                        </v:textbox>
                      </v:rect>
                      <v:line id="直线 268" o:spid="_x0000_s1026" o:spt="20" style="position:absolute;left:1837690;top:2762250;flip:y;height:0;width:711200;" filled="f" stroked="t" coordsize="21600,21600" o:gfxdata="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&#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yxuWwdcAAAAFAQAADwAAAAAAAAABACAAAAAiAAAAZHJz&#10;L2Rvd25yZXYueG1sUEsBAhQAFAAAAAgAh07iQIGoWwQFAgAA9wMAAA4AAAAAAAAAAQAgAAAAJgEA&#10;AGRycy9lMm9Eb2MueG1sUEsFBgAAAAAGAAYAWQEAAJ0FAAAAAA==&#10;">
                        <v:fill on="f" focussize="0,0"/>
                        <v:stroke weight="0.5pt" color="#000000" joinstyle="round" endarrow="block"/>
                        <v:imagedata o:title=""/>
                        <o:lock v:ext="edit" aspectratio="f"/>
                      </v:line>
                      <v:rect id="矩形 269" o:spid="_x0000_s1026" o:spt="1" style="position:absolute;left:1894840;top:2609850;height:222250;width:631825;" filled="f" stroked="f" coordsize="21600,21600" o:gfxdata="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">
                        <v:fill on="f" focussize="0,0"/>
                        <v:stroke on="f" weight="0.5pt"/>
                        <v:imagedata o:title=""/>
                        <o:lock v:ext="edit" aspectratio="f"/>
                        <v:textbox inset="0mm,0mm,0mm,0mm">
                          <w:txbxContent>
                            <w:p>
                              <w:pPr>
                                <w:jc w:val="center"/>
                                <w:rPr>
                                  <w:rFonts w:hint="default" w:eastAsia="宋体"/>
                                  <w:sz w:val="18"/>
                                  <w:szCs w:val="18"/>
                                  <w:lang w:val="en-US" w:eastAsia="zh-CN"/>
                                </w:rPr>
                              </w:pPr>
                              <w:r>
                                <w:rPr>
                                  <w:rFonts w:hint="eastAsia"/>
                                  <w:sz w:val="18"/>
                                  <w:szCs w:val="18"/>
                                  <w:lang w:val="en-US" w:eastAsia="zh-CN"/>
                                </w:rPr>
                                <w:t>4380</w:t>
                              </w:r>
                            </w:p>
                          </w:txbxContent>
                        </v:textbox>
                      </v:rect>
                      <v:line id="直线 308" o:spid="_x0000_s1026" o:spt="20" style="position:absolute;left:2828290;top:2965451;height:0;width:177800;rotation:5898240f;" filled="f" stroked="t" coordsize="21600,21600" o:gfxdata="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BNmQOt1gAAAAUBAAAPAAAAAAAAAAEAIAAAACIAAABkcnMvZG93bnJl&#10;di54bWxQSwECFAAUAAAACACHTuJAnQaBhP8BAAD3AwAADgAAAAAAAAABACAAAAAlAQAAZHJzL2Uy&#10;b0RvYy54bWxQSwUGAAAAAAYABgBZAQAAlgUAAAAA&#10;">
                        <v:fill on="f" focussize="0,0"/>
                        <v:stroke weight="0.5pt" color="#000000" joinstyle="round"/>
                        <v:imagedata o:title=""/>
                        <o:lock v:ext="edit" aspectratio="f"/>
                      </v:line>
                      <v:line id="直线 308" o:spid="_x0000_s1026" o:spt="20" style="position:absolute;left:1482090;top:3054351;flip:y;height:0;width:1435100;" filled="f" stroked="t" coordsize="21600,21600" o:gfxdata="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g0wqmNcAAAAFAQAADwAAAAAAAAABACAAAAAiAAAAZHJzL2Rvd25yZXYu&#10;eG1sUEsBAhQAFAAAAAgAh07iQCKAL3H8AQAA9AMAAA4AAAAAAAAAAQAgAAAAJgEAAGRycy9lMm9E&#10;b2MueG1sUEsFBgAAAAAGAAYAWQEAAJQFAAAAAA==&#10;">
                        <v:fill on="f" focussize="0,0"/>
                        <v:stroke weight="0.5pt" color="#000000" joinstyle="round"/>
                        <v:imagedata o:title=""/>
                        <o:lock v:ext="edit" aspectratio="f"/>
                      </v:line>
                      <v:line id="直线 308" o:spid="_x0000_s1026" o:spt="20" style="position:absolute;left:1405890;top:2978151;height:0;width:177800;rotation:5898240f;" filled="f" stroked="t" coordsize="21600,21600" o:gfxdata="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&#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OL0AxtUAAAAFAQAADwAAAAAAAAABACAAAAAiAAAAZHJz&#10;L2Rvd25yZXYueG1sUEsBAhQAFAAAAAgAh07iQJpzXR8HAgAA+wMAAA4AAAAAAAAAAQAgAAAAJAEA&#10;AGRycy9lMm9Eb2MueG1sUEsFBgAAAAAGAAYAWQEAAJ0FAAAAAA==&#10;">
                        <v:fill on="f" focussize="0,0"/>
                        <v:stroke weight="0.5pt" color="#000000" joinstyle="round" startarrow="block"/>
                        <v:imagedata o:title=""/>
                        <o:lock v:ext="edit" aspectratio="f"/>
                      </v:line>
                      <v:rect id="矩形 269" o:spid="_x0000_s1026" o:spt="1" style="position:absolute;left:1945640;top:2873375;height:228600;width:565150;" filled="f" stroked="f" coordsize="21600,21600" o:gfxdata="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apgpn9UAAAAF&#10;AQAADwAAAAAAAAABACAAAAAiAAAAZHJzL2Rvd25yZXYueG1sUEsBAhQAFAAAAAgAh07iQFNnErvm&#10;AQAArwMAAA4AAAAAAAAAAQAgAAAAJAEAAGRycy9lMm9Eb2MueG1sUEsFBgAAAAAGAAYAWQEAAHwF&#10;AAAAAA==&#10;">
                        <v:fill on="f" focussize="0,0"/>
                        <v:stroke on="f" weight="0.5pt"/>
                        <v:imagedata o:title=""/>
                        <o:lock v:ext="edit" aspectratio="f"/>
                        <v:textbox inset="0mm,0mm,0mm,0mm">
                          <w:txbxContent>
                            <w:p>
                              <w:pPr>
                                <w:jc w:val="center"/>
                                <w:rPr>
                                  <w:rFonts w:hint="default" w:eastAsia="宋体"/>
                                  <w:sz w:val="18"/>
                                  <w:szCs w:val="18"/>
                                  <w:lang w:val="en-US" w:eastAsia="zh-CN"/>
                                </w:rPr>
                              </w:pPr>
                              <w:r>
                                <w:rPr>
                                  <w:rFonts w:hint="eastAsia"/>
                                  <w:sz w:val="18"/>
                                  <w:szCs w:val="18"/>
                                  <w:lang w:val="en-US" w:eastAsia="zh-CN"/>
                                </w:rPr>
                                <w:t>4380</w:t>
                              </w:r>
                            </w:p>
                          </w:txbxContent>
                        </v:textbox>
                      </v:rect>
                      <v:rect id="矩形 455" o:spid="_x0000_s1026" o:spt="1" style="position:absolute;left:2592705;top:2592705;height:245745;width:866775;" filled="f" stroked="t" coordsize="21600,21600" o:gfxdata="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FUhDVNUAAAAFAQAADwAAAAAAAAABACAAAAAiAAAAZHJzL2Rvd25yZXYu&#10;eG1sUEsBAhQAFAAAAAgAh07iQBPnUvY3AgAAbgQAAA4AAAAAAAAAAQAgAAAAJAEAAGRycy9lMm9E&#10;b2MueG1sUEsFBgAAAAAGAAYAWQEAAM0FAAAAAA==&#10;">
                        <v:fill on="f" focussize="0,0"/>
                        <v:stroke weight="0.5pt" color="#000000" joinstyle="miter"/>
                        <v:imagedata o:title=""/>
                        <o:lock v:ext="edit" aspectratio="f"/>
                        <v:textbox inset="0mm,0.3mm,0mm,0.3mm">
                          <w:txbxContent>
                            <w:p>
                              <w:pPr>
                                <w:jc w:val="center"/>
                                <w:rPr>
                                  <w:rFonts w:hint="default" w:eastAsia="宋体"/>
                                  <w:sz w:val="18"/>
                                  <w:szCs w:val="18"/>
                                  <w:lang w:val="en-US" w:eastAsia="zh-CN"/>
                                </w:rPr>
                              </w:pPr>
                              <w:r>
                                <w:rPr>
                                  <w:rFonts w:hint="eastAsia"/>
                                  <w:sz w:val="18"/>
                                  <w:szCs w:val="18"/>
                                  <w:lang w:val="en-US" w:eastAsia="zh-CN"/>
                                </w:rPr>
                                <w:t>循环池</w:t>
                              </w:r>
                            </w:p>
                          </w:txbxContent>
                        </v:textbox>
                      </v:rect>
                      <w10:wrap type="none"/>
                      <w10:anchorlock/>
                    </v:group>
                  </w:pict>
                </mc:Fallback>
              </mc:AlternateContent>
            </w:r>
          </w:p>
          <w:p>
            <w:pPr>
              <w:jc w:val="center"/>
              <w:rPr>
                <w:b/>
                <w:bCs/>
                <w:color w:val="auto"/>
                <w:szCs w:val="21"/>
                <w:highlight w:val="none"/>
                <w:u w:val="none" w:color="auto"/>
              </w:rPr>
            </w:pPr>
            <w:r>
              <w:rPr>
                <w:b/>
                <w:bCs/>
                <w:color w:val="auto"/>
                <w:szCs w:val="21"/>
                <w:highlight w:val="none"/>
                <w:u w:val="none" w:color="auto"/>
              </w:rPr>
              <w:t>图1-1项目水平衡图单位：</w:t>
            </w:r>
            <w:r>
              <w:rPr>
                <w:rFonts w:hint="eastAsia"/>
                <w:b/>
                <w:bCs/>
                <w:color w:val="auto"/>
                <w:szCs w:val="21"/>
                <w:highlight w:val="none"/>
                <w:u w:val="none" w:color="auto"/>
                <w:lang w:eastAsia="zh-CN"/>
              </w:rPr>
              <w:t>m³</w:t>
            </w:r>
            <w:r>
              <w:rPr>
                <w:b/>
                <w:bCs/>
                <w:color w:val="auto"/>
                <w:szCs w:val="21"/>
                <w:highlight w:val="none"/>
                <w:u w:val="none" w:color="auto"/>
              </w:rPr>
              <w:t>/a</w:t>
            </w:r>
          </w:p>
          <w:p>
            <w:pPr>
              <w:spacing w:line="360" w:lineRule="auto"/>
              <w:ind w:firstLine="482" w:firstLineChars="200"/>
              <w:rPr>
                <w:b/>
                <w:bCs/>
                <w:color w:val="auto"/>
                <w:sz w:val="24"/>
                <w:highlight w:val="none"/>
                <w:u w:val="none" w:color="auto"/>
              </w:rPr>
            </w:pPr>
            <w:r>
              <w:rPr>
                <w:b/>
                <w:bCs/>
                <w:color w:val="auto"/>
                <w:sz w:val="24"/>
                <w:highlight w:val="none"/>
                <w:u w:val="none" w:color="auto"/>
              </w:rPr>
              <w:t>（3）供电</w:t>
            </w:r>
          </w:p>
          <w:p>
            <w:pPr>
              <w:spacing w:line="360" w:lineRule="auto"/>
              <w:ind w:firstLine="482"/>
              <w:rPr>
                <w:bCs/>
                <w:color w:val="auto"/>
                <w:kern w:val="0"/>
                <w:sz w:val="24"/>
                <w:highlight w:val="none"/>
                <w:u w:val="none" w:color="auto"/>
              </w:rPr>
            </w:pPr>
            <w:r>
              <w:rPr>
                <w:bCs/>
                <w:color w:val="auto"/>
                <w:kern w:val="0"/>
                <w:sz w:val="24"/>
                <w:highlight w:val="none"/>
                <w:u w:val="none" w:color="auto"/>
              </w:rPr>
              <w:t>所在地电源由村镇电网电网供给，引入的输出电压380V三相电源，经厂内配电房的高低压配电屏（380V/220V）输送到各用电设备，年用电量为</w:t>
            </w:r>
            <w:r>
              <w:rPr>
                <w:rFonts w:hint="eastAsia"/>
                <w:bCs/>
                <w:color w:val="auto"/>
                <w:kern w:val="0"/>
                <w:sz w:val="24"/>
                <w:highlight w:val="none"/>
                <w:u w:val="none" w:color="auto"/>
                <w:lang w:val="en-US" w:eastAsia="zh-CN"/>
              </w:rPr>
              <w:t>10000kwh</w:t>
            </w:r>
            <w:r>
              <w:rPr>
                <w:bCs/>
                <w:color w:val="auto"/>
                <w:kern w:val="0"/>
                <w:sz w:val="24"/>
                <w:highlight w:val="none"/>
                <w:u w:val="none" w:color="auto"/>
              </w:rPr>
              <w:t>。</w:t>
            </w:r>
          </w:p>
          <w:p>
            <w:pPr>
              <w:spacing w:line="360" w:lineRule="auto"/>
              <w:ind w:firstLine="482" w:firstLineChars="200"/>
              <w:rPr>
                <w:b/>
                <w:bCs/>
                <w:color w:val="auto"/>
                <w:sz w:val="24"/>
                <w:highlight w:val="none"/>
                <w:u w:val="none" w:color="auto"/>
              </w:rPr>
            </w:pPr>
            <w:r>
              <w:rPr>
                <w:b/>
                <w:bCs/>
                <w:color w:val="auto"/>
                <w:sz w:val="24"/>
                <w:highlight w:val="none"/>
                <w:u w:val="none" w:color="auto"/>
              </w:rPr>
              <w:t>（4）供热、供暖</w:t>
            </w:r>
          </w:p>
          <w:p>
            <w:pPr>
              <w:spacing w:line="360" w:lineRule="auto"/>
              <w:ind w:firstLine="482"/>
              <w:rPr>
                <w:bCs/>
                <w:color w:val="auto"/>
                <w:kern w:val="0"/>
                <w:sz w:val="24"/>
                <w:highlight w:val="none"/>
                <w:u w:val="none" w:color="auto"/>
              </w:rPr>
            </w:pPr>
            <w:r>
              <w:rPr>
                <w:bCs/>
                <w:color w:val="auto"/>
                <w:kern w:val="0"/>
                <w:sz w:val="24"/>
                <w:highlight w:val="none"/>
                <w:u w:val="none" w:color="auto"/>
              </w:rPr>
              <w:t>办公室采用普通家用分体式空调设备供暖，一般均在夏冬两季按气温情况定期开放空调。项目热水采用太阳能和空气能热水器。</w:t>
            </w:r>
          </w:p>
          <w:p>
            <w:pPr>
              <w:spacing w:line="360" w:lineRule="auto"/>
              <w:ind w:firstLine="482" w:firstLineChars="200"/>
              <w:rPr>
                <w:b/>
                <w:bCs/>
                <w:color w:val="auto"/>
                <w:sz w:val="24"/>
                <w:highlight w:val="none"/>
                <w:u w:val="none" w:color="auto"/>
              </w:rPr>
            </w:pPr>
            <w:r>
              <w:rPr>
                <w:rFonts w:hint="eastAsia"/>
                <w:b/>
                <w:bCs/>
                <w:color w:val="auto"/>
                <w:sz w:val="24"/>
                <w:highlight w:val="none"/>
                <w:u w:val="none" w:color="auto"/>
                <w:lang w:val="en-US" w:eastAsia="zh-CN"/>
              </w:rPr>
              <w:t>8</w:t>
            </w:r>
            <w:r>
              <w:rPr>
                <w:b/>
                <w:bCs/>
                <w:color w:val="auto"/>
                <w:sz w:val="24"/>
                <w:highlight w:val="none"/>
                <w:u w:val="none" w:color="auto"/>
              </w:rPr>
              <w:t>、劳动定员及工作制度</w:t>
            </w:r>
          </w:p>
          <w:p>
            <w:pPr>
              <w:spacing w:line="360" w:lineRule="auto"/>
              <w:ind w:firstLine="480" w:firstLineChars="200"/>
              <w:rPr>
                <w:bCs/>
                <w:color w:val="auto"/>
                <w:kern w:val="0"/>
                <w:sz w:val="24"/>
                <w:highlight w:val="none"/>
                <w:u w:val="none" w:color="auto"/>
              </w:rPr>
            </w:pPr>
            <w:r>
              <w:rPr>
                <w:bCs/>
                <w:color w:val="auto"/>
                <w:kern w:val="0"/>
                <w:sz w:val="24"/>
                <w:highlight w:val="none"/>
                <w:u w:val="none" w:color="auto"/>
              </w:rPr>
              <w:t>项目劳动定员</w:t>
            </w:r>
            <w:r>
              <w:rPr>
                <w:rFonts w:hint="eastAsia"/>
                <w:bCs/>
                <w:color w:val="auto"/>
                <w:kern w:val="0"/>
                <w:sz w:val="24"/>
                <w:highlight w:val="none"/>
                <w:u w:val="none" w:color="auto"/>
                <w:lang w:val="en-US" w:eastAsia="zh-CN"/>
              </w:rPr>
              <w:t>20</w:t>
            </w:r>
            <w:r>
              <w:rPr>
                <w:bCs/>
                <w:color w:val="auto"/>
                <w:kern w:val="0"/>
                <w:sz w:val="24"/>
                <w:highlight w:val="none"/>
                <w:u w:val="none" w:color="auto"/>
              </w:rPr>
              <w:t>人，</w:t>
            </w:r>
            <w:r>
              <w:rPr>
                <w:rFonts w:hint="eastAsia"/>
                <w:bCs/>
                <w:color w:val="auto"/>
                <w:kern w:val="0"/>
                <w:sz w:val="24"/>
                <w:highlight w:val="none"/>
                <w:u w:val="none" w:color="auto"/>
                <w:lang w:val="en-US" w:eastAsia="zh-CN"/>
              </w:rPr>
              <w:t>均不在</w:t>
            </w:r>
            <w:r>
              <w:rPr>
                <w:bCs/>
                <w:color w:val="auto"/>
                <w:kern w:val="0"/>
                <w:sz w:val="24"/>
                <w:highlight w:val="none"/>
                <w:u w:val="none" w:color="auto"/>
              </w:rPr>
              <w:t>厂区</w:t>
            </w:r>
            <w:r>
              <w:rPr>
                <w:rFonts w:hint="eastAsia"/>
                <w:bCs/>
                <w:color w:val="auto"/>
                <w:kern w:val="0"/>
                <w:sz w:val="24"/>
                <w:highlight w:val="none"/>
                <w:u w:val="none" w:color="auto"/>
                <w:lang w:val="en-US" w:eastAsia="zh-CN"/>
              </w:rPr>
              <w:t>就餐</w:t>
            </w:r>
            <w:r>
              <w:rPr>
                <w:bCs/>
                <w:color w:val="auto"/>
                <w:kern w:val="0"/>
                <w:sz w:val="24"/>
                <w:highlight w:val="none"/>
                <w:u w:val="none" w:color="auto"/>
              </w:rPr>
              <w:t>，</w:t>
            </w:r>
            <w:r>
              <w:rPr>
                <w:rFonts w:hint="eastAsia"/>
                <w:bCs/>
                <w:color w:val="auto"/>
                <w:kern w:val="0"/>
                <w:sz w:val="24"/>
                <w:highlight w:val="none"/>
                <w:u w:val="none" w:color="auto"/>
                <w:lang w:val="en-US" w:eastAsia="zh-CN"/>
              </w:rPr>
              <w:t>20</w:t>
            </w:r>
            <w:r>
              <w:rPr>
                <w:bCs/>
                <w:color w:val="auto"/>
                <w:kern w:val="0"/>
                <w:sz w:val="24"/>
                <w:highlight w:val="none"/>
                <w:u w:val="none" w:color="auto"/>
              </w:rPr>
              <w:t>人在厂区</w:t>
            </w:r>
            <w:r>
              <w:rPr>
                <w:rFonts w:hint="eastAsia"/>
                <w:bCs/>
                <w:color w:val="auto"/>
                <w:kern w:val="0"/>
                <w:sz w:val="24"/>
                <w:highlight w:val="none"/>
                <w:u w:val="none" w:color="auto"/>
                <w:lang w:val="en-US" w:eastAsia="zh-CN"/>
              </w:rPr>
              <w:t>住</w:t>
            </w:r>
            <w:r>
              <w:rPr>
                <w:bCs/>
                <w:color w:val="auto"/>
                <w:kern w:val="0"/>
                <w:sz w:val="24"/>
                <w:highlight w:val="none"/>
                <w:u w:val="none" w:color="auto"/>
              </w:rPr>
              <w:t>宿。隧道窑工序生产实行三班制，其他工序实行1班制，每班工作时间8小时，年工作时间3</w:t>
            </w:r>
            <w:r>
              <w:rPr>
                <w:rFonts w:hint="eastAsia"/>
                <w:bCs/>
                <w:color w:val="auto"/>
                <w:kern w:val="0"/>
                <w:sz w:val="24"/>
                <w:highlight w:val="none"/>
                <w:u w:val="none" w:color="auto"/>
                <w:lang w:val="en-US" w:eastAsia="zh-CN"/>
              </w:rPr>
              <w:t>0</w:t>
            </w:r>
            <w:r>
              <w:rPr>
                <w:bCs/>
                <w:color w:val="auto"/>
                <w:kern w:val="0"/>
                <w:sz w:val="24"/>
                <w:highlight w:val="none"/>
                <w:u w:val="none" w:color="auto"/>
              </w:rPr>
              <w:t>0天。</w:t>
            </w:r>
          </w:p>
          <w:p>
            <w:pPr>
              <w:spacing w:line="360" w:lineRule="auto"/>
              <w:ind w:firstLine="482" w:firstLineChars="200"/>
              <w:rPr>
                <w:b/>
                <w:bCs/>
                <w:color w:val="auto"/>
                <w:sz w:val="24"/>
                <w:highlight w:val="none"/>
                <w:u w:val="none" w:color="auto"/>
              </w:rPr>
            </w:pPr>
            <w:r>
              <w:rPr>
                <w:rFonts w:hint="eastAsia"/>
                <w:b/>
                <w:bCs/>
                <w:color w:val="auto"/>
                <w:sz w:val="24"/>
                <w:highlight w:val="none"/>
                <w:u w:val="none" w:color="auto"/>
                <w:lang w:val="en-US" w:eastAsia="zh-CN"/>
              </w:rPr>
              <w:t>9</w:t>
            </w:r>
            <w:r>
              <w:rPr>
                <w:b/>
                <w:bCs/>
                <w:color w:val="auto"/>
                <w:sz w:val="24"/>
                <w:highlight w:val="none"/>
                <w:u w:val="none" w:color="auto"/>
              </w:rPr>
              <w:t>、项目总平面布置</w:t>
            </w:r>
          </w:p>
          <w:p>
            <w:pPr>
              <w:keepNext w:val="0"/>
              <w:keepLines w:val="0"/>
              <w:pageBreakBefore w:val="0"/>
              <w:widowControl w:val="0"/>
              <w:kinsoku/>
              <w:wordWrap/>
              <w:overflowPunct/>
              <w:topLinePunct w:val="0"/>
              <w:autoSpaceDE/>
              <w:autoSpaceDN/>
              <w:bidi w:val="0"/>
              <w:adjustRightInd/>
              <w:snapToGrid/>
              <w:spacing w:line="348" w:lineRule="auto"/>
              <w:ind w:firstLine="480" w:firstLineChars="200"/>
              <w:textAlignment w:val="auto"/>
              <w:rPr>
                <w:bCs/>
                <w:color w:val="auto"/>
                <w:kern w:val="0"/>
                <w:sz w:val="24"/>
                <w:highlight w:val="none"/>
                <w:u w:val="none" w:color="auto"/>
              </w:rPr>
            </w:pPr>
            <w:r>
              <w:rPr>
                <w:bCs/>
                <w:color w:val="auto"/>
                <w:kern w:val="0"/>
                <w:sz w:val="24"/>
                <w:highlight w:val="none"/>
                <w:u w:val="none" w:color="auto"/>
              </w:rPr>
              <w:t>根据生产工艺流程，结合建设场地形状、外部交通及周围环境和当地自然条件，设计将全厂进行了比较明显的功能分区，实现生产与办公、生活分开、车间内部原料与产品分开，各区域之间以厂内道路相连，实行人货分流制。</w:t>
            </w:r>
          </w:p>
          <w:p>
            <w:pPr>
              <w:keepNext w:val="0"/>
              <w:keepLines w:val="0"/>
              <w:pageBreakBefore w:val="0"/>
              <w:widowControl w:val="0"/>
              <w:kinsoku/>
              <w:wordWrap/>
              <w:overflowPunct/>
              <w:topLinePunct w:val="0"/>
              <w:autoSpaceDE/>
              <w:autoSpaceDN/>
              <w:bidi w:val="0"/>
              <w:adjustRightInd/>
              <w:snapToGrid/>
              <w:spacing w:line="348" w:lineRule="auto"/>
              <w:ind w:firstLine="480" w:firstLineChars="200"/>
              <w:textAlignment w:val="auto"/>
              <w:rPr>
                <w:bCs/>
                <w:color w:val="auto"/>
                <w:kern w:val="0"/>
                <w:sz w:val="24"/>
                <w:highlight w:val="none"/>
                <w:u w:val="none" w:color="auto"/>
              </w:rPr>
            </w:pPr>
            <w:r>
              <w:rPr>
                <w:bCs/>
                <w:color w:val="auto"/>
                <w:kern w:val="0"/>
                <w:sz w:val="24"/>
                <w:highlight w:val="none"/>
                <w:u w:val="none" w:color="auto"/>
              </w:rPr>
              <w:t>从项目总图布置上可以看出，项目根据厂区面积和生产流程合理布置了原料堆场、生产车间、产品堆场及生活办公区；项目破碎工序布置在生产车间的</w:t>
            </w:r>
            <w:r>
              <w:rPr>
                <w:rFonts w:hint="eastAsia"/>
                <w:bCs/>
                <w:color w:val="auto"/>
                <w:kern w:val="0"/>
                <w:sz w:val="24"/>
                <w:highlight w:val="none"/>
                <w:u w:val="none" w:color="auto"/>
                <w:lang w:eastAsia="zh-CN"/>
              </w:rPr>
              <w:t>东</w:t>
            </w:r>
            <w:r>
              <w:rPr>
                <w:rFonts w:hint="eastAsia"/>
                <w:bCs/>
                <w:color w:val="auto"/>
                <w:kern w:val="0"/>
                <w:sz w:val="24"/>
                <w:highlight w:val="none"/>
                <w:u w:val="none" w:color="auto"/>
                <w:lang w:val="en-US" w:eastAsia="zh-CN"/>
              </w:rPr>
              <w:t>南</w:t>
            </w:r>
            <w:r>
              <w:rPr>
                <w:bCs/>
                <w:color w:val="auto"/>
                <w:kern w:val="0"/>
                <w:sz w:val="24"/>
                <w:highlight w:val="none"/>
                <w:u w:val="none" w:color="auto"/>
              </w:rPr>
              <w:t>侧</w:t>
            </w:r>
            <w:r>
              <w:rPr>
                <w:rFonts w:hint="eastAsia"/>
                <w:bCs/>
                <w:color w:val="auto"/>
                <w:kern w:val="0"/>
                <w:sz w:val="24"/>
                <w:highlight w:val="none"/>
                <w:u w:val="none" w:color="auto"/>
                <w:lang w:eastAsia="zh-CN"/>
              </w:rPr>
              <w:t>。隧道</w:t>
            </w:r>
            <w:r>
              <w:rPr>
                <w:bCs/>
                <w:color w:val="auto"/>
                <w:kern w:val="0"/>
                <w:sz w:val="24"/>
                <w:highlight w:val="none"/>
                <w:u w:val="none" w:color="auto"/>
              </w:rPr>
              <w:t>窑布置在</w:t>
            </w:r>
            <w:r>
              <w:rPr>
                <w:rFonts w:hint="eastAsia"/>
                <w:bCs/>
                <w:color w:val="auto"/>
                <w:kern w:val="0"/>
                <w:sz w:val="24"/>
                <w:highlight w:val="none"/>
                <w:u w:val="none" w:color="auto"/>
                <w:lang w:eastAsia="zh-CN"/>
              </w:rPr>
              <w:t>厂区的中间位置</w:t>
            </w:r>
            <w:r>
              <w:rPr>
                <w:bCs/>
                <w:color w:val="auto"/>
                <w:kern w:val="0"/>
                <w:sz w:val="24"/>
                <w:highlight w:val="none"/>
                <w:u w:val="none" w:color="auto"/>
              </w:rPr>
              <w:t>；</w:t>
            </w:r>
            <w:r>
              <w:rPr>
                <w:rFonts w:hint="eastAsia"/>
                <w:bCs/>
                <w:color w:val="auto"/>
                <w:kern w:val="0"/>
                <w:sz w:val="24"/>
                <w:highlight w:val="none"/>
                <w:u w:val="none" w:color="auto"/>
                <w:lang w:eastAsia="zh-CN"/>
              </w:rPr>
              <w:t>呈</w:t>
            </w:r>
            <w:r>
              <w:rPr>
                <w:rFonts w:hint="eastAsia"/>
                <w:bCs/>
                <w:color w:val="auto"/>
                <w:kern w:val="0"/>
                <w:sz w:val="24"/>
                <w:highlight w:val="none"/>
                <w:u w:val="none" w:color="auto"/>
                <w:lang w:val="en-US" w:eastAsia="zh-CN"/>
              </w:rPr>
              <w:t>南北</w:t>
            </w:r>
            <w:r>
              <w:rPr>
                <w:rFonts w:hint="eastAsia"/>
                <w:bCs/>
                <w:color w:val="auto"/>
                <w:kern w:val="0"/>
                <w:sz w:val="24"/>
                <w:highlight w:val="none"/>
                <w:u w:val="none" w:color="auto"/>
                <w:lang w:eastAsia="zh-CN"/>
              </w:rPr>
              <w:t>走向，其中排气筒设置位于厂区的</w:t>
            </w:r>
            <w:r>
              <w:rPr>
                <w:rFonts w:hint="eastAsia"/>
                <w:bCs/>
                <w:color w:val="auto"/>
                <w:kern w:val="0"/>
                <w:sz w:val="24"/>
                <w:highlight w:val="none"/>
                <w:u w:val="none" w:color="auto"/>
                <w:lang w:val="en-US" w:eastAsia="zh-CN"/>
              </w:rPr>
              <w:t>中间</w:t>
            </w:r>
            <w:r>
              <w:rPr>
                <w:rFonts w:hint="eastAsia"/>
                <w:bCs/>
                <w:color w:val="auto"/>
                <w:kern w:val="0"/>
                <w:sz w:val="24"/>
                <w:highlight w:val="none"/>
                <w:u w:val="none" w:color="auto"/>
                <w:lang w:eastAsia="zh-CN"/>
              </w:rPr>
              <w:t>，尽量减少对其下风向的环境敏感点的影响，</w:t>
            </w:r>
            <w:r>
              <w:rPr>
                <w:bCs/>
                <w:color w:val="auto"/>
                <w:kern w:val="0"/>
                <w:sz w:val="24"/>
                <w:highlight w:val="none"/>
                <w:u w:val="none" w:color="auto"/>
              </w:rPr>
              <w:t>在满足生产工艺的前提下，合理利用场地，力求减少运输距离，节约用地。项目总平面布置情况见附图</w:t>
            </w:r>
            <w:r>
              <w:rPr>
                <w:rFonts w:hint="eastAsia"/>
                <w:bCs/>
                <w:color w:val="auto"/>
                <w:kern w:val="0"/>
                <w:sz w:val="24"/>
                <w:highlight w:val="none"/>
                <w:u w:val="none" w:color="auto"/>
                <w:lang w:val="en-US" w:eastAsia="zh-CN"/>
              </w:rPr>
              <w:t>3</w:t>
            </w:r>
            <w:r>
              <w:rPr>
                <w:bCs/>
                <w:color w:val="auto"/>
                <w:kern w:val="0"/>
                <w:sz w:val="24"/>
                <w:highlight w:val="none"/>
                <w:u w:val="none" w:color="auto"/>
              </w:rPr>
              <w:t>。</w:t>
            </w:r>
          </w:p>
          <w:p>
            <w:pPr>
              <w:keepNext w:val="0"/>
              <w:keepLines w:val="0"/>
              <w:pageBreakBefore w:val="0"/>
              <w:widowControl w:val="0"/>
              <w:kinsoku/>
              <w:wordWrap/>
              <w:overflowPunct/>
              <w:topLinePunct w:val="0"/>
              <w:autoSpaceDE/>
              <w:autoSpaceDN/>
              <w:bidi w:val="0"/>
              <w:adjustRightInd/>
              <w:snapToGrid/>
              <w:spacing w:line="348" w:lineRule="auto"/>
              <w:ind w:firstLine="480" w:firstLineChars="200"/>
              <w:textAlignment w:val="auto"/>
              <w:rPr>
                <w:rFonts w:hint="eastAsia" w:eastAsia="宋体"/>
                <w:bCs/>
                <w:color w:val="auto"/>
                <w:szCs w:val="21"/>
                <w:highlight w:val="none"/>
                <w:u w:val="none" w:color="auto"/>
                <w:lang w:val="en-US" w:eastAsia="zh-CN"/>
              </w:rPr>
            </w:pPr>
            <w:r>
              <w:rPr>
                <w:bCs/>
                <w:color w:val="auto"/>
                <w:kern w:val="0"/>
                <w:sz w:val="24"/>
                <w:highlight w:val="none"/>
                <w:u w:val="none" w:color="auto"/>
              </w:rPr>
              <w:t>综上所述，本项目砖厂平面布置方案能够满足生产需要，功能分区明确，平面布置较为合理。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301" w:hRule="atLeast"/>
          <w:jc w:val="center"/>
        </w:trPr>
        <w:tc>
          <w:tcPr>
            <w:tcW w:w="831" w:type="dxa"/>
            <w:noWrap w:val="0"/>
            <w:vAlign w:val="center"/>
          </w:tcPr>
          <w:p>
            <w:pPr>
              <w:pStyle w:val="26"/>
              <w:adjustRightInd w:val="0"/>
              <w:snapToGrid w:val="0"/>
              <w:spacing w:before="0" w:beforeAutospacing="0" w:after="0" w:afterAutospacing="0"/>
              <w:jc w:val="center"/>
              <w:rPr>
                <w:rFonts w:ascii="Times New Roman" w:hAnsi="Times New Roman"/>
                <w:color w:val="auto"/>
                <w:sz w:val="21"/>
                <w:szCs w:val="21"/>
                <w:u w:val="none" w:color="auto"/>
              </w:rPr>
            </w:pPr>
            <w:r>
              <w:rPr>
                <w:rFonts w:ascii="Times New Roman" w:hAnsi="Times New Roman"/>
                <w:color w:val="auto"/>
                <w:sz w:val="21"/>
                <w:szCs w:val="21"/>
                <w:u w:val="none" w:color="auto"/>
              </w:rPr>
              <w:t>工艺流程和产排污环节</w:t>
            </w:r>
          </w:p>
        </w:tc>
        <w:tc>
          <w:tcPr>
            <w:tcW w:w="8296" w:type="dxa"/>
            <w:noWrap w:val="0"/>
            <w:vAlign w:val="top"/>
          </w:tcPr>
          <w:p>
            <w:pPr>
              <w:spacing w:line="360" w:lineRule="auto"/>
              <w:ind w:firstLine="480" w:firstLineChars="200"/>
              <w:jc w:val="left"/>
              <w:rPr>
                <w:bCs/>
                <w:color w:val="auto"/>
                <w:sz w:val="24"/>
                <w:u w:val="none" w:color="auto"/>
              </w:rPr>
            </w:pPr>
            <w:r>
              <w:rPr>
                <w:bCs/>
                <w:color w:val="auto"/>
                <w:sz w:val="24"/>
                <w:u w:val="none" w:color="auto"/>
              </w:rPr>
              <w:t>污染影响时段主要为施工期和运营期，其基本工序及污染工艺流程，如下图所示：</w:t>
            </w:r>
          </w:p>
          <w:p>
            <w:pPr>
              <w:spacing w:line="360" w:lineRule="auto"/>
              <w:jc w:val="left"/>
              <w:rPr>
                <w:b/>
                <w:color w:val="auto"/>
                <w:sz w:val="24"/>
                <w:u w:val="none" w:color="auto"/>
              </w:rPr>
            </w:pPr>
            <w:r>
              <w:rPr>
                <w:b/>
                <w:color w:val="auto"/>
                <w:sz w:val="24"/>
                <w:u w:val="none" w:color="auto"/>
              </w:rPr>
              <w:t>一、施工期工艺流程和产排污环节</w:t>
            </w:r>
          </w:p>
          <w:p>
            <w:pPr>
              <w:spacing w:line="360" w:lineRule="auto"/>
              <w:ind w:firstLine="480" w:firstLineChars="200"/>
              <w:jc w:val="left"/>
              <w:rPr>
                <w:bCs/>
                <w:color w:val="auto"/>
                <w:sz w:val="24"/>
                <w:u w:val="none" w:color="auto"/>
              </w:rPr>
            </w:pPr>
            <w:r>
              <w:rPr>
                <w:bCs/>
                <w:color w:val="auto"/>
                <w:sz w:val="24"/>
                <w:u w:val="none" w:color="auto"/>
              </w:rPr>
              <w:t>本项目将</w:t>
            </w:r>
            <w:r>
              <w:rPr>
                <w:rFonts w:hint="eastAsia"/>
                <w:bCs/>
                <w:color w:val="auto"/>
                <w:sz w:val="24"/>
                <w:u w:val="none" w:color="auto"/>
                <w:lang w:val="en-US" w:eastAsia="zh-CN"/>
              </w:rPr>
              <w:t>新建煤矸石堆棚、一般固废堆棚</w:t>
            </w:r>
            <w:r>
              <w:rPr>
                <w:bCs/>
                <w:color w:val="auto"/>
                <w:sz w:val="24"/>
                <w:u w:val="none" w:color="auto"/>
              </w:rPr>
              <w:t>等</w:t>
            </w:r>
            <w:r>
              <w:rPr>
                <w:rFonts w:hint="eastAsia"/>
                <w:bCs/>
                <w:color w:val="auto"/>
                <w:sz w:val="24"/>
                <w:u w:val="none" w:color="auto"/>
                <w:lang w:eastAsia="zh-CN"/>
              </w:rPr>
              <w:t>；</w:t>
            </w:r>
            <w:r>
              <w:rPr>
                <w:bCs/>
                <w:color w:val="auto"/>
                <w:sz w:val="24"/>
                <w:u w:val="none" w:color="auto"/>
              </w:rPr>
              <w:t>施工期主要工程流程如下图2-1所示。</w:t>
            </w:r>
          </w:p>
          <w:p>
            <w:pPr>
              <w:pStyle w:val="15"/>
              <w:jc w:val="center"/>
              <w:rPr>
                <w:color w:val="auto"/>
                <w:u w:val="none" w:color="auto"/>
              </w:rPr>
            </w:pPr>
            <w:r>
              <w:rPr>
                <w:color w:val="auto"/>
                <w:szCs w:val="18"/>
                <w:u w:val="none" w:color="auto"/>
              </w:rPr>
              <mc:AlternateContent>
                <mc:Choice Requires="wpc">
                  <w:drawing>
                    <wp:inline distT="0" distB="0" distL="114300" distR="114300">
                      <wp:extent cx="5058410" cy="1459230"/>
                      <wp:effectExtent l="0" t="0" r="0" b="0"/>
                      <wp:docPr id="41" name="画布 177"/>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78" name="矩形 2"/>
                              <wps:cNvSpPr/>
                              <wps:spPr>
                                <a:xfrm>
                                  <a:off x="40015" y="1170814"/>
                                  <a:ext cx="647863" cy="252205"/>
                                </a:xfrm>
                                <a:prstGeom prst="rect">
                                  <a:avLst/>
                                </a:prstGeom>
                                <a:solidFill>
                                  <a:srgbClr val="D9D9D9">
                                    <a:alpha val="39999"/>
                                  </a:srgbClr>
                                </a:solidFill>
                                <a:ln w="12700" cap="flat" cmpd="sng">
                                  <a:solidFill>
                                    <a:srgbClr val="000001"/>
                                  </a:solidFill>
                                  <a:prstDash val="solid"/>
                                  <a:miter/>
                                  <a:headEnd type="none" w="med" len="med"/>
                                  <a:tailEnd type="none" w="med" len="med"/>
                                </a:ln>
                                <a:effectLst/>
                              </wps:spPr>
                              <wps:txbx>
                                <w:txbxContent>
                                  <w:p>
                                    <w:pPr>
                                      <w:jc w:val="center"/>
                                      <w:rPr>
                                        <w:sz w:val="18"/>
                                        <w:szCs w:val="18"/>
                                      </w:rPr>
                                    </w:pPr>
                                    <w:r>
                                      <w:rPr>
                                        <w:rFonts w:hint="eastAsia"/>
                                        <w:sz w:val="18"/>
                                        <w:szCs w:val="18"/>
                                      </w:rPr>
                                      <w:t>土地平整</w:t>
                                    </w:r>
                                  </w:p>
                                </w:txbxContent>
                              </wps:txbx>
                              <wps:bodyPr wrap="square" lIns="0" tIns="18000" rIns="0" bIns="45720" upright="1"/>
                            </wps:wsp>
                            <wps:wsp>
                              <wps:cNvPr id="179" name="直接箭头连接符 3"/>
                              <wps:cNvCnPr/>
                              <wps:spPr>
                                <a:xfrm rot="-5400000">
                                  <a:off x="856195" y="1088229"/>
                                  <a:ext cx="635" cy="360202"/>
                                </a:xfrm>
                                <a:prstGeom prst="straightConnector1">
                                  <a:avLst/>
                                </a:prstGeom>
                                <a:ln w="6350" cap="flat" cmpd="sng">
                                  <a:solidFill>
                                    <a:srgbClr val="000001"/>
                                  </a:solidFill>
                                  <a:prstDash val="solid"/>
                                  <a:headEnd type="none" w="med" len="med"/>
                                  <a:tailEnd type="triangle" w="med" len="med"/>
                                </a:ln>
                                <a:effectLst/>
                              </wps:spPr>
                              <wps:bodyPr/>
                            </wps:wsp>
                            <wps:wsp>
                              <wps:cNvPr id="180" name="直接箭头连接符 4"/>
                              <wps:cNvCnPr/>
                              <wps:spPr>
                                <a:xfrm>
                                  <a:off x="374109" y="800448"/>
                                  <a:ext cx="3030981" cy="0"/>
                                </a:xfrm>
                                <a:prstGeom prst="straightConnector1">
                                  <a:avLst/>
                                </a:prstGeom>
                                <a:ln w="6350" cap="flat" cmpd="sng">
                                  <a:solidFill>
                                    <a:srgbClr val="000001"/>
                                  </a:solidFill>
                                  <a:prstDash val="solid"/>
                                  <a:headEnd type="none" w="med" len="med"/>
                                  <a:tailEnd type="none" w="med" len="med"/>
                                </a:ln>
                                <a:effectLst/>
                              </wps:spPr>
                              <wps:bodyPr/>
                            </wps:wsp>
                            <wps:wsp>
                              <wps:cNvPr id="181" name="直接箭头连接符 5"/>
                              <wps:cNvCnPr/>
                              <wps:spPr>
                                <a:xfrm rot="-5400000">
                                  <a:off x="182926" y="960538"/>
                                  <a:ext cx="360135" cy="635"/>
                                </a:xfrm>
                                <a:prstGeom prst="straightConnector1">
                                  <a:avLst/>
                                </a:prstGeom>
                                <a:ln w="6350" cap="flat" cmpd="sng">
                                  <a:solidFill>
                                    <a:srgbClr val="000001"/>
                                  </a:solidFill>
                                  <a:prstDash val="dash"/>
                                  <a:headEnd type="none" w="med" len="med"/>
                                  <a:tailEnd type="triangle" w="med" len="med"/>
                                </a:ln>
                                <a:effectLst/>
                              </wps:spPr>
                              <wps:bodyPr/>
                            </wps:wsp>
                            <wps:wsp>
                              <wps:cNvPr id="182" name="矩形 18"/>
                              <wps:cNvSpPr/>
                              <wps:spPr>
                                <a:xfrm>
                                  <a:off x="541791" y="97833"/>
                                  <a:ext cx="2736902" cy="252205"/>
                                </a:xfrm>
                                <a:prstGeom prst="rect">
                                  <a:avLst/>
                                </a:prstGeom>
                                <a:noFill/>
                                <a:ln w="12700" cap="flat" cmpd="sng">
                                  <a:solidFill>
                                    <a:srgbClr val="000001"/>
                                  </a:solidFill>
                                  <a:prstDash val="dash"/>
                                  <a:miter/>
                                  <a:headEnd type="none" w="med" len="med"/>
                                  <a:tailEnd type="none" w="med" len="med"/>
                                </a:ln>
                                <a:effectLst/>
                              </wps:spPr>
                              <wps:txbx>
                                <w:txbxContent>
                                  <w:p>
                                    <w:pPr>
                                      <w:jc w:val="center"/>
                                      <w:rPr>
                                        <w:sz w:val="18"/>
                                        <w:szCs w:val="18"/>
                                      </w:rPr>
                                    </w:pPr>
                                    <w:r>
                                      <w:rPr>
                                        <w:rFonts w:hint="eastAsia"/>
                                        <w:sz w:val="18"/>
                                        <w:szCs w:val="18"/>
                                      </w:rPr>
                                      <w:t>施工扬尘、机械噪声、装修废气、生活污水</w:t>
                                    </w:r>
                                  </w:p>
                                </w:txbxContent>
                              </wps:txbx>
                              <wps:bodyPr wrap="square" lIns="0" tIns="36000" rIns="0" bIns="45720" upright="1"/>
                            </wps:wsp>
                            <wps:wsp>
                              <wps:cNvPr id="183" name="矩形 19"/>
                              <wps:cNvSpPr/>
                              <wps:spPr>
                                <a:xfrm>
                                  <a:off x="1059446" y="1151756"/>
                                  <a:ext cx="647863" cy="252205"/>
                                </a:xfrm>
                                <a:prstGeom prst="rect">
                                  <a:avLst/>
                                </a:prstGeom>
                                <a:solidFill>
                                  <a:srgbClr val="D9D9D9">
                                    <a:alpha val="39999"/>
                                  </a:srgbClr>
                                </a:solidFill>
                                <a:ln w="12700" cap="flat" cmpd="sng">
                                  <a:solidFill>
                                    <a:srgbClr val="000001"/>
                                  </a:solidFill>
                                  <a:prstDash val="solid"/>
                                  <a:miter/>
                                  <a:headEnd type="none" w="med" len="med"/>
                                  <a:tailEnd type="none" w="med" len="med"/>
                                </a:ln>
                                <a:effectLst/>
                              </wps:spPr>
                              <wps:txbx>
                                <w:txbxContent>
                                  <w:p>
                                    <w:pPr>
                                      <w:jc w:val="center"/>
                                      <w:rPr>
                                        <w:sz w:val="18"/>
                                        <w:szCs w:val="18"/>
                                      </w:rPr>
                                    </w:pPr>
                                    <w:r>
                                      <w:rPr>
                                        <w:rFonts w:hint="eastAsia"/>
                                        <w:sz w:val="18"/>
                                        <w:szCs w:val="18"/>
                                      </w:rPr>
                                      <w:t>基础工程</w:t>
                                    </w:r>
                                  </w:p>
                                </w:txbxContent>
                              </wps:txbx>
                              <wps:bodyPr wrap="square" lIns="0" tIns="18000" rIns="0" bIns="45720" upright="1"/>
                            </wps:wsp>
                            <wps:wsp>
                              <wps:cNvPr id="184" name="直接箭头连接符 20"/>
                              <wps:cNvCnPr/>
                              <wps:spPr>
                                <a:xfrm rot="-5400000">
                                  <a:off x="1875626" y="1078699"/>
                                  <a:ext cx="635" cy="360202"/>
                                </a:xfrm>
                                <a:prstGeom prst="straightConnector1">
                                  <a:avLst/>
                                </a:prstGeom>
                                <a:ln w="6350" cap="flat" cmpd="sng">
                                  <a:solidFill>
                                    <a:srgbClr val="000001"/>
                                  </a:solidFill>
                                  <a:prstDash val="solid"/>
                                  <a:headEnd type="none" w="med" len="med"/>
                                  <a:tailEnd type="triangle" w="med" len="med"/>
                                </a:ln>
                                <a:effectLst/>
                              </wps:spPr>
                              <wps:bodyPr/>
                            </wps:wsp>
                            <wps:wsp>
                              <wps:cNvPr id="185" name="矩形 21"/>
                              <wps:cNvSpPr/>
                              <wps:spPr>
                                <a:xfrm>
                                  <a:off x="2078877" y="1151756"/>
                                  <a:ext cx="647863" cy="252205"/>
                                </a:xfrm>
                                <a:prstGeom prst="rect">
                                  <a:avLst/>
                                </a:prstGeom>
                                <a:solidFill>
                                  <a:srgbClr val="D9D9D9">
                                    <a:alpha val="39999"/>
                                  </a:srgbClr>
                                </a:solidFill>
                                <a:ln w="12700" cap="flat" cmpd="sng">
                                  <a:solidFill>
                                    <a:srgbClr val="000001"/>
                                  </a:solidFill>
                                  <a:prstDash val="solid"/>
                                  <a:miter/>
                                  <a:headEnd type="none" w="med" len="med"/>
                                  <a:tailEnd type="none" w="med" len="med"/>
                                </a:ln>
                                <a:effectLst/>
                              </wps:spPr>
                              <wps:txbx>
                                <w:txbxContent>
                                  <w:p>
                                    <w:pPr>
                                      <w:jc w:val="center"/>
                                      <w:rPr>
                                        <w:sz w:val="18"/>
                                        <w:szCs w:val="18"/>
                                      </w:rPr>
                                    </w:pPr>
                                    <w:r>
                                      <w:rPr>
                                        <w:rFonts w:hint="eastAsia"/>
                                        <w:sz w:val="18"/>
                                        <w:szCs w:val="18"/>
                                      </w:rPr>
                                      <w:t>主体工程</w:t>
                                    </w:r>
                                  </w:p>
                                </w:txbxContent>
                              </wps:txbx>
                              <wps:bodyPr wrap="square" lIns="0" tIns="18000" rIns="0" bIns="45720" upright="1"/>
                            </wps:wsp>
                            <wps:wsp>
                              <wps:cNvPr id="186" name="矩形 22"/>
                              <wps:cNvSpPr/>
                              <wps:spPr>
                                <a:xfrm>
                                  <a:off x="4083440" y="1151756"/>
                                  <a:ext cx="900021" cy="252205"/>
                                </a:xfrm>
                                <a:prstGeom prst="rect">
                                  <a:avLst/>
                                </a:prstGeom>
                                <a:solidFill>
                                  <a:srgbClr val="D9D9D9">
                                    <a:alpha val="39999"/>
                                  </a:srgbClr>
                                </a:solidFill>
                                <a:ln w="12700" cap="flat" cmpd="sng">
                                  <a:solidFill>
                                    <a:srgbClr val="000001"/>
                                  </a:solidFill>
                                  <a:prstDash val="solid"/>
                                  <a:miter/>
                                  <a:headEnd type="none" w="med" len="med"/>
                                  <a:tailEnd type="none" w="med" len="med"/>
                                </a:ln>
                                <a:effectLst/>
                              </wps:spPr>
                              <wps:txbx>
                                <w:txbxContent>
                                  <w:p>
                                    <w:pPr>
                                      <w:jc w:val="center"/>
                                      <w:rPr>
                                        <w:sz w:val="18"/>
                                        <w:szCs w:val="18"/>
                                      </w:rPr>
                                    </w:pPr>
                                    <w:r>
                                      <w:rPr>
                                        <w:rFonts w:hint="eastAsia"/>
                                        <w:sz w:val="18"/>
                                        <w:szCs w:val="18"/>
                                      </w:rPr>
                                      <w:t>验收、投入使用</w:t>
                                    </w:r>
                                  </w:p>
                                </w:txbxContent>
                              </wps:txbx>
                              <wps:bodyPr wrap="square" lIns="0" tIns="18000" rIns="0" bIns="36000" upright="1"/>
                            </wps:wsp>
                            <wps:wsp>
                              <wps:cNvPr id="187" name="直接箭头连接符 38"/>
                              <wps:cNvCnPr/>
                              <wps:spPr>
                                <a:xfrm flipV="1">
                                  <a:off x="1930250" y="386248"/>
                                  <a:ext cx="1905" cy="425635"/>
                                </a:xfrm>
                                <a:prstGeom prst="straightConnector1">
                                  <a:avLst/>
                                </a:prstGeom>
                                <a:ln w="6350" cap="flat" cmpd="sng">
                                  <a:solidFill>
                                    <a:srgbClr val="000001"/>
                                  </a:solidFill>
                                  <a:prstDash val="dash"/>
                                  <a:headEnd type="none" w="med" len="med"/>
                                  <a:tailEnd type="triangle" w="med" len="med"/>
                                </a:ln>
                                <a:effectLst/>
                              </wps:spPr>
                              <wps:bodyPr/>
                            </wps:wsp>
                            <wps:wsp>
                              <wps:cNvPr id="188" name="直接箭头连接符 39"/>
                              <wps:cNvCnPr/>
                              <wps:spPr>
                                <a:xfrm rot="-5400000">
                                  <a:off x="2207814" y="951009"/>
                                  <a:ext cx="359500" cy="635"/>
                                </a:xfrm>
                                <a:prstGeom prst="straightConnector1">
                                  <a:avLst/>
                                </a:prstGeom>
                                <a:ln w="6350" cap="flat" cmpd="sng">
                                  <a:solidFill>
                                    <a:srgbClr val="000001"/>
                                  </a:solidFill>
                                  <a:prstDash val="dash"/>
                                  <a:headEnd type="none" w="med" len="med"/>
                                  <a:tailEnd type="triangle" w="med" len="med"/>
                                </a:ln>
                                <a:effectLst/>
                              </wps:spPr>
                              <wps:bodyPr/>
                            </wps:wsp>
                            <wps:wsp>
                              <wps:cNvPr id="189" name="矩形 40"/>
                              <wps:cNvSpPr/>
                              <wps:spPr>
                                <a:xfrm>
                                  <a:off x="3075442" y="1160650"/>
                                  <a:ext cx="647863" cy="252205"/>
                                </a:xfrm>
                                <a:prstGeom prst="rect">
                                  <a:avLst/>
                                </a:prstGeom>
                                <a:solidFill>
                                  <a:srgbClr val="D9D9D9">
                                    <a:alpha val="39999"/>
                                  </a:srgbClr>
                                </a:solidFill>
                                <a:ln w="12700" cap="flat" cmpd="sng">
                                  <a:solidFill>
                                    <a:srgbClr val="000001"/>
                                  </a:solidFill>
                                  <a:prstDash val="solid"/>
                                  <a:miter/>
                                  <a:headEnd type="none" w="med" len="med"/>
                                  <a:tailEnd type="none" w="med" len="med"/>
                                </a:ln>
                                <a:effectLst/>
                              </wps:spPr>
                              <wps:txbx>
                                <w:txbxContent>
                                  <w:p>
                                    <w:pPr>
                                      <w:jc w:val="center"/>
                                      <w:rPr>
                                        <w:sz w:val="18"/>
                                        <w:szCs w:val="18"/>
                                      </w:rPr>
                                    </w:pPr>
                                    <w:r>
                                      <w:rPr>
                                        <w:rFonts w:hint="eastAsia"/>
                                        <w:sz w:val="18"/>
                                        <w:szCs w:val="18"/>
                                      </w:rPr>
                                      <w:t>设备安装</w:t>
                                    </w:r>
                                  </w:p>
                                </w:txbxContent>
                              </wps:txbx>
                              <wps:bodyPr wrap="square" lIns="0" tIns="18000" rIns="0" bIns="45720" upright="1"/>
                            </wps:wsp>
                            <wps:wsp>
                              <wps:cNvPr id="190" name="直接箭头连接符 41"/>
                              <wps:cNvCnPr/>
                              <wps:spPr>
                                <a:xfrm rot="-5400000">
                                  <a:off x="2902044" y="1107287"/>
                                  <a:ext cx="0" cy="359566"/>
                                </a:xfrm>
                                <a:prstGeom prst="straightConnector1">
                                  <a:avLst/>
                                </a:prstGeom>
                                <a:ln w="6350" cap="flat" cmpd="sng">
                                  <a:solidFill>
                                    <a:srgbClr val="000001"/>
                                  </a:solidFill>
                                  <a:prstDash val="solid"/>
                                  <a:headEnd type="none" w="med" len="med"/>
                                  <a:tailEnd type="triangle" w="med" len="med"/>
                                </a:ln>
                                <a:effectLst/>
                              </wps:spPr>
                              <wps:bodyPr/>
                            </wps:wsp>
                            <wps:wsp>
                              <wps:cNvPr id="191" name="直接箭头连接符 42"/>
                              <wps:cNvCnPr/>
                              <wps:spPr>
                                <a:xfrm rot="-5400000">
                                  <a:off x="3882730" y="1078699"/>
                                  <a:ext cx="0" cy="360202"/>
                                </a:xfrm>
                                <a:prstGeom prst="straightConnector1">
                                  <a:avLst/>
                                </a:prstGeom>
                                <a:ln w="6350" cap="flat" cmpd="sng">
                                  <a:solidFill>
                                    <a:srgbClr val="000001"/>
                                  </a:solidFill>
                                  <a:prstDash val="solid"/>
                                  <a:headEnd type="none" w="med" len="med"/>
                                  <a:tailEnd type="triangle" w="med" len="med"/>
                                </a:ln>
                                <a:effectLst/>
                              </wps:spPr>
                              <wps:bodyPr/>
                            </wps:wsp>
                            <wps:wsp>
                              <wps:cNvPr id="192" name="直接箭头连接符 43"/>
                              <wps:cNvCnPr/>
                              <wps:spPr>
                                <a:xfrm rot="-5400000">
                                  <a:off x="1210614" y="970067"/>
                                  <a:ext cx="355689" cy="0"/>
                                </a:xfrm>
                                <a:prstGeom prst="straightConnector1">
                                  <a:avLst/>
                                </a:prstGeom>
                                <a:ln w="6350" cap="flat" cmpd="sng">
                                  <a:solidFill>
                                    <a:srgbClr val="000001"/>
                                  </a:solidFill>
                                  <a:prstDash val="dash"/>
                                  <a:headEnd type="none" w="med" len="med"/>
                                  <a:tailEnd type="triangle" w="med" len="med"/>
                                </a:ln>
                                <a:effectLst/>
                              </wps:spPr>
                              <wps:bodyPr/>
                            </wps:wsp>
                            <wps:wsp>
                              <wps:cNvPr id="193" name="直接箭头连接符 44"/>
                              <wps:cNvCnPr/>
                              <wps:spPr>
                                <a:xfrm rot="-5400000">
                                  <a:off x="3219623" y="979596"/>
                                  <a:ext cx="355689" cy="0"/>
                                </a:xfrm>
                                <a:prstGeom prst="straightConnector1">
                                  <a:avLst/>
                                </a:prstGeom>
                                <a:ln w="6350" cap="flat" cmpd="sng">
                                  <a:solidFill>
                                    <a:srgbClr val="000001"/>
                                  </a:solidFill>
                                  <a:prstDash val="dash"/>
                                  <a:headEnd type="none" w="med" len="med"/>
                                  <a:tailEnd type="triangle" w="med" len="med"/>
                                </a:ln>
                                <a:effectLst/>
                              </wps:spPr>
                              <wps:bodyPr/>
                            </wps:wsp>
                          </wpc:wpc>
                        </a:graphicData>
                      </a:graphic>
                    </wp:inline>
                  </w:drawing>
                </mc:Choice>
                <mc:Fallback>
                  <w:pict>
                    <v:group id="画布 177" o:spid="_x0000_s1026" o:spt="203" style="height:114.9pt;width:398.3pt;" coordsize="5058410,1459230" editas="canvas" o:gfxdata="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">
                      <o:lock v:ext="edit" aspectratio="f"/>
                      <v:shape id="画布 177" o:spid="_x0000_s1026" style="position:absolute;left:0;top:0;height:1459230;width:5058410;" filled="f" stroked="f" coordsize="21600,21600" o:gfxdata="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">
                        <v:fill on="f" focussize="0,0"/>
                        <v:stroke on="f"/>
                        <v:imagedata o:title=""/>
                        <o:lock v:ext="edit" aspectratio="t"/>
                      </v:shape>
                      <v:rect id="矩形 2" o:spid="_x0000_s1026" o:spt="1" style="position:absolute;left:40015;top:1170814;height:252205;width:647863;" fillcolor="#D9D9D9" filled="t" stroked="t" coordsize="21600,21600" o:gfxdata="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ACsOKfXAAAABQEAAA8AAAAAAAAAAQAgAAAA&#10;IgAAAGRycy9kb3ducmV2LnhtbFBLAQIUABQAAAAIAIdO4kC8Bqs7RQIAAJ4EAAAOAAAAAAAAAAEA&#10;IAAAACYBAABkcnMvZTJvRG9jLnhtbFBLBQYAAAAABgAGAFkBAADdBQAAAAA=&#10;">
                        <v:fill on="t" opacity="26213f" focussize="0,0"/>
                        <v:stroke weight="1pt" color="#000001" joinstyle="miter"/>
                        <v:imagedata o:title=""/>
                        <o:lock v:ext="edit" aspectratio="f"/>
                        <v:textbox inset="0mm,0.5mm,0mm,1.27mm">
                          <w:txbxContent>
                            <w:p>
                              <w:pPr>
                                <w:jc w:val="center"/>
                                <w:rPr>
                                  <w:sz w:val="18"/>
                                  <w:szCs w:val="18"/>
                                </w:rPr>
                              </w:pPr>
                              <w:r>
                                <w:rPr>
                                  <w:rFonts w:hint="eastAsia"/>
                                  <w:sz w:val="18"/>
                                  <w:szCs w:val="18"/>
                                </w:rPr>
                                <w:t>土地平整</w:t>
                              </w:r>
                            </w:p>
                          </w:txbxContent>
                        </v:textbox>
                      </v:rect>
                      <v:shape id="直接箭头连接符 3" o:spid="_x0000_s1026" o:spt="32" type="#_x0000_t32" style="position:absolute;left:856195;top:1088229;height:360202;width:635;rotation:-5898240f;" filled="f" stroked="t" coordsize="21600,21600" o:gfxdata="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BSoPjN1QAA&#10;AAUBAAAPAAAAAAAAAAEAIAAAACIAAABkcnMvZG93bnJldi54bWxQSwECFAAUAAAACACHTuJA5HSY&#10;iCECAAAbBAAADgAAAAAAAAABACAAAAAkAQAAZHJzL2Uyb0RvYy54bWxQSwUGAAAAAAYABgBZAQAA&#10;twUAAAAA&#10;">
                        <v:fill on="f" focussize="0,0"/>
                        <v:stroke weight="0.5pt" color="#000001" joinstyle="round" endarrow="block"/>
                        <v:imagedata o:title=""/>
                        <o:lock v:ext="edit" aspectratio="f"/>
                      </v:shape>
                      <v:shape id="直接箭头连接符 4" o:spid="_x0000_s1026" o:spt="32" type="#_x0000_t32" style="position:absolute;left:374109;top:800448;height:0;width:3030981;" filled="f" stroked="t" coordsize="21600,21600" o:gfxdata="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CT5WHy1QAAAAUBAAAPAAAAAAAAAAEA&#10;IAAAACIAAABkcnMvZG93bnJldi54bWxQSwECFAAUAAAACACHTuJApLiKahICAAAGBAAADgAAAAAA&#10;AAABACAAAAAkAQAAZHJzL2Uyb0RvYy54bWxQSwUGAAAAAAYABgBZAQAAqAUAAAAA&#10;">
                        <v:fill on="f" focussize="0,0"/>
                        <v:stroke weight="0.5pt" color="#000001" joinstyle="round"/>
                        <v:imagedata o:title=""/>
                        <o:lock v:ext="edit" aspectratio="f"/>
                      </v:shape>
                      <v:shape id="直接箭头连接符 5" o:spid="_x0000_s1026" o:spt="32" type="#_x0000_t32" style="position:absolute;left:182926;top:960538;height:635;width:360135;rotation:-5898240f;" filled="f" stroked="t" coordsize="21600,21600" o:gfxdata="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ABVNBk1gAA&#10;AAUBAAAPAAAAAAAAAAEAIAAAACIAAABkcnMvZG93bnJldi54bWxQSwECFAAUAAAACACHTuJAJemq&#10;ZSACAAAZBAAADgAAAAAAAAABACAAAAAlAQAAZHJzL2Uyb0RvYy54bWxQSwUGAAAAAAYABgBZAQAA&#10;twUAAAAA&#10;">
                        <v:fill on="f" focussize="0,0"/>
                        <v:stroke weight="0.5pt" color="#000001" joinstyle="round" dashstyle="dash" endarrow="block"/>
                        <v:imagedata o:title=""/>
                        <o:lock v:ext="edit" aspectratio="f"/>
                      </v:shape>
                      <v:rect id="矩形 18" o:spid="_x0000_s1026" o:spt="1" style="position:absolute;left:541791;top:97833;height:252205;width:2736902;" filled="f" stroked="t" coordsize="21600,21600" o:gfxdata="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PQPlzrWAAAABQEAAA8AAAAAAAAAAQAgAAAAIgAAAGRycy9kb3ducmV2LnhtbFBLAQIU&#10;ABQAAAAIAIdO4kCAgrRQLgIAAFQEAAAOAAAAAAAAAAEAIAAAACUBAABkcnMvZTJvRG9jLnhtbFBL&#10;BQYAAAAABgAGAFkBAADFBQAAAAA=&#10;">
                        <v:fill on="f" focussize="0,0"/>
                        <v:stroke weight="1pt" color="#000001" joinstyle="miter" dashstyle="dash"/>
                        <v:imagedata o:title=""/>
                        <o:lock v:ext="edit" aspectratio="f"/>
                        <v:textbox inset="0mm,1mm,0mm,1.27mm">
                          <w:txbxContent>
                            <w:p>
                              <w:pPr>
                                <w:jc w:val="center"/>
                                <w:rPr>
                                  <w:sz w:val="18"/>
                                  <w:szCs w:val="18"/>
                                </w:rPr>
                              </w:pPr>
                              <w:r>
                                <w:rPr>
                                  <w:rFonts w:hint="eastAsia"/>
                                  <w:sz w:val="18"/>
                                  <w:szCs w:val="18"/>
                                </w:rPr>
                                <w:t>施工扬尘、机械噪声、装修废气、生活污水</w:t>
                              </w:r>
                            </w:p>
                          </w:txbxContent>
                        </v:textbox>
                      </v:rect>
                      <v:rect id="矩形 19" o:spid="_x0000_s1026" o:spt="1" style="position:absolute;left:1059446;top:1151756;height:252205;width:647863;" fillcolor="#D9D9D9" filled="t" stroked="t" coordsize="21600,21600" o:gfxdata="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AKw4p9cAAAAFAQAADwAAAAAAAAABACAA&#10;AAAiAAAAZHJzL2Rvd25yZXYueG1sUEsBAhQAFAAAAAgAh07iQKakrbhHAgAAoQQAAA4AAAAAAAAA&#10;AQAgAAAAJgEAAGRycy9lMm9Eb2MueG1sUEsFBgAAAAAGAAYAWQEAAN8FAAAAAA==&#10;">
                        <v:fill on="t" opacity="26213f" focussize="0,0"/>
                        <v:stroke weight="1pt" color="#000001" joinstyle="miter"/>
                        <v:imagedata o:title=""/>
                        <o:lock v:ext="edit" aspectratio="f"/>
                        <v:textbox inset="0mm,0.5mm,0mm,1.27mm">
                          <w:txbxContent>
                            <w:p>
                              <w:pPr>
                                <w:jc w:val="center"/>
                                <w:rPr>
                                  <w:sz w:val="18"/>
                                  <w:szCs w:val="18"/>
                                </w:rPr>
                              </w:pPr>
                              <w:r>
                                <w:rPr>
                                  <w:rFonts w:hint="eastAsia"/>
                                  <w:sz w:val="18"/>
                                  <w:szCs w:val="18"/>
                                </w:rPr>
                                <w:t>基础工程</w:t>
                              </w:r>
                            </w:p>
                          </w:txbxContent>
                        </v:textbox>
                      </v:rect>
                      <v:shape id="直接箭头连接符 20" o:spid="_x0000_s1026" o:spt="32" type="#_x0000_t32" style="position:absolute;left:1875626;top:1078699;height:360202;width:635;rotation:-5898240f;" filled="f" stroked="t" coordsize="21600,21600" o:gfxdata="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BSoPjN1QAA&#10;AAUBAAAPAAAAAAAAAAEAIAAAACIAAABkcnMvZG93bnJldi54bWxQSwECFAAUAAAACACHTuJAP+5B&#10;dyECAAAdBAAADgAAAAAAAAABACAAAAAkAQAAZHJzL2Uyb0RvYy54bWxQSwUGAAAAAAYABgBZAQAA&#10;twUAAAAA&#10;">
                        <v:fill on="f" focussize="0,0"/>
                        <v:stroke weight="0.5pt" color="#000001" joinstyle="round" endarrow="block"/>
                        <v:imagedata o:title=""/>
                        <o:lock v:ext="edit" aspectratio="f"/>
                      </v:shape>
                      <v:rect id="矩形 21" o:spid="_x0000_s1026" o:spt="1" style="position:absolute;left:2078877;top:1151756;height:252205;width:647863;" fillcolor="#D9D9D9" filled="t" stroked="t" coordsize="21600,21600" o:gfxdata="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AArDin1wAAAAUBAAAPAAAAAAAAAAEA&#10;IAAAACIAAABkcnMvZG93bnJldi54bWxQSwECFAAUAAAACACHTuJARXeXA0kCAAChBAAADgAAAAAA&#10;AAABACAAAAAmAQAAZHJzL2Uyb0RvYy54bWxQSwUGAAAAAAYABgBZAQAA4QUAAAAA&#10;">
                        <v:fill on="t" opacity="26213f" focussize="0,0"/>
                        <v:stroke weight="1pt" color="#000001" joinstyle="miter"/>
                        <v:imagedata o:title=""/>
                        <o:lock v:ext="edit" aspectratio="f"/>
                        <v:textbox inset="0mm,0.5mm,0mm,1.27mm">
                          <w:txbxContent>
                            <w:p>
                              <w:pPr>
                                <w:jc w:val="center"/>
                                <w:rPr>
                                  <w:sz w:val="18"/>
                                  <w:szCs w:val="18"/>
                                </w:rPr>
                              </w:pPr>
                              <w:r>
                                <w:rPr>
                                  <w:rFonts w:hint="eastAsia"/>
                                  <w:sz w:val="18"/>
                                  <w:szCs w:val="18"/>
                                </w:rPr>
                                <w:t>主体工程</w:t>
                              </w:r>
                            </w:p>
                          </w:txbxContent>
                        </v:textbox>
                      </v:rect>
                      <v:rect id="矩形 22" o:spid="_x0000_s1026" o:spt="1" style="position:absolute;left:4083440;top:1151756;height:252205;width:900021;" fillcolor="#D9D9D9" filled="t" stroked="t" coordsize="21600,21600" o:gfxdata="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DybpeC1gAAAAUBAAAPAAAAAAAAAAEAIAAA&#10;ACIAAABkcnMvZG93bnJldi54bWxQSwECFAAUAAAACACHTuJAxmDagkcCAAChBAAADgAAAAAAAAAB&#10;ACAAAAAlAQAAZHJzL2Uyb0RvYy54bWxQSwUGAAAAAAYABgBZAQAA3gUAAAAA&#10;">
                        <v:fill on="t" opacity="26213f" focussize="0,0"/>
                        <v:stroke weight="1pt" color="#000001" joinstyle="miter"/>
                        <v:imagedata o:title=""/>
                        <o:lock v:ext="edit" aspectratio="f"/>
                        <v:textbox inset="0mm,0.5mm,0mm,1mm">
                          <w:txbxContent>
                            <w:p>
                              <w:pPr>
                                <w:jc w:val="center"/>
                                <w:rPr>
                                  <w:sz w:val="18"/>
                                  <w:szCs w:val="18"/>
                                </w:rPr>
                              </w:pPr>
                              <w:r>
                                <w:rPr>
                                  <w:rFonts w:hint="eastAsia"/>
                                  <w:sz w:val="18"/>
                                  <w:szCs w:val="18"/>
                                </w:rPr>
                                <w:t>验收、投入使用</w:t>
                              </w:r>
                            </w:p>
                          </w:txbxContent>
                        </v:textbox>
                      </v:rect>
                      <v:shape id="直接箭头连接符 38" o:spid="_x0000_s1026" o:spt="32" type="#_x0000_t32" style="position:absolute;left:1930250;top:386248;flip:y;height:425635;width:1905;" filled="f" stroked="t" coordsize="21600,21600" o:gfxdata="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B0N92rWAAAA&#10;BQEAAA8AAAAAAAAAAQAgAAAAIgAAAGRycy9kb3ducmV2LnhtbFBLAQIUABQAAAAIAIdO4kAaJXe1&#10;HwIAABcEAAAOAAAAAAAAAAEAIAAAACUBAABkcnMvZTJvRG9jLnhtbFBLBQYAAAAABgAGAFkBAAC2&#10;BQAAAAA=&#10;">
                        <v:fill on="f" focussize="0,0"/>
                        <v:stroke weight="0.5pt" color="#000001" joinstyle="round" dashstyle="dash" endarrow="block"/>
                        <v:imagedata o:title=""/>
                        <o:lock v:ext="edit" aspectratio="f"/>
                      </v:shape>
                      <v:shape id="直接箭头连接符 39" o:spid="_x0000_s1026" o:spt="32" type="#_x0000_t32" style="position:absolute;left:2207814;top:951009;height:635;width:359500;rotation:-5898240f;" filled="f" stroked="t" coordsize="21600,21600" o:gfxdata="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AFU0GTW&#10;AAAABQEAAA8AAAAAAAAAAQAgAAAAIgAAAGRycy9kb3ducmV2LnhtbFBLAQIUABQAAAAIAIdO4kAh&#10;t9i6IgIAABsEAAAOAAAAAAAAAAEAIAAAACUBAABkcnMvZTJvRG9jLnhtbFBLBQYAAAAABgAGAFkB&#10;AAC5BQAAAAA=&#10;">
                        <v:fill on="f" focussize="0,0"/>
                        <v:stroke weight="0.5pt" color="#000001" joinstyle="round" dashstyle="dash" endarrow="block"/>
                        <v:imagedata o:title=""/>
                        <o:lock v:ext="edit" aspectratio="f"/>
                      </v:shape>
                      <v:rect id="矩形 40" o:spid="_x0000_s1026" o:spt="1" style="position:absolute;left:3075442;top:1160650;height:252205;width:647863;" fillcolor="#D9D9D9" filled="t" stroked="t" coordsize="21600,21600" o:gfxdata="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AArDin1wAAAAUBAAAPAAAAAAAAAAEAIAAA&#10;ACIAAABkcnMvZG93bnJldi54bWxQSwECFAAUAAAACACHTuJAmJn5VUYCAAChBAAADgAAAAAAAAAB&#10;ACAAAAAmAQAAZHJzL2Uyb0RvYy54bWxQSwUGAAAAAAYABgBZAQAA3gUAAAAA&#10;">
                        <v:fill on="t" opacity="26213f" focussize="0,0"/>
                        <v:stroke weight="1pt" color="#000001" joinstyle="miter"/>
                        <v:imagedata o:title=""/>
                        <o:lock v:ext="edit" aspectratio="f"/>
                        <v:textbox inset="0mm,0.5mm,0mm,1.27mm">
                          <w:txbxContent>
                            <w:p>
                              <w:pPr>
                                <w:jc w:val="center"/>
                                <w:rPr>
                                  <w:sz w:val="18"/>
                                  <w:szCs w:val="18"/>
                                </w:rPr>
                              </w:pPr>
                              <w:r>
                                <w:rPr>
                                  <w:rFonts w:hint="eastAsia"/>
                                  <w:sz w:val="18"/>
                                  <w:szCs w:val="18"/>
                                </w:rPr>
                                <w:t>设备安装</w:t>
                              </w:r>
                            </w:p>
                          </w:txbxContent>
                        </v:textbox>
                      </v:rect>
                      <v:shape id="直接箭头连接符 41" o:spid="_x0000_s1026" o:spt="32" type="#_x0000_t32" style="position:absolute;left:2902044;top:1107287;height:359566;width:0;rotation:-5898240f;" filled="f" stroked="t" coordsize="21600,21600" o:gfxdata="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BSoPjN&#10;1QAAAAUBAAAPAAAAAAAAAAEAIAAAACIAAABkcnMvZG93bnJldi54bWxQSwECFAAUAAAACACHTuJA&#10;rLdwvyQCAAAbBAAADgAAAAAAAAABACAAAAAkAQAAZHJzL2Uyb0RvYy54bWxQSwUGAAAAAAYABgBZ&#10;AQAAugUAAAAA&#10;">
                        <v:fill on="f" focussize="0,0"/>
                        <v:stroke weight="0.5pt" color="#000001" joinstyle="round" endarrow="block"/>
                        <v:imagedata o:title=""/>
                        <o:lock v:ext="edit" aspectratio="f"/>
                      </v:shape>
                      <v:shape id="直接箭头连接符 42" o:spid="_x0000_s1026" o:spt="32" type="#_x0000_t32" style="position:absolute;left:3882730;top:1078699;height:360202;width:0;rotation:-5898240f;" filled="f" stroked="t" coordsize="21600,21600" o:gfxdata="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UqD4&#10;zdUAAAAFAQAADwAAAAAAAAABACAAAAAiAAAAZHJzL2Rvd25yZXYueG1sUEsBAhQAFAAAAAgAh07i&#10;QAiM0x4lAgAAGwQAAA4AAAAAAAAAAQAgAAAAJAEAAGRycy9lMm9Eb2MueG1sUEsFBgAAAAAGAAYA&#10;WQEAALsFAAAAAA==&#10;">
                        <v:fill on="f" focussize="0,0"/>
                        <v:stroke weight="0.5pt" color="#000001" joinstyle="round" endarrow="block"/>
                        <v:imagedata o:title=""/>
                        <o:lock v:ext="edit" aspectratio="f"/>
                      </v:shape>
                      <v:shape id="直接箭头连接符 43" o:spid="_x0000_s1026" o:spt="32" type="#_x0000_t32" style="position:absolute;left:1210614;top:970067;height:0;width:355689;rotation:-5898240f;" filled="f" stroked="t" coordsize="21600,21600" o:gfxdata="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AFU&#10;0GTWAAAABQEAAA8AAAAAAAAAAQAgAAAAIgAAAGRycy9kb3ducmV2LnhtbFBLAQIUABQAAAAIAIdO&#10;4kAmAIUVJQIAABkEAAAOAAAAAAAAAAEAIAAAACUBAABkcnMvZTJvRG9jLnhtbFBLBQYAAAAABgAG&#10;AFkBAAC8BQAAAAA=&#10;">
                        <v:fill on="f" focussize="0,0"/>
                        <v:stroke weight="0.5pt" color="#000001" joinstyle="round" dashstyle="dash" endarrow="block"/>
                        <v:imagedata o:title=""/>
                        <o:lock v:ext="edit" aspectratio="f"/>
                      </v:shape>
                      <v:shape id="直接箭头连接符 44" o:spid="_x0000_s1026" o:spt="32" type="#_x0000_t32" style="position:absolute;left:3219623;top:979596;height:0;width:355689;rotation:-5898240f;" filled="f" stroked="t" coordsize="21600,21600" o:gfxdata="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AFU&#10;0GTWAAAABQEAAA8AAAAAAAAAAQAgAAAAIgAAAGRycy9kb3ducmV2LnhtbFBLAQIUABQAAAAIAIdO&#10;4kDM1/l1JQIAABkEAAAOAAAAAAAAAAEAIAAAACUBAABkcnMvZTJvRG9jLnhtbFBLBQYAAAAABgAG&#10;AFkBAAC8BQAAAAA=&#10;">
                        <v:fill on="f" focussize="0,0"/>
                        <v:stroke weight="0.5pt" color="#000001" joinstyle="round" dashstyle="dash" endarrow="block"/>
                        <v:imagedata o:title=""/>
                        <o:lock v:ext="edit" aspectratio="f"/>
                      </v:shape>
                      <w10:wrap type="none"/>
                      <w10:anchorlock/>
                    </v:group>
                  </w:pict>
                </mc:Fallback>
              </mc:AlternateContent>
            </w:r>
          </w:p>
          <w:p>
            <w:pPr>
              <w:spacing w:line="360" w:lineRule="auto"/>
              <w:ind w:firstLine="422" w:firstLineChars="200"/>
              <w:jc w:val="center"/>
              <w:rPr>
                <w:color w:val="auto"/>
                <w:u w:val="none" w:color="auto"/>
              </w:rPr>
            </w:pPr>
            <w:r>
              <w:rPr>
                <w:b/>
                <w:bCs/>
                <w:color w:val="auto"/>
                <w:szCs w:val="21"/>
                <w:u w:val="none" w:color="auto"/>
              </w:rPr>
              <w:t>图2-1施工工艺流程及产污节点图</w:t>
            </w:r>
          </w:p>
          <w:p>
            <w:pPr>
              <w:spacing w:line="360" w:lineRule="auto"/>
              <w:ind w:firstLine="480" w:firstLineChars="200"/>
              <w:jc w:val="left"/>
              <w:rPr>
                <w:bCs/>
                <w:color w:val="auto"/>
                <w:sz w:val="24"/>
                <w:u w:val="none" w:color="auto"/>
              </w:rPr>
            </w:pPr>
            <w:r>
              <w:rPr>
                <w:bCs/>
                <w:color w:val="auto"/>
                <w:sz w:val="24"/>
                <w:u w:val="none" w:color="auto"/>
              </w:rPr>
              <w:t>施工流程说明：</w:t>
            </w:r>
          </w:p>
          <w:p>
            <w:pPr>
              <w:spacing w:line="360" w:lineRule="auto"/>
              <w:ind w:firstLine="480" w:firstLineChars="200"/>
              <w:jc w:val="left"/>
              <w:rPr>
                <w:bCs/>
                <w:color w:val="auto"/>
                <w:sz w:val="24"/>
                <w:u w:val="none" w:color="auto"/>
              </w:rPr>
            </w:pPr>
            <w:r>
              <w:rPr>
                <w:bCs/>
                <w:color w:val="auto"/>
                <w:sz w:val="24"/>
                <w:u w:val="none" w:color="auto"/>
              </w:rPr>
              <w:t>（1）场地平整</w:t>
            </w:r>
          </w:p>
          <w:p>
            <w:pPr>
              <w:keepNext w:val="0"/>
              <w:keepLines w:val="0"/>
              <w:pageBreakBefore w:val="0"/>
              <w:widowControl w:val="0"/>
              <w:kinsoku/>
              <w:wordWrap/>
              <w:overflowPunct/>
              <w:topLinePunct w:val="0"/>
              <w:autoSpaceDE/>
              <w:autoSpaceDN/>
              <w:bidi w:val="0"/>
              <w:adjustRightInd/>
              <w:snapToGrid/>
              <w:spacing w:line="348" w:lineRule="auto"/>
              <w:ind w:firstLine="480" w:firstLineChars="200"/>
              <w:jc w:val="left"/>
              <w:textAlignment w:val="auto"/>
              <w:rPr>
                <w:bCs/>
                <w:color w:val="auto"/>
                <w:sz w:val="24"/>
                <w:u w:val="none" w:color="auto"/>
              </w:rPr>
            </w:pPr>
            <w:r>
              <w:rPr>
                <w:rFonts w:hint="eastAsia"/>
                <w:bCs/>
                <w:color w:val="auto"/>
                <w:sz w:val="24"/>
                <w:u w:val="none" w:color="auto"/>
                <w:lang w:val="en-US" w:eastAsia="zh-CN"/>
              </w:rPr>
              <w:t>对煤矸石堆棚和一般固废堆棚土地进行平整，在施工过程中会产生一定量的噪声和固废以及</w:t>
            </w:r>
            <w:r>
              <w:rPr>
                <w:bCs/>
                <w:color w:val="auto"/>
                <w:sz w:val="24"/>
                <w:u w:val="none" w:color="auto"/>
              </w:rPr>
              <w:t>施工运输车辆和其他施工机械噪声、施工机械设备尾气、扬尘。</w:t>
            </w:r>
          </w:p>
          <w:p>
            <w:pPr>
              <w:keepNext w:val="0"/>
              <w:keepLines w:val="0"/>
              <w:pageBreakBefore w:val="0"/>
              <w:widowControl w:val="0"/>
              <w:kinsoku/>
              <w:wordWrap/>
              <w:overflowPunct/>
              <w:topLinePunct w:val="0"/>
              <w:autoSpaceDE/>
              <w:autoSpaceDN/>
              <w:bidi w:val="0"/>
              <w:adjustRightInd/>
              <w:snapToGrid/>
              <w:spacing w:line="348" w:lineRule="auto"/>
              <w:ind w:firstLine="480" w:firstLineChars="200"/>
              <w:jc w:val="left"/>
              <w:textAlignment w:val="auto"/>
              <w:rPr>
                <w:bCs/>
                <w:color w:val="auto"/>
                <w:sz w:val="24"/>
                <w:u w:val="none" w:color="auto"/>
              </w:rPr>
            </w:pPr>
            <w:r>
              <w:rPr>
                <w:bCs/>
                <w:color w:val="auto"/>
                <w:sz w:val="24"/>
                <w:u w:val="none" w:color="auto"/>
              </w:rPr>
              <w:t>（2）基础工程施工</w:t>
            </w:r>
          </w:p>
          <w:p>
            <w:pPr>
              <w:keepNext w:val="0"/>
              <w:keepLines w:val="0"/>
              <w:pageBreakBefore w:val="0"/>
              <w:widowControl w:val="0"/>
              <w:kinsoku/>
              <w:wordWrap/>
              <w:overflowPunct/>
              <w:topLinePunct w:val="0"/>
              <w:autoSpaceDE/>
              <w:autoSpaceDN/>
              <w:bidi w:val="0"/>
              <w:adjustRightInd/>
              <w:snapToGrid/>
              <w:spacing w:line="348" w:lineRule="auto"/>
              <w:ind w:firstLine="480" w:firstLineChars="200"/>
              <w:jc w:val="left"/>
              <w:textAlignment w:val="auto"/>
              <w:rPr>
                <w:bCs/>
                <w:color w:val="auto"/>
                <w:sz w:val="24"/>
                <w:u w:val="none" w:color="auto"/>
              </w:rPr>
            </w:pPr>
            <w:r>
              <w:rPr>
                <w:bCs/>
                <w:color w:val="auto"/>
                <w:sz w:val="24"/>
                <w:u w:val="none" w:color="auto"/>
              </w:rPr>
              <w:t>基础工程施工阶段（包括挖方、填方、地基处理、基础施工等），将产生局部水土流失、施工机械设备噪声（混凝土输送泵、装载机、运输车辆运行）、施工机械设备尾气、施工设备（搅拌机等）清洗产生的施工废水、施工弃土和施工扬尘。</w:t>
            </w:r>
          </w:p>
          <w:p>
            <w:pPr>
              <w:keepNext w:val="0"/>
              <w:keepLines w:val="0"/>
              <w:pageBreakBefore w:val="0"/>
              <w:widowControl w:val="0"/>
              <w:kinsoku/>
              <w:wordWrap/>
              <w:overflowPunct/>
              <w:topLinePunct w:val="0"/>
              <w:autoSpaceDE/>
              <w:autoSpaceDN/>
              <w:bidi w:val="0"/>
              <w:adjustRightInd/>
              <w:snapToGrid/>
              <w:spacing w:line="348" w:lineRule="auto"/>
              <w:ind w:firstLine="480" w:firstLineChars="200"/>
              <w:jc w:val="left"/>
              <w:textAlignment w:val="auto"/>
              <w:rPr>
                <w:bCs/>
                <w:color w:val="auto"/>
                <w:sz w:val="24"/>
                <w:u w:val="none" w:color="auto"/>
              </w:rPr>
            </w:pPr>
            <w:r>
              <w:rPr>
                <w:bCs/>
                <w:color w:val="auto"/>
                <w:sz w:val="24"/>
                <w:u w:val="none" w:color="auto"/>
              </w:rPr>
              <w:t>（3）主体工程施工</w:t>
            </w:r>
          </w:p>
          <w:p>
            <w:pPr>
              <w:keepNext w:val="0"/>
              <w:keepLines w:val="0"/>
              <w:pageBreakBefore w:val="0"/>
              <w:widowControl w:val="0"/>
              <w:kinsoku/>
              <w:wordWrap/>
              <w:overflowPunct/>
              <w:topLinePunct w:val="0"/>
              <w:autoSpaceDE/>
              <w:autoSpaceDN/>
              <w:bidi w:val="0"/>
              <w:adjustRightInd/>
              <w:snapToGrid/>
              <w:spacing w:line="348" w:lineRule="auto"/>
              <w:ind w:firstLine="480" w:firstLineChars="200"/>
              <w:jc w:val="left"/>
              <w:textAlignment w:val="auto"/>
              <w:rPr>
                <w:bCs/>
                <w:color w:val="auto"/>
                <w:sz w:val="24"/>
                <w:u w:val="none" w:color="auto"/>
              </w:rPr>
            </w:pPr>
            <w:r>
              <w:rPr>
                <w:bCs/>
                <w:color w:val="auto"/>
                <w:sz w:val="24"/>
                <w:u w:val="none" w:color="auto"/>
              </w:rPr>
              <w:t>主体工程施工过程中将产生施工机械的运行噪声、运输过程中产生扬尘、运输车辆尾气等环境问题。</w:t>
            </w:r>
          </w:p>
          <w:p>
            <w:pPr>
              <w:keepNext w:val="0"/>
              <w:keepLines w:val="0"/>
              <w:pageBreakBefore w:val="0"/>
              <w:widowControl w:val="0"/>
              <w:kinsoku/>
              <w:wordWrap/>
              <w:overflowPunct/>
              <w:topLinePunct w:val="0"/>
              <w:autoSpaceDE/>
              <w:autoSpaceDN/>
              <w:bidi w:val="0"/>
              <w:adjustRightInd/>
              <w:snapToGrid/>
              <w:spacing w:line="348" w:lineRule="auto"/>
              <w:ind w:firstLine="480" w:firstLineChars="200"/>
              <w:jc w:val="left"/>
              <w:textAlignment w:val="auto"/>
              <w:rPr>
                <w:bCs/>
                <w:color w:val="auto"/>
                <w:sz w:val="24"/>
                <w:u w:val="none" w:color="auto"/>
              </w:rPr>
            </w:pPr>
            <w:r>
              <w:rPr>
                <w:bCs/>
                <w:color w:val="auto"/>
                <w:sz w:val="24"/>
                <w:u w:val="none" w:color="auto"/>
              </w:rPr>
              <w:t>（4）设备安装</w:t>
            </w:r>
          </w:p>
          <w:p>
            <w:pPr>
              <w:keepNext w:val="0"/>
              <w:keepLines w:val="0"/>
              <w:pageBreakBefore w:val="0"/>
              <w:widowControl w:val="0"/>
              <w:kinsoku/>
              <w:wordWrap/>
              <w:overflowPunct/>
              <w:topLinePunct w:val="0"/>
              <w:autoSpaceDE/>
              <w:autoSpaceDN/>
              <w:bidi w:val="0"/>
              <w:adjustRightInd/>
              <w:snapToGrid/>
              <w:spacing w:line="348" w:lineRule="auto"/>
              <w:ind w:firstLine="480" w:firstLineChars="200"/>
              <w:jc w:val="left"/>
              <w:textAlignment w:val="auto"/>
              <w:rPr>
                <w:rFonts w:hint="eastAsia"/>
                <w:bCs/>
                <w:color w:val="auto"/>
                <w:sz w:val="24"/>
                <w:u w:val="none" w:color="auto"/>
              </w:rPr>
            </w:pPr>
            <w:r>
              <w:rPr>
                <w:bCs/>
                <w:color w:val="auto"/>
                <w:sz w:val="24"/>
                <w:u w:val="none" w:color="auto"/>
              </w:rPr>
              <w:t>设备安装过程主要产生施工噪声、施工人员生活污水、钻孔产生的粉尘、运输过程中产生扬尘等环境问题。</w:t>
            </w:r>
          </w:p>
          <w:p>
            <w:pPr>
              <w:keepNext w:val="0"/>
              <w:keepLines w:val="0"/>
              <w:pageBreakBefore w:val="0"/>
              <w:widowControl w:val="0"/>
              <w:kinsoku/>
              <w:wordWrap/>
              <w:overflowPunct/>
              <w:topLinePunct w:val="0"/>
              <w:autoSpaceDE/>
              <w:autoSpaceDN/>
              <w:bidi w:val="0"/>
              <w:adjustRightInd/>
              <w:snapToGrid/>
              <w:spacing w:line="348" w:lineRule="auto"/>
              <w:ind w:firstLine="480" w:firstLineChars="200"/>
              <w:jc w:val="left"/>
              <w:textAlignment w:val="auto"/>
              <w:rPr>
                <w:rFonts w:hint="eastAsia"/>
                <w:bCs/>
                <w:color w:val="auto"/>
                <w:sz w:val="24"/>
                <w:u w:val="none" w:color="auto"/>
              </w:rPr>
            </w:pPr>
            <w:r>
              <w:rPr>
                <w:rFonts w:hint="eastAsia"/>
                <w:bCs/>
                <w:color w:val="auto"/>
                <w:sz w:val="24"/>
                <w:u w:val="none" w:color="auto"/>
              </w:rPr>
              <w:t>本项目建设工程会对周围环境产生一些负面影响，主要表现在：施工期将产生施工废水、施工扬尘、汽车尾气、施工噪声及施工固废等污染物，由于施工期施工</w:t>
            </w:r>
          </w:p>
          <w:p>
            <w:pPr>
              <w:keepNext w:val="0"/>
              <w:keepLines w:val="0"/>
              <w:pageBreakBefore w:val="0"/>
              <w:widowControl w:val="0"/>
              <w:kinsoku/>
              <w:wordWrap/>
              <w:overflowPunct/>
              <w:topLinePunct w:val="0"/>
              <w:autoSpaceDE/>
              <w:autoSpaceDN/>
              <w:bidi w:val="0"/>
              <w:adjustRightInd/>
              <w:snapToGrid/>
              <w:spacing w:line="348" w:lineRule="auto"/>
              <w:ind w:firstLine="480" w:firstLineChars="200"/>
              <w:jc w:val="left"/>
              <w:textAlignment w:val="auto"/>
              <w:rPr>
                <w:rFonts w:hint="eastAsia"/>
                <w:bCs/>
                <w:color w:val="auto"/>
                <w:sz w:val="24"/>
                <w:u w:val="none" w:color="auto"/>
              </w:rPr>
            </w:pPr>
            <w:r>
              <w:rPr>
                <w:rFonts w:hint="eastAsia"/>
                <w:bCs/>
                <w:color w:val="auto"/>
                <w:sz w:val="24"/>
                <w:u w:val="none" w:color="auto"/>
              </w:rPr>
              <w:t>现场不设施工营地，施工人员不在项目内食宿，无生活污水产生。</w:t>
            </w:r>
          </w:p>
          <w:p>
            <w:pPr>
              <w:keepNext w:val="0"/>
              <w:keepLines w:val="0"/>
              <w:pageBreakBefore w:val="0"/>
              <w:widowControl w:val="0"/>
              <w:kinsoku/>
              <w:wordWrap/>
              <w:overflowPunct/>
              <w:topLinePunct w:val="0"/>
              <w:autoSpaceDE/>
              <w:autoSpaceDN/>
              <w:bidi w:val="0"/>
              <w:adjustRightInd/>
              <w:snapToGrid/>
              <w:spacing w:line="348" w:lineRule="auto"/>
              <w:ind w:firstLine="480" w:firstLineChars="200"/>
              <w:jc w:val="left"/>
              <w:textAlignment w:val="auto"/>
              <w:rPr>
                <w:rFonts w:hint="eastAsia"/>
                <w:bCs/>
                <w:color w:val="auto"/>
                <w:sz w:val="24"/>
                <w:u w:val="none" w:color="auto"/>
              </w:rPr>
            </w:pPr>
            <w:r>
              <w:rPr>
                <w:rFonts w:hint="eastAsia"/>
                <w:bCs/>
                <w:color w:val="auto"/>
                <w:sz w:val="24"/>
                <w:u w:val="none" w:color="auto"/>
              </w:rPr>
              <w:t>其主要污染如下：</w:t>
            </w:r>
          </w:p>
          <w:p>
            <w:pPr>
              <w:keepNext w:val="0"/>
              <w:keepLines w:val="0"/>
              <w:pageBreakBefore w:val="0"/>
              <w:widowControl w:val="0"/>
              <w:kinsoku/>
              <w:wordWrap/>
              <w:overflowPunct/>
              <w:topLinePunct w:val="0"/>
              <w:autoSpaceDE/>
              <w:autoSpaceDN/>
              <w:bidi w:val="0"/>
              <w:adjustRightInd/>
              <w:snapToGrid/>
              <w:spacing w:line="348" w:lineRule="auto"/>
              <w:ind w:firstLine="480" w:firstLineChars="200"/>
              <w:jc w:val="left"/>
              <w:textAlignment w:val="auto"/>
              <w:rPr>
                <w:rFonts w:hint="eastAsia"/>
                <w:bCs/>
                <w:color w:val="auto"/>
                <w:sz w:val="24"/>
                <w:u w:val="none" w:color="auto"/>
              </w:rPr>
            </w:pPr>
            <w:r>
              <w:rPr>
                <w:rFonts w:hint="eastAsia"/>
                <w:bCs/>
                <w:color w:val="auto"/>
                <w:sz w:val="24"/>
                <w:u w:val="none" w:color="auto"/>
              </w:rPr>
              <w:t>1）大气环境影响因素：施工扬尘、施工机械及施工车辆尾气等。</w:t>
            </w:r>
          </w:p>
          <w:p>
            <w:pPr>
              <w:keepNext w:val="0"/>
              <w:keepLines w:val="0"/>
              <w:pageBreakBefore w:val="0"/>
              <w:widowControl w:val="0"/>
              <w:kinsoku/>
              <w:wordWrap/>
              <w:overflowPunct/>
              <w:topLinePunct w:val="0"/>
              <w:autoSpaceDE/>
              <w:autoSpaceDN/>
              <w:bidi w:val="0"/>
              <w:adjustRightInd/>
              <w:snapToGrid/>
              <w:spacing w:line="348" w:lineRule="auto"/>
              <w:ind w:firstLine="480" w:firstLineChars="200"/>
              <w:jc w:val="left"/>
              <w:textAlignment w:val="auto"/>
              <w:rPr>
                <w:rFonts w:hint="eastAsia"/>
                <w:bCs/>
                <w:color w:val="auto"/>
                <w:sz w:val="24"/>
                <w:u w:val="none" w:color="auto"/>
              </w:rPr>
            </w:pPr>
            <w:r>
              <w:rPr>
                <w:rFonts w:hint="eastAsia"/>
                <w:bCs/>
                <w:color w:val="auto"/>
                <w:sz w:val="24"/>
                <w:u w:val="none" w:color="auto"/>
              </w:rPr>
              <w:t>2）地表水影响因素：水污染物主要为施工废水。</w:t>
            </w:r>
          </w:p>
          <w:p>
            <w:pPr>
              <w:keepNext w:val="0"/>
              <w:keepLines w:val="0"/>
              <w:pageBreakBefore w:val="0"/>
              <w:widowControl w:val="0"/>
              <w:kinsoku/>
              <w:wordWrap/>
              <w:overflowPunct/>
              <w:topLinePunct w:val="0"/>
              <w:autoSpaceDE/>
              <w:autoSpaceDN/>
              <w:bidi w:val="0"/>
              <w:adjustRightInd/>
              <w:snapToGrid/>
              <w:spacing w:line="348" w:lineRule="auto"/>
              <w:ind w:firstLine="480" w:firstLineChars="200"/>
              <w:jc w:val="left"/>
              <w:textAlignment w:val="auto"/>
              <w:rPr>
                <w:rFonts w:hint="eastAsia"/>
                <w:bCs/>
                <w:color w:val="auto"/>
                <w:sz w:val="24"/>
                <w:u w:val="none" w:color="auto"/>
              </w:rPr>
            </w:pPr>
            <w:r>
              <w:rPr>
                <w:rFonts w:hint="eastAsia"/>
                <w:bCs/>
                <w:color w:val="auto"/>
                <w:sz w:val="24"/>
                <w:u w:val="none" w:color="auto"/>
              </w:rPr>
              <w:t>3）声环境影响因素：施工机械及运输车辆噪声。</w:t>
            </w:r>
          </w:p>
          <w:p>
            <w:pPr>
              <w:keepNext w:val="0"/>
              <w:keepLines w:val="0"/>
              <w:pageBreakBefore w:val="0"/>
              <w:widowControl w:val="0"/>
              <w:kinsoku/>
              <w:wordWrap/>
              <w:overflowPunct/>
              <w:topLinePunct w:val="0"/>
              <w:autoSpaceDE/>
              <w:autoSpaceDN/>
              <w:bidi w:val="0"/>
              <w:adjustRightInd/>
              <w:snapToGrid/>
              <w:spacing w:line="348" w:lineRule="auto"/>
              <w:ind w:firstLine="480" w:firstLineChars="200"/>
              <w:jc w:val="left"/>
              <w:textAlignment w:val="auto"/>
              <w:rPr>
                <w:rFonts w:hint="eastAsia"/>
                <w:bCs/>
                <w:color w:val="auto"/>
                <w:sz w:val="24"/>
                <w:u w:val="none" w:color="auto"/>
              </w:rPr>
            </w:pPr>
            <w:r>
              <w:rPr>
                <w:rFonts w:hint="eastAsia"/>
                <w:bCs/>
                <w:color w:val="auto"/>
                <w:sz w:val="24"/>
                <w:u w:val="none" w:color="auto"/>
              </w:rPr>
              <w:t>4）固废影响因素：建筑垃圾、生活垃圾等。</w:t>
            </w:r>
          </w:p>
          <w:p>
            <w:pPr>
              <w:keepNext w:val="0"/>
              <w:keepLines w:val="0"/>
              <w:pageBreakBefore w:val="0"/>
              <w:widowControl w:val="0"/>
              <w:kinsoku/>
              <w:wordWrap/>
              <w:overflowPunct/>
              <w:topLinePunct w:val="0"/>
              <w:autoSpaceDE/>
              <w:autoSpaceDN/>
              <w:bidi w:val="0"/>
              <w:adjustRightInd/>
              <w:snapToGrid/>
              <w:spacing w:line="348" w:lineRule="auto"/>
              <w:ind w:firstLine="480" w:firstLineChars="200"/>
              <w:jc w:val="left"/>
              <w:textAlignment w:val="auto"/>
              <w:rPr>
                <w:bCs/>
                <w:color w:val="auto"/>
                <w:sz w:val="24"/>
                <w:u w:val="none" w:color="auto"/>
              </w:rPr>
            </w:pPr>
            <w:r>
              <w:rPr>
                <w:rFonts w:hint="eastAsia"/>
                <w:bCs/>
                <w:color w:val="auto"/>
                <w:sz w:val="24"/>
                <w:u w:val="none" w:color="auto"/>
              </w:rPr>
              <w:t>5）社会及交通影响：临时占地、交通堵塞。</w:t>
            </w:r>
          </w:p>
          <w:p>
            <w:pPr>
              <w:spacing w:line="360" w:lineRule="auto"/>
              <w:jc w:val="left"/>
              <w:rPr>
                <w:b/>
                <w:color w:val="auto"/>
                <w:sz w:val="24"/>
                <w:u w:val="none" w:color="auto"/>
              </w:rPr>
            </w:pPr>
            <w:r>
              <w:rPr>
                <w:b/>
                <w:color w:val="auto"/>
                <w:sz w:val="24"/>
                <w:u w:val="none" w:color="auto"/>
              </w:rPr>
              <w:t>二、运营期工艺流程和产排污环节</w:t>
            </w:r>
          </w:p>
          <w:p>
            <w:pPr>
              <w:spacing w:line="360" w:lineRule="auto"/>
              <w:ind w:firstLine="480" w:firstLineChars="200"/>
              <w:jc w:val="left"/>
              <w:rPr>
                <w:b/>
                <w:color w:val="auto"/>
                <w:sz w:val="24"/>
                <w:u w:val="none" w:color="auto"/>
              </w:rPr>
            </w:pPr>
            <w:r>
              <w:rPr>
                <w:bCs/>
                <w:color w:val="auto"/>
                <w:sz w:val="24"/>
                <w:u w:val="none" w:color="auto"/>
              </w:rPr>
              <w:t>工程建成后，营运期制砖工艺主要包括原料</w:t>
            </w:r>
            <w:r>
              <w:rPr>
                <w:rFonts w:hint="eastAsia"/>
                <w:bCs/>
                <w:color w:val="auto"/>
                <w:sz w:val="24"/>
                <w:u w:val="none" w:color="auto"/>
                <w:lang w:eastAsia="zh-CN"/>
              </w:rPr>
              <w:t>（</w:t>
            </w:r>
            <w:r>
              <w:rPr>
                <w:rFonts w:hint="eastAsia"/>
                <w:bCs/>
                <w:color w:val="auto"/>
                <w:sz w:val="24"/>
                <w:u w:val="none" w:color="auto"/>
                <w:lang w:val="en-US" w:eastAsia="zh-CN"/>
              </w:rPr>
              <w:t>页岩、煤矸石、一般固废</w:t>
            </w:r>
            <w:r>
              <w:rPr>
                <w:rFonts w:hint="eastAsia"/>
                <w:bCs/>
                <w:color w:val="auto"/>
                <w:sz w:val="24"/>
                <w:u w:val="none" w:color="auto"/>
                <w:lang w:eastAsia="zh-CN"/>
              </w:rPr>
              <w:t>）</w:t>
            </w:r>
            <w:r>
              <w:rPr>
                <w:bCs/>
                <w:color w:val="auto"/>
                <w:sz w:val="24"/>
                <w:u w:val="none" w:color="auto"/>
              </w:rPr>
              <w:t>破碎筛分、物料搅拌及陈化、制坯、砖坯的烘干焙烧、成品检验堆放等环节。项目生产工艺流程图及产污环节见图2-2。</w:t>
            </w:r>
          </w:p>
          <w:p>
            <w:pPr>
              <w:adjustRightInd w:val="0"/>
              <w:snapToGrid w:val="0"/>
              <w:spacing w:after="156" w:afterLines="50"/>
              <w:jc w:val="left"/>
              <w:rPr>
                <w:b/>
                <w:color w:val="auto"/>
                <w:szCs w:val="21"/>
                <w:u w:val="none" w:color="auto"/>
              </w:rPr>
            </w:pPr>
            <w:r>
              <w:rPr>
                <w:b/>
                <w:color w:val="auto"/>
                <w:szCs w:val="21"/>
                <w:u w:val="none" w:color="auto"/>
              </w:rPr>
              <w:object>
                <v:shape id="_x0000_i1025" o:spt="75" type="#_x0000_t75" style="height:281.8pt;width:403.6pt;" o:ole="t" filled="f" o:preferrelative="t" stroked="f" coordsize="21600,21600">
                  <v:path/>
                  <v:fill on="f" focussize="0,0"/>
                  <v:stroke on="f"/>
                  <v:imagedata r:id="rId22" o:title=""/>
                  <o:lock v:ext="edit" aspectratio="f"/>
                  <w10:wrap type="none"/>
                  <w10:anchorlock/>
                </v:shape>
                <o:OLEObject Type="Embed" ProgID="Visio.Drawing.11" ShapeID="_x0000_i1025" DrawAspect="Content" ObjectID="_1468075725" r:id="rId21">
                  <o:LockedField>false</o:LockedField>
                </o:OLEObject>
              </w:object>
            </w:r>
          </w:p>
          <w:p>
            <w:pPr>
              <w:adjustRightInd w:val="0"/>
              <w:snapToGrid w:val="0"/>
              <w:spacing w:after="156" w:afterLines="50"/>
              <w:jc w:val="center"/>
              <w:rPr>
                <w:color w:val="auto"/>
                <w:szCs w:val="21"/>
                <w:u w:val="none" w:color="auto"/>
              </w:rPr>
            </w:pPr>
            <w:r>
              <w:rPr>
                <w:b/>
                <w:color w:val="auto"/>
                <w:szCs w:val="21"/>
                <w:u w:val="none" w:color="auto"/>
              </w:rPr>
              <w:t>图2-2项目运营期工作流程及产污环节图</w:t>
            </w:r>
          </w:p>
          <w:p>
            <w:pPr>
              <w:spacing w:line="360" w:lineRule="auto"/>
              <w:ind w:firstLine="480"/>
              <w:rPr>
                <w:color w:val="auto"/>
                <w:sz w:val="24"/>
                <w:u w:val="none" w:color="auto"/>
              </w:rPr>
            </w:pPr>
            <w:r>
              <w:rPr>
                <w:color w:val="auto"/>
                <w:sz w:val="24"/>
                <w:u w:val="none" w:color="auto"/>
              </w:rPr>
              <w:t>工作流程简述：</w:t>
            </w:r>
          </w:p>
          <w:p>
            <w:pPr>
              <w:spacing w:line="360" w:lineRule="auto"/>
              <w:ind w:firstLine="480"/>
              <w:rPr>
                <w:rFonts w:hint="eastAsia" w:ascii="Times New Roman" w:hAnsi="Times New Roman" w:eastAsia="宋体" w:cs="Times New Roman"/>
                <w:color w:val="auto"/>
                <w:sz w:val="24"/>
                <w:u w:val="none" w:color="auto"/>
                <w:lang w:eastAsia="zh-CN"/>
              </w:rPr>
            </w:pPr>
            <w:r>
              <w:rPr>
                <w:rFonts w:hint="eastAsia" w:ascii="Times New Roman" w:hAnsi="Times New Roman" w:eastAsia="宋体" w:cs="Times New Roman"/>
                <w:b/>
                <w:bCs/>
                <w:color w:val="auto"/>
                <w:sz w:val="24"/>
                <w:u w:val="none" w:color="auto"/>
                <w:lang w:val="en-US" w:eastAsia="zh-CN"/>
              </w:rPr>
              <w:t>1、</w:t>
            </w:r>
            <w:r>
              <w:rPr>
                <w:rFonts w:hint="eastAsia" w:ascii="Times New Roman" w:hAnsi="Times New Roman" w:eastAsia="宋体" w:cs="Times New Roman"/>
                <w:b/>
                <w:bCs/>
                <w:color w:val="auto"/>
                <w:sz w:val="24"/>
                <w:u w:val="none" w:color="auto"/>
                <w:lang w:eastAsia="zh-CN"/>
              </w:rPr>
              <w:t>工艺流程及产排污分析</w:t>
            </w:r>
          </w:p>
          <w:p>
            <w:pPr>
              <w:spacing w:line="360" w:lineRule="auto"/>
              <w:ind w:firstLine="480"/>
              <w:rPr>
                <w:rFonts w:hint="eastAsia" w:ascii="Times New Roman" w:hAnsi="Times New Roman" w:eastAsia="宋体" w:cs="Times New Roman"/>
                <w:color w:val="auto"/>
                <w:sz w:val="24"/>
                <w:u w:val="none" w:color="auto"/>
                <w:lang w:eastAsia="zh-CN"/>
              </w:rPr>
            </w:pPr>
            <w:r>
              <w:rPr>
                <w:rFonts w:hint="eastAsia" w:ascii="Times New Roman" w:hAnsi="Times New Roman" w:eastAsia="宋体" w:cs="Times New Roman"/>
                <w:color w:val="auto"/>
                <w:sz w:val="24"/>
                <w:u w:val="none" w:color="auto"/>
                <w:lang w:eastAsia="zh-CN"/>
              </w:rPr>
              <w:t>（</w:t>
            </w:r>
            <w:r>
              <w:rPr>
                <w:rFonts w:hint="eastAsia" w:ascii="Times New Roman" w:hAnsi="Times New Roman" w:eastAsia="宋体" w:cs="Times New Roman"/>
                <w:color w:val="auto"/>
                <w:sz w:val="24"/>
                <w:u w:val="none" w:color="auto"/>
                <w:lang w:val="en-US" w:eastAsia="zh-CN"/>
              </w:rPr>
              <w:t>1</w:t>
            </w:r>
            <w:r>
              <w:rPr>
                <w:rFonts w:hint="eastAsia" w:ascii="Times New Roman" w:hAnsi="Times New Roman" w:eastAsia="宋体" w:cs="Times New Roman"/>
                <w:color w:val="auto"/>
                <w:sz w:val="24"/>
                <w:u w:val="none" w:color="auto"/>
                <w:lang w:eastAsia="zh-CN"/>
              </w:rPr>
              <w:t>）一般固废运输</w:t>
            </w:r>
          </w:p>
          <w:p>
            <w:pPr>
              <w:spacing w:line="360" w:lineRule="auto"/>
              <w:ind w:firstLine="480"/>
              <w:rPr>
                <w:rFonts w:hint="default" w:ascii="Times New Roman" w:hAnsi="Times New Roman" w:eastAsia="宋体" w:cs="Times New Roman"/>
                <w:color w:val="auto"/>
                <w:sz w:val="24"/>
                <w:u w:val="none" w:color="auto"/>
                <w:lang w:val="en-US" w:eastAsia="zh-CN"/>
              </w:rPr>
            </w:pPr>
            <w:r>
              <w:rPr>
                <w:rFonts w:hint="eastAsia" w:ascii="Times New Roman" w:hAnsi="Times New Roman" w:eastAsia="宋体" w:cs="Times New Roman"/>
                <w:color w:val="auto"/>
                <w:sz w:val="24"/>
                <w:u w:val="none" w:color="auto"/>
                <w:lang w:eastAsia="zh-CN"/>
              </w:rPr>
              <w:t>本次项目</w:t>
            </w:r>
            <w:r>
              <w:rPr>
                <w:rFonts w:hint="eastAsia" w:cs="Times New Roman"/>
                <w:color w:val="auto"/>
                <w:sz w:val="24"/>
                <w:u w:val="none" w:color="auto"/>
                <w:lang w:eastAsia="zh-CN"/>
              </w:rPr>
              <w:t>掺配</w:t>
            </w:r>
            <w:r>
              <w:rPr>
                <w:rFonts w:hint="eastAsia" w:ascii="Times New Roman" w:hAnsi="Times New Roman" w:eastAsia="宋体" w:cs="Times New Roman"/>
                <w:color w:val="auto"/>
                <w:sz w:val="24"/>
                <w:u w:val="none" w:color="auto"/>
                <w:lang w:eastAsia="zh-CN"/>
              </w:rPr>
              <w:t>的一般固废来源于</w:t>
            </w:r>
            <w:r>
              <w:rPr>
                <w:rFonts w:hint="default" w:ascii="Times New Roman" w:hAnsi="Times New Roman" w:eastAsia="宋体" w:cs="Times New Roman"/>
                <w:color w:val="auto"/>
                <w:kern w:val="2"/>
                <w:sz w:val="24"/>
                <w:szCs w:val="24"/>
                <w:highlight w:val="none"/>
                <w:u w:val="none" w:color="auto"/>
                <w:lang w:val="en-US" w:eastAsia="zh-CN" w:bidi="ar-SA"/>
              </w:rPr>
              <w:t>衡阳市珠晖区原中盐天友化工有限公司及学宫路附近遗留废渣</w:t>
            </w:r>
            <w:r>
              <w:rPr>
                <w:rFonts w:hint="eastAsia" w:ascii="Times New Roman" w:hAnsi="Times New Roman" w:eastAsia="宋体" w:cs="Times New Roman"/>
                <w:color w:val="auto"/>
                <w:kern w:val="2"/>
                <w:sz w:val="24"/>
                <w:szCs w:val="24"/>
                <w:highlight w:val="none"/>
                <w:u w:val="none" w:color="auto"/>
                <w:lang w:val="en-US" w:eastAsia="zh-CN" w:bidi="ar-SA"/>
              </w:rPr>
              <w:t>，由负责该遗留废渣治理的施工单位将废渣运送至本项目一般固废贮存场，所以运输过程产生的扬尘和噪声以及废渣运输过程产生环境风险等本次项目不再具体分析，由遗留废渣治理的施工单位采取相应环保措施。</w:t>
            </w:r>
          </w:p>
          <w:p>
            <w:pPr>
              <w:spacing w:line="360" w:lineRule="auto"/>
              <w:ind w:firstLine="480"/>
              <w:rPr>
                <w:rFonts w:hint="eastAsia" w:ascii="Times New Roman" w:hAnsi="Times New Roman" w:eastAsia="宋体" w:cs="Times New Roman"/>
                <w:color w:val="auto"/>
                <w:sz w:val="24"/>
                <w:u w:val="none" w:color="auto"/>
                <w:lang w:eastAsia="zh-CN"/>
              </w:rPr>
            </w:pPr>
            <w:r>
              <w:rPr>
                <w:rFonts w:hint="eastAsia" w:ascii="Times New Roman" w:hAnsi="Times New Roman" w:eastAsia="宋体" w:cs="Times New Roman"/>
                <w:color w:val="auto"/>
                <w:sz w:val="24"/>
                <w:u w:val="none" w:color="auto"/>
                <w:lang w:eastAsia="zh-CN"/>
              </w:rPr>
              <w:t>（</w:t>
            </w:r>
            <w:r>
              <w:rPr>
                <w:rFonts w:hint="eastAsia" w:ascii="Times New Roman" w:hAnsi="Times New Roman" w:eastAsia="宋体" w:cs="Times New Roman"/>
                <w:color w:val="auto"/>
                <w:sz w:val="24"/>
                <w:u w:val="none" w:color="auto"/>
                <w:lang w:val="en-US" w:eastAsia="zh-CN"/>
              </w:rPr>
              <w:t>2</w:t>
            </w:r>
            <w:r>
              <w:rPr>
                <w:rFonts w:hint="eastAsia" w:ascii="Times New Roman" w:hAnsi="Times New Roman" w:eastAsia="宋体" w:cs="Times New Roman"/>
                <w:color w:val="auto"/>
                <w:sz w:val="24"/>
                <w:u w:val="none" w:color="auto"/>
                <w:lang w:eastAsia="zh-CN"/>
              </w:rPr>
              <w:t>）一般固废贮存</w:t>
            </w:r>
          </w:p>
          <w:p>
            <w:pPr>
              <w:spacing w:line="360" w:lineRule="auto"/>
              <w:ind w:firstLine="480"/>
              <w:rPr>
                <w:rFonts w:hint="eastAsia" w:ascii="Times New Roman" w:hAnsi="Times New Roman" w:eastAsia="宋体" w:cs="Times New Roman"/>
                <w:color w:val="auto"/>
                <w:sz w:val="24"/>
                <w:u w:val="none" w:color="auto"/>
                <w:vertAlign w:val="baseline"/>
                <w:lang w:val="en-US" w:eastAsia="zh-CN"/>
              </w:rPr>
            </w:pPr>
            <w:r>
              <w:rPr>
                <w:rFonts w:hint="eastAsia" w:ascii="Times New Roman" w:hAnsi="Times New Roman" w:eastAsia="宋体" w:cs="Times New Roman"/>
                <w:color w:val="auto"/>
                <w:sz w:val="24"/>
                <w:u w:val="none" w:color="auto"/>
                <w:lang w:eastAsia="zh-CN"/>
              </w:rPr>
              <w:t>一般固废进厂后堆存于一般固废贮存场中，本项目</w:t>
            </w:r>
            <w:r>
              <w:rPr>
                <w:rFonts w:hint="eastAsia" w:cs="Times New Roman"/>
                <w:color w:val="auto"/>
                <w:sz w:val="24"/>
                <w:u w:val="none" w:color="auto"/>
                <w:lang w:val="en-US" w:eastAsia="zh-CN"/>
              </w:rPr>
              <w:t>改造</w:t>
            </w:r>
            <w:r>
              <w:rPr>
                <w:rFonts w:hint="eastAsia" w:ascii="Times New Roman" w:hAnsi="Times New Roman" w:eastAsia="宋体" w:cs="Times New Roman"/>
                <w:color w:val="auto"/>
                <w:sz w:val="24"/>
                <w:u w:val="none" w:color="auto"/>
                <w:lang w:eastAsia="zh-CN"/>
              </w:rPr>
              <w:t>的一般固废贮存场设三面围挡，设置门帘，周边设置边沟和集水池，场内采用单人工复合衬层作为防渗衬层（厚度不小于1.5mm的高密度聚乙烯膜、厚度不小于0.75m的粘土衬层）。</w:t>
            </w:r>
            <w:r>
              <w:rPr>
                <w:rFonts w:hint="eastAsia" w:ascii="Times New Roman" w:hAnsi="Times New Roman" w:eastAsia="宋体" w:cs="Times New Roman"/>
                <w:color w:val="auto"/>
                <w:sz w:val="24"/>
                <w:u w:val="none" w:color="auto"/>
                <w:lang w:val="en-US" w:eastAsia="zh-CN"/>
              </w:rPr>
              <w:t>一般固废一次性最大贮存量为</w:t>
            </w:r>
            <w:r>
              <w:rPr>
                <w:rFonts w:hint="eastAsia" w:cs="Times New Roman"/>
                <w:color w:val="auto"/>
                <w:sz w:val="24"/>
                <w:u w:val="none" w:color="auto"/>
                <w:lang w:val="en-US" w:eastAsia="zh-CN"/>
              </w:rPr>
              <w:t>1</w:t>
            </w:r>
            <w:r>
              <w:rPr>
                <w:rFonts w:hint="eastAsia" w:ascii="Times New Roman" w:hAnsi="Times New Roman" w:eastAsia="宋体" w:cs="Times New Roman"/>
                <w:color w:val="auto"/>
                <w:sz w:val="24"/>
                <w:u w:val="none" w:color="auto"/>
                <w:lang w:val="en-US" w:eastAsia="zh-CN"/>
              </w:rPr>
              <w:t>000</w:t>
            </w:r>
            <w:r>
              <w:rPr>
                <w:rFonts w:hint="eastAsia" w:cs="Times New Roman"/>
                <w:color w:val="auto"/>
                <w:sz w:val="24"/>
                <w:u w:val="none" w:color="auto"/>
                <w:lang w:val="en-US" w:eastAsia="zh-CN"/>
              </w:rPr>
              <w:t>m³</w:t>
            </w:r>
            <w:r>
              <w:rPr>
                <w:rFonts w:hint="eastAsia" w:ascii="Times New Roman" w:hAnsi="Times New Roman" w:eastAsia="宋体" w:cs="Times New Roman"/>
                <w:color w:val="auto"/>
                <w:sz w:val="24"/>
                <w:u w:val="none" w:color="auto"/>
                <w:vertAlign w:val="baseline"/>
                <w:lang w:val="en-US" w:eastAsia="zh-CN"/>
              </w:rPr>
              <w:t>，一般固废进厂后及时用于搅拌工序</w:t>
            </w:r>
            <w:r>
              <w:rPr>
                <w:rFonts w:hint="eastAsia" w:cs="Times New Roman"/>
                <w:color w:val="auto"/>
                <w:sz w:val="24"/>
                <w:u w:val="none" w:color="auto"/>
                <w:vertAlign w:val="baseline"/>
                <w:lang w:val="en-US" w:eastAsia="zh-CN"/>
              </w:rPr>
              <w:t>掺配</w:t>
            </w:r>
            <w:r>
              <w:rPr>
                <w:rFonts w:hint="eastAsia" w:ascii="Times New Roman" w:hAnsi="Times New Roman" w:eastAsia="宋体" w:cs="Times New Roman"/>
                <w:color w:val="auto"/>
                <w:sz w:val="24"/>
                <w:u w:val="none" w:color="auto"/>
                <w:vertAlign w:val="baseline"/>
                <w:lang w:val="en-US" w:eastAsia="zh-CN"/>
              </w:rPr>
              <w:t>制砖。一般固废在厂内装卸和贮存的过程中可能会产生扬尘及噪声。</w:t>
            </w:r>
          </w:p>
          <w:p>
            <w:pPr>
              <w:spacing w:line="360" w:lineRule="auto"/>
              <w:ind w:firstLine="480"/>
              <w:rPr>
                <w:rFonts w:hint="default" w:ascii="Times New Roman" w:hAnsi="Times New Roman" w:cs="Times New Roman"/>
                <w:color w:val="000000"/>
                <w:sz w:val="24"/>
                <w:u w:val="none"/>
              </w:rPr>
            </w:pPr>
            <w:r>
              <w:rPr>
                <w:rFonts w:hint="default" w:ascii="Times New Roman" w:hAnsi="Times New Roman" w:cs="Times New Roman"/>
                <w:color w:val="000000"/>
                <w:sz w:val="24"/>
                <w:u w:val="none"/>
              </w:rPr>
              <w:t>（</w:t>
            </w:r>
            <w:r>
              <w:rPr>
                <w:rFonts w:hint="eastAsia" w:ascii="Times New Roman" w:hAnsi="Times New Roman" w:cs="Times New Roman"/>
                <w:color w:val="000000"/>
                <w:sz w:val="24"/>
                <w:u w:val="none"/>
                <w:lang w:val="en-US" w:eastAsia="zh-CN"/>
              </w:rPr>
              <w:t>3</w:t>
            </w:r>
            <w:r>
              <w:rPr>
                <w:rFonts w:hint="default" w:ascii="Times New Roman" w:hAnsi="Times New Roman" w:cs="Times New Roman"/>
                <w:color w:val="000000"/>
                <w:sz w:val="24"/>
                <w:u w:val="none"/>
              </w:rPr>
              <w:t>）原料破碎筛分</w:t>
            </w:r>
          </w:p>
          <w:p>
            <w:pPr>
              <w:spacing w:line="360" w:lineRule="auto"/>
              <w:ind w:firstLine="480"/>
              <w:rPr>
                <w:rFonts w:hint="default" w:ascii="Times New Roman" w:hAnsi="Times New Roman" w:cs="Times New Roman"/>
                <w:color w:val="000000"/>
                <w:sz w:val="24"/>
                <w:u w:val="none"/>
              </w:rPr>
            </w:pPr>
            <w:r>
              <w:rPr>
                <w:rFonts w:hint="default" w:ascii="Times New Roman" w:hAnsi="Times New Roman" w:cs="Times New Roman"/>
                <w:color w:val="000000"/>
                <w:sz w:val="24"/>
                <w:u w:val="none"/>
              </w:rPr>
              <w:t>首先在封闭式车间内，将页岩</w:t>
            </w:r>
            <w:r>
              <w:rPr>
                <w:rFonts w:hint="eastAsia" w:ascii="Times New Roman" w:hAnsi="Times New Roman" w:cs="Times New Roman"/>
                <w:color w:val="000000"/>
                <w:sz w:val="24"/>
                <w:u w:val="none"/>
                <w:lang w:eastAsia="zh-CN"/>
              </w:rPr>
              <w:t>、</w:t>
            </w:r>
            <w:r>
              <w:rPr>
                <w:rFonts w:hint="default" w:ascii="Times New Roman" w:hAnsi="Times New Roman" w:cs="Times New Roman"/>
                <w:color w:val="000000"/>
                <w:sz w:val="24"/>
                <w:u w:val="none"/>
              </w:rPr>
              <w:t>煤矸石</w:t>
            </w:r>
            <w:r>
              <w:rPr>
                <w:rFonts w:hint="eastAsia" w:ascii="Times New Roman" w:hAnsi="Times New Roman" w:cs="Times New Roman"/>
                <w:color w:val="000000"/>
                <w:sz w:val="24"/>
                <w:u w:val="none"/>
                <w:lang w:eastAsia="zh-CN"/>
              </w:rPr>
              <w:t>与一般固废（主要为钛石膏）等</w:t>
            </w:r>
            <w:r>
              <w:rPr>
                <w:rFonts w:hint="default" w:ascii="Times New Roman" w:hAnsi="Times New Roman" w:cs="Times New Roman"/>
                <w:color w:val="000000"/>
                <w:sz w:val="24"/>
                <w:u w:val="none"/>
              </w:rPr>
              <w:t>按照一定的比例进入破碎机进行粗破，粗破后经滚动筛筛分，筛上物（粒径23mm）由皮带机送入粉碎机继续破碎。</w:t>
            </w:r>
          </w:p>
          <w:p>
            <w:pPr>
              <w:spacing w:line="360" w:lineRule="auto"/>
              <w:ind w:firstLine="480"/>
              <w:rPr>
                <w:rFonts w:hint="default" w:ascii="Times New Roman" w:hAnsi="Times New Roman" w:cs="Times New Roman"/>
                <w:color w:val="000000"/>
                <w:sz w:val="24"/>
                <w:u w:val="none"/>
              </w:rPr>
            </w:pPr>
            <w:r>
              <w:rPr>
                <w:rFonts w:hint="default" w:ascii="Times New Roman" w:hAnsi="Times New Roman" w:cs="Times New Roman"/>
                <w:color w:val="000000"/>
                <w:sz w:val="24"/>
                <w:u w:val="none"/>
              </w:rPr>
              <w:t>（</w:t>
            </w:r>
            <w:r>
              <w:rPr>
                <w:rFonts w:hint="eastAsia" w:ascii="Times New Roman" w:hAnsi="Times New Roman" w:cs="Times New Roman"/>
                <w:color w:val="000000"/>
                <w:sz w:val="24"/>
                <w:u w:val="none"/>
                <w:lang w:val="en-US" w:eastAsia="zh-CN"/>
              </w:rPr>
              <w:t>4</w:t>
            </w:r>
            <w:r>
              <w:rPr>
                <w:rFonts w:hint="default" w:ascii="Times New Roman" w:hAnsi="Times New Roman" w:cs="Times New Roman"/>
                <w:color w:val="000000"/>
                <w:sz w:val="24"/>
                <w:u w:val="none"/>
              </w:rPr>
              <w:t>）搅拌、碾压及陈化</w:t>
            </w:r>
          </w:p>
          <w:p>
            <w:pPr>
              <w:spacing w:line="360" w:lineRule="auto"/>
              <w:ind w:firstLine="480"/>
              <w:rPr>
                <w:rFonts w:hint="default" w:ascii="Times New Roman" w:hAnsi="Times New Roman" w:cs="Times New Roman"/>
                <w:color w:val="000000"/>
                <w:sz w:val="24"/>
                <w:u w:val="none"/>
              </w:rPr>
            </w:pPr>
            <w:r>
              <w:rPr>
                <w:rFonts w:hint="default" w:ascii="Times New Roman" w:hAnsi="Times New Roman" w:cs="Times New Roman"/>
                <w:color w:val="000000"/>
                <w:sz w:val="24"/>
                <w:u w:val="none"/>
              </w:rPr>
              <w:t>滚动筛下物（粒径&lt;3mm）用皮带输送至搅拌机经砖瓦自动配水控制系统加水搅拌，搅拌好的原料经碾压匀化后用皮带输送至陈化仓（陈化仓的作用：使混合料的水分有足够时间充分混合均匀，提高混合料的均匀性，改善混合料的物理性能，保证后续成型，满足后续干燥和焙烧工序的技术要求，提高产品质量、降低废品率，一般陈化仓中混合料时间为72h）。</w:t>
            </w:r>
          </w:p>
          <w:p>
            <w:pPr>
              <w:spacing w:line="360" w:lineRule="auto"/>
              <w:ind w:firstLine="480"/>
              <w:rPr>
                <w:color w:val="000000"/>
                <w:sz w:val="24"/>
                <w:u w:val="none"/>
              </w:rPr>
            </w:pPr>
            <w:r>
              <w:rPr>
                <w:color w:val="000000"/>
                <w:sz w:val="24"/>
                <w:u w:val="none"/>
              </w:rPr>
              <w:t>（</w:t>
            </w:r>
            <w:r>
              <w:rPr>
                <w:rFonts w:hint="eastAsia"/>
                <w:color w:val="000000"/>
                <w:sz w:val="24"/>
                <w:u w:val="none"/>
                <w:lang w:val="en-US" w:eastAsia="zh-CN"/>
              </w:rPr>
              <w:t>5</w:t>
            </w:r>
            <w:r>
              <w:rPr>
                <w:color w:val="000000"/>
                <w:sz w:val="24"/>
                <w:u w:val="none"/>
              </w:rPr>
              <w:t>）制坯</w:t>
            </w:r>
          </w:p>
          <w:p>
            <w:pPr>
              <w:spacing w:line="360" w:lineRule="auto"/>
              <w:ind w:firstLine="480"/>
              <w:rPr>
                <w:color w:val="000000"/>
                <w:sz w:val="24"/>
                <w:u w:val="none"/>
              </w:rPr>
            </w:pPr>
            <w:r>
              <w:rPr>
                <w:color w:val="000000"/>
                <w:sz w:val="24"/>
                <w:u w:val="none"/>
              </w:rPr>
              <w:t>陈化后的泥料进入双级真空练泥机，在螺旋搅拌刀挤压下，泥料受到破碎、揉练和混合，并不断向真空室移动。真空室入口处的锥形泥缸使泥料受挤压形成料封。泥料落入真空室后，其中的空气被真空泵排至室外。脱气后的松散泥料受下级螺旋搅拌刀的作用，被推向前端，并逐渐再次受到挤压，经挤泥机挤出成矩形泥条。由挤泥机挤出的紧密而连续的矩形泥条，经由自动切条机和自动切坯机切割成所需要的尺寸的砖坯，由自动上下架机组上架，码放在窑车上，人工放置在隧道窑中。</w:t>
            </w:r>
          </w:p>
          <w:p>
            <w:pPr>
              <w:spacing w:line="360" w:lineRule="auto"/>
              <w:ind w:firstLine="480"/>
              <w:rPr>
                <w:color w:val="000000"/>
                <w:sz w:val="24"/>
                <w:u w:val="none"/>
              </w:rPr>
            </w:pPr>
            <w:r>
              <w:rPr>
                <w:color w:val="000000"/>
                <w:sz w:val="24"/>
                <w:u w:val="none"/>
              </w:rPr>
              <w:t>（</w:t>
            </w:r>
            <w:r>
              <w:rPr>
                <w:rFonts w:hint="eastAsia"/>
                <w:color w:val="000000"/>
                <w:sz w:val="24"/>
                <w:u w:val="none"/>
                <w:lang w:val="en-US" w:eastAsia="zh-CN"/>
              </w:rPr>
              <w:t>6</w:t>
            </w:r>
            <w:r>
              <w:rPr>
                <w:color w:val="000000"/>
                <w:sz w:val="24"/>
                <w:u w:val="none"/>
              </w:rPr>
              <w:t>）干燥及焙烧</w:t>
            </w:r>
          </w:p>
          <w:p>
            <w:pPr>
              <w:spacing w:line="360" w:lineRule="auto"/>
              <w:ind w:firstLine="480"/>
              <w:rPr>
                <w:color w:val="000000"/>
                <w:sz w:val="24"/>
                <w:u w:val="none"/>
              </w:rPr>
            </w:pPr>
            <w:r>
              <w:rPr>
                <w:color w:val="000000"/>
                <w:sz w:val="24"/>
                <w:u w:val="none"/>
              </w:rPr>
              <w:t>隧道窑内部有行车轨道用于行走窑车，有沙封槽用于密封窑车底部，避免热损失。由风机进行窑炉内外干净气体和烟气的供给和调配，对隧道窑进行低温回流换热循环和高温回流换热循环，通过回流换热循环和烟气调配来实施补热、排热、冷却、加氧和切氧，保证在各种季节和气候不同燃料条件下隧道窑的正常运行。干燥后的砖坯送入焙烧窑，在窑内热气流的作用下，坯体温度逐渐升高，当温度继续升高达到内燃料着火点后，砖坯开始进入内燃焙烧阶段，经过一定的焙烧、冷却等工艺过程，砖坯发生了一系列物理及化学变化，最终成为具有优良力学性能和耐久性能的墙体材料。</w:t>
            </w:r>
          </w:p>
          <w:p>
            <w:pPr>
              <w:keepNext w:val="0"/>
              <w:keepLines w:val="0"/>
              <w:pageBreakBefore w:val="0"/>
              <w:widowControl w:val="0"/>
              <w:kinsoku/>
              <w:wordWrap/>
              <w:overflowPunct/>
              <w:topLinePunct w:val="0"/>
              <w:autoSpaceDE/>
              <w:autoSpaceDN/>
              <w:bidi w:val="0"/>
              <w:adjustRightInd/>
              <w:snapToGrid/>
              <w:spacing w:line="348" w:lineRule="auto"/>
              <w:ind w:firstLine="482"/>
              <w:textAlignment w:val="auto"/>
              <w:rPr>
                <w:color w:val="000000"/>
                <w:sz w:val="24"/>
                <w:u w:val="none"/>
              </w:rPr>
            </w:pPr>
            <w:r>
              <w:rPr>
                <w:color w:val="000000"/>
                <w:sz w:val="24"/>
                <w:u w:val="none"/>
              </w:rPr>
              <w:t>（</w:t>
            </w:r>
            <w:r>
              <w:rPr>
                <w:rFonts w:hint="eastAsia"/>
                <w:color w:val="000000"/>
                <w:sz w:val="24"/>
                <w:u w:val="none"/>
                <w:lang w:val="en-US" w:eastAsia="zh-CN"/>
              </w:rPr>
              <w:t>7</w:t>
            </w:r>
            <w:r>
              <w:rPr>
                <w:color w:val="000000"/>
                <w:sz w:val="24"/>
                <w:u w:val="none"/>
              </w:rPr>
              <w:t>）检验</w:t>
            </w:r>
          </w:p>
          <w:p>
            <w:pPr>
              <w:spacing w:line="360" w:lineRule="auto"/>
              <w:ind w:firstLine="480"/>
              <w:rPr>
                <w:rFonts w:hint="eastAsia" w:ascii="Times New Roman" w:hAnsi="Times New Roman" w:eastAsia="宋体" w:cs="Times New Roman"/>
                <w:color w:val="auto"/>
                <w:sz w:val="24"/>
                <w:u w:val="none" w:color="auto"/>
                <w:vertAlign w:val="baseline"/>
                <w:lang w:val="en-US" w:eastAsia="zh-CN"/>
              </w:rPr>
            </w:pPr>
            <w:r>
              <w:rPr>
                <w:color w:val="000000"/>
                <w:sz w:val="24"/>
                <w:u w:val="none"/>
              </w:rPr>
              <w:t>焙烧后的成品砖从窑内人工卸下，检验合格的为成品砖，不合格的烧结砖经收集破碎后作为原料重新利用。合格成品砖由窑车上，装卸到手推车上，而后运往成品堆场。</w:t>
            </w:r>
          </w:p>
          <w:p>
            <w:pPr>
              <w:spacing w:line="360" w:lineRule="auto"/>
              <w:ind w:firstLine="480"/>
              <w:rPr>
                <w:rFonts w:hint="default"/>
                <w:color w:val="auto"/>
                <w:u w:val="none" w:color="auto"/>
                <w:lang w:val="en-US"/>
              </w:rPr>
            </w:pPr>
            <w:r>
              <w:rPr>
                <w:rFonts w:hint="eastAsia" w:ascii="Times New Roman" w:hAnsi="Times New Roman" w:cs="Times New Roman"/>
                <w:color w:val="auto"/>
                <w:sz w:val="24"/>
                <w:u w:val="none" w:color="auto"/>
                <w:vertAlign w:val="baseline"/>
                <w:lang w:val="en-US" w:eastAsia="zh-CN"/>
              </w:rPr>
              <w:t>（</w:t>
            </w:r>
            <w:r>
              <w:rPr>
                <w:rFonts w:hint="eastAsia" w:cs="Times New Roman"/>
                <w:color w:val="auto"/>
                <w:sz w:val="24"/>
                <w:u w:val="none" w:color="auto"/>
                <w:vertAlign w:val="baseline"/>
                <w:lang w:val="en-US" w:eastAsia="zh-CN"/>
              </w:rPr>
              <w:t>8）依托原砖厂产线掺烧</w:t>
            </w:r>
            <w:r>
              <w:rPr>
                <w:rFonts w:hint="eastAsia" w:ascii="Times New Roman" w:hAnsi="Times New Roman" w:cs="Times New Roman"/>
                <w:color w:val="auto"/>
                <w:sz w:val="24"/>
                <w:u w:val="none" w:color="auto"/>
                <w:vertAlign w:val="baseline"/>
                <w:lang w:val="en-US" w:eastAsia="zh-CN"/>
              </w:rPr>
              <w:t>一般固废过程</w:t>
            </w:r>
            <w:r>
              <w:rPr>
                <w:rFonts w:hint="eastAsia" w:cs="Times New Roman"/>
                <w:color w:val="auto"/>
                <w:sz w:val="24"/>
                <w:u w:val="none" w:color="auto"/>
                <w:vertAlign w:val="baseline"/>
                <w:lang w:val="en-US" w:eastAsia="zh-CN"/>
              </w:rPr>
              <w:t>产污说明</w:t>
            </w:r>
          </w:p>
          <w:p>
            <w:pPr>
              <w:spacing w:line="360" w:lineRule="auto"/>
              <w:ind w:firstLine="480"/>
              <w:rPr>
                <w:rFonts w:hint="default" w:ascii="Times New Roman" w:hAnsi="Times New Roman" w:eastAsia="宋体" w:cs="Times New Roman"/>
                <w:b/>
                <w:bCs/>
                <w:color w:val="auto"/>
                <w:kern w:val="2"/>
                <w:sz w:val="24"/>
                <w:szCs w:val="24"/>
                <w:highlight w:val="none"/>
                <w:u w:val="single" w:color="auto"/>
                <w:vertAlign w:val="baseline"/>
                <w:lang w:val="en-US" w:eastAsia="zh-CN" w:bidi="ar-SA"/>
              </w:rPr>
            </w:pPr>
            <w:r>
              <w:rPr>
                <w:rFonts w:hint="eastAsia" w:ascii="Times New Roman" w:hAnsi="Times New Roman" w:eastAsia="宋体" w:cs="Times New Roman"/>
                <w:color w:val="auto"/>
                <w:sz w:val="24"/>
                <w:u w:val="single" w:color="auto"/>
                <w:lang w:eastAsia="zh-CN"/>
              </w:rPr>
              <w:t>一般固废与其他原料按一定比例一起进行破碎、粉碎，搅拌，碾压均化，陈化，真空挤出，切坯，再进入隧道窑干燥，焙烧，该过程原项目制砖流程一致。由于项目新增</w:t>
            </w:r>
            <w:r>
              <w:rPr>
                <w:rFonts w:hint="eastAsia" w:ascii="Times New Roman" w:hAnsi="Times New Roman" w:eastAsia="宋体" w:cs="Times New Roman"/>
                <w:color w:val="auto"/>
                <w:sz w:val="24"/>
                <w:u w:val="single" w:color="auto"/>
                <w:lang w:val="en-US" w:eastAsia="zh-CN"/>
              </w:rPr>
              <w:t>0.75（10%掺量）万吨一般固废，相应减少0.75万吨页岩，总原料数量基本无变化，且一般固废含水量比页岩含水量大，所以在破碎、粉碎、搅拌等过程产生的粉尘不会增加；设备及工艺流程也无变化，产生的噪声基本不变。由于一般固废中所含的硫元素为结晶硫，在隧道窑焙烧过程中不会增加SO</w:t>
            </w:r>
            <w:r>
              <w:rPr>
                <w:rFonts w:hint="eastAsia" w:ascii="Times New Roman" w:hAnsi="Times New Roman" w:eastAsia="宋体" w:cs="Times New Roman"/>
                <w:color w:val="auto"/>
                <w:sz w:val="24"/>
                <w:u w:val="single" w:color="auto"/>
                <w:vertAlign w:val="subscript"/>
                <w:lang w:val="en-US" w:eastAsia="zh-CN"/>
              </w:rPr>
              <w:t>2</w:t>
            </w:r>
            <w:r>
              <w:rPr>
                <w:rFonts w:hint="eastAsia" w:ascii="Times New Roman" w:hAnsi="Times New Roman" w:eastAsia="宋体" w:cs="Times New Roman"/>
                <w:color w:val="auto"/>
                <w:sz w:val="24"/>
                <w:u w:val="single" w:color="auto"/>
                <w:lang w:val="en-US" w:eastAsia="zh-CN"/>
              </w:rPr>
              <w:t>排放量（在工程分析“一般固废理化</w:t>
            </w:r>
            <w:r>
              <w:rPr>
                <w:rFonts w:hint="default" w:ascii="Times New Roman" w:hAnsi="Times New Roman" w:eastAsia="宋体" w:cs="Times New Roman"/>
                <w:color w:val="auto"/>
                <w:sz w:val="24"/>
                <w:u w:val="single" w:color="auto"/>
                <w:lang w:val="en-US" w:eastAsia="zh-CN"/>
              </w:rPr>
              <w:t>性质</w:t>
            </w:r>
            <w:r>
              <w:rPr>
                <w:rFonts w:hint="eastAsia" w:ascii="Times New Roman" w:hAnsi="Times New Roman" w:eastAsia="宋体" w:cs="Times New Roman"/>
                <w:color w:val="auto"/>
                <w:sz w:val="24"/>
                <w:u w:val="single" w:color="auto"/>
                <w:lang w:val="en-US" w:eastAsia="zh-CN"/>
              </w:rPr>
              <w:t>”章节中已进行详细论证）。</w:t>
            </w:r>
            <w:r>
              <w:rPr>
                <w:rFonts w:hint="eastAsia" w:ascii="Times New Roman" w:hAnsi="Times New Roman" w:eastAsia="宋体" w:cs="Times New Roman"/>
                <w:b/>
                <w:bCs/>
                <w:color w:val="auto"/>
                <w:sz w:val="24"/>
                <w:u w:val="single" w:color="auto"/>
                <w:lang w:val="en-US" w:eastAsia="zh-CN"/>
              </w:rPr>
              <w:t>本项目处置的一般固废主要为钛石膏和磷石膏，基本不含氟元素及其他可燃有机物等，所以氟化物和氮氧化物产生量不会增加。</w:t>
            </w:r>
            <w:r>
              <w:rPr>
                <w:rFonts w:hint="default" w:ascii="Times New Roman" w:hAnsi="Times New Roman" w:eastAsia="宋体" w:cs="Times New Roman"/>
                <w:b/>
                <w:bCs/>
                <w:color w:val="auto"/>
                <w:kern w:val="2"/>
                <w:sz w:val="24"/>
                <w:szCs w:val="24"/>
                <w:highlight w:val="none"/>
                <w:u w:val="single" w:color="auto"/>
                <w:vertAlign w:val="baseline"/>
                <w:lang w:val="en-US" w:eastAsia="zh-CN" w:bidi="ar-SA"/>
              </w:rPr>
              <w:t>根据《衡阳市原中盐天友化工有限公司及宫路附近遗留废渣资源化利用中试试验》，在固废</w:t>
            </w:r>
            <w:r>
              <w:rPr>
                <w:rFonts w:hint="eastAsia" w:cs="Times New Roman"/>
                <w:b/>
                <w:bCs/>
                <w:color w:val="auto"/>
                <w:kern w:val="2"/>
                <w:sz w:val="24"/>
                <w:szCs w:val="24"/>
                <w:highlight w:val="none"/>
                <w:u w:val="single" w:color="auto"/>
                <w:vertAlign w:val="baseline"/>
                <w:lang w:val="en-US" w:eastAsia="zh-CN" w:bidi="ar-SA"/>
              </w:rPr>
              <w:t>掺配</w:t>
            </w:r>
            <w:r>
              <w:rPr>
                <w:rFonts w:hint="default" w:ascii="Times New Roman" w:hAnsi="Times New Roman" w:eastAsia="宋体" w:cs="Times New Roman"/>
                <w:b/>
                <w:bCs/>
                <w:color w:val="auto"/>
                <w:kern w:val="2"/>
                <w:sz w:val="24"/>
                <w:szCs w:val="24"/>
                <w:highlight w:val="none"/>
                <w:u w:val="single" w:color="auto"/>
                <w:vertAlign w:val="baseline"/>
                <w:lang w:val="en-US" w:eastAsia="zh-CN" w:bidi="ar-SA"/>
              </w:rPr>
              <w:t>中试试验过程中，在线监控系统显示</w:t>
            </w:r>
            <w:r>
              <w:rPr>
                <w:rFonts w:hint="default" w:ascii="Times New Roman" w:hAnsi="Times New Roman" w:eastAsia="宋体" w:cs="Times New Roman"/>
                <w:b/>
                <w:bCs/>
                <w:color w:val="auto"/>
                <w:kern w:val="2"/>
                <w:sz w:val="24"/>
                <w:szCs w:val="24"/>
                <w:highlight w:val="none"/>
                <w:u w:val="single" w:color="auto"/>
                <w:lang w:val="en-US" w:eastAsia="zh-CN" w:bidi="ar-SA"/>
              </w:rPr>
              <w:t>SO</w:t>
            </w:r>
            <w:r>
              <w:rPr>
                <w:rFonts w:hint="default" w:ascii="Times New Roman" w:hAnsi="Times New Roman" w:eastAsia="宋体" w:cs="Times New Roman"/>
                <w:b/>
                <w:bCs/>
                <w:color w:val="auto"/>
                <w:kern w:val="2"/>
                <w:sz w:val="24"/>
                <w:szCs w:val="24"/>
                <w:highlight w:val="none"/>
                <w:u w:val="single" w:color="auto"/>
                <w:vertAlign w:val="subscript"/>
                <w:lang w:val="en-US" w:eastAsia="zh-CN" w:bidi="ar-SA"/>
              </w:rPr>
              <w:t>2</w:t>
            </w:r>
            <w:r>
              <w:rPr>
                <w:rFonts w:hint="default" w:ascii="Times New Roman" w:hAnsi="Times New Roman" w:eastAsia="宋体" w:cs="Times New Roman"/>
                <w:b/>
                <w:bCs/>
                <w:color w:val="auto"/>
                <w:kern w:val="2"/>
                <w:sz w:val="24"/>
                <w:szCs w:val="24"/>
                <w:highlight w:val="none"/>
                <w:u w:val="single" w:color="auto"/>
                <w:vertAlign w:val="baseline"/>
                <w:lang w:val="en-US" w:eastAsia="zh-CN" w:bidi="ar-SA"/>
              </w:rPr>
              <w:t>无明显变化，说明在</w:t>
            </w:r>
            <w:r>
              <w:rPr>
                <w:rFonts w:hint="eastAsia" w:cs="Times New Roman"/>
                <w:b/>
                <w:bCs/>
                <w:color w:val="auto"/>
                <w:kern w:val="2"/>
                <w:sz w:val="24"/>
                <w:szCs w:val="24"/>
                <w:highlight w:val="none"/>
                <w:u w:val="single" w:color="auto"/>
                <w:vertAlign w:val="baseline"/>
                <w:lang w:val="en-US" w:eastAsia="zh-CN" w:bidi="ar-SA"/>
              </w:rPr>
              <w:t>掺配</w:t>
            </w:r>
            <w:r>
              <w:rPr>
                <w:rFonts w:hint="default" w:ascii="Times New Roman" w:hAnsi="Times New Roman" w:eastAsia="宋体" w:cs="Times New Roman"/>
                <w:b/>
                <w:bCs/>
                <w:color w:val="auto"/>
                <w:kern w:val="2"/>
                <w:sz w:val="24"/>
                <w:szCs w:val="24"/>
                <w:highlight w:val="none"/>
                <w:u w:val="single" w:color="auto"/>
                <w:vertAlign w:val="baseline"/>
                <w:lang w:val="en-US" w:eastAsia="zh-CN" w:bidi="ar-SA"/>
              </w:rPr>
              <w:t>固废过程中</w:t>
            </w:r>
            <w:r>
              <w:rPr>
                <w:rFonts w:hint="default" w:ascii="Times New Roman" w:hAnsi="Times New Roman" w:eastAsia="宋体" w:cs="Times New Roman"/>
                <w:b/>
                <w:bCs/>
                <w:color w:val="auto"/>
                <w:kern w:val="2"/>
                <w:sz w:val="24"/>
                <w:szCs w:val="24"/>
                <w:highlight w:val="none"/>
                <w:u w:val="single" w:color="auto"/>
                <w:lang w:val="en-US" w:eastAsia="zh-CN" w:bidi="ar-SA"/>
              </w:rPr>
              <w:t>SO</w:t>
            </w:r>
            <w:r>
              <w:rPr>
                <w:rFonts w:hint="default" w:ascii="Times New Roman" w:hAnsi="Times New Roman" w:eastAsia="宋体" w:cs="Times New Roman"/>
                <w:b/>
                <w:bCs/>
                <w:color w:val="auto"/>
                <w:kern w:val="2"/>
                <w:sz w:val="24"/>
                <w:szCs w:val="24"/>
                <w:highlight w:val="none"/>
                <w:u w:val="single" w:color="auto"/>
                <w:vertAlign w:val="subscript"/>
                <w:lang w:val="en-US" w:eastAsia="zh-CN" w:bidi="ar-SA"/>
              </w:rPr>
              <w:t>2</w:t>
            </w:r>
            <w:r>
              <w:rPr>
                <w:rFonts w:hint="eastAsia" w:ascii="Times New Roman" w:hAnsi="Times New Roman" w:eastAsia="宋体" w:cs="Times New Roman"/>
                <w:b/>
                <w:bCs/>
                <w:color w:val="auto"/>
                <w:kern w:val="2"/>
                <w:sz w:val="24"/>
                <w:szCs w:val="24"/>
                <w:highlight w:val="none"/>
                <w:u w:val="single" w:color="auto"/>
                <w:vertAlign w:val="subscript"/>
                <w:lang w:val="en-US" w:eastAsia="zh-CN" w:bidi="ar-SA"/>
              </w:rPr>
              <w:t>、</w:t>
            </w:r>
            <w:r>
              <w:rPr>
                <w:rFonts w:hint="eastAsia" w:ascii="Times New Roman" w:hAnsi="Times New Roman" w:eastAsia="宋体" w:cs="Times New Roman"/>
                <w:b/>
                <w:bCs/>
                <w:color w:val="auto"/>
                <w:kern w:val="2"/>
                <w:sz w:val="24"/>
                <w:szCs w:val="24"/>
                <w:highlight w:val="none"/>
                <w:u w:val="single" w:color="auto"/>
                <w:vertAlign w:val="baseline"/>
                <w:lang w:val="en-US" w:eastAsia="zh-CN" w:bidi="ar-SA"/>
              </w:rPr>
              <w:t>NO</w:t>
            </w:r>
            <w:r>
              <w:rPr>
                <w:rFonts w:hint="eastAsia" w:ascii="Times New Roman" w:hAnsi="Times New Roman" w:eastAsia="宋体" w:cs="Times New Roman"/>
                <w:b/>
                <w:bCs/>
                <w:color w:val="auto"/>
                <w:kern w:val="2"/>
                <w:sz w:val="24"/>
                <w:szCs w:val="24"/>
                <w:highlight w:val="none"/>
                <w:u w:val="single" w:color="auto"/>
                <w:vertAlign w:val="subscript"/>
                <w:lang w:val="en-US" w:eastAsia="zh-CN" w:bidi="ar-SA"/>
              </w:rPr>
              <w:t>X</w:t>
            </w:r>
            <w:r>
              <w:rPr>
                <w:rFonts w:hint="default" w:ascii="Times New Roman" w:hAnsi="Times New Roman" w:eastAsia="宋体" w:cs="Times New Roman"/>
                <w:b/>
                <w:bCs/>
                <w:color w:val="auto"/>
                <w:kern w:val="2"/>
                <w:sz w:val="24"/>
                <w:szCs w:val="24"/>
                <w:highlight w:val="none"/>
                <w:u w:val="single" w:color="auto"/>
                <w:vertAlign w:val="baseline"/>
                <w:lang w:val="en-US" w:eastAsia="zh-CN" w:bidi="ar-SA"/>
              </w:rPr>
              <w:t>排放量无变化</w:t>
            </w:r>
            <w:r>
              <w:rPr>
                <w:rFonts w:hint="eastAsia" w:ascii="Times New Roman" w:hAnsi="Times New Roman" w:eastAsia="宋体" w:cs="Times New Roman"/>
                <w:b/>
                <w:bCs/>
                <w:color w:val="auto"/>
                <w:kern w:val="2"/>
                <w:sz w:val="24"/>
                <w:szCs w:val="24"/>
                <w:highlight w:val="none"/>
                <w:u w:val="single" w:color="auto"/>
                <w:vertAlign w:val="baseline"/>
                <w:lang w:val="en-US" w:eastAsia="zh-CN" w:bidi="ar-SA"/>
              </w:rPr>
              <w:t>，也说明本项目处置的一般固废</w:t>
            </w:r>
            <w:r>
              <w:rPr>
                <w:rFonts w:hint="eastAsia" w:cs="Times New Roman"/>
                <w:b/>
                <w:bCs/>
                <w:color w:val="auto"/>
                <w:kern w:val="2"/>
                <w:sz w:val="24"/>
                <w:szCs w:val="24"/>
                <w:highlight w:val="none"/>
                <w:u w:val="single" w:color="auto"/>
                <w:vertAlign w:val="baseline"/>
                <w:lang w:val="en-US" w:eastAsia="zh-CN" w:bidi="ar-SA"/>
              </w:rPr>
              <w:t>掺配</w:t>
            </w:r>
            <w:r>
              <w:rPr>
                <w:rFonts w:hint="eastAsia" w:ascii="Times New Roman" w:hAnsi="Times New Roman" w:eastAsia="宋体" w:cs="Times New Roman"/>
                <w:b/>
                <w:bCs/>
                <w:color w:val="auto"/>
                <w:kern w:val="2"/>
                <w:sz w:val="24"/>
                <w:szCs w:val="24"/>
                <w:highlight w:val="none"/>
                <w:u w:val="single" w:color="auto"/>
                <w:vertAlign w:val="baseline"/>
                <w:lang w:val="en-US" w:eastAsia="zh-CN" w:bidi="ar-SA"/>
              </w:rPr>
              <w:t>过程中无新增污染物产生</w:t>
            </w:r>
            <w:r>
              <w:rPr>
                <w:rFonts w:hint="default" w:ascii="Times New Roman" w:hAnsi="Times New Roman" w:eastAsia="宋体" w:cs="Times New Roman"/>
                <w:b/>
                <w:bCs/>
                <w:color w:val="auto"/>
                <w:kern w:val="2"/>
                <w:sz w:val="24"/>
                <w:szCs w:val="24"/>
                <w:highlight w:val="none"/>
                <w:u w:val="single" w:color="auto"/>
                <w:vertAlign w:val="baseline"/>
                <w:lang w:val="en-US" w:eastAsia="zh-CN" w:bidi="ar-SA"/>
              </w:rPr>
              <w:t>。</w:t>
            </w:r>
          </w:p>
          <w:p>
            <w:pPr>
              <w:spacing w:line="360" w:lineRule="auto"/>
              <w:ind w:firstLine="480"/>
              <w:rPr>
                <w:rFonts w:hint="default" w:cs="Times New Roman"/>
                <w:color w:val="auto"/>
                <w:kern w:val="2"/>
                <w:sz w:val="24"/>
                <w:szCs w:val="24"/>
                <w:highlight w:val="none"/>
                <w:u w:val="single" w:color="auto"/>
                <w:vertAlign w:val="baseline"/>
                <w:lang w:val="en-US" w:eastAsia="zh-CN" w:bidi="ar-SA"/>
              </w:rPr>
            </w:pPr>
            <w:r>
              <w:rPr>
                <w:rFonts w:hint="eastAsia" w:ascii="Times New Roman" w:hAnsi="Times New Roman" w:eastAsia="宋体" w:cs="Times New Roman"/>
                <w:color w:val="auto"/>
                <w:kern w:val="2"/>
                <w:sz w:val="24"/>
                <w:szCs w:val="24"/>
                <w:highlight w:val="none"/>
                <w:u w:val="single" w:color="auto"/>
                <w:vertAlign w:val="baseline"/>
                <w:lang w:val="en-US" w:eastAsia="zh-CN" w:bidi="ar-SA"/>
              </w:rPr>
              <w:t>综上所述，本项目处置的一般固废在与其他原料一起进行破碎、粉碎，搅拌，碾压均化，陈化，真空挤出，切坯等工艺流程粉尘及噪声产生量无变化。隧道窑焙烧过程中</w:t>
            </w:r>
            <w:r>
              <w:rPr>
                <w:rFonts w:hint="default" w:ascii="Times New Roman" w:hAnsi="Times New Roman" w:eastAsia="宋体" w:cs="Times New Roman"/>
                <w:color w:val="auto"/>
                <w:kern w:val="2"/>
                <w:sz w:val="24"/>
                <w:szCs w:val="24"/>
                <w:highlight w:val="none"/>
                <w:u w:val="single" w:color="auto"/>
                <w:vertAlign w:val="baseline"/>
                <w:lang w:val="en-US" w:eastAsia="zh-CN" w:bidi="ar-SA"/>
              </w:rPr>
              <w:t>SO2</w:t>
            </w:r>
            <w:r>
              <w:rPr>
                <w:rFonts w:hint="eastAsia" w:ascii="Times New Roman" w:hAnsi="Times New Roman" w:eastAsia="宋体" w:cs="Times New Roman"/>
                <w:color w:val="auto"/>
                <w:kern w:val="2"/>
                <w:sz w:val="24"/>
                <w:szCs w:val="24"/>
                <w:highlight w:val="none"/>
                <w:u w:val="single" w:color="auto"/>
                <w:vertAlign w:val="baseline"/>
                <w:lang w:val="en-US" w:eastAsia="zh-CN" w:bidi="ar-SA"/>
              </w:rPr>
              <w:t>、NOX、氟化物等污染物</w:t>
            </w:r>
            <w:r>
              <w:rPr>
                <w:rFonts w:hint="default" w:ascii="Times New Roman" w:hAnsi="Times New Roman" w:eastAsia="宋体" w:cs="Times New Roman"/>
                <w:color w:val="auto"/>
                <w:kern w:val="2"/>
                <w:sz w:val="24"/>
                <w:szCs w:val="24"/>
                <w:highlight w:val="none"/>
                <w:u w:val="single" w:color="auto"/>
                <w:vertAlign w:val="baseline"/>
                <w:lang w:val="en-US" w:eastAsia="zh-CN" w:bidi="ar-SA"/>
              </w:rPr>
              <w:t>排放量</w:t>
            </w:r>
            <w:r>
              <w:rPr>
                <w:rFonts w:hint="eastAsia" w:ascii="Times New Roman" w:hAnsi="Times New Roman" w:eastAsia="宋体" w:cs="Times New Roman"/>
                <w:color w:val="auto"/>
                <w:kern w:val="2"/>
                <w:sz w:val="24"/>
                <w:szCs w:val="24"/>
                <w:highlight w:val="none"/>
                <w:u w:val="single" w:color="auto"/>
                <w:vertAlign w:val="baseline"/>
                <w:lang w:val="en-US" w:eastAsia="zh-CN" w:bidi="ar-SA"/>
              </w:rPr>
              <w:t>不会增加</w:t>
            </w:r>
            <w:r>
              <w:rPr>
                <w:rFonts w:hint="eastAsia" w:cs="Times New Roman"/>
                <w:color w:val="auto"/>
                <w:kern w:val="2"/>
                <w:sz w:val="24"/>
                <w:szCs w:val="24"/>
                <w:highlight w:val="none"/>
                <w:u w:val="single" w:color="auto"/>
                <w:vertAlign w:val="baseline"/>
                <w:lang w:val="en-US" w:eastAsia="zh-CN" w:bidi="ar-SA"/>
              </w:rPr>
              <w:t>。因原依托项目环评为2019年办理，此时污染物排放源强计算均采用经验值或类比数据，排放源统计调查产排污核算方法和系数手册为2021年公布使用，新项目均按照该源强计算，因此导致数据存在差异，但不能说明实际产污增加。</w:t>
            </w:r>
          </w:p>
          <w:p>
            <w:pPr>
              <w:pStyle w:val="2"/>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663" w:hRule="atLeast"/>
          <w:jc w:val="center"/>
        </w:trPr>
        <w:tc>
          <w:tcPr>
            <w:tcW w:w="831" w:type="dxa"/>
            <w:noWrap w:val="0"/>
            <w:vAlign w:val="center"/>
          </w:tcPr>
          <w:p>
            <w:pPr>
              <w:pStyle w:val="26"/>
              <w:adjustRightInd w:val="0"/>
              <w:snapToGrid w:val="0"/>
              <w:spacing w:before="0" w:beforeAutospacing="0" w:after="0" w:afterAutospacing="0"/>
              <w:jc w:val="center"/>
              <w:rPr>
                <w:rFonts w:ascii="Times New Roman" w:hAnsi="Times New Roman"/>
                <w:color w:val="auto"/>
                <w:szCs w:val="24"/>
                <w:u w:val="none" w:color="auto"/>
              </w:rPr>
            </w:pPr>
            <w:r>
              <w:rPr>
                <w:rFonts w:ascii="Times New Roman" w:hAnsi="Times New Roman"/>
                <w:bCs/>
                <w:color w:val="auto"/>
                <w:kern w:val="2"/>
                <w:szCs w:val="24"/>
                <w:u w:val="none" w:color="auto"/>
              </w:rPr>
              <w:t>与项目有关的原有环境污染问题</w:t>
            </w:r>
          </w:p>
        </w:tc>
        <w:tc>
          <w:tcPr>
            <w:tcW w:w="8296" w:type="dxa"/>
            <w:noWrap w:val="0"/>
            <w:vAlign w:val="top"/>
          </w:tcPr>
          <w:p>
            <w:pPr>
              <w:spacing w:line="360" w:lineRule="auto"/>
              <w:rPr>
                <w:rFonts w:hint="default" w:ascii="Times New Roman" w:hAnsi="Times New Roman" w:eastAsia="宋体" w:cs="Times New Roman"/>
                <w:color w:val="auto"/>
                <w:sz w:val="24"/>
                <w:u w:val="none" w:color="auto"/>
                <w:lang w:val="en-US" w:eastAsia="zh-CN"/>
              </w:rPr>
            </w:pPr>
            <w:r>
              <w:rPr>
                <w:rFonts w:hint="eastAsia" w:ascii="Times New Roman" w:hAnsi="Times New Roman" w:cs="Times New Roman"/>
                <w:color w:val="auto"/>
                <w:sz w:val="24"/>
                <w:u w:val="none" w:color="auto"/>
                <w:lang w:val="en-US" w:eastAsia="zh-CN"/>
              </w:rPr>
              <w:t>1、</w:t>
            </w:r>
            <w:r>
              <w:rPr>
                <w:rFonts w:hint="eastAsia" w:cs="Times New Roman"/>
                <w:color w:val="auto"/>
                <w:sz w:val="24"/>
                <w:u w:val="none" w:color="auto"/>
                <w:lang w:val="en-US" w:eastAsia="zh-CN"/>
              </w:rPr>
              <w:t>依托</w:t>
            </w:r>
            <w:r>
              <w:rPr>
                <w:rFonts w:hint="eastAsia" w:ascii="Times New Roman" w:hAnsi="Times New Roman" w:cs="Times New Roman"/>
                <w:color w:val="auto"/>
                <w:sz w:val="24"/>
                <w:u w:val="none" w:color="auto"/>
                <w:lang w:val="en-US" w:eastAsia="zh-CN"/>
              </w:rPr>
              <w:t>项目环保手续审批情况</w:t>
            </w:r>
          </w:p>
          <w:p>
            <w:pPr>
              <w:pStyle w:val="26"/>
              <w:spacing w:before="0" w:beforeAutospacing="0" w:after="0" w:afterAutospacing="0" w:line="360" w:lineRule="auto"/>
              <w:ind w:firstLine="480" w:firstLineChars="200"/>
              <w:rPr>
                <w:rFonts w:hint="default"/>
                <w:color w:val="auto"/>
                <w:w w:val="105"/>
                <w:u w:val="none" w:color="auto"/>
                <w:lang w:val="en-US" w:eastAsia="zh-CN"/>
              </w:rPr>
            </w:pPr>
            <w:r>
              <w:rPr>
                <w:rFonts w:hint="eastAsia" w:ascii="Times New Roman" w:hAnsi="Times New Roman" w:cs="Times New Roman"/>
                <w:color w:val="auto"/>
                <w:sz w:val="24"/>
                <w:u w:val="none" w:color="auto"/>
                <w:lang w:val="en-US" w:eastAsia="zh-CN"/>
              </w:rPr>
              <w:t>依托项目于</w:t>
            </w:r>
            <w:r>
              <w:rPr>
                <w:rFonts w:hint="eastAsia"/>
                <w:color w:val="auto"/>
                <w:w w:val="105"/>
                <w:u w:val="none" w:color="auto"/>
                <w:lang w:val="en-US" w:eastAsia="zh-CN"/>
              </w:rPr>
              <w:t>2018年10月委托宁夏智诚安环技术咨询有限公司编制了技术改造项目环评《衡阳县财源页岩砖有限公司年产3000万块页岩砖建设项目》，2019年3月4日由衡阳县环境保护局对其进行了批复，批复文号为蒸环评[2019]06号。2020年1月进行了建设项目竣工环境保护验收。</w:t>
            </w:r>
          </w:p>
          <w:p>
            <w:pPr>
              <w:spacing w:line="360" w:lineRule="auto"/>
              <w:ind w:firstLine="480"/>
              <w:rPr>
                <w:rFonts w:hint="eastAsia" w:ascii="Times New Roman" w:hAnsi="Times New Roman" w:cs="Times New Roman"/>
                <w:color w:val="auto"/>
                <w:sz w:val="24"/>
                <w:u w:val="none" w:color="auto"/>
                <w:lang w:val="en-US" w:eastAsia="zh-CN"/>
              </w:rPr>
            </w:pPr>
            <w:r>
              <w:rPr>
                <w:rFonts w:hint="default" w:ascii="Times New Roman" w:hAnsi="Times New Roman" w:cs="Times New Roman"/>
                <w:color w:val="auto"/>
                <w:sz w:val="24"/>
                <w:u w:val="none" w:color="auto"/>
                <w:lang w:val="en-US" w:eastAsia="zh-CN"/>
              </w:rPr>
              <w:t>2020年5月29日通过全国排污许可证管理信息平台取得排污许可证，排污许可证编号为91430422MA4L4RBD5R001V</w:t>
            </w:r>
            <w:r>
              <w:rPr>
                <w:rFonts w:hint="eastAsia" w:ascii="Times New Roman" w:hAnsi="Times New Roman" w:cs="Times New Roman"/>
                <w:color w:val="auto"/>
                <w:sz w:val="24"/>
                <w:u w:val="none" w:color="auto"/>
                <w:lang w:val="en-US" w:eastAsia="zh-CN"/>
              </w:rPr>
              <w:t>。</w:t>
            </w:r>
          </w:p>
          <w:p>
            <w:pPr>
              <w:numPr>
                <w:ilvl w:val="0"/>
                <w:numId w:val="4"/>
              </w:numPr>
              <w:spacing w:line="360" w:lineRule="auto"/>
              <w:rPr>
                <w:rFonts w:hint="default" w:ascii="Times New Roman" w:hAnsi="Times New Roman" w:cs="Times New Roman"/>
                <w:color w:val="auto"/>
                <w:sz w:val="24"/>
                <w:u w:val="none" w:color="auto"/>
                <w:lang w:val="en-US" w:eastAsia="zh-CN"/>
              </w:rPr>
            </w:pPr>
            <w:r>
              <w:rPr>
                <w:rFonts w:hint="eastAsia" w:cs="Times New Roman"/>
                <w:color w:val="auto"/>
                <w:sz w:val="24"/>
                <w:u w:val="none" w:color="auto"/>
                <w:lang w:val="en-US" w:eastAsia="zh-CN"/>
              </w:rPr>
              <w:t>依托</w:t>
            </w:r>
            <w:r>
              <w:rPr>
                <w:rFonts w:hint="eastAsia" w:ascii="Times New Roman" w:hAnsi="Times New Roman" w:cs="Times New Roman"/>
                <w:color w:val="auto"/>
                <w:sz w:val="24"/>
                <w:u w:val="none" w:color="auto"/>
                <w:lang w:val="en-US" w:eastAsia="zh-CN"/>
              </w:rPr>
              <w:t>项目</w:t>
            </w:r>
            <w:r>
              <w:rPr>
                <w:rFonts w:hint="eastAsia" w:cs="Times New Roman"/>
                <w:color w:val="auto"/>
                <w:sz w:val="24"/>
                <w:u w:val="none" w:color="auto"/>
                <w:lang w:val="en-US" w:eastAsia="zh-CN"/>
              </w:rPr>
              <w:t>污染物产排污情况</w:t>
            </w:r>
          </w:p>
          <w:p>
            <w:pPr>
              <w:numPr>
                <w:ilvl w:val="0"/>
                <w:numId w:val="5"/>
              </w:numPr>
              <w:spacing w:line="360" w:lineRule="auto"/>
              <w:ind w:firstLine="480"/>
              <w:rPr>
                <w:rFonts w:hint="eastAsia" w:ascii="Times New Roman" w:hAnsi="Times New Roman" w:eastAsia="宋体" w:cs="Times New Roman"/>
                <w:color w:val="auto"/>
                <w:sz w:val="24"/>
                <w:u w:val="none" w:color="auto"/>
                <w:vertAlign w:val="baseline"/>
                <w:lang w:val="en-US" w:eastAsia="zh-CN"/>
              </w:rPr>
            </w:pPr>
            <w:r>
              <w:rPr>
                <w:rFonts w:hint="eastAsia" w:ascii="Times New Roman" w:hAnsi="Times New Roman" w:eastAsia="宋体" w:cs="Times New Roman"/>
                <w:color w:val="auto"/>
                <w:sz w:val="24"/>
                <w:u w:val="none" w:color="auto"/>
                <w:vertAlign w:val="baseline"/>
                <w:lang w:val="en-US" w:eastAsia="zh-CN"/>
              </w:rPr>
              <w:t>废气</w:t>
            </w:r>
          </w:p>
          <w:p>
            <w:pPr>
              <w:numPr>
                <w:ilvl w:val="0"/>
                <w:numId w:val="0"/>
              </w:numPr>
              <w:spacing w:line="360" w:lineRule="auto"/>
              <w:ind w:leftChars="0" w:firstLine="720" w:firstLineChars="300"/>
              <w:rPr>
                <w:rFonts w:hint="eastAsia" w:ascii="Times New Roman" w:hAnsi="Times New Roman" w:eastAsia="宋体" w:cs="Times New Roman"/>
                <w:color w:val="auto"/>
                <w:sz w:val="24"/>
                <w:u w:val="none" w:color="auto"/>
                <w:lang w:val="en-US" w:eastAsia="zh-CN"/>
              </w:rPr>
            </w:pPr>
            <w:r>
              <w:rPr>
                <w:rFonts w:hint="default" w:ascii="Times New Roman" w:hAnsi="Times New Roman" w:eastAsia="宋体" w:cs="Times New Roman"/>
                <w:color w:val="auto"/>
                <w:sz w:val="24"/>
                <w:u w:val="none" w:color="auto"/>
                <w:lang w:val="en-US" w:eastAsia="zh-CN"/>
              </w:rPr>
              <w:t>①</w:t>
            </w:r>
            <w:r>
              <w:rPr>
                <w:rFonts w:hint="eastAsia" w:ascii="Times New Roman" w:hAnsi="Times New Roman" w:eastAsia="宋体" w:cs="Times New Roman"/>
                <w:color w:val="auto"/>
                <w:sz w:val="24"/>
                <w:u w:val="none" w:color="auto"/>
                <w:lang w:val="en-US" w:eastAsia="zh-CN"/>
              </w:rPr>
              <w:t>生产粉尘</w:t>
            </w:r>
          </w:p>
          <w:p>
            <w:pPr>
              <w:pStyle w:val="2"/>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textAlignment w:val="auto"/>
              <w:rPr>
                <w:rFonts w:hint="eastAsia" w:ascii="Times New Roman" w:hAnsi="Times New Roman" w:cs="Times New Roman"/>
                <w:color w:val="auto"/>
                <w:sz w:val="24"/>
                <w:u w:val="none" w:color="auto"/>
                <w:lang w:val="en-US" w:eastAsia="zh-CN"/>
              </w:rPr>
            </w:pPr>
            <w:r>
              <w:rPr>
                <w:rFonts w:hint="eastAsia" w:ascii="Times New Roman" w:hAnsi="Times New Roman" w:cs="Times New Roman"/>
                <w:color w:val="auto"/>
                <w:sz w:val="24"/>
                <w:u w:val="none" w:color="auto"/>
                <w:lang w:val="en-US" w:eastAsia="zh-CN"/>
              </w:rPr>
              <w:t>依托</w:t>
            </w:r>
            <w:r>
              <w:rPr>
                <w:rFonts w:hint="default" w:ascii="Times New Roman" w:hAnsi="Times New Roman" w:cs="Times New Roman"/>
                <w:color w:val="auto"/>
                <w:sz w:val="24"/>
                <w:u w:val="none" w:color="auto"/>
              </w:rPr>
              <w:t>项目</w:t>
            </w:r>
            <w:r>
              <w:rPr>
                <w:rFonts w:hint="eastAsia" w:ascii="Times New Roman" w:hAnsi="Times New Roman" w:cs="Times New Roman"/>
                <w:color w:val="auto"/>
                <w:sz w:val="24"/>
                <w:u w:val="none" w:color="auto"/>
                <w:lang w:eastAsia="zh-CN"/>
              </w:rPr>
              <w:t>破碎、筛分</w:t>
            </w:r>
            <w:r>
              <w:rPr>
                <w:rFonts w:hint="default" w:ascii="Times New Roman" w:hAnsi="Times New Roman" w:cs="Times New Roman"/>
                <w:color w:val="auto"/>
                <w:sz w:val="24"/>
                <w:u w:val="none" w:color="auto"/>
              </w:rPr>
              <w:t>工序</w:t>
            </w:r>
            <w:r>
              <w:rPr>
                <w:rFonts w:hint="eastAsia" w:ascii="Times New Roman" w:hAnsi="Times New Roman" w:cs="Times New Roman"/>
                <w:color w:val="auto"/>
                <w:sz w:val="24"/>
                <w:u w:val="none" w:color="auto"/>
                <w:lang w:eastAsia="zh-CN"/>
              </w:rPr>
              <w:t>会产生粉尘，主要污染物为颗粒物，</w:t>
            </w:r>
            <w:r>
              <w:rPr>
                <w:rFonts w:hint="default" w:ascii="Times New Roman" w:hAnsi="Times New Roman" w:cs="Times New Roman"/>
                <w:color w:val="auto"/>
                <w:sz w:val="24"/>
                <w:u w:val="none" w:color="auto"/>
              </w:rPr>
              <w:t>产生量为</w:t>
            </w:r>
            <w:r>
              <w:rPr>
                <w:rFonts w:hint="eastAsia" w:ascii="Times New Roman" w:hAnsi="Times New Roman" w:cs="Times New Roman"/>
                <w:color w:val="auto"/>
                <w:sz w:val="24"/>
                <w:u w:val="none" w:color="auto"/>
                <w:lang w:val="en-US" w:eastAsia="zh-CN"/>
              </w:rPr>
              <w:t>27</w:t>
            </w:r>
            <w:r>
              <w:rPr>
                <w:rFonts w:hint="default" w:ascii="Times New Roman" w:hAnsi="Times New Roman" w:cs="Times New Roman"/>
                <w:color w:val="auto"/>
                <w:sz w:val="24"/>
                <w:u w:val="none" w:color="auto"/>
              </w:rPr>
              <w:t>t/a</w:t>
            </w:r>
            <w:r>
              <w:rPr>
                <w:rFonts w:hint="eastAsia"/>
                <w:color w:val="auto"/>
                <w:u w:val="none" w:color="auto"/>
                <w:lang w:eastAsia="zh-CN"/>
              </w:rPr>
              <w:t>。</w:t>
            </w:r>
            <w:r>
              <w:rPr>
                <w:rFonts w:hint="eastAsia" w:ascii="Times New Roman" w:hAnsi="Times New Roman" w:cs="Times New Roman"/>
                <w:color w:val="auto"/>
                <w:sz w:val="24"/>
                <w:u w:val="none" w:color="auto"/>
                <w:lang w:eastAsia="zh-CN"/>
              </w:rPr>
              <w:t>该部分生产粉尘采用</w:t>
            </w:r>
            <w:r>
              <w:rPr>
                <w:rFonts w:hint="default" w:ascii="Times New Roman" w:hAnsi="Times New Roman" w:cs="Times New Roman"/>
                <w:color w:val="auto"/>
                <w:sz w:val="24"/>
                <w:u w:val="none" w:color="auto"/>
              </w:rPr>
              <w:t>集气罩收集</w:t>
            </w:r>
            <w:r>
              <w:rPr>
                <w:rFonts w:hint="eastAsia" w:ascii="Times New Roman" w:hAnsi="Times New Roman" w:cs="Times New Roman"/>
                <w:color w:val="auto"/>
                <w:sz w:val="24"/>
                <w:u w:val="none" w:color="auto"/>
                <w:lang w:eastAsia="zh-CN"/>
              </w:rPr>
              <w:t>后</w:t>
            </w:r>
            <w:r>
              <w:rPr>
                <w:rFonts w:hint="default" w:ascii="Times New Roman" w:hAnsi="Times New Roman" w:cs="Times New Roman"/>
                <w:color w:val="auto"/>
                <w:sz w:val="24"/>
                <w:u w:val="none" w:color="auto"/>
              </w:rPr>
              <w:t>经引风机通过管道分别与袋式除尘器相连，由</w:t>
            </w:r>
            <w:r>
              <w:rPr>
                <w:rFonts w:hint="eastAsia" w:ascii="Times New Roman" w:hAnsi="Times New Roman" w:cs="Times New Roman"/>
                <w:color w:val="auto"/>
                <w:sz w:val="24"/>
                <w:u w:val="none" w:color="auto"/>
                <w:lang w:val="en-US" w:eastAsia="zh-CN"/>
              </w:rPr>
              <w:t>2</w:t>
            </w:r>
            <w:r>
              <w:rPr>
                <w:rFonts w:hint="default" w:ascii="Times New Roman" w:hAnsi="Times New Roman" w:cs="Times New Roman"/>
                <w:color w:val="auto"/>
                <w:sz w:val="24"/>
                <w:u w:val="none" w:color="auto"/>
              </w:rPr>
              <w:t>根15m高排气筒</w:t>
            </w:r>
            <w:r>
              <w:rPr>
                <w:rFonts w:hint="default" w:ascii="Times New Roman" w:hAnsi="Times New Roman" w:cs="Times New Roman"/>
                <w:color w:val="auto"/>
                <w:sz w:val="24"/>
                <w:u w:val="none" w:color="auto"/>
                <w:lang w:eastAsia="zh-CN"/>
              </w:rPr>
              <w:t>（</w:t>
            </w:r>
            <w:r>
              <w:rPr>
                <w:rFonts w:hint="default" w:ascii="Times New Roman" w:hAnsi="Times New Roman" w:cs="Times New Roman"/>
                <w:color w:val="auto"/>
                <w:sz w:val="24"/>
                <w:u w:val="none" w:color="auto"/>
                <w:lang w:val="en-US" w:eastAsia="zh-CN"/>
              </w:rPr>
              <w:t>1#</w:t>
            </w:r>
            <w:r>
              <w:rPr>
                <w:rFonts w:hint="eastAsia" w:ascii="Times New Roman" w:hAnsi="Times New Roman" w:cs="Times New Roman"/>
                <w:color w:val="auto"/>
                <w:sz w:val="24"/>
                <w:u w:val="none" w:color="auto"/>
                <w:lang w:val="en-US" w:eastAsia="zh-CN"/>
              </w:rPr>
              <w:t>、2#</w:t>
            </w:r>
            <w:r>
              <w:rPr>
                <w:rFonts w:hint="default" w:ascii="Times New Roman" w:hAnsi="Times New Roman" w:cs="Times New Roman"/>
                <w:color w:val="auto"/>
                <w:sz w:val="24"/>
                <w:u w:val="none" w:color="auto"/>
                <w:lang w:val="en-US" w:eastAsia="zh-CN"/>
              </w:rPr>
              <w:t>）</w:t>
            </w:r>
            <w:r>
              <w:rPr>
                <w:rFonts w:hint="default" w:ascii="Times New Roman" w:hAnsi="Times New Roman" w:cs="Times New Roman"/>
                <w:color w:val="auto"/>
                <w:sz w:val="24"/>
                <w:u w:val="none" w:color="auto"/>
              </w:rPr>
              <w:t>排放</w:t>
            </w:r>
            <w:r>
              <w:rPr>
                <w:rFonts w:hint="eastAsia" w:ascii="Times New Roman" w:hAnsi="Times New Roman" w:cs="Times New Roman"/>
                <w:color w:val="auto"/>
                <w:sz w:val="24"/>
                <w:u w:val="none" w:color="auto"/>
                <w:lang w:eastAsia="zh-CN"/>
              </w:rPr>
              <w:t>，处理后生产粉尘颗粒物有组织排放</w:t>
            </w:r>
            <w:r>
              <w:rPr>
                <w:rFonts w:hint="eastAsia" w:ascii="Times New Roman" w:hAnsi="Times New Roman" w:cs="Times New Roman"/>
                <w:color w:val="auto"/>
                <w:sz w:val="24"/>
                <w:u w:val="none" w:color="auto"/>
                <w:lang w:val="en-US" w:eastAsia="zh-CN"/>
              </w:rPr>
              <w:t>0.243t/a，无组织排放0.503t/a，经车间密闭及洒水措施治理后，生产粉尘的无组织排放量可降至0.206t/a。</w:t>
            </w:r>
          </w:p>
          <w:p>
            <w:pPr>
              <w:pStyle w:val="2"/>
              <w:keepNext w:val="0"/>
              <w:keepLines w:val="0"/>
              <w:pageBreakBefore w:val="0"/>
              <w:widowControl w:val="0"/>
              <w:kinsoku/>
              <w:wordWrap/>
              <w:overflowPunct/>
              <w:topLinePunct w:val="0"/>
              <w:autoSpaceDE w:val="0"/>
              <w:autoSpaceDN w:val="0"/>
              <w:bidi w:val="0"/>
              <w:adjustRightInd w:val="0"/>
              <w:snapToGrid/>
              <w:spacing w:line="360" w:lineRule="auto"/>
              <w:ind w:firstLine="482" w:firstLineChars="200"/>
              <w:textAlignment w:val="auto"/>
              <w:rPr>
                <w:rFonts w:hint="eastAsia" w:ascii="Times New Roman" w:hAnsi="Times New Roman" w:cs="Times New Roman"/>
                <w:b/>
                <w:bCs/>
                <w:color w:val="auto"/>
                <w:sz w:val="24"/>
                <w:u w:val="none" w:color="auto"/>
                <w:lang w:val="en-US" w:eastAsia="zh-CN"/>
              </w:rPr>
            </w:pPr>
            <w:r>
              <w:rPr>
                <w:rFonts w:hint="eastAsia" w:ascii="Times New Roman" w:hAnsi="Times New Roman" w:cs="Times New Roman"/>
                <w:b/>
                <w:bCs/>
                <w:color w:val="auto"/>
                <w:sz w:val="24"/>
                <w:u w:val="none" w:color="auto"/>
                <w:lang w:val="en-US" w:eastAsia="zh-CN"/>
              </w:rPr>
              <w:t>②隧道窑烟气</w:t>
            </w:r>
          </w:p>
          <w:p>
            <w:pPr>
              <w:pStyle w:val="2"/>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textAlignment w:val="auto"/>
              <w:rPr>
                <w:rFonts w:hint="eastAsia" w:ascii="Times New Roman" w:hAnsi="Times New Roman" w:cs="Times New Roman"/>
                <w:color w:val="auto"/>
                <w:sz w:val="24"/>
                <w:u w:val="none" w:color="auto"/>
                <w:lang w:val="en-US" w:eastAsia="zh-CN"/>
              </w:rPr>
            </w:pPr>
            <w:r>
              <w:rPr>
                <w:rFonts w:hint="eastAsia" w:ascii="Times New Roman" w:hAnsi="Times New Roman" w:cs="Times New Roman"/>
                <w:color w:val="auto"/>
                <w:sz w:val="24"/>
                <w:u w:val="none" w:color="auto"/>
                <w:lang w:val="en-US" w:eastAsia="zh-CN"/>
              </w:rPr>
              <w:t>隧道窑运行时会产生焙烧废气，主要污染物为颗粒物（烟尘）、SO</w:t>
            </w:r>
            <w:r>
              <w:rPr>
                <w:rFonts w:hint="eastAsia" w:ascii="Times New Roman" w:hAnsi="Times New Roman" w:cs="Times New Roman"/>
                <w:color w:val="auto"/>
                <w:sz w:val="24"/>
                <w:u w:val="none" w:color="auto"/>
                <w:vertAlign w:val="subscript"/>
                <w:lang w:val="en-US" w:eastAsia="zh-CN"/>
              </w:rPr>
              <w:t>2</w:t>
            </w:r>
            <w:r>
              <w:rPr>
                <w:rFonts w:hint="eastAsia" w:ascii="Times New Roman" w:hAnsi="Times New Roman" w:cs="Times New Roman"/>
                <w:color w:val="auto"/>
                <w:sz w:val="24"/>
                <w:u w:val="none" w:color="auto"/>
                <w:lang w:val="en-US" w:eastAsia="zh-CN"/>
              </w:rPr>
              <w:t>、NO</w:t>
            </w:r>
            <w:r>
              <w:rPr>
                <w:rFonts w:hint="eastAsia" w:ascii="Times New Roman" w:hAnsi="Times New Roman" w:cs="Times New Roman"/>
                <w:color w:val="auto"/>
                <w:sz w:val="24"/>
                <w:u w:val="none" w:color="auto"/>
                <w:vertAlign w:val="subscript"/>
                <w:lang w:val="en-US" w:eastAsia="zh-CN"/>
              </w:rPr>
              <w:t>X</w:t>
            </w:r>
            <w:r>
              <w:rPr>
                <w:rFonts w:hint="eastAsia" w:ascii="Times New Roman" w:hAnsi="Times New Roman" w:cs="Times New Roman"/>
                <w:color w:val="auto"/>
                <w:sz w:val="24"/>
                <w:u w:val="none" w:color="auto"/>
                <w:lang w:val="en-US" w:eastAsia="zh-CN"/>
              </w:rPr>
              <w:t>和氟化物。项目隧道窑烟气颗粒物（烟尘）产生量为19.69t/a、SO</w:t>
            </w:r>
            <w:r>
              <w:rPr>
                <w:rFonts w:hint="eastAsia" w:ascii="Times New Roman" w:hAnsi="Times New Roman" w:cs="Times New Roman"/>
                <w:color w:val="auto"/>
                <w:sz w:val="24"/>
                <w:u w:val="none" w:color="auto"/>
                <w:vertAlign w:val="subscript"/>
                <w:lang w:val="en-US" w:eastAsia="zh-CN"/>
              </w:rPr>
              <w:t>2</w:t>
            </w:r>
            <w:r>
              <w:rPr>
                <w:rFonts w:hint="eastAsia" w:ascii="Times New Roman" w:hAnsi="Times New Roman" w:cs="Times New Roman"/>
                <w:color w:val="auto"/>
                <w:sz w:val="24"/>
                <w:u w:val="none" w:color="auto"/>
                <w:lang w:val="en-US" w:eastAsia="zh-CN"/>
              </w:rPr>
              <w:t>产生量为49.58t/a、氮氧化物产生量为10.28t/a、氟化物（以F计）产生量为0.91t/a。该部分烟气收集后引入湿式氢氧化钠法除尘脱硫设施中进行处理，烟气经处理后由一根25m高排气筒排放，处理后隧道窑烟气颗粒物（烟尘）排放量为0.985t/a、SO</w:t>
            </w:r>
            <w:r>
              <w:rPr>
                <w:rFonts w:hint="eastAsia" w:ascii="Times New Roman" w:hAnsi="Times New Roman" w:cs="Times New Roman"/>
                <w:color w:val="auto"/>
                <w:sz w:val="24"/>
                <w:u w:val="none" w:color="auto"/>
                <w:vertAlign w:val="subscript"/>
                <w:lang w:val="en-US" w:eastAsia="zh-CN"/>
              </w:rPr>
              <w:t>2</w:t>
            </w:r>
            <w:r>
              <w:rPr>
                <w:rFonts w:hint="eastAsia" w:ascii="Times New Roman" w:hAnsi="Times New Roman" w:cs="Times New Roman"/>
                <w:color w:val="auto"/>
                <w:sz w:val="24"/>
                <w:u w:val="none" w:color="auto"/>
                <w:lang w:val="en-US" w:eastAsia="zh-CN"/>
              </w:rPr>
              <w:t>排放量为14.9t/a、氮氧化物排放量为9.05t/a、氟化物（以F计）产生量为0.49t/a。</w:t>
            </w:r>
          </w:p>
          <w:p>
            <w:pPr>
              <w:pStyle w:val="2"/>
              <w:keepNext w:val="0"/>
              <w:keepLines w:val="0"/>
              <w:pageBreakBefore w:val="0"/>
              <w:widowControl w:val="0"/>
              <w:kinsoku/>
              <w:wordWrap/>
              <w:overflowPunct/>
              <w:topLinePunct w:val="0"/>
              <w:autoSpaceDE w:val="0"/>
              <w:autoSpaceDN w:val="0"/>
              <w:bidi w:val="0"/>
              <w:adjustRightInd w:val="0"/>
              <w:snapToGrid/>
              <w:spacing w:line="360" w:lineRule="auto"/>
              <w:ind w:firstLine="482" w:firstLineChars="200"/>
              <w:textAlignment w:val="auto"/>
              <w:rPr>
                <w:rFonts w:hint="eastAsia" w:ascii="Times New Roman" w:hAnsi="Times New Roman" w:cs="Times New Roman"/>
                <w:color w:val="auto"/>
                <w:sz w:val="24"/>
                <w:u w:val="none" w:color="auto"/>
                <w:lang w:val="en-US" w:eastAsia="zh-CN"/>
              </w:rPr>
            </w:pPr>
            <w:r>
              <w:rPr>
                <w:rFonts w:hint="eastAsia" w:ascii="Times New Roman" w:hAnsi="Times New Roman" w:cs="Times New Roman"/>
                <w:b/>
                <w:bCs/>
                <w:color w:val="auto"/>
                <w:sz w:val="24"/>
                <w:u w:val="none" w:color="auto"/>
                <w:lang w:val="en-US" w:eastAsia="zh-CN"/>
              </w:rPr>
              <w:t>③原料装卸粉尘</w:t>
            </w:r>
          </w:p>
          <w:p>
            <w:pPr>
              <w:pStyle w:val="2"/>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textAlignment w:val="auto"/>
              <w:rPr>
                <w:rFonts w:hint="eastAsia"/>
                <w:bCs/>
                <w:color w:val="auto"/>
                <w:kern w:val="24"/>
                <w:sz w:val="24"/>
                <w:u w:val="none" w:color="auto"/>
                <w:lang w:val="en-US" w:eastAsia="zh-CN"/>
              </w:rPr>
            </w:pPr>
            <w:r>
              <w:rPr>
                <w:color w:val="auto"/>
                <w:sz w:val="24"/>
                <w:u w:val="none" w:color="auto"/>
              </w:rPr>
              <w:t>项目原料在卸车过程中将会产生卸载扬尘</w:t>
            </w:r>
            <w:r>
              <w:rPr>
                <w:rFonts w:hint="eastAsia"/>
                <w:color w:val="auto"/>
                <w:sz w:val="24"/>
                <w:u w:val="none" w:color="auto"/>
                <w:lang w:eastAsia="zh-CN"/>
              </w:rPr>
              <w:t>，其产生量为</w:t>
            </w:r>
            <w:r>
              <w:rPr>
                <w:rFonts w:hint="eastAsia"/>
                <w:color w:val="auto"/>
                <w:sz w:val="24"/>
                <w:u w:val="none" w:color="auto"/>
                <w:lang w:val="en-US" w:eastAsia="zh-CN"/>
              </w:rPr>
              <w:t>3.24</w:t>
            </w:r>
            <w:r>
              <w:rPr>
                <w:rFonts w:hint="eastAsia"/>
                <w:color w:val="auto"/>
                <w:sz w:val="24"/>
                <w:u w:val="none" w:color="auto"/>
                <w:lang w:eastAsia="zh-CN"/>
              </w:rPr>
              <w:t>t/a，</w:t>
            </w:r>
            <w:r>
              <w:rPr>
                <w:bCs/>
                <w:color w:val="auto"/>
                <w:kern w:val="24"/>
                <w:sz w:val="24"/>
                <w:u w:val="none" w:color="auto"/>
              </w:rPr>
              <w:t>采取加强堆场的洒水抑尘作业等一系列抑制起尘措施后</w:t>
            </w:r>
            <w:r>
              <w:rPr>
                <w:rFonts w:hint="eastAsia"/>
                <w:bCs/>
                <w:color w:val="auto"/>
                <w:kern w:val="24"/>
                <w:sz w:val="24"/>
                <w:u w:val="none" w:color="auto"/>
                <w:lang w:eastAsia="zh-CN"/>
              </w:rPr>
              <w:t>，该部分无组织颗粒物排放量可降至</w:t>
            </w:r>
            <w:r>
              <w:rPr>
                <w:rFonts w:hint="eastAsia"/>
                <w:bCs/>
                <w:color w:val="auto"/>
                <w:kern w:val="24"/>
                <w:sz w:val="24"/>
                <w:u w:val="none" w:color="auto"/>
                <w:lang w:val="en-US" w:eastAsia="zh-CN"/>
              </w:rPr>
              <w:t>0.648t/a。</w:t>
            </w:r>
          </w:p>
          <w:p>
            <w:pPr>
              <w:pStyle w:val="2"/>
              <w:keepNext w:val="0"/>
              <w:keepLines w:val="0"/>
              <w:pageBreakBefore w:val="0"/>
              <w:widowControl w:val="0"/>
              <w:kinsoku/>
              <w:wordWrap/>
              <w:overflowPunct/>
              <w:topLinePunct w:val="0"/>
              <w:autoSpaceDE w:val="0"/>
              <w:autoSpaceDN w:val="0"/>
              <w:bidi w:val="0"/>
              <w:adjustRightInd w:val="0"/>
              <w:snapToGrid/>
              <w:spacing w:line="360" w:lineRule="auto"/>
              <w:ind w:firstLine="482" w:firstLineChars="200"/>
              <w:textAlignment w:val="auto"/>
              <w:rPr>
                <w:rFonts w:hint="eastAsia"/>
                <w:b/>
                <w:bCs w:val="0"/>
                <w:color w:val="auto"/>
                <w:kern w:val="24"/>
                <w:sz w:val="24"/>
                <w:u w:val="none" w:color="auto"/>
                <w:lang w:val="en-US" w:eastAsia="zh-CN"/>
              </w:rPr>
            </w:pPr>
            <w:r>
              <w:rPr>
                <w:rFonts w:hint="eastAsia"/>
                <w:b/>
                <w:bCs w:val="0"/>
                <w:color w:val="auto"/>
                <w:kern w:val="24"/>
                <w:sz w:val="24"/>
                <w:u w:val="none" w:color="auto"/>
                <w:lang w:val="en-US" w:eastAsia="zh-CN"/>
              </w:rPr>
              <w:t>④运输扬尘</w:t>
            </w:r>
          </w:p>
          <w:p>
            <w:pPr>
              <w:pStyle w:val="2"/>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textAlignment w:val="auto"/>
              <w:rPr>
                <w:rFonts w:hint="eastAsia" w:ascii="Times New Roman" w:hAnsi="Times New Roman" w:cs="Times New Roman"/>
                <w:color w:val="auto"/>
                <w:sz w:val="24"/>
                <w:u w:val="none" w:color="auto"/>
                <w:lang w:eastAsia="zh-CN"/>
              </w:rPr>
            </w:pPr>
            <w:r>
              <w:rPr>
                <w:rFonts w:hint="eastAsia"/>
                <w:color w:val="auto"/>
                <w:sz w:val="24"/>
                <w:u w:val="none" w:color="auto"/>
                <w:lang w:val="en-US" w:eastAsia="zh-CN"/>
              </w:rPr>
              <w:t>依托</w:t>
            </w:r>
            <w:r>
              <w:rPr>
                <w:rFonts w:hint="eastAsia"/>
                <w:color w:val="auto"/>
                <w:sz w:val="24"/>
                <w:u w:val="none" w:color="auto"/>
                <w:lang w:eastAsia="zh-CN"/>
              </w:rPr>
              <w:t>项目</w:t>
            </w:r>
            <w:r>
              <w:rPr>
                <w:color w:val="auto"/>
                <w:sz w:val="24"/>
                <w:u w:val="none" w:color="auto"/>
              </w:rPr>
              <w:t>运输扬尘主要为装载机、运输车辆等设备对物料在厂区进行运输转移行驶所产生的扬尘</w:t>
            </w:r>
            <w:r>
              <w:rPr>
                <w:rFonts w:hint="eastAsia"/>
                <w:bCs/>
                <w:color w:val="auto"/>
                <w:kern w:val="24"/>
                <w:sz w:val="24"/>
                <w:u w:val="none" w:color="auto"/>
                <w:lang w:val="en-US" w:eastAsia="zh-CN"/>
              </w:rPr>
              <w:t>。</w:t>
            </w:r>
            <w:r>
              <w:rPr>
                <w:rFonts w:hint="default" w:ascii="Times New Roman" w:hAnsi="Times New Roman" w:cs="Times New Roman"/>
                <w:color w:val="auto"/>
                <w:sz w:val="24"/>
                <w:u w:val="none" w:color="auto"/>
              </w:rPr>
              <w:t>项目运输扬尘量为0.</w:t>
            </w:r>
            <w:r>
              <w:rPr>
                <w:rFonts w:hint="eastAsia" w:ascii="Times New Roman" w:hAnsi="Times New Roman" w:cs="Times New Roman"/>
                <w:color w:val="auto"/>
                <w:sz w:val="24"/>
                <w:u w:val="none" w:color="auto"/>
                <w:lang w:val="en-US" w:eastAsia="zh-CN"/>
              </w:rPr>
              <w:t>5</w:t>
            </w:r>
            <w:r>
              <w:rPr>
                <w:rFonts w:hint="default" w:ascii="Times New Roman" w:hAnsi="Times New Roman" w:cs="Times New Roman"/>
                <w:color w:val="auto"/>
                <w:sz w:val="24"/>
                <w:u w:val="none" w:color="auto"/>
              </w:rPr>
              <w:t>t/a</w:t>
            </w:r>
            <w:r>
              <w:rPr>
                <w:rFonts w:hint="eastAsia" w:ascii="Times New Roman" w:hAnsi="Times New Roman" w:cs="Times New Roman"/>
                <w:color w:val="auto"/>
                <w:sz w:val="24"/>
                <w:u w:val="none" w:color="auto"/>
                <w:lang w:eastAsia="zh-CN"/>
              </w:rPr>
              <w:t>，通过</w:t>
            </w:r>
            <w:r>
              <w:rPr>
                <w:rFonts w:hint="default" w:ascii="Times New Roman" w:hAnsi="Times New Roman" w:cs="Times New Roman"/>
                <w:color w:val="auto"/>
                <w:sz w:val="24"/>
                <w:u w:val="none" w:color="auto"/>
              </w:rPr>
              <w:t>厂区道路硬化，运输车辆加盖篷布做好遮掩工作，定时对厂区内及厂区附近路面进行清扫，指派专人管理，配备洒水车辆定期洒水等措施</w:t>
            </w:r>
            <w:r>
              <w:rPr>
                <w:rFonts w:hint="eastAsia" w:ascii="Times New Roman" w:hAnsi="Times New Roman" w:cs="Times New Roman"/>
                <w:color w:val="auto"/>
                <w:sz w:val="24"/>
                <w:u w:val="none" w:color="auto"/>
                <w:lang w:eastAsia="zh-CN"/>
              </w:rPr>
              <w:t>可使运输扬尘</w:t>
            </w:r>
            <w:r>
              <w:rPr>
                <w:rFonts w:hint="default" w:ascii="Times New Roman" w:hAnsi="Times New Roman" w:cs="Times New Roman"/>
                <w:color w:val="auto"/>
                <w:sz w:val="24"/>
                <w:u w:val="none" w:color="auto"/>
              </w:rPr>
              <w:t>排放量</w:t>
            </w:r>
            <w:r>
              <w:rPr>
                <w:rFonts w:hint="eastAsia" w:ascii="Times New Roman" w:hAnsi="Times New Roman" w:cs="Times New Roman"/>
                <w:color w:val="auto"/>
                <w:sz w:val="24"/>
                <w:u w:val="none" w:color="auto"/>
                <w:lang w:eastAsia="zh-CN"/>
              </w:rPr>
              <w:t>降低至</w:t>
            </w:r>
            <w:r>
              <w:rPr>
                <w:rFonts w:hint="default" w:ascii="Times New Roman" w:hAnsi="Times New Roman" w:cs="Times New Roman"/>
                <w:color w:val="auto"/>
                <w:sz w:val="24"/>
                <w:u w:val="none" w:color="auto"/>
              </w:rPr>
              <w:t>0.</w:t>
            </w:r>
            <w:r>
              <w:rPr>
                <w:rFonts w:hint="eastAsia" w:ascii="Times New Roman" w:hAnsi="Times New Roman" w:cs="Times New Roman"/>
                <w:color w:val="auto"/>
                <w:sz w:val="24"/>
                <w:u w:val="none" w:color="auto"/>
                <w:lang w:val="en-US" w:eastAsia="zh-CN"/>
              </w:rPr>
              <w:t>2</w:t>
            </w:r>
            <w:r>
              <w:rPr>
                <w:rFonts w:hint="default" w:ascii="Times New Roman" w:hAnsi="Times New Roman" w:cs="Times New Roman"/>
                <w:color w:val="auto"/>
                <w:sz w:val="24"/>
                <w:u w:val="none" w:color="auto"/>
              </w:rPr>
              <w:t>t/a</w:t>
            </w:r>
            <w:r>
              <w:rPr>
                <w:rFonts w:hint="eastAsia" w:ascii="Times New Roman" w:hAnsi="Times New Roman" w:cs="Times New Roman"/>
                <w:color w:val="auto"/>
                <w:sz w:val="24"/>
                <w:u w:val="none" w:color="auto"/>
                <w:lang w:eastAsia="zh-CN"/>
              </w:rPr>
              <w:t>。</w:t>
            </w:r>
          </w:p>
          <w:p>
            <w:pPr>
              <w:pStyle w:val="2"/>
              <w:keepNext w:val="0"/>
              <w:keepLines w:val="0"/>
              <w:pageBreakBefore w:val="0"/>
              <w:widowControl w:val="0"/>
              <w:kinsoku/>
              <w:wordWrap/>
              <w:overflowPunct/>
              <w:topLinePunct w:val="0"/>
              <w:autoSpaceDE w:val="0"/>
              <w:autoSpaceDN w:val="0"/>
              <w:bidi w:val="0"/>
              <w:adjustRightInd w:val="0"/>
              <w:snapToGrid/>
              <w:spacing w:line="360" w:lineRule="auto"/>
              <w:ind w:firstLine="482" w:firstLineChars="200"/>
              <w:textAlignment w:val="auto"/>
              <w:rPr>
                <w:rFonts w:hint="eastAsia" w:ascii="Times New Roman" w:hAnsi="Times New Roman" w:cs="Times New Roman"/>
                <w:color w:val="auto"/>
                <w:sz w:val="24"/>
                <w:u w:val="none" w:color="auto"/>
                <w:lang w:eastAsia="zh-CN"/>
              </w:rPr>
            </w:pPr>
            <w:r>
              <w:rPr>
                <w:rFonts w:hint="eastAsia" w:ascii="Times New Roman" w:hAnsi="Times New Roman" w:cs="Times New Roman"/>
                <w:b/>
                <w:bCs/>
                <w:color w:val="auto"/>
                <w:sz w:val="24"/>
                <w:u w:val="none" w:color="auto"/>
                <w:lang w:eastAsia="zh-CN"/>
              </w:rPr>
              <w:t>（</w:t>
            </w:r>
            <w:r>
              <w:rPr>
                <w:rFonts w:hint="eastAsia" w:ascii="Times New Roman" w:hAnsi="Times New Roman" w:cs="Times New Roman"/>
                <w:b/>
                <w:bCs/>
                <w:color w:val="auto"/>
                <w:sz w:val="24"/>
                <w:u w:val="none" w:color="auto"/>
                <w:lang w:val="en-US" w:eastAsia="zh-CN"/>
              </w:rPr>
              <w:t>2</w:t>
            </w:r>
            <w:r>
              <w:rPr>
                <w:rFonts w:hint="eastAsia" w:ascii="Times New Roman" w:hAnsi="Times New Roman" w:cs="Times New Roman"/>
                <w:b/>
                <w:bCs/>
                <w:color w:val="auto"/>
                <w:sz w:val="24"/>
                <w:u w:val="none" w:color="auto"/>
                <w:lang w:eastAsia="zh-CN"/>
              </w:rPr>
              <w:t>）废水</w:t>
            </w:r>
          </w:p>
          <w:p>
            <w:pPr>
              <w:pStyle w:val="2"/>
              <w:keepNext w:val="0"/>
              <w:keepLines w:val="0"/>
              <w:pageBreakBefore w:val="0"/>
              <w:widowControl w:val="0"/>
              <w:kinsoku/>
              <w:wordWrap/>
              <w:overflowPunct/>
              <w:topLinePunct w:val="0"/>
              <w:autoSpaceDE w:val="0"/>
              <w:autoSpaceDN w:val="0"/>
              <w:bidi w:val="0"/>
              <w:adjustRightInd w:val="0"/>
              <w:snapToGrid/>
              <w:spacing w:line="360" w:lineRule="auto"/>
              <w:ind w:firstLine="482" w:firstLineChars="200"/>
              <w:textAlignment w:val="auto"/>
              <w:rPr>
                <w:rFonts w:hint="eastAsia" w:ascii="Times New Roman" w:hAnsi="Times New Roman" w:cs="Times New Roman"/>
                <w:b/>
                <w:bCs/>
                <w:color w:val="auto"/>
                <w:sz w:val="24"/>
                <w:u w:val="none" w:color="auto"/>
                <w:lang w:eastAsia="zh-CN"/>
              </w:rPr>
            </w:pPr>
            <w:r>
              <w:rPr>
                <w:rFonts w:hint="eastAsia" w:ascii="Times New Roman" w:hAnsi="Times New Roman" w:cs="Times New Roman"/>
                <w:b/>
                <w:bCs/>
                <w:color w:val="auto"/>
                <w:sz w:val="24"/>
                <w:u w:val="none" w:color="auto"/>
                <w:lang w:eastAsia="zh-CN"/>
              </w:rPr>
              <w:t>①生产废水</w:t>
            </w:r>
          </w:p>
          <w:p>
            <w:pPr>
              <w:spacing w:line="360" w:lineRule="auto"/>
              <w:ind w:firstLine="480" w:firstLineChars="200"/>
              <w:rPr>
                <w:color w:val="auto"/>
                <w:sz w:val="24"/>
                <w:u w:val="none" w:color="auto"/>
              </w:rPr>
            </w:pPr>
            <w:r>
              <w:rPr>
                <w:color w:val="auto"/>
                <w:sz w:val="24"/>
                <w:u w:val="none" w:color="auto"/>
              </w:rPr>
              <w:t>项目生产用水主要用于搅拌工序、洗车用水和厂区洒水降尘以及脱硫设施用水。搅拌工序加入的水大部分蒸发损失，少量进入产品中，无生产废水外排；厂区洒水增湿只是进行简单的降尘作用，因此每次洒水量不大，不会造成地表径流，洒水后全部蒸发损失，无废水外排；脱硫设施用水可循环利用，无废水外排。因此，</w:t>
            </w:r>
            <w:r>
              <w:rPr>
                <w:rFonts w:hint="eastAsia"/>
                <w:color w:val="auto"/>
                <w:sz w:val="24"/>
                <w:u w:val="none" w:color="auto"/>
                <w:lang w:val="en-US" w:eastAsia="zh-CN"/>
              </w:rPr>
              <w:t>依托</w:t>
            </w:r>
            <w:r>
              <w:rPr>
                <w:rFonts w:hint="eastAsia"/>
                <w:color w:val="auto"/>
                <w:sz w:val="24"/>
                <w:u w:val="none" w:color="auto"/>
                <w:lang w:eastAsia="zh-CN"/>
              </w:rPr>
              <w:t>项目</w:t>
            </w:r>
            <w:r>
              <w:rPr>
                <w:color w:val="auto"/>
                <w:sz w:val="24"/>
                <w:u w:val="none" w:color="auto"/>
              </w:rPr>
              <w:t>生产过程无工业废水外排。</w:t>
            </w:r>
          </w:p>
          <w:p>
            <w:pPr>
              <w:pStyle w:val="2"/>
              <w:keepNext w:val="0"/>
              <w:keepLines w:val="0"/>
              <w:pageBreakBefore w:val="0"/>
              <w:widowControl w:val="0"/>
              <w:kinsoku/>
              <w:wordWrap/>
              <w:overflowPunct/>
              <w:topLinePunct w:val="0"/>
              <w:autoSpaceDE w:val="0"/>
              <w:autoSpaceDN w:val="0"/>
              <w:bidi w:val="0"/>
              <w:adjustRightInd w:val="0"/>
              <w:snapToGrid/>
              <w:spacing w:line="360" w:lineRule="auto"/>
              <w:ind w:firstLine="482" w:firstLineChars="200"/>
              <w:textAlignment w:val="auto"/>
              <w:rPr>
                <w:rFonts w:hint="eastAsia" w:ascii="Times New Roman" w:hAnsi="Times New Roman" w:cs="Times New Roman"/>
                <w:color w:val="auto"/>
                <w:sz w:val="24"/>
                <w:u w:val="none" w:color="auto"/>
                <w:lang w:val="en-US" w:eastAsia="zh-CN"/>
              </w:rPr>
            </w:pPr>
            <w:r>
              <w:rPr>
                <w:rFonts w:hint="eastAsia" w:ascii="Times New Roman" w:hAnsi="Times New Roman" w:cs="Times New Roman"/>
                <w:b/>
                <w:bCs/>
                <w:color w:val="auto"/>
                <w:sz w:val="24"/>
                <w:u w:val="none" w:color="auto"/>
                <w:lang w:eastAsia="zh-CN"/>
              </w:rPr>
              <w:t>②</w:t>
            </w:r>
            <w:r>
              <w:rPr>
                <w:rFonts w:hint="eastAsia" w:ascii="Times New Roman" w:hAnsi="Times New Roman" w:cs="Times New Roman"/>
                <w:b/>
                <w:bCs/>
                <w:color w:val="auto"/>
                <w:sz w:val="24"/>
                <w:u w:val="none" w:color="auto"/>
                <w:lang w:val="en-US" w:eastAsia="zh-CN"/>
              </w:rPr>
              <w:t>生活污水</w:t>
            </w:r>
          </w:p>
          <w:p>
            <w:pPr>
              <w:pStyle w:val="2"/>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textAlignment w:val="auto"/>
              <w:rPr>
                <w:rFonts w:hint="default" w:ascii="Times New Roman" w:hAnsi="Times New Roman" w:cs="Times New Roman"/>
                <w:b w:val="0"/>
                <w:bCs w:val="0"/>
                <w:color w:val="auto"/>
                <w:sz w:val="24"/>
                <w:u w:val="none" w:color="auto"/>
              </w:rPr>
            </w:pPr>
            <w:r>
              <w:rPr>
                <w:rFonts w:hint="eastAsia" w:ascii="Times New Roman" w:hAnsi="Times New Roman" w:cs="Times New Roman"/>
                <w:b w:val="0"/>
                <w:bCs w:val="0"/>
                <w:color w:val="auto"/>
                <w:sz w:val="24"/>
                <w:u w:val="none" w:color="auto"/>
                <w:lang w:eastAsia="zh-CN"/>
              </w:rPr>
              <w:t>原有项目</w:t>
            </w:r>
            <w:r>
              <w:rPr>
                <w:rFonts w:hint="default" w:ascii="Times New Roman" w:hAnsi="Times New Roman" w:cs="Times New Roman"/>
                <w:b w:val="0"/>
                <w:bCs w:val="0"/>
                <w:color w:val="auto"/>
                <w:sz w:val="24"/>
                <w:u w:val="none" w:color="auto"/>
              </w:rPr>
              <w:t>生活用水总量为</w:t>
            </w:r>
            <w:r>
              <w:rPr>
                <w:rFonts w:hint="eastAsia" w:ascii="Times New Roman" w:hAnsi="Times New Roman" w:cs="Times New Roman"/>
                <w:b w:val="0"/>
                <w:bCs w:val="0"/>
                <w:color w:val="auto"/>
                <w:sz w:val="24"/>
                <w:u w:val="none" w:color="auto"/>
                <w:lang w:val="en-US" w:eastAsia="zh-CN"/>
              </w:rPr>
              <w:t>900</w:t>
            </w:r>
            <w:r>
              <w:rPr>
                <w:rFonts w:hint="eastAsia" w:ascii="Times New Roman" w:hAnsi="Times New Roman" w:cs="Times New Roman"/>
                <w:b w:val="0"/>
                <w:bCs w:val="0"/>
                <w:color w:val="auto"/>
                <w:sz w:val="24"/>
                <w:u w:val="none" w:color="auto"/>
                <w:lang w:eastAsia="zh-CN"/>
              </w:rPr>
              <w:t>m³</w:t>
            </w:r>
            <w:r>
              <w:rPr>
                <w:rFonts w:hint="default" w:ascii="Times New Roman" w:hAnsi="Times New Roman" w:cs="Times New Roman"/>
                <w:b w:val="0"/>
                <w:bCs w:val="0"/>
                <w:color w:val="auto"/>
                <w:sz w:val="24"/>
                <w:u w:val="none" w:color="auto"/>
              </w:rPr>
              <w:t>/a</w:t>
            </w:r>
            <w:r>
              <w:rPr>
                <w:rFonts w:hint="eastAsia" w:ascii="Times New Roman" w:hAnsi="Times New Roman" w:cs="Times New Roman"/>
                <w:b w:val="0"/>
                <w:bCs w:val="0"/>
                <w:color w:val="auto"/>
                <w:sz w:val="24"/>
                <w:u w:val="none" w:color="auto"/>
                <w:lang w:eastAsia="zh-CN"/>
              </w:rPr>
              <w:t>，</w:t>
            </w:r>
            <w:r>
              <w:rPr>
                <w:rFonts w:hint="default" w:ascii="Times New Roman" w:hAnsi="Times New Roman" w:cs="Times New Roman"/>
                <w:b w:val="0"/>
                <w:bCs w:val="0"/>
                <w:color w:val="auto"/>
                <w:sz w:val="24"/>
                <w:u w:val="none" w:color="auto"/>
              </w:rPr>
              <w:t>生活污水产生量为</w:t>
            </w:r>
            <w:r>
              <w:rPr>
                <w:rFonts w:hint="eastAsia" w:ascii="Times New Roman" w:hAnsi="Times New Roman" w:cs="Times New Roman"/>
                <w:b w:val="0"/>
                <w:bCs w:val="0"/>
                <w:color w:val="auto"/>
                <w:sz w:val="24"/>
                <w:u w:val="none" w:color="auto"/>
                <w:lang w:val="en-US" w:eastAsia="zh-CN"/>
              </w:rPr>
              <w:t>720</w:t>
            </w:r>
            <w:r>
              <w:rPr>
                <w:rFonts w:hint="eastAsia" w:ascii="Times New Roman" w:hAnsi="Times New Roman" w:cs="Times New Roman"/>
                <w:b w:val="0"/>
                <w:bCs w:val="0"/>
                <w:color w:val="auto"/>
                <w:sz w:val="24"/>
                <w:u w:val="none" w:color="auto"/>
                <w:lang w:eastAsia="zh-CN"/>
              </w:rPr>
              <w:t>m³</w:t>
            </w:r>
            <w:r>
              <w:rPr>
                <w:rFonts w:hint="default" w:ascii="Times New Roman" w:hAnsi="Times New Roman" w:cs="Times New Roman"/>
                <w:b w:val="0"/>
                <w:bCs w:val="0"/>
                <w:color w:val="auto"/>
                <w:sz w:val="24"/>
                <w:u w:val="none" w:color="auto"/>
              </w:rPr>
              <w:t>/a</w:t>
            </w:r>
            <w:r>
              <w:rPr>
                <w:rFonts w:hint="eastAsia" w:ascii="Times New Roman" w:hAnsi="Times New Roman" w:cs="Times New Roman"/>
                <w:color w:val="auto"/>
                <w:sz w:val="24"/>
                <w:u w:val="none" w:color="auto"/>
                <w:lang w:eastAsia="zh-CN"/>
              </w:rPr>
              <w:t>。</w:t>
            </w:r>
            <w:r>
              <w:rPr>
                <w:rFonts w:hint="default" w:ascii="Times New Roman" w:hAnsi="Times New Roman" w:cs="Times New Roman"/>
                <w:b w:val="0"/>
                <w:bCs w:val="0"/>
                <w:color w:val="auto"/>
                <w:sz w:val="24"/>
                <w:u w:val="none" w:color="auto"/>
              </w:rPr>
              <w:t>生活污水一起进入化粪池，经化粪池处理后用作</w:t>
            </w:r>
            <w:r>
              <w:rPr>
                <w:rFonts w:hint="default" w:ascii="Times New Roman" w:hAnsi="Times New Roman" w:cs="Times New Roman"/>
                <w:b w:val="0"/>
                <w:bCs w:val="0"/>
                <w:color w:val="auto"/>
                <w:sz w:val="24"/>
                <w:u w:val="none" w:color="auto"/>
                <w:lang w:val="en-US" w:eastAsia="zh-CN"/>
              </w:rPr>
              <w:t>农肥</w:t>
            </w:r>
            <w:r>
              <w:rPr>
                <w:rFonts w:hint="default" w:ascii="Times New Roman" w:hAnsi="Times New Roman" w:cs="Times New Roman"/>
                <w:b w:val="0"/>
                <w:bCs w:val="0"/>
                <w:color w:val="auto"/>
                <w:sz w:val="24"/>
                <w:u w:val="none" w:color="auto"/>
              </w:rPr>
              <w:t>。</w:t>
            </w:r>
          </w:p>
          <w:p>
            <w:pPr>
              <w:pStyle w:val="2"/>
              <w:keepNext w:val="0"/>
              <w:keepLines w:val="0"/>
              <w:pageBreakBefore w:val="0"/>
              <w:widowControl w:val="0"/>
              <w:kinsoku/>
              <w:wordWrap/>
              <w:overflowPunct/>
              <w:topLinePunct w:val="0"/>
              <w:autoSpaceDE w:val="0"/>
              <w:autoSpaceDN w:val="0"/>
              <w:bidi w:val="0"/>
              <w:adjustRightInd w:val="0"/>
              <w:snapToGrid/>
              <w:spacing w:line="360" w:lineRule="auto"/>
              <w:ind w:firstLine="482" w:firstLineChars="200"/>
              <w:textAlignment w:val="auto"/>
              <w:rPr>
                <w:rFonts w:hint="eastAsia" w:ascii="Times New Roman" w:hAnsi="Times New Roman" w:cs="Times New Roman"/>
                <w:b/>
                <w:bCs/>
                <w:color w:val="auto"/>
                <w:sz w:val="24"/>
                <w:u w:val="none" w:color="auto"/>
                <w:lang w:eastAsia="zh-CN"/>
              </w:rPr>
            </w:pPr>
            <w:r>
              <w:rPr>
                <w:rFonts w:hint="eastAsia" w:ascii="Times New Roman" w:hAnsi="Times New Roman" w:cs="Times New Roman"/>
                <w:b/>
                <w:bCs/>
                <w:color w:val="auto"/>
                <w:sz w:val="24"/>
                <w:u w:val="none" w:color="auto"/>
                <w:lang w:eastAsia="zh-CN"/>
              </w:rPr>
              <w:t>（</w:t>
            </w:r>
            <w:r>
              <w:rPr>
                <w:rFonts w:hint="eastAsia" w:ascii="Times New Roman" w:hAnsi="Times New Roman" w:cs="Times New Roman"/>
                <w:b/>
                <w:bCs/>
                <w:color w:val="auto"/>
                <w:sz w:val="24"/>
                <w:u w:val="none" w:color="auto"/>
                <w:lang w:val="en-US" w:eastAsia="zh-CN"/>
              </w:rPr>
              <w:t>3</w:t>
            </w:r>
            <w:r>
              <w:rPr>
                <w:rFonts w:hint="eastAsia" w:ascii="Times New Roman" w:hAnsi="Times New Roman" w:cs="Times New Roman"/>
                <w:b/>
                <w:bCs/>
                <w:color w:val="auto"/>
                <w:sz w:val="24"/>
                <w:u w:val="none" w:color="auto"/>
                <w:lang w:eastAsia="zh-CN"/>
              </w:rPr>
              <w:t>）噪声</w:t>
            </w:r>
          </w:p>
          <w:p>
            <w:pPr>
              <w:pStyle w:val="2"/>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textAlignment w:val="auto"/>
              <w:rPr>
                <w:rFonts w:hint="eastAsia" w:ascii="Times New Roman" w:hAnsi="Times New Roman" w:cs="Times New Roman"/>
                <w:b w:val="0"/>
                <w:bCs w:val="0"/>
                <w:color w:val="auto"/>
                <w:sz w:val="24"/>
                <w:u w:val="none" w:color="auto"/>
                <w:lang w:eastAsia="zh-CN"/>
              </w:rPr>
            </w:pPr>
            <w:r>
              <w:rPr>
                <w:rFonts w:hint="eastAsia" w:ascii="Times New Roman" w:hAnsi="Times New Roman" w:cs="Times New Roman"/>
                <w:b w:val="0"/>
                <w:bCs w:val="0"/>
                <w:color w:val="auto"/>
                <w:sz w:val="24"/>
                <w:u w:val="none" w:color="auto"/>
                <w:lang w:val="en-US" w:eastAsia="zh-CN"/>
              </w:rPr>
              <w:t>依托</w:t>
            </w:r>
            <w:r>
              <w:rPr>
                <w:rFonts w:hint="eastAsia" w:ascii="Times New Roman" w:hAnsi="Times New Roman" w:cs="Times New Roman"/>
                <w:b w:val="0"/>
                <w:bCs w:val="0"/>
                <w:color w:val="auto"/>
                <w:sz w:val="24"/>
                <w:u w:val="none" w:color="auto"/>
                <w:lang w:eastAsia="zh-CN"/>
              </w:rPr>
              <w:t>项目营运期噪声源主要为破碎机、滚筒筛、搅拌机等设备运转及作业噪声，项目采用增加车间封闭性，设置减振垫、基础减震、风机风管软管连接、加装消声器等措施降低噪声影响。</w:t>
            </w:r>
          </w:p>
          <w:p>
            <w:pPr>
              <w:pStyle w:val="2"/>
              <w:keepNext w:val="0"/>
              <w:keepLines w:val="0"/>
              <w:pageBreakBefore w:val="0"/>
              <w:widowControl w:val="0"/>
              <w:kinsoku/>
              <w:wordWrap/>
              <w:overflowPunct/>
              <w:topLinePunct w:val="0"/>
              <w:autoSpaceDE w:val="0"/>
              <w:autoSpaceDN w:val="0"/>
              <w:bidi w:val="0"/>
              <w:adjustRightInd w:val="0"/>
              <w:snapToGrid/>
              <w:spacing w:line="360" w:lineRule="auto"/>
              <w:ind w:firstLine="482" w:firstLineChars="200"/>
              <w:textAlignment w:val="auto"/>
              <w:rPr>
                <w:rFonts w:hint="eastAsia" w:ascii="Times New Roman" w:hAnsi="Times New Roman" w:cs="Times New Roman"/>
                <w:b/>
                <w:bCs/>
                <w:color w:val="auto"/>
                <w:sz w:val="24"/>
                <w:u w:val="none" w:color="auto"/>
                <w:lang w:eastAsia="zh-CN"/>
              </w:rPr>
            </w:pPr>
            <w:r>
              <w:rPr>
                <w:rFonts w:hint="eastAsia" w:ascii="Times New Roman" w:hAnsi="Times New Roman" w:cs="Times New Roman"/>
                <w:b/>
                <w:bCs/>
                <w:color w:val="auto"/>
                <w:sz w:val="24"/>
                <w:u w:val="none" w:color="auto"/>
                <w:lang w:eastAsia="zh-CN"/>
              </w:rPr>
              <w:t>（</w:t>
            </w:r>
            <w:r>
              <w:rPr>
                <w:rFonts w:hint="eastAsia" w:ascii="Times New Roman" w:hAnsi="Times New Roman" w:cs="Times New Roman"/>
                <w:b/>
                <w:bCs/>
                <w:color w:val="auto"/>
                <w:sz w:val="24"/>
                <w:u w:val="none" w:color="auto"/>
                <w:lang w:val="en-US" w:eastAsia="zh-CN"/>
              </w:rPr>
              <w:t>4</w:t>
            </w:r>
            <w:r>
              <w:rPr>
                <w:rFonts w:hint="eastAsia" w:ascii="Times New Roman" w:hAnsi="Times New Roman" w:cs="Times New Roman"/>
                <w:b/>
                <w:bCs/>
                <w:color w:val="auto"/>
                <w:sz w:val="24"/>
                <w:u w:val="none" w:color="auto"/>
                <w:lang w:eastAsia="zh-CN"/>
              </w:rPr>
              <w:t>）固废</w:t>
            </w:r>
          </w:p>
          <w:p>
            <w:pPr>
              <w:pStyle w:val="2"/>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textAlignment w:val="auto"/>
              <w:rPr>
                <w:color w:val="auto"/>
                <w:sz w:val="24"/>
                <w:u w:val="none" w:color="auto"/>
                <w:lang w:val="zh-CN"/>
              </w:rPr>
            </w:pPr>
            <w:r>
              <w:rPr>
                <w:color w:val="auto"/>
                <w:sz w:val="24"/>
                <w:u w:val="none" w:color="auto"/>
                <w:lang w:val="zh-CN"/>
              </w:rPr>
              <w:t>项目营运期的固体废物主要为废砖坯、废砖块、脱硫除尘渣、布袋除尘灰、</w:t>
            </w:r>
            <w:r>
              <w:rPr>
                <w:color w:val="auto"/>
                <w:sz w:val="24"/>
                <w:u w:val="none" w:color="auto"/>
              </w:rPr>
              <w:t>沉淀池渣、</w:t>
            </w:r>
            <w:r>
              <w:rPr>
                <w:color w:val="auto"/>
                <w:sz w:val="24"/>
                <w:u w:val="none" w:color="auto"/>
                <w:lang w:val="zh-CN"/>
              </w:rPr>
              <w:t>生活垃圾等。</w:t>
            </w:r>
          </w:p>
          <w:p>
            <w:pPr>
              <w:pStyle w:val="2"/>
              <w:keepNext w:val="0"/>
              <w:keepLines w:val="0"/>
              <w:pageBreakBefore w:val="0"/>
              <w:widowControl w:val="0"/>
              <w:kinsoku/>
              <w:wordWrap/>
              <w:overflowPunct/>
              <w:topLinePunct w:val="0"/>
              <w:autoSpaceDE w:val="0"/>
              <w:autoSpaceDN w:val="0"/>
              <w:bidi w:val="0"/>
              <w:adjustRightInd w:val="0"/>
              <w:snapToGrid/>
              <w:spacing w:line="360" w:lineRule="auto"/>
              <w:ind w:firstLine="482" w:firstLineChars="200"/>
              <w:textAlignment w:val="auto"/>
              <w:rPr>
                <w:rFonts w:hint="eastAsia" w:ascii="Times New Roman" w:hAnsi="Times New Roman" w:cs="Times New Roman"/>
                <w:b/>
                <w:bCs/>
                <w:color w:val="auto"/>
                <w:sz w:val="24"/>
                <w:u w:val="none" w:color="auto"/>
                <w:lang w:eastAsia="zh-CN"/>
              </w:rPr>
            </w:pPr>
            <w:r>
              <w:rPr>
                <w:rFonts w:hint="eastAsia" w:ascii="Times New Roman" w:hAnsi="Times New Roman" w:cs="Times New Roman"/>
                <w:b/>
                <w:bCs/>
                <w:color w:val="auto"/>
                <w:sz w:val="24"/>
                <w:u w:val="none" w:color="auto"/>
                <w:lang w:eastAsia="zh-CN"/>
              </w:rPr>
              <w:t>①废砖坯、废砖块</w:t>
            </w:r>
          </w:p>
          <w:p>
            <w:pPr>
              <w:pStyle w:val="2"/>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textAlignment w:val="auto"/>
              <w:rPr>
                <w:rFonts w:hint="eastAsia" w:ascii="Times New Roman" w:hAnsi="Times New Roman" w:cs="Times New Roman"/>
                <w:b w:val="0"/>
                <w:bCs w:val="0"/>
                <w:color w:val="auto"/>
                <w:sz w:val="24"/>
                <w:u w:val="none" w:color="auto"/>
                <w:lang w:eastAsia="zh-CN"/>
              </w:rPr>
            </w:pPr>
            <w:r>
              <w:rPr>
                <w:rFonts w:hint="eastAsia" w:ascii="Times New Roman" w:hAnsi="Times New Roman" w:cs="Times New Roman"/>
                <w:b w:val="0"/>
                <w:bCs w:val="0"/>
                <w:color w:val="auto"/>
                <w:sz w:val="24"/>
                <w:u w:val="none" w:color="auto"/>
                <w:lang w:eastAsia="zh-CN"/>
              </w:rPr>
              <w:t>项目生产过程产生的主要固废为切坯产生的废坯料、烧结损坏的砖坯、检验产生的不合格砖、成品搬运产生的碎砖，产生量</w:t>
            </w:r>
            <w:r>
              <w:rPr>
                <w:rFonts w:hint="eastAsia" w:ascii="Times New Roman" w:hAnsi="Times New Roman" w:cs="Times New Roman"/>
                <w:b w:val="0"/>
                <w:bCs w:val="0"/>
                <w:color w:val="auto"/>
                <w:sz w:val="24"/>
                <w:u w:val="none" w:color="auto"/>
                <w:lang w:val="en-US" w:eastAsia="zh-CN"/>
              </w:rPr>
              <w:t>675</w:t>
            </w:r>
            <w:r>
              <w:rPr>
                <w:rFonts w:hint="eastAsia" w:ascii="Times New Roman" w:hAnsi="Times New Roman" w:cs="Times New Roman"/>
                <w:b w:val="0"/>
                <w:bCs w:val="0"/>
                <w:color w:val="auto"/>
                <w:sz w:val="24"/>
                <w:u w:val="none" w:color="auto"/>
                <w:lang w:eastAsia="zh-CN"/>
              </w:rPr>
              <w:t>t/a，集中收集后返回破碎工序再次破碎后进入下一工序。</w:t>
            </w:r>
          </w:p>
          <w:p>
            <w:pPr>
              <w:pStyle w:val="2"/>
              <w:keepNext w:val="0"/>
              <w:keepLines w:val="0"/>
              <w:pageBreakBefore w:val="0"/>
              <w:widowControl w:val="0"/>
              <w:kinsoku/>
              <w:wordWrap/>
              <w:overflowPunct/>
              <w:topLinePunct w:val="0"/>
              <w:autoSpaceDE w:val="0"/>
              <w:autoSpaceDN w:val="0"/>
              <w:bidi w:val="0"/>
              <w:adjustRightInd w:val="0"/>
              <w:snapToGrid/>
              <w:spacing w:line="360" w:lineRule="auto"/>
              <w:ind w:firstLine="482" w:firstLineChars="200"/>
              <w:textAlignment w:val="auto"/>
              <w:rPr>
                <w:rFonts w:hint="eastAsia" w:ascii="Times New Roman" w:hAnsi="Times New Roman" w:cs="Times New Roman"/>
                <w:b w:val="0"/>
                <w:bCs w:val="0"/>
                <w:color w:val="auto"/>
                <w:sz w:val="24"/>
                <w:u w:val="none" w:color="auto"/>
                <w:lang w:eastAsia="zh-CN"/>
              </w:rPr>
            </w:pPr>
            <w:r>
              <w:rPr>
                <w:rFonts w:hint="eastAsia" w:ascii="Times New Roman" w:hAnsi="Times New Roman" w:cs="Times New Roman"/>
                <w:b/>
                <w:bCs/>
                <w:color w:val="auto"/>
                <w:sz w:val="24"/>
                <w:u w:val="none" w:color="auto"/>
                <w:lang w:eastAsia="zh-CN"/>
              </w:rPr>
              <w:t>②脱硫除尘渣</w:t>
            </w:r>
          </w:p>
          <w:p>
            <w:pPr>
              <w:pStyle w:val="2"/>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textAlignment w:val="auto"/>
              <w:rPr>
                <w:rFonts w:hint="eastAsia" w:ascii="Times New Roman" w:hAnsi="Times New Roman" w:cs="Times New Roman"/>
                <w:b w:val="0"/>
                <w:bCs w:val="0"/>
                <w:color w:val="auto"/>
                <w:sz w:val="24"/>
                <w:u w:val="none" w:color="auto"/>
                <w:lang w:eastAsia="zh-CN"/>
              </w:rPr>
            </w:pPr>
            <w:r>
              <w:rPr>
                <w:rFonts w:hint="eastAsia" w:ascii="Times New Roman" w:hAnsi="Times New Roman" w:cs="Times New Roman"/>
                <w:b w:val="0"/>
                <w:bCs w:val="0"/>
                <w:color w:val="auto"/>
                <w:sz w:val="24"/>
                <w:u w:val="none" w:color="auto"/>
                <w:lang w:val="en-US" w:eastAsia="zh-CN"/>
              </w:rPr>
              <w:t>依托</w:t>
            </w:r>
            <w:r>
              <w:rPr>
                <w:rFonts w:hint="eastAsia" w:ascii="Times New Roman" w:hAnsi="Times New Roman" w:cs="Times New Roman"/>
                <w:b w:val="0"/>
                <w:bCs w:val="0"/>
                <w:color w:val="auto"/>
                <w:sz w:val="24"/>
                <w:u w:val="none" w:color="auto"/>
                <w:lang w:eastAsia="zh-CN"/>
              </w:rPr>
              <w:t>项目脱硫除尘工序会产生副产物，产生量约</w:t>
            </w:r>
            <w:r>
              <w:rPr>
                <w:rFonts w:hint="eastAsia" w:ascii="Times New Roman" w:hAnsi="Times New Roman" w:cs="Times New Roman"/>
                <w:b w:val="0"/>
                <w:bCs w:val="0"/>
                <w:color w:val="auto"/>
                <w:sz w:val="24"/>
                <w:u w:val="none" w:color="auto"/>
                <w:lang w:val="en-US" w:eastAsia="zh-CN"/>
              </w:rPr>
              <w:t>75</w:t>
            </w:r>
            <w:r>
              <w:rPr>
                <w:rFonts w:hint="eastAsia" w:ascii="Times New Roman" w:hAnsi="Times New Roman" w:cs="Times New Roman"/>
                <w:b w:val="0"/>
                <w:bCs w:val="0"/>
                <w:color w:val="auto"/>
                <w:sz w:val="24"/>
                <w:u w:val="none" w:color="auto"/>
                <w:lang w:eastAsia="zh-CN"/>
              </w:rPr>
              <w:t>t/a，回用于制砖进行综合利用。</w:t>
            </w:r>
          </w:p>
          <w:p>
            <w:pPr>
              <w:pStyle w:val="2"/>
              <w:keepNext w:val="0"/>
              <w:keepLines w:val="0"/>
              <w:pageBreakBefore w:val="0"/>
              <w:widowControl w:val="0"/>
              <w:kinsoku/>
              <w:wordWrap/>
              <w:overflowPunct/>
              <w:topLinePunct w:val="0"/>
              <w:autoSpaceDE w:val="0"/>
              <w:autoSpaceDN w:val="0"/>
              <w:bidi w:val="0"/>
              <w:adjustRightInd w:val="0"/>
              <w:snapToGrid/>
              <w:spacing w:line="360" w:lineRule="auto"/>
              <w:ind w:firstLine="482" w:firstLineChars="200"/>
              <w:textAlignment w:val="auto"/>
              <w:rPr>
                <w:rFonts w:hint="eastAsia" w:ascii="Times New Roman" w:hAnsi="Times New Roman" w:cs="Times New Roman"/>
                <w:b w:val="0"/>
                <w:bCs w:val="0"/>
                <w:color w:val="auto"/>
                <w:sz w:val="24"/>
                <w:u w:val="none" w:color="auto"/>
                <w:lang w:eastAsia="zh-CN"/>
              </w:rPr>
            </w:pPr>
            <w:r>
              <w:rPr>
                <w:rFonts w:hint="eastAsia" w:ascii="Times New Roman" w:hAnsi="Times New Roman" w:cs="Times New Roman"/>
                <w:b/>
                <w:bCs/>
                <w:color w:val="auto"/>
                <w:sz w:val="24"/>
                <w:u w:val="none" w:color="auto"/>
                <w:lang w:eastAsia="zh-CN"/>
              </w:rPr>
              <w:t>③布袋除尘灰</w:t>
            </w:r>
          </w:p>
          <w:p>
            <w:pPr>
              <w:pStyle w:val="2"/>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textAlignment w:val="auto"/>
              <w:rPr>
                <w:rFonts w:hint="eastAsia" w:ascii="Times New Roman" w:hAnsi="Times New Roman" w:cs="Times New Roman"/>
                <w:b w:val="0"/>
                <w:bCs w:val="0"/>
                <w:color w:val="auto"/>
                <w:sz w:val="24"/>
                <w:u w:val="none" w:color="auto"/>
                <w:lang w:eastAsia="zh-CN"/>
              </w:rPr>
            </w:pPr>
            <w:r>
              <w:rPr>
                <w:rFonts w:hint="eastAsia" w:ascii="Times New Roman" w:hAnsi="Times New Roman" w:cs="Times New Roman"/>
                <w:b w:val="0"/>
                <w:bCs w:val="0"/>
                <w:color w:val="auto"/>
                <w:sz w:val="24"/>
                <w:u w:val="none" w:color="auto"/>
                <w:lang w:eastAsia="zh-CN"/>
              </w:rPr>
              <w:t>在破碎筛分工序配置布袋除尘器，布袋除尘器集尘量为</w:t>
            </w:r>
            <w:r>
              <w:rPr>
                <w:rFonts w:hint="eastAsia" w:ascii="Times New Roman" w:hAnsi="Times New Roman" w:cs="Times New Roman"/>
                <w:b w:val="0"/>
                <w:bCs w:val="0"/>
                <w:color w:val="auto"/>
                <w:sz w:val="24"/>
                <w:u w:val="none" w:color="auto"/>
                <w:lang w:val="en-US" w:eastAsia="zh-CN"/>
              </w:rPr>
              <w:t>24.06</w:t>
            </w:r>
            <w:r>
              <w:rPr>
                <w:rFonts w:hint="eastAsia" w:ascii="Times New Roman" w:hAnsi="Times New Roman" w:cs="Times New Roman"/>
                <w:b w:val="0"/>
                <w:bCs w:val="0"/>
                <w:color w:val="auto"/>
                <w:sz w:val="24"/>
                <w:u w:val="none" w:color="auto"/>
                <w:lang w:eastAsia="zh-CN"/>
              </w:rPr>
              <w:t>t/a，全部作为原料回用于搅拌工序。</w:t>
            </w:r>
          </w:p>
          <w:p>
            <w:pPr>
              <w:pStyle w:val="2"/>
              <w:keepNext w:val="0"/>
              <w:keepLines w:val="0"/>
              <w:pageBreakBefore w:val="0"/>
              <w:widowControl w:val="0"/>
              <w:kinsoku/>
              <w:wordWrap/>
              <w:overflowPunct/>
              <w:topLinePunct w:val="0"/>
              <w:autoSpaceDE w:val="0"/>
              <w:autoSpaceDN w:val="0"/>
              <w:bidi w:val="0"/>
              <w:adjustRightInd w:val="0"/>
              <w:snapToGrid/>
              <w:spacing w:line="360" w:lineRule="auto"/>
              <w:ind w:firstLine="482" w:firstLineChars="200"/>
              <w:textAlignment w:val="auto"/>
              <w:rPr>
                <w:rFonts w:hint="eastAsia" w:ascii="Times New Roman" w:hAnsi="Times New Roman" w:cs="Times New Roman"/>
                <w:b w:val="0"/>
                <w:bCs w:val="0"/>
                <w:color w:val="auto"/>
                <w:sz w:val="24"/>
                <w:u w:val="none" w:color="auto"/>
                <w:lang w:eastAsia="zh-CN"/>
              </w:rPr>
            </w:pPr>
            <w:r>
              <w:rPr>
                <w:rFonts w:hint="eastAsia" w:ascii="Times New Roman" w:hAnsi="Times New Roman" w:cs="Times New Roman"/>
                <w:b/>
                <w:bCs/>
                <w:color w:val="auto"/>
                <w:sz w:val="24"/>
                <w:u w:val="none" w:color="auto"/>
                <w:lang w:eastAsia="zh-CN"/>
              </w:rPr>
              <w:t>④废机油</w:t>
            </w:r>
          </w:p>
          <w:p>
            <w:pPr>
              <w:pStyle w:val="2"/>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textAlignment w:val="auto"/>
              <w:rPr>
                <w:rFonts w:hint="eastAsia" w:ascii="Times New Roman" w:hAnsi="Times New Roman" w:cs="Times New Roman"/>
                <w:b w:val="0"/>
                <w:bCs w:val="0"/>
                <w:color w:val="auto"/>
                <w:sz w:val="24"/>
                <w:u w:val="none" w:color="auto"/>
                <w:lang w:eastAsia="zh-CN"/>
              </w:rPr>
            </w:pPr>
            <w:r>
              <w:rPr>
                <w:rFonts w:hint="eastAsia" w:ascii="Times New Roman" w:hAnsi="Times New Roman" w:cs="Times New Roman"/>
                <w:b w:val="0"/>
                <w:bCs w:val="0"/>
                <w:color w:val="auto"/>
                <w:sz w:val="24"/>
                <w:u w:val="none" w:color="auto"/>
                <w:lang w:eastAsia="zh-CN"/>
              </w:rPr>
              <w:t>砖厂运营期设备维修时会产生废机油，该维修废机油产生量为0.2t/次（一年维修一次），该废油属于危险废物（HW08），桶装暂存于厂内危废暂存间，由专人收集管理，由有资质单位进行无害化处理。</w:t>
            </w:r>
          </w:p>
          <w:p>
            <w:pPr>
              <w:pStyle w:val="2"/>
              <w:keepNext w:val="0"/>
              <w:keepLines w:val="0"/>
              <w:pageBreakBefore w:val="0"/>
              <w:widowControl w:val="0"/>
              <w:kinsoku/>
              <w:wordWrap/>
              <w:overflowPunct/>
              <w:topLinePunct w:val="0"/>
              <w:autoSpaceDE w:val="0"/>
              <w:autoSpaceDN w:val="0"/>
              <w:bidi w:val="0"/>
              <w:adjustRightInd w:val="0"/>
              <w:snapToGrid/>
              <w:spacing w:line="360" w:lineRule="auto"/>
              <w:ind w:firstLine="482" w:firstLineChars="200"/>
              <w:textAlignment w:val="auto"/>
              <w:rPr>
                <w:rFonts w:hint="eastAsia" w:ascii="Times New Roman" w:hAnsi="Times New Roman" w:cs="Times New Roman"/>
                <w:b w:val="0"/>
                <w:bCs w:val="0"/>
                <w:color w:val="auto"/>
                <w:sz w:val="24"/>
                <w:u w:val="none" w:color="auto"/>
                <w:lang w:eastAsia="zh-CN"/>
              </w:rPr>
            </w:pPr>
            <w:r>
              <w:rPr>
                <w:rFonts w:hint="eastAsia" w:ascii="宋体" w:hAnsi="宋体" w:eastAsia="宋体" w:cs="宋体"/>
                <w:b/>
                <w:bCs/>
                <w:color w:val="auto"/>
                <w:sz w:val="24"/>
                <w:u w:val="none" w:color="auto"/>
                <w:lang w:eastAsia="zh-CN"/>
              </w:rPr>
              <w:t>⑤</w:t>
            </w:r>
            <w:r>
              <w:rPr>
                <w:rFonts w:hint="eastAsia" w:ascii="Times New Roman" w:hAnsi="Times New Roman" w:cs="Times New Roman"/>
                <w:b/>
                <w:bCs/>
                <w:color w:val="auto"/>
                <w:sz w:val="24"/>
                <w:u w:val="none" w:color="auto"/>
                <w:lang w:eastAsia="zh-CN"/>
              </w:rPr>
              <w:t>生活垃圾</w:t>
            </w:r>
          </w:p>
          <w:p>
            <w:pPr>
              <w:pStyle w:val="2"/>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textAlignment w:val="auto"/>
              <w:rPr>
                <w:rFonts w:hint="default" w:ascii="Times New Roman" w:hAnsi="Times New Roman" w:eastAsia="宋体" w:cs="Times New Roman"/>
                <w:b w:val="0"/>
                <w:bCs w:val="0"/>
                <w:color w:val="auto"/>
                <w:sz w:val="24"/>
                <w:u w:val="none" w:color="auto"/>
                <w:lang w:val="en-US" w:eastAsia="zh-CN"/>
              </w:rPr>
            </w:pPr>
            <w:r>
              <w:rPr>
                <w:rFonts w:hint="eastAsia" w:ascii="Times New Roman" w:hAnsi="Times New Roman" w:cs="Times New Roman"/>
                <w:b w:val="0"/>
                <w:bCs w:val="0"/>
                <w:color w:val="auto"/>
                <w:sz w:val="24"/>
                <w:u w:val="none" w:color="auto"/>
                <w:lang w:val="en-US" w:eastAsia="zh-CN"/>
              </w:rPr>
              <w:t>依托</w:t>
            </w:r>
            <w:r>
              <w:rPr>
                <w:rFonts w:hint="eastAsia" w:ascii="Times New Roman" w:hAnsi="Times New Roman" w:eastAsia="宋体" w:cs="Times New Roman"/>
                <w:b w:val="0"/>
                <w:bCs w:val="0"/>
                <w:color w:val="auto"/>
                <w:sz w:val="24"/>
                <w:u w:val="none" w:color="auto"/>
                <w:lang w:eastAsia="zh-CN"/>
              </w:rPr>
              <w:t>项目生活垃圾产生量为</w:t>
            </w:r>
            <w:r>
              <w:rPr>
                <w:rFonts w:hint="eastAsia" w:ascii="Times New Roman" w:hAnsi="Times New Roman" w:cs="Times New Roman"/>
                <w:b w:val="0"/>
                <w:bCs w:val="0"/>
                <w:color w:val="auto"/>
                <w:sz w:val="24"/>
                <w:u w:val="none" w:color="auto"/>
                <w:lang w:val="en-US" w:eastAsia="zh-CN"/>
              </w:rPr>
              <w:t>6</w:t>
            </w:r>
            <w:r>
              <w:rPr>
                <w:rFonts w:hint="eastAsia" w:ascii="Times New Roman" w:hAnsi="Times New Roman" w:eastAsia="宋体" w:cs="Times New Roman"/>
                <w:b w:val="0"/>
                <w:bCs w:val="0"/>
                <w:color w:val="auto"/>
                <w:sz w:val="24"/>
                <w:u w:val="none" w:color="auto"/>
                <w:lang w:eastAsia="zh-CN"/>
              </w:rPr>
              <w:t>t/a，统一收集清运至垃圾收集点，由当地环卫部门统一处理。项目设密闭式生活垃圾筒，生活垃圾日产日清。</w:t>
            </w:r>
          </w:p>
          <w:p>
            <w:pPr>
              <w:numPr>
                <w:ilvl w:val="0"/>
                <w:numId w:val="0"/>
              </w:numPr>
              <w:spacing w:line="360" w:lineRule="auto"/>
              <w:jc w:val="center"/>
              <w:rPr>
                <w:rFonts w:hint="default" w:ascii="Times New Roman" w:hAnsi="Times New Roman" w:cs="Times New Roman"/>
                <w:b/>
                <w:bCs/>
                <w:color w:val="auto"/>
                <w:sz w:val="24"/>
                <w:u w:val="single" w:color="auto"/>
                <w:lang w:val="en-US" w:eastAsia="zh-CN"/>
              </w:rPr>
            </w:pPr>
            <w:r>
              <w:rPr>
                <w:rFonts w:hint="eastAsia" w:ascii="Times New Roman" w:hAnsi="Times New Roman" w:cs="Times New Roman"/>
                <w:b/>
                <w:bCs/>
                <w:color w:val="auto"/>
                <w:sz w:val="24"/>
                <w:u w:val="single" w:color="auto"/>
                <w:lang w:val="en-US" w:eastAsia="zh-CN"/>
              </w:rPr>
              <w:t>表2-1</w:t>
            </w:r>
            <w:r>
              <w:rPr>
                <w:rFonts w:hint="eastAsia" w:cs="Times New Roman"/>
                <w:b/>
                <w:bCs/>
                <w:color w:val="auto"/>
                <w:sz w:val="24"/>
                <w:u w:val="single" w:color="auto"/>
                <w:lang w:val="en-US" w:eastAsia="zh-CN"/>
              </w:rPr>
              <w:t>0依托</w:t>
            </w:r>
            <w:r>
              <w:rPr>
                <w:rFonts w:hint="eastAsia" w:ascii="Times New Roman" w:hAnsi="Times New Roman" w:cs="Times New Roman"/>
                <w:b/>
                <w:bCs/>
                <w:color w:val="auto"/>
                <w:sz w:val="24"/>
                <w:u w:val="single" w:color="auto"/>
                <w:lang w:val="en-US" w:eastAsia="zh-CN"/>
              </w:rPr>
              <w:t>项目主要污染物汇总表</w:t>
            </w:r>
          </w:p>
          <w:tbl>
            <w:tblPr>
              <w:tblStyle w:val="30"/>
              <w:tblpPr w:leftFromText="180" w:rightFromText="180" w:vertAnchor="text" w:horzAnchor="page" w:tblpX="95" w:tblpY="297"/>
              <w:tblOverlap w:val="never"/>
              <w:tblW w:w="5065"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85" w:type="dxa"/>
                <w:bottom w:w="0" w:type="dxa"/>
                <w:right w:w="85" w:type="dxa"/>
              </w:tblCellMar>
            </w:tblPr>
            <w:tblGrid>
              <w:gridCol w:w="784"/>
              <w:gridCol w:w="1734"/>
              <w:gridCol w:w="1024"/>
              <w:gridCol w:w="2307"/>
              <w:gridCol w:w="230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85" w:type="dxa"/>
                  <w:bottom w:w="0" w:type="dxa"/>
                  <w:right w:w="85" w:type="dxa"/>
                </w:tblCellMar>
              </w:tblPrEx>
              <w:trPr>
                <w:trHeight w:val="368" w:hRule="atLeast"/>
              </w:trPr>
              <w:tc>
                <w:tcPr>
                  <w:tcW w:w="480" w:type="pct"/>
                  <w:noWrap w:val="0"/>
                  <w:vAlign w:val="center"/>
                </w:tcPr>
                <w:p>
                  <w:pPr>
                    <w:pStyle w:val="61"/>
                    <w:ind w:left="-105" w:leftChars="-50" w:right="-105" w:rightChars="-50"/>
                    <w:rPr>
                      <w:color w:val="auto"/>
                      <w:sz w:val="20"/>
                      <w:u w:val="single" w:color="auto"/>
                    </w:rPr>
                  </w:pPr>
                  <w:r>
                    <w:rPr>
                      <w:color w:val="auto"/>
                      <w:sz w:val="20"/>
                      <w:u w:val="single" w:color="auto"/>
                    </w:rPr>
                    <w:t>种类</w:t>
                  </w:r>
                </w:p>
              </w:tc>
              <w:tc>
                <w:tcPr>
                  <w:tcW w:w="1063" w:type="pct"/>
                  <w:noWrap w:val="0"/>
                  <w:vAlign w:val="center"/>
                </w:tcPr>
                <w:p>
                  <w:pPr>
                    <w:pStyle w:val="61"/>
                    <w:ind w:left="-105" w:leftChars="-50" w:right="-105" w:rightChars="-50"/>
                    <w:rPr>
                      <w:color w:val="auto"/>
                      <w:sz w:val="20"/>
                      <w:u w:val="single" w:color="auto"/>
                    </w:rPr>
                  </w:pPr>
                  <w:r>
                    <w:rPr>
                      <w:color w:val="auto"/>
                      <w:sz w:val="20"/>
                      <w:u w:val="single" w:color="auto"/>
                    </w:rPr>
                    <w:t>产污环节</w:t>
                  </w:r>
                </w:p>
              </w:tc>
              <w:tc>
                <w:tcPr>
                  <w:tcW w:w="627" w:type="pct"/>
                  <w:noWrap w:val="0"/>
                  <w:vAlign w:val="center"/>
                </w:tcPr>
                <w:p>
                  <w:pPr>
                    <w:pStyle w:val="61"/>
                    <w:ind w:left="-105" w:leftChars="-50" w:right="-105" w:rightChars="-50"/>
                    <w:rPr>
                      <w:color w:val="auto"/>
                      <w:sz w:val="20"/>
                      <w:u w:val="single" w:color="auto"/>
                    </w:rPr>
                  </w:pPr>
                  <w:r>
                    <w:rPr>
                      <w:color w:val="auto"/>
                      <w:sz w:val="20"/>
                      <w:u w:val="single" w:color="auto"/>
                    </w:rPr>
                    <w:t>污染物</w:t>
                  </w:r>
                </w:p>
              </w:tc>
              <w:tc>
                <w:tcPr>
                  <w:tcW w:w="1414" w:type="pct"/>
                  <w:noWrap w:val="0"/>
                  <w:vAlign w:val="center"/>
                </w:tcPr>
                <w:p>
                  <w:pPr>
                    <w:pStyle w:val="61"/>
                    <w:ind w:left="-105" w:leftChars="-50" w:right="-105" w:rightChars="-50"/>
                    <w:rPr>
                      <w:rFonts w:hint="eastAsia" w:eastAsia="宋体"/>
                      <w:color w:val="auto"/>
                      <w:sz w:val="20"/>
                      <w:u w:val="single" w:color="auto"/>
                      <w:lang w:val="en-US" w:eastAsia="zh-CN"/>
                    </w:rPr>
                  </w:pPr>
                  <w:r>
                    <w:rPr>
                      <w:bCs/>
                      <w:color w:val="auto"/>
                      <w:sz w:val="20"/>
                      <w:u w:val="single" w:color="auto"/>
                    </w:rPr>
                    <w:t>排放量</w:t>
                  </w:r>
                  <w:r>
                    <w:rPr>
                      <w:rFonts w:hint="eastAsia"/>
                      <w:bCs/>
                      <w:color w:val="auto"/>
                      <w:sz w:val="20"/>
                      <w:u w:val="single" w:color="auto"/>
                      <w:lang w:eastAsia="zh-CN"/>
                    </w:rPr>
                    <w:t>（</w:t>
                  </w:r>
                  <w:r>
                    <w:rPr>
                      <w:rFonts w:hint="eastAsia"/>
                      <w:bCs/>
                      <w:color w:val="auto"/>
                      <w:sz w:val="20"/>
                      <w:u w:val="single" w:color="auto"/>
                      <w:lang w:val="en-US" w:eastAsia="zh-CN"/>
                    </w:rPr>
                    <w:t>t/a</w:t>
                  </w:r>
                  <w:r>
                    <w:rPr>
                      <w:rFonts w:hint="eastAsia"/>
                      <w:bCs/>
                      <w:color w:val="auto"/>
                      <w:sz w:val="20"/>
                      <w:u w:val="single" w:color="auto"/>
                      <w:lang w:eastAsia="zh-CN"/>
                    </w:rPr>
                    <w:t>）</w:t>
                  </w:r>
                </w:p>
              </w:tc>
              <w:tc>
                <w:tcPr>
                  <w:tcW w:w="1414" w:type="pct"/>
                  <w:noWrap w:val="0"/>
                  <w:vAlign w:val="center"/>
                </w:tcPr>
                <w:p>
                  <w:pPr>
                    <w:pStyle w:val="61"/>
                    <w:ind w:left="-105" w:leftChars="-50" w:right="-105" w:rightChars="-50"/>
                    <w:rPr>
                      <w:rFonts w:hint="eastAsia" w:eastAsia="宋体"/>
                      <w:bCs/>
                      <w:color w:val="auto"/>
                      <w:sz w:val="20"/>
                      <w:u w:val="single" w:color="auto"/>
                      <w:lang w:val="en-US" w:eastAsia="zh-CN"/>
                    </w:rPr>
                  </w:pPr>
                  <w:r>
                    <w:rPr>
                      <w:rFonts w:hint="eastAsia"/>
                      <w:bCs/>
                      <w:color w:val="auto"/>
                      <w:sz w:val="20"/>
                      <w:u w:val="single" w:color="auto"/>
                      <w:lang w:val="en-US" w:eastAsia="zh-CN"/>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85" w:type="dxa"/>
                  <w:bottom w:w="0" w:type="dxa"/>
                  <w:right w:w="85" w:type="dxa"/>
                </w:tblCellMar>
              </w:tblPrEx>
              <w:trPr>
                <w:trHeight w:val="331" w:hRule="atLeast"/>
              </w:trPr>
              <w:tc>
                <w:tcPr>
                  <w:tcW w:w="480" w:type="pct"/>
                  <w:vMerge w:val="restart"/>
                  <w:noWrap w:val="0"/>
                  <w:vAlign w:val="center"/>
                </w:tcPr>
                <w:p>
                  <w:pPr>
                    <w:pStyle w:val="61"/>
                    <w:ind w:left="-105" w:leftChars="-50" w:right="-105" w:rightChars="-50"/>
                    <w:rPr>
                      <w:color w:val="auto"/>
                      <w:sz w:val="20"/>
                      <w:u w:val="single" w:color="auto"/>
                    </w:rPr>
                  </w:pPr>
                  <w:r>
                    <w:rPr>
                      <w:color w:val="auto"/>
                      <w:sz w:val="20"/>
                      <w:u w:val="single" w:color="auto"/>
                    </w:rPr>
                    <w:t>废气</w:t>
                  </w:r>
                </w:p>
              </w:tc>
              <w:tc>
                <w:tcPr>
                  <w:tcW w:w="1063" w:type="pct"/>
                  <w:noWrap w:val="0"/>
                  <w:vAlign w:val="center"/>
                </w:tcPr>
                <w:p>
                  <w:pPr>
                    <w:jc w:val="center"/>
                    <w:rPr>
                      <w:color w:val="auto"/>
                      <w:sz w:val="20"/>
                      <w:u w:val="single" w:color="auto"/>
                    </w:rPr>
                  </w:pPr>
                  <w:r>
                    <w:rPr>
                      <w:color w:val="auto"/>
                      <w:sz w:val="18"/>
                      <w:szCs w:val="18"/>
                      <w:u w:val="single" w:color="auto"/>
                    </w:rPr>
                    <w:t>破碎、筛分废气</w:t>
                  </w:r>
                </w:p>
              </w:tc>
              <w:tc>
                <w:tcPr>
                  <w:tcW w:w="627" w:type="pct"/>
                  <w:noWrap w:val="0"/>
                  <w:vAlign w:val="center"/>
                </w:tcPr>
                <w:p>
                  <w:pPr>
                    <w:pStyle w:val="61"/>
                    <w:ind w:left="-105" w:leftChars="-50" w:right="-105" w:rightChars="-50"/>
                    <w:rPr>
                      <w:color w:val="auto"/>
                      <w:sz w:val="20"/>
                      <w:u w:val="single" w:color="auto"/>
                    </w:rPr>
                  </w:pPr>
                  <w:r>
                    <w:rPr>
                      <w:color w:val="auto"/>
                      <w:sz w:val="20"/>
                      <w:u w:val="single" w:color="auto"/>
                    </w:rPr>
                    <w:t>粉尘</w:t>
                  </w:r>
                </w:p>
              </w:tc>
              <w:tc>
                <w:tcPr>
                  <w:tcW w:w="1414" w:type="pct"/>
                  <w:noWrap w:val="0"/>
                  <w:vAlign w:val="center"/>
                </w:tcPr>
                <w:p>
                  <w:pPr>
                    <w:widowControl/>
                    <w:spacing w:line="240" w:lineRule="atLeast"/>
                    <w:jc w:val="center"/>
                    <w:rPr>
                      <w:rFonts w:hint="default" w:eastAsia="宋体"/>
                      <w:bCs/>
                      <w:color w:val="auto"/>
                      <w:sz w:val="20"/>
                      <w:u w:val="single" w:color="auto"/>
                      <w:lang w:val="en-US" w:eastAsia="zh-CN"/>
                    </w:rPr>
                  </w:pPr>
                  <w:r>
                    <w:rPr>
                      <w:rFonts w:hint="eastAsia"/>
                      <w:bCs/>
                      <w:color w:val="auto"/>
                      <w:kern w:val="0"/>
                      <w:sz w:val="18"/>
                      <w:szCs w:val="18"/>
                      <w:u w:val="single" w:color="auto"/>
                      <w:lang w:val="en-US" w:eastAsia="zh-CN"/>
                    </w:rPr>
                    <w:t>0.243</w:t>
                  </w:r>
                </w:p>
              </w:tc>
              <w:tc>
                <w:tcPr>
                  <w:tcW w:w="1414" w:type="pct"/>
                  <w:vMerge w:val="restart"/>
                  <w:noWrap w:val="0"/>
                  <w:vAlign w:val="center"/>
                </w:tcPr>
                <w:p>
                  <w:pPr>
                    <w:widowControl/>
                    <w:spacing w:line="240" w:lineRule="atLeast"/>
                    <w:ind w:firstLine="360" w:firstLineChars="200"/>
                    <w:jc w:val="both"/>
                    <w:rPr>
                      <w:rFonts w:hint="eastAsia" w:ascii="Times New Roman" w:hAnsi="Times New Roman" w:eastAsia="宋体" w:cs="Times New Roman"/>
                      <w:bCs/>
                      <w:color w:val="auto"/>
                      <w:kern w:val="0"/>
                      <w:sz w:val="18"/>
                      <w:szCs w:val="18"/>
                      <w:u w:val="single" w:color="auto"/>
                      <w:lang w:eastAsia="zh-CN"/>
                    </w:rPr>
                  </w:pPr>
                  <w:r>
                    <w:rPr>
                      <w:rFonts w:hint="eastAsia" w:ascii="Times New Roman" w:hAnsi="Times New Roman" w:eastAsia="宋体" w:cs="Times New Roman"/>
                      <w:bCs/>
                      <w:color w:val="auto"/>
                      <w:kern w:val="0"/>
                      <w:sz w:val="18"/>
                      <w:szCs w:val="18"/>
                      <w:u w:val="single" w:color="auto"/>
                      <w:lang w:eastAsia="zh-CN"/>
                    </w:rPr>
                    <w:t>有组织排放执行</w:t>
                  </w:r>
                  <w:r>
                    <w:rPr>
                      <w:rFonts w:hint="default" w:ascii="Times New Roman" w:hAnsi="Times New Roman" w:eastAsia="宋体" w:cs="Times New Roman"/>
                      <w:bCs/>
                      <w:color w:val="auto"/>
                      <w:kern w:val="0"/>
                      <w:sz w:val="18"/>
                      <w:szCs w:val="18"/>
                      <w:u w:val="single" w:color="auto"/>
                    </w:rPr>
                    <w:t>《砖瓦工业大气污染物排放标准》（GB29620-2013）及其修改单表2中的标准要求</w:t>
                  </w:r>
                  <w:r>
                    <w:rPr>
                      <w:rFonts w:hint="eastAsia" w:ascii="Times New Roman" w:hAnsi="Times New Roman" w:eastAsia="宋体" w:cs="Times New Roman"/>
                      <w:bCs/>
                      <w:color w:val="auto"/>
                      <w:kern w:val="0"/>
                      <w:sz w:val="18"/>
                      <w:szCs w:val="18"/>
                      <w:u w:val="single" w:color="auto"/>
                      <w:lang w:eastAsia="zh-CN"/>
                    </w:rPr>
                    <w:t>。</w:t>
                  </w:r>
                </w:p>
                <w:p>
                  <w:pPr>
                    <w:widowControl/>
                    <w:spacing w:line="240" w:lineRule="atLeast"/>
                    <w:jc w:val="center"/>
                    <w:rPr>
                      <w:bCs/>
                      <w:color w:val="auto"/>
                      <w:kern w:val="0"/>
                      <w:sz w:val="18"/>
                      <w:szCs w:val="18"/>
                      <w:u w:val="single" w:color="auto"/>
                    </w:rPr>
                  </w:pPr>
                  <w:r>
                    <w:rPr>
                      <w:rFonts w:hint="eastAsia" w:ascii="Times New Roman" w:hAnsi="Times New Roman" w:eastAsia="宋体" w:cs="Times New Roman"/>
                      <w:bCs/>
                      <w:color w:val="auto"/>
                      <w:kern w:val="0"/>
                      <w:sz w:val="18"/>
                      <w:szCs w:val="18"/>
                      <w:u w:val="single" w:color="auto"/>
                      <w:lang w:eastAsia="zh-CN"/>
                    </w:rPr>
                    <w:t>无组织排放执行《砖瓦工业大气污染物排放标准》（GB29620-2013）及其修改单表3中无组织排放标准</w:t>
                  </w:r>
                  <w:r>
                    <w:rPr>
                      <w:rFonts w:hint="default" w:ascii="Times New Roman" w:hAnsi="Times New Roman" w:eastAsia="宋体" w:cs="Times New Roman"/>
                      <w:bCs/>
                      <w:color w:val="auto"/>
                      <w:kern w:val="0"/>
                      <w:sz w:val="18"/>
                      <w:szCs w:val="18"/>
                      <w:u w:val="single" w:color="auto"/>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85" w:type="dxa"/>
                  <w:bottom w:w="0" w:type="dxa"/>
                  <w:right w:w="85" w:type="dxa"/>
                </w:tblCellMar>
              </w:tblPrEx>
              <w:trPr>
                <w:trHeight w:val="348" w:hRule="atLeast"/>
              </w:trPr>
              <w:tc>
                <w:tcPr>
                  <w:tcW w:w="480" w:type="pct"/>
                  <w:vMerge w:val="continue"/>
                  <w:noWrap w:val="0"/>
                  <w:vAlign w:val="center"/>
                </w:tcPr>
                <w:p>
                  <w:pPr>
                    <w:pStyle w:val="61"/>
                    <w:ind w:left="-105" w:leftChars="-50" w:right="-105" w:rightChars="-50"/>
                    <w:rPr>
                      <w:color w:val="auto"/>
                      <w:sz w:val="20"/>
                      <w:u w:val="single" w:color="auto"/>
                    </w:rPr>
                  </w:pPr>
                </w:p>
              </w:tc>
              <w:tc>
                <w:tcPr>
                  <w:tcW w:w="1063" w:type="pct"/>
                  <w:vMerge w:val="restart"/>
                  <w:noWrap w:val="0"/>
                  <w:vAlign w:val="center"/>
                </w:tcPr>
                <w:p>
                  <w:pPr>
                    <w:pStyle w:val="61"/>
                    <w:ind w:left="-105" w:leftChars="-50" w:right="-105" w:rightChars="-50"/>
                    <w:rPr>
                      <w:color w:val="auto"/>
                      <w:sz w:val="20"/>
                      <w:u w:val="single" w:color="auto"/>
                    </w:rPr>
                  </w:pPr>
                  <w:r>
                    <w:rPr>
                      <w:color w:val="auto"/>
                      <w:sz w:val="18"/>
                      <w:szCs w:val="18"/>
                      <w:u w:val="single" w:color="auto"/>
                    </w:rPr>
                    <w:t>隧道窑烟气</w:t>
                  </w:r>
                </w:p>
              </w:tc>
              <w:tc>
                <w:tcPr>
                  <w:tcW w:w="627" w:type="pct"/>
                  <w:noWrap w:val="0"/>
                  <w:vAlign w:val="center"/>
                </w:tcPr>
                <w:p>
                  <w:pPr>
                    <w:pStyle w:val="61"/>
                    <w:ind w:left="-105" w:leftChars="-50" w:right="-105" w:rightChars="-50"/>
                    <w:rPr>
                      <w:color w:val="auto"/>
                      <w:sz w:val="20"/>
                      <w:u w:val="single" w:color="auto"/>
                    </w:rPr>
                  </w:pPr>
                  <w:r>
                    <w:rPr>
                      <w:color w:val="auto"/>
                      <w:sz w:val="20"/>
                      <w:u w:val="single" w:color="auto"/>
                    </w:rPr>
                    <w:t>烟尘</w:t>
                  </w:r>
                </w:p>
              </w:tc>
              <w:tc>
                <w:tcPr>
                  <w:tcW w:w="1414" w:type="pct"/>
                  <w:noWrap w:val="0"/>
                  <w:vAlign w:val="center"/>
                </w:tcPr>
                <w:p>
                  <w:pPr>
                    <w:pStyle w:val="2"/>
                    <w:ind w:left="-31" w:leftChars="-15" w:right="-31" w:rightChars="-15"/>
                    <w:jc w:val="center"/>
                    <w:rPr>
                      <w:rFonts w:hint="default" w:eastAsia="宋体"/>
                      <w:bCs/>
                      <w:color w:val="auto"/>
                      <w:sz w:val="20"/>
                      <w:u w:val="single" w:color="auto"/>
                      <w:lang w:val="en-US" w:eastAsia="zh-CN"/>
                    </w:rPr>
                  </w:pPr>
                  <w:r>
                    <w:rPr>
                      <w:rFonts w:hint="eastAsia" w:ascii="Times New Roman" w:hAnsi="Times New Roman"/>
                      <w:color w:val="auto"/>
                      <w:sz w:val="18"/>
                      <w:szCs w:val="18"/>
                      <w:u w:val="single" w:color="auto"/>
                      <w:lang w:val="en-US" w:eastAsia="zh-CN"/>
                    </w:rPr>
                    <w:t>0.985</w:t>
                  </w:r>
                </w:p>
              </w:tc>
              <w:tc>
                <w:tcPr>
                  <w:tcW w:w="1414" w:type="pct"/>
                  <w:vMerge w:val="continue"/>
                  <w:noWrap w:val="0"/>
                  <w:vAlign w:val="center"/>
                </w:tcPr>
                <w:p>
                  <w:pPr>
                    <w:pStyle w:val="2"/>
                    <w:ind w:left="-31" w:leftChars="-15" w:right="-31" w:rightChars="-15"/>
                    <w:jc w:val="center"/>
                    <w:rPr>
                      <w:rFonts w:hint="eastAsia" w:ascii="Times New Roman" w:hAnsi="Times New Roman"/>
                      <w:color w:val="auto"/>
                      <w:sz w:val="18"/>
                      <w:szCs w:val="18"/>
                      <w:u w:val="single" w:color="auto"/>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85" w:type="dxa"/>
                  <w:bottom w:w="0" w:type="dxa"/>
                  <w:right w:w="85" w:type="dxa"/>
                </w:tblCellMar>
              </w:tblPrEx>
              <w:trPr>
                <w:trHeight w:val="348" w:hRule="atLeast"/>
              </w:trPr>
              <w:tc>
                <w:tcPr>
                  <w:tcW w:w="480" w:type="pct"/>
                  <w:vMerge w:val="continue"/>
                  <w:noWrap w:val="0"/>
                  <w:vAlign w:val="center"/>
                </w:tcPr>
                <w:p>
                  <w:pPr>
                    <w:pStyle w:val="61"/>
                    <w:ind w:left="-105" w:leftChars="-50" w:right="-105" w:rightChars="-50"/>
                    <w:rPr>
                      <w:color w:val="auto"/>
                      <w:sz w:val="20"/>
                      <w:u w:val="single" w:color="auto"/>
                    </w:rPr>
                  </w:pPr>
                </w:p>
              </w:tc>
              <w:tc>
                <w:tcPr>
                  <w:tcW w:w="1063" w:type="pct"/>
                  <w:vMerge w:val="continue"/>
                  <w:noWrap w:val="0"/>
                  <w:vAlign w:val="center"/>
                </w:tcPr>
                <w:p>
                  <w:pPr>
                    <w:pStyle w:val="61"/>
                    <w:ind w:left="-105" w:leftChars="-50" w:right="-105" w:rightChars="-50"/>
                    <w:rPr>
                      <w:color w:val="auto"/>
                      <w:sz w:val="20"/>
                      <w:u w:val="single" w:color="auto"/>
                    </w:rPr>
                  </w:pPr>
                </w:p>
              </w:tc>
              <w:tc>
                <w:tcPr>
                  <w:tcW w:w="627" w:type="pct"/>
                  <w:noWrap w:val="0"/>
                  <w:vAlign w:val="center"/>
                </w:tcPr>
                <w:p>
                  <w:pPr>
                    <w:pStyle w:val="61"/>
                    <w:ind w:left="-105" w:leftChars="-50" w:right="-105" w:rightChars="-50"/>
                    <w:rPr>
                      <w:color w:val="auto"/>
                      <w:sz w:val="20"/>
                      <w:u w:val="single" w:color="auto"/>
                    </w:rPr>
                  </w:pPr>
                  <w:r>
                    <w:rPr>
                      <w:color w:val="auto"/>
                      <w:sz w:val="20"/>
                      <w:u w:val="single" w:color="auto"/>
                    </w:rPr>
                    <w:t>SO</w:t>
                  </w:r>
                  <w:r>
                    <w:rPr>
                      <w:color w:val="auto"/>
                      <w:sz w:val="20"/>
                      <w:u w:val="single" w:color="auto"/>
                      <w:vertAlign w:val="subscript"/>
                    </w:rPr>
                    <w:t>2</w:t>
                  </w:r>
                </w:p>
              </w:tc>
              <w:tc>
                <w:tcPr>
                  <w:tcW w:w="1414" w:type="pct"/>
                  <w:noWrap w:val="0"/>
                  <w:vAlign w:val="center"/>
                </w:tcPr>
                <w:p>
                  <w:pPr>
                    <w:pStyle w:val="2"/>
                    <w:ind w:left="-31" w:leftChars="-15" w:right="-31" w:rightChars="-15"/>
                    <w:jc w:val="center"/>
                    <w:rPr>
                      <w:rFonts w:hint="default" w:eastAsia="宋体"/>
                      <w:bCs/>
                      <w:color w:val="auto"/>
                      <w:sz w:val="20"/>
                      <w:u w:val="single" w:color="auto"/>
                      <w:lang w:val="en-US" w:eastAsia="zh-CN"/>
                    </w:rPr>
                  </w:pPr>
                  <w:r>
                    <w:rPr>
                      <w:rFonts w:hint="eastAsia" w:ascii="Times New Roman" w:hAnsi="Times New Roman"/>
                      <w:color w:val="auto"/>
                      <w:sz w:val="18"/>
                      <w:szCs w:val="18"/>
                      <w:u w:val="single" w:color="auto"/>
                      <w:lang w:val="en-US" w:eastAsia="zh-CN"/>
                    </w:rPr>
                    <w:t>14.9</w:t>
                  </w:r>
                </w:p>
              </w:tc>
              <w:tc>
                <w:tcPr>
                  <w:tcW w:w="1414" w:type="pct"/>
                  <w:vMerge w:val="continue"/>
                  <w:noWrap w:val="0"/>
                  <w:vAlign w:val="center"/>
                </w:tcPr>
                <w:p>
                  <w:pPr>
                    <w:pStyle w:val="2"/>
                    <w:ind w:left="-31" w:leftChars="-15" w:right="-31" w:rightChars="-15"/>
                    <w:jc w:val="center"/>
                    <w:rPr>
                      <w:rFonts w:hint="eastAsia" w:ascii="Times New Roman" w:hAnsi="Times New Roman"/>
                      <w:color w:val="auto"/>
                      <w:sz w:val="18"/>
                      <w:szCs w:val="18"/>
                      <w:u w:val="single" w:color="auto"/>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85" w:type="dxa"/>
                  <w:bottom w:w="0" w:type="dxa"/>
                  <w:right w:w="85" w:type="dxa"/>
                </w:tblCellMar>
              </w:tblPrEx>
              <w:trPr>
                <w:trHeight w:val="348" w:hRule="atLeast"/>
              </w:trPr>
              <w:tc>
                <w:tcPr>
                  <w:tcW w:w="480" w:type="pct"/>
                  <w:vMerge w:val="continue"/>
                  <w:noWrap w:val="0"/>
                  <w:vAlign w:val="center"/>
                </w:tcPr>
                <w:p>
                  <w:pPr>
                    <w:pStyle w:val="61"/>
                    <w:ind w:left="-105" w:leftChars="-50" w:right="-105" w:rightChars="-50"/>
                    <w:rPr>
                      <w:color w:val="auto"/>
                      <w:sz w:val="20"/>
                      <w:u w:val="single" w:color="auto"/>
                    </w:rPr>
                  </w:pPr>
                </w:p>
              </w:tc>
              <w:tc>
                <w:tcPr>
                  <w:tcW w:w="1063" w:type="pct"/>
                  <w:vMerge w:val="continue"/>
                  <w:noWrap w:val="0"/>
                  <w:vAlign w:val="center"/>
                </w:tcPr>
                <w:p>
                  <w:pPr>
                    <w:pStyle w:val="61"/>
                    <w:ind w:left="-105" w:leftChars="-50" w:right="-105" w:rightChars="-50"/>
                    <w:rPr>
                      <w:color w:val="auto"/>
                      <w:sz w:val="20"/>
                      <w:u w:val="single" w:color="auto"/>
                    </w:rPr>
                  </w:pPr>
                </w:p>
              </w:tc>
              <w:tc>
                <w:tcPr>
                  <w:tcW w:w="627" w:type="pct"/>
                  <w:noWrap w:val="0"/>
                  <w:vAlign w:val="center"/>
                </w:tcPr>
                <w:p>
                  <w:pPr>
                    <w:pStyle w:val="61"/>
                    <w:ind w:left="-105" w:leftChars="-50" w:right="-105" w:rightChars="-50"/>
                    <w:rPr>
                      <w:color w:val="auto"/>
                      <w:sz w:val="20"/>
                      <w:u w:val="single" w:color="auto"/>
                    </w:rPr>
                  </w:pPr>
                  <w:r>
                    <w:rPr>
                      <w:color w:val="auto"/>
                      <w:sz w:val="20"/>
                      <w:u w:val="single" w:color="auto"/>
                    </w:rPr>
                    <w:t>NOx</w:t>
                  </w:r>
                </w:p>
              </w:tc>
              <w:tc>
                <w:tcPr>
                  <w:tcW w:w="1414" w:type="pct"/>
                  <w:noWrap w:val="0"/>
                  <w:vAlign w:val="center"/>
                </w:tcPr>
                <w:p>
                  <w:pPr>
                    <w:pStyle w:val="2"/>
                    <w:ind w:left="-31" w:leftChars="-15" w:right="-31" w:rightChars="-15"/>
                    <w:jc w:val="center"/>
                    <w:rPr>
                      <w:rFonts w:hint="default"/>
                      <w:bCs/>
                      <w:color w:val="auto"/>
                      <w:sz w:val="20"/>
                      <w:u w:val="single" w:color="auto"/>
                      <w:lang w:val="en-US"/>
                    </w:rPr>
                  </w:pPr>
                  <w:r>
                    <w:rPr>
                      <w:rFonts w:hint="eastAsia" w:ascii="Times New Roman" w:hAnsi="Times New Roman"/>
                      <w:color w:val="auto"/>
                      <w:sz w:val="18"/>
                      <w:szCs w:val="18"/>
                      <w:u w:val="single" w:color="auto"/>
                      <w:lang w:val="en-US" w:eastAsia="zh-CN"/>
                    </w:rPr>
                    <w:t>9.05</w:t>
                  </w:r>
                </w:p>
              </w:tc>
              <w:tc>
                <w:tcPr>
                  <w:tcW w:w="1414" w:type="pct"/>
                  <w:vMerge w:val="continue"/>
                  <w:noWrap w:val="0"/>
                  <w:vAlign w:val="center"/>
                </w:tcPr>
                <w:p>
                  <w:pPr>
                    <w:pStyle w:val="2"/>
                    <w:ind w:left="-31" w:leftChars="-15" w:right="-31" w:rightChars="-15"/>
                    <w:jc w:val="center"/>
                    <w:rPr>
                      <w:rFonts w:hint="eastAsia" w:ascii="Times New Roman" w:hAnsi="Times New Roman"/>
                      <w:color w:val="auto"/>
                      <w:sz w:val="18"/>
                      <w:szCs w:val="18"/>
                      <w:u w:val="single" w:color="auto"/>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85" w:type="dxa"/>
                  <w:bottom w:w="0" w:type="dxa"/>
                  <w:right w:w="85" w:type="dxa"/>
                </w:tblCellMar>
              </w:tblPrEx>
              <w:trPr>
                <w:trHeight w:val="348" w:hRule="atLeast"/>
              </w:trPr>
              <w:tc>
                <w:tcPr>
                  <w:tcW w:w="480" w:type="pct"/>
                  <w:vMerge w:val="continue"/>
                  <w:noWrap w:val="0"/>
                  <w:vAlign w:val="center"/>
                </w:tcPr>
                <w:p>
                  <w:pPr>
                    <w:pStyle w:val="61"/>
                    <w:ind w:left="-105" w:leftChars="-50" w:right="-105" w:rightChars="-50"/>
                    <w:rPr>
                      <w:color w:val="auto"/>
                      <w:sz w:val="20"/>
                      <w:u w:val="single" w:color="auto"/>
                    </w:rPr>
                  </w:pPr>
                </w:p>
              </w:tc>
              <w:tc>
                <w:tcPr>
                  <w:tcW w:w="1063" w:type="pct"/>
                  <w:vMerge w:val="continue"/>
                  <w:noWrap w:val="0"/>
                  <w:vAlign w:val="center"/>
                </w:tcPr>
                <w:p>
                  <w:pPr>
                    <w:pStyle w:val="61"/>
                    <w:ind w:left="-105" w:leftChars="-50" w:right="-105" w:rightChars="-50"/>
                    <w:rPr>
                      <w:color w:val="auto"/>
                      <w:sz w:val="20"/>
                      <w:u w:val="single" w:color="auto"/>
                    </w:rPr>
                  </w:pPr>
                </w:p>
              </w:tc>
              <w:tc>
                <w:tcPr>
                  <w:tcW w:w="627" w:type="pct"/>
                  <w:noWrap w:val="0"/>
                  <w:vAlign w:val="center"/>
                </w:tcPr>
                <w:p>
                  <w:pPr>
                    <w:pStyle w:val="61"/>
                    <w:ind w:left="-105" w:leftChars="-50" w:right="-105" w:rightChars="-50"/>
                    <w:rPr>
                      <w:color w:val="auto"/>
                      <w:sz w:val="20"/>
                      <w:u w:val="single" w:color="auto"/>
                    </w:rPr>
                  </w:pPr>
                  <w:r>
                    <w:rPr>
                      <w:color w:val="auto"/>
                      <w:sz w:val="20"/>
                      <w:u w:val="single" w:color="auto"/>
                    </w:rPr>
                    <w:t>氟化物</w:t>
                  </w:r>
                </w:p>
              </w:tc>
              <w:tc>
                <w:tcPr>
                  <w:tcW w:w="1414" w:type="pct"/>
                  <w:noWrap w:val="0"/>
                  <w:vAlign w:val="center"/>
                </w:tcPr>
                <w:p>
                  <w:pPr>
                    <w:pStyle w:val="2"/>
                    <w:ind w:left="-31" w:leftChars="-15" w:right="-31" w:rightChars="-15"/>
                    <w:jc w:val="center"/>
                    <w:rPr>
                      <w:rFonts w:hint="default" w:eastAsia="宋体"/>
                      <w:bCs/>
                      <w:color w:val="auto"/>
                      <w:sz w:val="20"/>
                      <w:u w:val="single" w:color="auto"/>
                      <w:lang w:val="en-US" w:eastAsia="zh-CN"/>
                    </w:rPr>
                  </w:pPr>
                  <w:r>
                    <w:rPr>
                      <w:rFonts w:hint="eastAsia" w:ascii="Times New Roman" w:hAnsi="Times New Roman"/>
                      <w:color w:val="auto"/>
                      <w:sz w:val="18"/>
                      <w:szCs w:val="18"/>
                      <w:u w:val="single" w:color="auto"/>
                      <w:lang w:val="en-US" w:eastAsia="zh-CN"/>
                    </w:rPr>
                    <w:t>0.49</w:t>
                  </w:r>
                </w:p>
              </w:tc>
              <w:tc>
                <w:tcPr>
                  <w:tcW w:w="1414" w:type="pct"/>
                  <w:vMerge w:val="continue"/>
                  <w:noWrap w:val="0"/>
                  <w:vAlign w:val="center"/>
                </w:tcPr>
                <w:p>
                  <w:pPr>
                    <w:pStyle w:val="2"/>
                    <w:ind w:left="-31" w:leftChars="-15" w:right="-31" w:rightChars="-15"/>
                    <w:jc w:val="center"/>
                    <w:rPr>
                      <w:rFonts w:hint="eastAsia" w:ascii="Times New Roman" w:hAnsi="Times New Roman"/>
                      <w:color w:val="auto"/>
                      <w:sz w:val="18"/>
                      <w:szCs w:val="18"/>
                      <w:u w:val="single" w:color="auto"/>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85" w:type="dxa"/>
                  <w:bottom w:w="0" w:type="dxa"/>
                  <w:right w:w="85" w:type="dxa"/>
                </w:tblCellMar>
              </w:tblPrEx>
              <w:trPr>
                <w:trHeight w:val="348" w:hRule="atLeast"/>
              </w:trPr>
              <w:tc>
                <w:tcPr>
                  <w:tcW w:w="480" w:type="pct"/>
                  <w:vMerge w:val="continue"/>
                  <w:noWrap w:val="0"/>
                  <w:vAlign w:val="center"/>
                </w:tcPr>
                <w:p>
                  <w:pPr>
                    <w:pStyle w:val="61"/>
                    <w:ind w:left="-105" w:leftChars="-50" w:right="-105" w:rightChars="-50"/>
                    <w:rPr>
                      <w:color w:val="auto"/>
                      <w:sz w:val="20"/>
                      <w:u w:val="single" w:color="auto"/>
                    </w:rPr>
                  </w:pPr>
                </w:p>
              </w:tc>
              <w:tc>
                <w:tcPr>
                  <w:tcW w:w="1063" w:type="pct"/>
                  <w:noWrap w:val="0"/>
                  <w:vAlign w:val="center"/>
                </w:tcPr>
                <w:p>
                  <w:pPr>
                    <w:spacing w:line="240" w:lineRule="atLeast"/>
                    <w:jc w:val="center"/>
                    <w:rPr>
                      <w:color w:val="auto"/>
                      <w:sz w:val="20"/>
                      <w:u w:val="single" w:color="auto"/>
                    </w:rPr>
                  </w:pPr>
                  <w:r>
                    <w:rPr>
                      <w:color w:val="auto"/>
                      <w:sz w:val="18"/>
                      <w:szCs w:val="18"/>
                      <w:u w:val="single" w:color="auto"/>
                    </w:rPr>
                    <w:t>原料堆场粉尘</w:t>
                  </w:r>
                </w:p>
              </w:tc>
              <w:tc>
                <w:tcPr>
                  <w:tcW w:w="627" w:type="pct"/>
                  <w:noWrap w:val="0"/>
                  <w:vAlign w:val="center"/>
                </w:tcPr>
                <w:p>
                  <w:pPr>
                    <w:ind w:left="-31" w:leftChars="-15" w:right="-31" w:rightChars="-15"/>
                    <w:jc w:val="center"/>
                    <w:rPr>
                      <w:color w:val="auto"/>
                      <w:sz w:val="20"/>
                      <w:u w:val="single" w:color="auto"/>
                    </w:rPr>
                  </w:pPr>
                  <w:r>
                    <w:rPr>
                      <w:color w:val="auto"/>
                      <w:sz w:val="18"/>
                      <w:szCs w:val="18"/>
                      <w:u w:val="single" w:color="auto"/>
                    </w:rPr>
                    <w:t>粉尘</w:t>
                  </w:r>
                </w:p>
              </w:tc>
              <w:tc>
                <w:tcPr>
                  <w:tcW w:w="1414" w:type="pct"/>
                  <w:noWrap w:val="0"/>
                  <w:vAlign w:val="center"/>
                </w:tcPr>
                <w:p>
                  <w:pPr>
                    <w:spacing w:line="240" w:lineRule="atLeast"/>
                    <w:jc w:val="center"/>
                    <w:rPr>
                      <w:rFonts w:hint="default" w:ascii="Times New Roman" w:hAnsi="Times New Roman" w:eastAsia="宋体"/>
                      <w:color w:val="auto"/>
                      <w:sz w:val="18"/>
                      <w:szCs w:val="18"/>
                      <w:u w:val="single" w:color="auto"/>
                      <w:lang w:val="en-US" w:eastAsia="zh-CN"/>
                    </w:rPr>
                  </w:pPr>
                  <w:r>
                    <w:rPr>
                      <w:color w:val="auto"/>
                      <w:sz w:val="18"/>
                      <w:szCs w:val="18"/>
                      <w:u w:val="single" w:color="auto"/>
                    </w:rPr>
                    <w:t>0.</w:t>
                  </w:r>
                  <w:r>
                    <w:rPr>
                      <w:rFonts w:hint="eastAsia"/>
                      <w:color w:val="auto"/>
                      <w:sz w:val="18"/>
                      <w:szCs w:val="18"/>
                      <w:u w:val="single" w:color="auto"/>
                      <w:lang w:val="en-US" w:eastAsia="zh-CN"/>
                    </w:rPr>
                    <w:t>648</w:t>
                  </w:r>
                </w:p>
              </w:tc>
              <w:tc>
                <w:tcPr>
                  <w:tcW w:w="1414" w:type="pct"/>
                  <w:vMerge w:val="continue"/>
                  <w:noWrap w:val="0"/>
                  <w:vAlign w:val="center"/>
                </w:tcPr>
                <w:p>
                  <w:pPr>
                    <w:spacing w:line="240" w:lineRule="atLeast"/>
                    <w:jc w:val="center"/>
                    <w:rPr>
                      <w:color w:val="auto"/>
                      <w:sz w:val="18"/>
                      <w:szCs w:val="18"/>
                      <w:u w:val="single" w:color="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85" w:type="dxa"/>
                  <w:bottom w:w="0" w:type="dxa"/>
                  <w:right w:w="85" w:type="dxa"/>
                </w:tblCellMar>
              </w:tblPrEx>
              <w:trPr>
                <w:trHeight w:val="348" w:hRule="atLeast"/>
              </w:trPr>
              <w:tc>
                <w:tcPr>
                  <w:tcW w:w="480" w:type="pct"/>
                  <w:vMerge w:val="continue"/>
                  <w:noWrap w:val="0"/>
                  <w:vAlign w:val="center"/>
                </w:tcPr>
                <w:p>
                  <w:pPr>
                    <w:pStyle w:val="61"/>
                    <w:ind w:left="-105" w:leftChars="-50" w:right="-105" w:rightChars="-50"/>
                    <w:rPr>
                      <w:color w:val="auto"/>
                      <w:sz w:val="20"/>
                      <w:u w:val="single" w:color="auto"/>
                    </w:rPr>
                  </w:pPr>
                </w:p>
              </w:tc>
              <w:tc>
                <w:tcPr>
                  <w:tcW w:w="1063" w:type="pct"/>
                  <w:noWrap w:val="0"/>
                  <w:vAlign w:val="center"/>
                </w:tcPr>
                <w:p>
                  <w:pPr>
                    <w:spacing w:line="240" w:lineRule="atLeast"/>
                    <w:jc w:val="center"/>
                    <w:rPr>
                      <w:color w:val="auto"/>
                      <w:sz w:val="20"/>
                      <w:u w:val="single" w:color="auto"/>
                    </w:rPr>
                  </w:pPr>
                  <w:r>
                    <w:rPr>
                      <w:color w:val="auto"/>
                      <w:sz w:val="18"/>
                      <w:szCs w:val="18"/>
                      <w:u w:val="single" w:color="auto"/>
                    </w:rPr>
                    <w:t>运输扬尘</w:t>
                  </w:r>
                </w:p>
              </w:tc>
              <w:tc>
                <w:tcPr>
                  <w:tcW w:w="627" w:type="pct"/>
                  <w:noWrap w:val="0"/>
                  <w:vAlign w:val="center"/>
                </w:tcPr>
                <w:p>
                  <w:pPr>
                    <w:ind w:left="-31" w:leftChars="-15" w:right="-31" w:rightChars="-15"/>
                    <w:jc w:val="center"/>
                    <w:rPr>
                      <w:color w:val="auto"/>
                      <w:sz w:val="20"/>
                      <w:u w:val="single" w:color="auto"/>
                    </w:rPr>
                  </w:pPr>
                  <w:r>
                    <w:rPr>
                      <w:color w:val="auto"/>
                      <w:sz w:val="18"/>
                      <w:szCs w:val="18"/>
                      <w:u w:val="single" w:color="auto"/>
                    </w:rPr>
                    <w:t>粉尘</w:t>
                  </w:r>
                </w:p>
              </w:tc>
              <w:tc>
                <w:tcPr>
                  <w:tcW w:w="1414" w:type="pct"/>
                  <w:noWrap w:val="0"/>
                  <w:vAlign w:val="center"/>
                </w:tcPr>
                <w:p>
                  <w:pPr>
                    <w:spacing w:line="240" w:lineRule="atLeast"/>
                    <w:jc w:val="center"/>
                    <w:rPr>
                      <w:rFonts w:hint="default" w:ascii="Times New Roman" w:hAnsi="Times New Roman" w:eastAsia="宋体"/>
                      <w:color w:val="auto"/>
                      <w:sz w:val="18"/>
                      <w:szCs w:val="18"/>
                      <w:u w:val="single" w:color="auto"/>
                      <w:lang w:val="en-US" w:eastAsia="zh-CN"/>
                    </w:rPr>
                  </w:pPr>
                  <w:r>
                    <w:rPr>
                      <w:rFonts w:hint="eastAsia"/>
                      <w:color w:val="auto"/>
                      <w:sz w:val="18"/>
                      <w:szCs w:val="18"/>
                      <w:u w:val="single" w:color="auto"/>
                      <w:lang w:val="en-US" w:eastAsia="zh-CN"/>
                    </w:rPr>
                    <w:t>0.2</w:t>
                  </w:r>
                </w:p>
              </w:tc>
              <w:tc>
                <w:tcPr>
                  <w:tcW w:w="1414" w:type="pct"/>
                  <w:vMerge w:val="continue"/>
                  <w:noWrap w:val="0"/>
                  <w:vAlign w:val="center"/>
                </w:tcPr>
                <w:p>
                  <w:pPr>
                    <w:spacing w:line="240" w:lineRule="atLeast"/>
                    <w:jc w:val="center"/>
                    <w:rPr>
                      <w:rFonts w:hint="eastAsia"/>
                      <w:color w:val="auto"/>
                      <w:sz w:val="18"/>
                      <w:szCs w:val="18"/>
                      <w:u w:val="single" w:color="auto"/>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85" w:type="dxa"/>
                  <w:bottom w:w="0" w:type="dxa"/>
                  <w:right w:w="85" w:type="dxa"/>
                </w:tblCellMar>
              </w:tblPrEx>
              <w:trPr>
                <w:trHeight w:val="348" w:hRule="atLeast"/>
              </w:trPr>
              <w:tc>
                <w:tcPr>
                  <w:tcW w:w="480" w:type="pct"/>
                  <w:vMerge w:val="restart"/>
                  <w:noWrap w:val="0"/>
                  <w:vAlign w:val="center"/>
                </w:tcPr>
                <w:p>
                  <w:pPr>
                    <w:pStyle w:val="61"/>
                    <w:ind w:left="-105" w:leftChars="-50" w:right="-105" w:rightChars="-50"/>
                    <w:rPr>
                      <w:color w:val="auto"/>
                      <w:sz w:val="20"/>
                      <w:u w:val="single" w:color="auto"/>
                    </w:rPr>
                  </w:pPr>
                  <w:r>
                    <w:rPr>
                      <w:color w:val="auto"/>
                      <w:sz w:val="20"/>
                      <w:u w:val="single" w:color="auto"/>
                    </w:rPr>
                    <w:t>固废</w:t>
                  </w:r>
                </w:p>
              </w:tc>
              <w:tc>
                <w:tcPr>
                  <w:tcW w:w="1690" w:type="pct"/>
                  <w:gridSpan w:val="2"/>
                  <w:noWrap w:val="0"/>
                  <w:vAlign w:val="center"/>
                </w:tcPr>
                <w:p>
                  <w:pPr>
                    <w:ind w:left="-31" w:leftChars="-15" w:right="-31" w:rightChars="-15"/>
                    <w:jc w:val="center"/>
                    <w:rPr>
                      <w:color w:val="auto"/>
                      <w:sz w:val="18"/>
                      <w:szCs w:val="18"/>
                      <w:u w:val="single" w:color="auto"/>
                    </w:rPr>
                  </w:pPr>
                  <w:r>
                    <w:rPr>
                      <w:color w:val="auto"/>
                      <w:sz w:val="18"/>
                      <w:szCs w:val="18"/>
                      <w:u w:val="single" w:color="auto"/>
                    </w:rPr>
                    <w:t>废砖坯、废砖块</w:t>
                  </w:r>
                </w:p>
              </w:tc>
              <w:tc>
                <w:tcPr>
                  <w:tcW w:w="1414" w:type="pct"/>
                  <w:noWrap w:val="0"/>
                  <w:vAlign w:val="center"/>
                </w:tcPr>
                <w:p>
                  <w:pPr>
                    <w:pStyle w:val="2"/>
                    <w:ind w:left="-31" w:leftChars="-15" w:right="-31" w:rightChars="-15"/>
                    <w:jc w:val="center"/>
                    <w:rPr>
                      <w:rFonts w:hint="default"/>
                      <w:color w:val="auto"/>
                      <w:sz w:val="18"/>
                      <w:szCs w:val="18"/>
                      <w:u w:val="single" w:color="auto"/>
                      <w:lang w:val="en-US"/>
                    </w:rPr>
                  </w:pPr>
                  <w:r>
                    <w:rPr>
                      <w:rFonts w:hint="eastAsia"/>
                      <w:color w:val="auto"/>
                      <w:sz w:val="18"/>
                      <w:szCs w:val="18"/>
                      <w:u w:val="single" w:color="auto"/>
                      <w:lang w:val="en-US" w:eastAsia="zh-CN"/>
                    </w:rPr>
                    <w:t>675</w:t>
                  </w:r>
                </w:p>
              </w:tc>
              <w:tc>
                <w:tcPr>
                  <w:tcW w:w="1414" w:type="pct"/>
                  <w:noWrap w:val="0"/>
                  <w:vAlign w:val="center"/>
                </w:tcPr>
                <w:p>
                  <w:pPr>
                    <w:pStyle w:val="2"/>
                    <w:ind w:left="-31" w:leftChars="-15" w:right="-31" w:rightChars="-15"/>
                    <w:jc w:val="center"/>
                    <w:rPr>
                      <w:rFonts w:hint="default" w:ascii="宋体" w:hAnsi="宋体"/>
                      <w:color w:val="auto"/>
                      <w:kern w:val="2"/>
                      <w:sz w:val="18"/>
                      <w:szCs w:val="18"/>
                      <w:u w:val="single" w:color="auto"/>
                      <w:lang w:val="en-US" w:eastAsia="zh-CN" w:bidi="ar-SA"/>
                    </w:rPr>
                  </w:pPr>
                  <w:r>
                    <w:rPr>
                      <w:rFonts w:hint="default" w:ascii="Times New Roman" w:hAnsi="Times New Roman"/>
                      <w:color w:val="auto"/>
                      <w:sz w:val="18"/>
                      <w:szCs w:val="18"/>
                      <w:u w:val="single" w:color="auto"/>
                    </w:rPr>
                    <w:t>回用于制砖</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85" w:type="dxa"/>
                  <w:bottom w:w="0" w:type="dxa"/>
                  <w:right w:w="85" w:type="dxa"/>
                </w:tblCellMar>
              </w:tblPrEx>
              <w:trPr>
                <w:trHeight w:val="348" w:hRule="atLeast"/>
              </w:trPr>
              <w:tc>
                <w:tcPr>
                  <w:tcW w:w="480" w:type="pct"/>
                  <w:vMerge w:val="continue"/>
                  <w:noWrap w:val="0"/>
                  <w:vAlign w:val="center"/>
                </w:tcPr>
                <w:p>
                  <w:pPr>
                    <w:pStyle w:val="61"/>
                    <w:ind w:left="-105" w:leftChars="-50" w:right="-105" w:rightChars="-50"/>
                    <w:rPr>
                      <w:color w:val="auto"/>
                      <w:sz w:val="20"/>
                      <w:u w:val="single" w:color="auto"/>
                    </w:rPr>
                  </w:pPr>
                </w:p>
              </w:tc>
              <w:tc>
                <w:tcPr>
                  <w:tcW w:w="1690" w:type="pct"/>
                  <w:gridSpan w:val="2"/>
                  <w:noWrap w:val="0"/>
                  <w:vAlign w:val="center"/>
                </w:tcPr>
                <w:p>
                  <w:pPr>
                    <w:ind w:left="-31" w:leftChars="-15" w:right="-31" w:rightChars="-15"/>
                    <w:jc w:val="center"/>
                    <w:rPr>
                      <w:color w:val="auto"/>
                      <w:sz w:val="18"/>
                      <w:szCs w:val="18"/>
                      <w:u w:val="single" w:color="auto"/>
                    </w:rPr>
                  </w:pPr>
                  <w:r>
                    <w:rPr>
                      <w:color w:val="auto"/>
                      <w:sz w:val="18"/>
                      <w:szCs w:val="18"/>
                      <w:u w:val="single" w:color="auto"/>
                    </w:rPr>
                    <w:t>脱硫除尘渣</w:t>
                  </w:r>
                </w:p>
              </w:tc>
              <w:tc>
                <w:tcPr>
                  <w:tcW w:w="1414" w:type="pct"/>
                  <w:noWrap w:val="0"/>
                  <w:vAlign w:val="center"/>
                </w:tcPr>
                <w:p>
                  <w:pPr>
                    <w:pStyle w:val="2"/>
                    <w:ind w:left="-31" w:leftChars="-15" w:right="-31" w:rightChars="-15"/>
                    <w:jc w:val="center"/>
                    <w:rPr>
                      <w:rFonts w:hint="default"/>
                      <w:color w:val="auto"/>
                      <w:sz w:val="18"/>
                      <w:szCs w:val="18"/>
                      <w:u w:val="single" w:color="auto"/>
                      <w:lang w:val="en-US"/>
                    </w:rPr>
                  </w:pPr>
                  <w:r>
                    <w:rPr>
                      <w:rFonts w:hint="eastAsia"/>
                      <w:color w:val="auto"/>
                      <w:sz w:val="18"/>
                      <w:szCs w:val="18"/>
                      <w:u w:val="single" w:color="auto"/>
                      <w:lang w:val="en-US" w:eastAsia="zh-CN"/>
                    </w:rPr>
                    <w:t>75</w:t>
                  </w:r>
                </w:p>
              </w:tc>
              <w:tc>
                <w:tcPr>
                  <w:tcW w:w="1414" w:type="pct"/>
                  <w:noWrap w:val="0"/>
                  <w:vAlign w:val="center"/>
                </w:tcPr>
                <w:p>
                  <w:pPr>
                    <w:pStyle w:val="2"/>
                    <w:ind w:left="-31" w:leftChars="-15" w:right="-31" w:rightChars="-15"/>
                    <w:jc w:val="center"/>
                    <w:rPr>
                      <w:rFonts w:hint="default" w:ascii="宋体" w:hAnsi="宋体"/>
                      <w:color w:val="auto"/>
                      <w:kern w:val="2"/>
                      <w:sz w:val="18"/>
                      <w:szCs w:val="18"/>
                      <w:u w:val="single" w:color="auto"/>
                      <w:lang w:val="en-US" w:eastAsia="zh-CN" w:bidi="ar-SA"/>
                    </w:rPr>
                  </w:pPr>
                  <w:r>
                    <w:rPr>
                      <w:rFonts w:hint="default" w:ascii="Times New Roman" w:hAnsi="Times New Roman"/>
                      <w:color w:val="auto"/>
                      <w:sz w:val="18"/>
                      <w:szCs w:val="18"/>
                      <w:u w:val="single" w:color="auto"/>
                    </w:rPr>
                    <w:t>回用于制砖</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85" w:type="dxa"/>
                  <w:bottom w:w="0" w:type="dxa"/>
                  <w:right w:w="85" w:type="dxa"/>
                </w:tblCellMar>
              </w:tblPrEx>
              <w:trPr>
                <w:trHeight w:val="348" w:hRule="atLeast"/>
              </w:trPr>
              <w:tc>
                <w:tcPr>
                  <w:tcW w:w="480" w:type="pct"/>
                  <w:vMerge w:val="continue"/>
                  <w:noWrap w:val="0"/>
                  <w:vAlign w:val="center"/>
                </w:tcPr>
                <w:p>
                  <w:pPr>
                    <w:pStyle w:val="61"/>
                    <w:ind w:left="-105" w:leftChars="-50" w:right="-105" w:rightChars="-50"/>
                    <w:rPr>
                      <w:color w:val="auto"/>
                      <w:sz w:val="20"/>
                      <w:u w:val="single" w:color="auto"/>
                    </w:rPr>
                  </w:pPr>
                </w:p>
              </w:tc>
              <w:tc>
                <w:tcPr>
                  <w:tcW w:w="1690" w:type="pct"/>
                  <w:gridSpan w:val="2"/>
                  <w:noWrap w:val="0"/>
                  <w:vAlign w:val="center"/>
                </w:tcPr>
                <w:p>
                  <w:pPr>
                    <w:ind w:left="-31" w:leftChars="-15" w:right="-31" w:rightChars="-15"/>
                    <w:jc w:val="center"/>
                    <w:rPr>
                      <w:color w:val="auto"/>
                      <w:sz w:val="18"/>
                      <w:szCs w:val="18"/>
                      <w:u w:val="single" w:color="auto"/>
                    </w:rPr>
                  </w:pPr>
                  <w:r>
                    <w:rPr>
                      <w:color w:val="auto"/>
                      <w:sz w:val="18"/>
                      <w:szCs w:val="18"/>
                      <w:u w:val="single" w:color="auto"/>
                    </w:rPr>
                    <w:t>布袋除尘灰</w:t>
                  </w:r>
                </w:p>
              </w:tc>
              <w:tc>
                <w:tcPr>
                  <w:tcW w:w="1414" w:type="pct"/>
                  <w:noWrap w:val="0"/>
                  <w:vAlign w:val="center"/>
                </w:tcPr>
                <w:p>
                  <w:pPr>
                    <w:pStyle w:val="2"/>
                    <w:ind w:left="-31" w:leftChars="-15" w:right="-31" w:rightChars="-15"/>
                    <w:jc w:val="center"/>
                    <w:rPr>
                      <w:rFonts w:hint="default" w:eastAsia="宋体"/>
                      <w:color w:val="auto"/>
                      <w:sz w:val="18"/>
                      <w:szCs w:val="18"/>
                      <w:u w:val="single" w:color="auto"/>
                      <w:lang w:val="en-US" w:eastAsia="zh-CN"/>
                    </w:rPr>
                  </w:pPr>
                  <w:r>
                    <w:rPr>
                      <w:rFonts w:hint="eastAsia"/>
                      <w:color w:val="auto"/>
                      <w:sz w:val="18"/>
                      <w:szCs w:val="18"/>
                      <w:u w:val="single" w:color="auto"/>
                      <w:lang w:val="en-US" w:eastAsia="zh-CN"/>
                    </w:rPr>
                    <w:t>25.68</w:t>
                  </w:r>
                </w:p>
              </w:tc>
              <w:tc>
                <w:tcPr>
                  <w:tcW w:w="1414" w:type="pct"/>
                  <w:noWrap w:val="0"/>
                  <w:vAlign w:val="center"/>
                </w:tcPr>
                <w:p>
                  <w:pPr>
                    <w:pStyle w:val="2"/>
                    <w:ind w:left="-31" w:leftChars="-15" w:right="-31" w:rightChars="-15"/>
                    <w:jc w:val="center"/>
                    <w:rPr>
                      <w:rFonts w:hint="default" w:ascii="宋体" w:hAnsi="宋体"/>
                      <w:color w:val="auto"/>
                      <w:kern w:val="2"/>
                      <w:sz w:val="18"/>
                      <w:szCs w:val="18"/>
                      <w:u w:val="single" w:color="auto"/>
                      <w:lang w:val="en-US" w:eastAsia="zh-CN" w:bidi="ar-SA"/>
                    </w:rPr>
                  </w:pPr>
                  <w:r>
                    <w:rPr>
                      <w:rFonts w:hint="default" w:ascii="Times New Roman" w:hAnsi="Times New Roman"/>
                      <w:color w:val="auto"/>
                      <w:sz w:val="18"/>
                      <w:szCs w:val="18"/>
                      <w:u w:val="single" w:color="auto"/>
                    </w:rPr>
                    <w:t>回用于制砖</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85" w:type="dxa"/>
                  <w:bottom w:w="0" w:type="dxa"/>
                  <w:right w:w="85" w:type="dxa"/>
                </w:tblCellMar>
              </w:tblPrEx>
              <w:trPr>
                <w:trHeight w:val="659" w:hRule="atLeast"/>
              </w:trPr>
              <w:tc>
                <w:tcPr>
                  <w:tcW w:w="480" w:type="pct"/>
                  <w:vMerge w:val="continue"/>
                  <w:noWrap w:val="0"/>
                  <w:vAlign w:val="center"/>
                </w:tcPr>
                <w:p>
                  <w:pPr>
                    <w:pStyle w:val="61"/>
                    <w:ind w:left="-105" w:leftChars="-50" w:right="-105" w:rightChars="-50"/>
                    <w:rPr>
                      <w:color w:val="auto"/>
                      <w:sz w:val="20"/>
                      <w:u w:val="single" w:color="auto"/>
                    </w:rPr>
                  </w:pPr>
                </w:p>
              </w:tc>
              <w:tc>
                <w:tcPr>
                  <w:tcW w:w="1690" w:type="pct"/>
                  <w:gridSpan w:val="2"/>
                  <w:shd w:val="clear" w:color="auto" w:fill="auto"/>
                  <w:noWrap w:val="0"/>
                  <w:vAlign w:val="center"/>
                </w:tcPr>
                <w:p>
                  <w:pPr>
                    <w:ind w:left="-31" w:leftChars="-15" w:right="-31" w:rightChars="-15"/>
                    <w:jc w:val="center"/>
                    <w:rPr>
                      <w:rFonts w:ascii="Times New Roman" w:hAnsi="Times New Roman" w:eastAsia="宋体" w:cs="Times New Roman"/>
                      <w:color w:val="auto"/>
                      <w:kern w:val="2"/>
                      <w:sz w:val="18"/>
                      <w:szCs w:val="18"/>
                      <w:u w:val="single" w:color="auto"/>
                      <w:lang w:val="en-US" w:eastAsia="zh-CN" w:bidi="ar-SA"/>
                    </w:rPr>
                  </w:pPr>
                  <w:r>
                    <w:rPr>
                      <w:color w:val="auto"/>
                      <w:sz w:val="18"/>
                      <w:szCs w:val="18"/>
                      <w:u w:val="single" w:color="auto"/>
                    </w:rPr>
                    <w:t>生活垃圾</w:t>
                  </w:r>
                </w:p>
              </w:tc>
              <w:tc>
                <w:tcPr>
                  <w:tcW w:w="1414" w:type="pct"/>
                  <w:shd w:val="clear" w:color="auto" w:fill="auto"/>
                  <w:noWrap w:val="0"/>
                  <w:vAlign w:val="center"/>
                </w:tcPr>
                <w:p>
                  <w:pPr>
                    <w:pStyle w:val="2"/>
                    <w:ind w:left="-31" w:leftChars="-15" w:right="-31" w:rightChars="-15"/>
                    <w:jc w:val="center"/>
                    <w:rPr>
                      <w:rFonts w:hint="default" w:ascii="宋体" w:hAnsi="宋体" w:eastAsia="宋体" w:cs="Times New Roman"/>
                      <w:color w:val="auto"/>
                      <w:kern w:val="2"/>
                      <w:sz w:val="18"/>
                      <w:szCs w:val="18"/>
                      <w:u w:val="single" w:color="auto"/>
                      <w:lang w:val="en-US" w:eastAsia="zh-CN" w:bidi="ar-SA"/>
                    </w:rPr>
                  </w:pPr>
                  <w:r>
                    <w:rPr>
                      <w:rFonts w:hint="eastAsia"/>
                      <w:color w:val="auto"/>
                      <w:sz w:val="18"/>
                      <w:szCs w:val="18"/>
                      <w:u w:val="single" w:color="auto"/>
                      <w:lang w:val="en-US" w:eastAsia="zh-CN"/>
                    </w:rPr>
                    <w:t>6.0</w:t>
                  </w:r>
                </w:p>
              </w:tc>
              <w:tc>
                <w:tcPr>
                  <w:tcW w:w="1414" w:type="pct"/>
                  <w:shd w:val="clear" w:color="auto" w:fill="auto"/>
                  <w:noWrap w:val="0"/>
                  <w:vAlign w:val="center"/>
                </w:tcPr>
                <w:p>
                  <w:pPr>
                    <w:pStyle w:val="2"/>
                    <w:ind w:left="-31" w:leftChars="-15" w:right="-31" w:rightChars="-15"/>
                    <w:jc w:val="center"/>
                    <w:rPr>
                      <w:rFonts w:hint="default" w:ascii="宋体" w:hAnsi="宋体" w:eastAsia="宋体" w:cs="Times New Roman"/>
                      <w:color w:val="auto"/>
                      <w:kern w:val="2"/>
                      <w:sz w:val="18"/>
                      <w:szCs w:val="18"/>
                      <w:u w:val="single" w:color="auto"/>
                      <w:lang w:val="en-US" w:eastAsia="zh-CN" w:bidi="ar-SA"/>
                    </w:rPr>
                  </w:pPr>
                  <w:r>
                    <w:rPr>
                      <w:rFonts w:hint="default" w:ascii="Times New Roman" w:hAnsi="Times New Roman"/>
                      <w:color w:val="auto"/>
                      <w:sz w:val="18"/>
                      <w:szCs w:val="18"/>
                      <w:u w:val="single" w:color="auto"/>
                    </w:rPr>
                    <w:t>环卫部门收集处理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85" w:type="dxa"/>
                  <w:bottom w:w="0" w:type="dxa"/>
                  <w:right w:w="85" w:type="dxa"/>
                </w:tblCellMar>
              </w:tblPrEx>
              <w:trPr>
                <w:trHeight w:val="659" w:hRule="atLeast"/>
              </w:trPr>
              <w:tc>
                <w:tcPr>
                  <w:tcW w:w="480" w:type="pct"/>
                  <w:vMerge w:val="continue"/>
                  <w:noWrap w:val="0"/>
                  <w:vAlign w:val="center"/>
                </w:tcPr>
                <w:p>
                  <w:pPr>
                    <w:pStyle w:val="61"/>
                    <w:ind w:left="-105" w:leftChars="-50" w:right="-105" w:rightChars="-50"/>
                    <w:rPr>
                      <w:color w:val="auto"/>
                      <w:sz w:val="20"/>
                      <w:u w:val="single" w:color="auto"/>
                    </w:rPr>
                  </w:pPr>
                </w:p>
              </w:tc>
              <w:tc>
                <w:tcPr>
                  <w:tcW w:w="1690" w:type="pct"/>
                  <w:gridSpan w:val="2"/>
                  <w:noWrap w:val="0"/>
                  <w:vAlign w:val="center"/>
                </w:tcPr>
                <w:p>
                  <w:pPr>
                    <w:ind w:left="-31" w:leftChars="-15" w:right="-31" w:rightChars="-15"/>
                    <w:jc w:val="center"/>
                    <w:rPr>
                      <w:rFonts w:hint="eastAsia" w:eastAsia="宋体"/>
                      <w:color w:val="auto"/>
                      <w:sz w:val="18"/>
                      <w:szCs w:val="18"/>
                      <w:u w:val="single" w:color="auto"/>
                      <w:lang w:val="en-US" w:eastAsia="zh-CN"/>
                    </w:rPr>
                  </w:pPr>
                  <w:r>
                    <w:rPr>
                      <w:rFonts w:hint="eastAsia"/>
                      <w:color w:val="auto"/>
                      <w:sz w:val="18"/>
                      <w:szCs w:val="18"/>
                      <w:u w:val="single" w:color="auto"/>
                      <w:lang w:val="en-US" w:eastAsia="zh-CN"/>
                    </w:rPr>
                    <w:t>废机油</w:t>
                  </w:r>
                </w:p>
              </w:tc>
              <w:tc>
                <w:tcPr>
                  <w:tcW w:w="1414" w:type="pct"/>
                  <w:noWrap w:val="0"/>
                  <w:vAlign w:val="center"/>
                </w:tcPr>
                <w:p>
                  <w:pPr>
                    <w:pStyle w:val="2"/>
                    <w:ind w:left="-31" w:leftChars="-15" w:right="-31" w:rightChars="-15"/>
                    <w:jc w:val="center"/>
                    <w:rPr>
                      <w:rFonts w:hint="default" w:eastAsia="宋体"/>
                      <w:color w:val="auto"/>
                      <w:sz w:val="18"/>
                      <w:szCs w:val="18"/>
                      <w:u w:val="single" w:color="auto"/>
                      <w:lang w:val="en-US" w:eastAsia="zh-CN"/>
                    </w:rPr>
                  </w:pPr>
                  <w:r>
                    <w:rPr>
                      <w:rFonts w:hint="eastAsia"/>
                      <w:color w:val="auto"/>
                      <w:sz w:val="18"/>
                      <w:szCs w:val="18"/>
                      <w:u w:val="single" w:color="auto"/>
                      <w:lang w:val="en-US" w:eastAsia="zh-CN"/>
                    </w:rPr>
                    <w:t>0.2</w:t>
                  </w:r>
                </w:p>
              </w:tc>
              <w:tc>
                <w:tcPr>
                  <w:tcW w:w="1414" w:type="pct"/>
                  <w:noWrap w:val="0"/>
                  <w:vAlign w:val="center"/>
                </w:tcPr>
                <w:p>
                  <w:pPr>
                    <w:pStyle w:val="2"/>
                    <w:ind w:left="-31" w:leftChars="-15" w:right="-31" w:rightChars="-15"/>
                    <w:jc w:val="center"/>
                    <w:rPr>
                      <w:rFonts w:hint="default" w:ascii="宋体" w:hAnsi="宋体"/>
                      <w:color w:val="auto"/>
                      <w:kern w:val="2"/>
                      <w:sz w:val="18"/>
                      <w:szCs w:val="18"/>
                      <w:u w:val="single" w:color="auto"/>
                      <w:lang w:val="en-US" w:eastAsia="zh-CN" w:bidi="ar-SA"/>
                    </w:rPr>
                  </w:pPr>
                  <w:r>
                    <w:rPr>
                      <w:rFonts w:hint="eastAsia"/>
                      <w:color w:val="auto"/>
                      <w:kern w:val="2"/>
                      <w:sz w:val="18"/>
                      <w:szCs w:val="18"/>
                      <w:u w:val="single" w:color="auto"/>
                      <w:lang w:val="en-US" w:eastAsia="zh-CN" w:bidi="ar-SA"/>
                    </w:rPr>
                    <w:t>危废间暂存，交由有资质单位处理</w:t>
                  </w:r>
                </w:p>
              </w:tc>
            </w:tr>
          </w:tbl>
          <w:p>
            <w:pPr>
              <w:numPr>
                <w:ilvl w:val="0"/>
                <w:numId w:val="4"/>
              </w:numPr>
              <w:spacing w:line="360" w:lineRule="auto"/>
              <w:ind w:left="0" w:leftChars="0" w:firstLine="0" w:firstLineChars="0"/>
              <w:rPr>
                <w:rFonts w:hint="eastAsia" w:ascii="Times New Roman" w:hAnsi="Times New Roman" w:cs="Times New Roman"/>
                <w:color w:val="auto"/>
                <w:sz w:val="24"/>
                <w:u w:val="single" w:color="auto"/>
                <w:lang w:val="en-US" w:eastAsia="zh-CN"/>
              </w:rPr>
            </w:pPr>
            <w:r>
              <w:rPr>
                <w:rFonts w:hint="eastAsia" w:cs="Times New Roman"/>
                <w:color w:val="auto"/>
                <w:sz w:val="24"/>
                <w:u w:val="single" w:color="auto"/>
                <w:lang w:val="en-US" w:eastAsia="zh-CN"/>
              </w:rPr>
              <w:t>依托</w:t>
            </w:r>
            <w:r>
              <w:rPr>
                <w:rFonts w:hint="eastAsia" w:ascii="Times New Roman" w:hAnsi="Times New Roman" w:cs="Times New Roman"/>
                <w:color w:val="auto"/>
                <w:sz w:val="24"/>
                <w:u w:val="single" w:color="auto"/>
                <w:lang w:val="en-US" w:eastAsia="zh-CN"/>
              </w:rPr>
              <w:t>项目现状及改进建议</w:t>
            </w:r>
          </w:p>
          <w:p>
            <w:pPr>
              <w:numPr>
                <w:ilvl w:val="0"/>
                <w:numId w:val="6"/>
              </w:numPr>
              <w:spacing w:line="360" w:lineRule="auto"/>
              <w:ind w:leftChars="0"/>
              <w:rPr>
                <w:rFonts w:hint="eastAsia" w:ascii="Times New Roman" w:hAnsi="Times New Roman" w:cs="Times New Roman"/>
                <w:color w:val="auto"/>
                <w:sz w:val="24"/>
                <w:u w:val="single" w:color="auto"/>
                <w:lang w:val="en-US" w:eastAsia="zh-CN"/>
              </w:rPr>
            </w:pPr>
            <w:r>
              <w:rPr>
                <w:rFonts w:hint="eastAsia" w:ascii="Times New Roman" w:hAnsi="Times New Roman" w:cs="Times New Roman"/>
                <w:color w:val="auto"/>
                <w:sz w:val="24"/>
                <w:u w:val="single" w:color="auto"/>
                <w:lang w:val="en-US" w:eastAsia="zh-CN"/>
              </w:rPr>
              <w:t>现状</w:t>
            </w:r>
          </w:p>
          <w:p>
            <w:pPr>
              <w:numPr>
                <w:ilvl w:val="0"/>
                <w:numId w:val="0"/>
              </w:numPr>
              <w:spacing w:line="360" w:lineRule="auto"/>
              <w:ind w:firstLine="480" w:firstLineChars="200"/>
              <w:rPr>
                <w:rFonts w:hint="eastAsia" w:cs="Times New Roman"/>
                <w:color w:val="auto"/>
                <w:sz w:val="24"/>
                <w:u w:val="single" w:color="auto"/>
                <w:lang w:val="en-US" w:eastAsia="zh-CN"/>
              </w:rPr>
            </w:pPr>
            <w:r>
              <w:rPr>
                <w:rFonts w:hint="eastAsia" w:ascii="Times New Roman" w:hAnsi="Times New Roman" w:cs="Times New Roman"/>
                <w:color w:val="auto"/>
                <w:sz w:val="24"/>
                <w:u w:val="single" w:color="auto"/>
                <w:lang w:val="en-US" w:eastAsia="zh-CN"/>
              </w:rPr>
              <w:t>根据</w:t>
            </w:r>
            <w:r>
              <w:rPr>
                <w:rFonts w:hint="eastAsia" w:cs="Times New Roman"/>
                <w:color w:val="auto"/>
                <w:sz w:val="24"/>
                <w:u w:val="single" w:color="auto"/>
                <w:lang w:val="en-US" w:eastAsia="zh-CN"/>
              </w:rPr>
              <w:t>依托</w:t>
            </w:r>
            <w:r>
              <w:rPr>
                <w:rFonts w:hint="eastAsia" w:ascii="Times New Roman" w:hAnsi="Times New Roman" w:cs="Times New Roman"/>
                <w:color w:val="auto"/>
                <w:sz w:val="24"/>
                <w:u w:val="single" w:color="auto"/>
                <w:lang w:val="en-US" w:eastAsia="zh-CN"/>
              </w:rPr>
              <w:t>项目2024年</w:t>
            </w:r>
            <w:r>
              <w:rPr>
                <w:rFonts w:hint="eastAsia" w:cs="Times New Roman"/>
                <w:color w:val="auto"/>
                <w:sz w:val="24"/>
                <w:u w:val="single" w:color="auto"/>
                <w:lang w:val="en-US" w:eastAsia="zh-CN"/>
              </w:rPr>
              <w:t>9</w:t>
            </w:r>
            <w:r>
              <w:rPr>
                <w:rFonts w:hint="eastAsia" w:ascii="Times New Roman" w:hAnsi="Times New Roman" w:cs="Times New Roman"/>
                <w:color w:val="auto"/>
                <w:sz w:val="24"/>
                <w:u w:val="single" w:color="auto"/>
                <w:lang w:val="en-US" w:eastAsia="zh-CN"/>
              </w:rPr>
              <w:t>月</w:t>
            </w:r>
            <w:r>
              <w:rPr>
                <w:rFonts w:hint="eastAsia" w:cs="Times New Roman"/>
                <w:color w:val="auto"/>
                <w:sz w:val="24"/>
                <w:u w:val="single" w:color="auto"/>
                <w:lang w:val="en-US" w:eastAsia="zh-CN"/>
              </w:rPr>
              <w:t>12</w:t>
            </w:r>
            <w:r>
              <w:rPr>
                <w:rFonts w:hint="eastAsia" w:ascii="Times New Roman" w:hAnsi="Times New Roman" w:cs="Times New Roman"/>
                <w:color w:val="auto"/>
                <w:sz w:val="24"/>
                <w:u w:val="single" w:color="auto"/>
                <w:lang w:val="en-US" w:eastAsia="zh-CN"/>
              </w:rPr>
              <w:t>日由湖南</w:t>
            </w:r>
            <w:r>
              <w:rPr>
                <w:rFonts w:hint="eastAsia" w:cs="Times New Roman"/>
                <w:color w:val="auto"/>
                <w:sz w:val="24"/>
                <w:u w:val="single" w:color="auto"/>
                <w:lang w:val="en-US" w:eastAsia="zh-CN"/>
              </w:rPr>
              <w:t>精科</w:t>
            </w:r>
            <w:r>
              <w:rPr>
                <w:rFonts w:hint="eastAsia" w:ascii="Times New Roman" w:hAnsi="Times New Roman" w:cs="Times New Roman"/>
                <w:color w:val="auto"/>
                <w:sz w:val="24"/>
                <w:u w:val="single" w:color="auto"/>
                <w:lang w:val="en-US" w:eastAsia="zh-CN"/>
              </w:rPr>
              <w:t>检测有限公司采样</w:t>
            </w:r>
            <w:r>
              <w:rPr>
                <w:rFonts w:hint="eastAsia" w:cs="Times New Roman"/>
                <w:color w:val="auto"/>
                <w:sz w:val="24"/>
                <w:u w:val="single" w:color="auto"/>
                <w:lang w:val="en-US" w:eastAsia="zh-CN"/>
              </w:rPr>
              <w:t>监测结果：</w:t>
            </w:r>
          </w:p>
          <w:p>
            <w:pPr>
              <w:pStyle w:val="15"/>
              <w:keepNext w:val="0"/>
              <w:keepLines w:val="0"/>
              <w:pageBreakBefore w:val="0"/>
              <w:kinsoku/>
              <w:wordWrap/>
              <w:overflowPunct/>
              <w:topLinePunct w:val="0"/>
              <w:bidi w:val="0"/>
              <w:spacing w:before="0" w:after="0" w:line="360" w:lineRule="auto"/>
              <w:ind w:right="0" w:firstLine="480" w:firstLineChars="200"/>
              <w:textAlignment w:val="auto"/>
              <w:rPr>
                <w:rFonts w:hint="eastAsia" w:ascii="宋体" w:hAnsi="宋体" w:eastAsia="宋体" w:cs="宋体"/>
                <w:color w:val="auto"/>
                <w:sz w:val="24"/>
                <w:highlight w:val="none"/>
                <w:u w:val="single" w:color="auto"/>
                <w:lang w:val="en-US" w:eastAsia="zh-CN"/>
              </w:rPr>
            </w:pPr>
            <w:r>
              <w:rPr>
                <w:rFonts w:hint="eastAsia" w:ascii="宋体" w:hAnsi="宋体" w:eastAsia="宋体" w:cs="宋体"/>
                <w:color w:val="auto"/>
                <w:sz w:val="24"/>
                <w:highlight w:val="none"/>
                <w:u w:val="single" w:color="auto"/>
                <w:lang w:val="en-US" w:eastAsia="zh-CN"/>
              </w:rPr>
              <w:t>有组织废气：项目隧道窑废气排气筒中监测因子二氧化硫</w:t>
            </w:r>
            <w:r>
              <w:rPr>
                <w:rFonts w:hint="eastAsia" w:ascii="宋体" w:hAnsi="宋体" w:cs="宋体"/>
                <w:color w:val="auto"/>
                <w:sz w:val="24"/>
                <w:highlight w:val="none"/>
                <w:u w:val="single" w:color="auto"/>
                <w:lang w:val="en-US" w:eastAsia="zh-CN"/>
              </w:rPr>
              <w:t>、</w:t>
            </w:r>
            <w:r>
              <w:rPr>
                <w:rFonts w:hint="eastAsia" w:ascii="宋体" w:hAnsi="宋体" w:eastAsia="宋体" w:cs="宋体"/>
                <w:color w:val="auto"/>
                <w:sz w:val="24"/>
                <w:highlight w:val="none"/>
                <w:u w:val="single" w:color="auto"/>
                <w:lang w:val="en-US" w:eastAsia="zh-CN"/>
              </w:rPr>
              <w:t>颗粒物、氮氧化物、氟化物的监测结果的折算浓度最大值为</w:t>
            </w:r>
            <w:r>
              <w:rPr>
                <w:rFonts w:hint="eastAsia" w:ascii="宋体" w:hAnsi="宋体" w:cs="宋体"/>
                <w:color w:val="auto"/>
                <w:sz w:val="24"/>
                <w:highlight w:val="none"/>
                <w:u w:val="single" w:color="auto"/>
                <w:lang w:val="en-US" w:eastAsia="zh-CN"/>
              </w:rPr>
              <w:t>16</w:t>
            </w:r>
            <w:r>
              <w:rPr>
                <w:rFonts w:hint="eastAsia" w:ascii="宋体" w:hAnsi="宋体" w:eastAsia="宋体" w:cs="宋体"/>
                <w:color w:val="auto"/>
                <w:sz w:val="24"/>
                <w:highlight w:val="none"/>
                <w:u w:val="single" w:color="auto"/>
                <w:lang w:val="en-US" w:eastAsia="zh-CN"/>
              </w:rPr>
              <w:t>mg/m</w:t>
            </w:r>
            <w:r>
              <w:rPr>
                <w:rFonts w:hint="eastAsia" w:ascii="宋体" w:hAnsi="宋体" w:eastAsia="宋体" w:cs="宋体"/>
                <w:color w:val="auto"/>
                <w:sz w:val="24"/>
                <w:highlight w:val="none"/>
                <w:u w:val="single" w:color="auto"/>
                <w:vertAlign w:val="superscript"/>
                <w:lang w:val="en-US" w:eastAsia="zh-CN"/>
              </w:rPr>
              <w:t>3</w:t>
            </w:r>
            <w:r>
              <w:rPr>
                <w:rFonts w:hint="eastAsia" w:ascii="宋体" w:hAnsi="宋体" w:eastAsia="宋体" w:cs="宋体"/>
                <w:color w:val="auto"/>
                <w:sz w:val="24"/>
                <w:highlight w:val="none"/>
                <w:u w:val="single" w:color="auto"/>
                <w:lang w:val="en-US" w:eastAsia="zh-CN"/>
              </w:rPr>
              <w:t>、</w:t>
            </w:r>
            <w:r>
              <w:rPr>
                <w:rFonts w:hint="eastAsia" w:ascii="宋体" w:hAnsi="宋体" w:cs="宋体"/>
                <w:color w:val="auto"/>
                <w:sz w:val="24"/>
                <w:highlight w:val="none"/>
                <w:u w:val="single" w:color="auto"/>
                <w:lang w:val="en-US" w:eastAsia="zh-CN"/>
              </w:rPr>
              <w:t>11.9</w:t>
            </w:r>
            <w:r>
              <w:rPr>
                <w:rFonts w:hint="eastAsia" w:ascii="宋体" w:hAnsi="宋体" w:eastAsia="宋体" w:cs="宋体"/>
                <w:color w:val="auto"/>
                <w:sz w:val="24"/>
                <w:highlight w:val="none"/>
                <w:u w:val="single" w:color="auto"/>
                <w:lang w:val="en-US" w:eastAsia="zh-CN"/>
              </w:rPr>
              <w:t>mg/m</w:t>
            </w:r>
            <w:r>
              <w:rPr>
                <w:rFonts w:hint="eastAsia" w:ascii="宋体" w:hAnsi="宋体" w:eastAsia="宋体" w:cs="宋体"/>
                <w:color w:val="auto"/>
                <w:sz w:val="24"/>
                <w:highlight w:val="none"/>
                <w:u w:val="single" w:color="auto"/>
                <w:vertAlign w:val="superscript"/>
                <w:lang w:val="en-US" w:eastAsia="zh-CN"/>
              </w:rPr>
              <w:t>3</w:t>
            </w:r>
            <w:r>
              <w:rPr>
                <w:rFonts w:hint="eastAsia" w:ascii="宋体" w:hAnsi="宋体" w:eastAsia="宋体" w:cs="宋体"/>
                <w:color w:val="auto"/>
                <w:sz w:val="24"/>
                <w:highlight w:val="none"/>
                <w:u w:val="single" w:color="auto"/>
                <w:lang w:val="en-US" w:eastAsia="zh-CN"/>
              </w:rPr>
              <w:t>、</w:t>
            </w:r>
            <w:r>
              <w:rPr>
                <w:rFonts w:hint="eastAsia" w:ascii="宋体" w:hAnsi="宋体" w:cs="宋体"/>
                <w:color w:val="auto"/>
                <w:sz w:val="24"/>
                <w:highlight w:val="none"/>
                <w:u w:val="single" w:color="auto"/>
                <w:lang w:val="en-US" w:eastAsia="zh-CN"/>
              </w:rPr>
              <w:t>48</w:t>
            </w:r>
            <w:r>
              <w:rPr>
                <w:rFonts w:hint="eastAsia" w:ascii="宋体" w:hAnsi="宋体" w:eastAsia="宋体" w:cs="宋体"/>
                <w:color w:val="auto"/>
                <w:sz w:val="24"/>
                <w:highlight w:val="none"/>
                <w:u w:val="single" w:color="auto"/>
                <w:lang w:val="en-US" w:eastAsia="zh-CN"/>
              </w:rPr>
              <w:t>mg/m</w:t>
            </w:r>
            <w:r>
              <w:rPr>
                <w:rFonts w:hint="eastAsia" w:ascii="宋体" w:hAnsi="宋体" w:eastAsia="宋体" w:cs="宋体"/>
                <w:color w:val="auto"/>
                <w:sz w:val="24"/>
                <w:highlight w:val="none"/>
                <w:u w:val="single" w:color="auto"/>
                <w:vertAlign w:val="superscript"/>
                <w:lang w:val="en-US" w:eastAsia="zh-CN"/>
              </w:rPr>
              <w:t>3</w:t>
            </w:r>
            <w:r>
              <w:rPr>
                <w:rFonts w:hint="eastAsia" w:ascii="宋体" w:hAnsi="宋体" w:cs="宋体"/>
                <w:color w:val="auto"/>
                <w:sz w:val="24"/>
                <w:highlight w:val="none"/>
                <w:u w:val="single" w:color="auto"/>
                <w:vertAlign w:val="baseline"/>
                <w:lang w:val="en-US" w:eastAsia="zh-CN"/>
              </w:rPr>
              <w:t>、1.15</w:t>
            </w:r>
            <w:r>
              <w:rPr>
                <w:rFonts w:hint="eastAsia" w:ascii="宋体" w:hAnsi="宋体" w:eastAsia="宋体" w:cs="宋体"/>
                <w:color w:val="auto"/>
                <w:sz w:val="24"/>
                <w:highlight w:val="none"/>
                <w:u w:val="single" w:color="auto"/>
                <w:lang w:val="en-US" w:eastAsia="zh-CN"/>
              </w:rPr>
              <w:t>mg/m</w:t>
            </w:r>
            <w:r>
              <w:rPr>
                <w:rFonts w:hint="eastAsia" w:ascii="宋体" w:hAnsi="宋体" w:eastAsia="宋体" w:cs="宋体"/>
                <w:color w:val="auto"/>
                <w:sz w:val="24"/>
                <w:highlight w:val="none"/>
                <w:u w:val="single" w:color="auto"/>
                <w:vertAlign w:val="superscript"/>
                <w:lang w:val="en-US" w:eastAsia="zh-CN"/>
              </w:rPr>
              <w:t>3</w:t>
            </w:r>
            <w:r>
              <w:rPr>
                <w:rFonts w:hint="eastAsia" w:ascii="宋体" w:hAnsi="宋体" w:eastAsia="宋体" w:cs="宋体"/>
                <w:color w:val="auto"/>
                <w:sz w:val="24"/>
                <w:highlight w:val="none"/>
                <w:u w:val="single" w:color="auto"/>
                <w:lang w:val="en-US" w:eastAsia="zh-CN"/>
              </w:rPr>
              <w:t>，项目</w:t>
            </w:r>
            <w:r>
              <w:rPr>
                <w:rFonts w:hint="eastAsia" w:ascii="宋体" w:hAnsi="宋体" w:cs="宋体"/>
                <w:color w:val="auto"/>
                <w:sz w:val="24"/>
                <w:highlight w:val="none"/>
                <w:u w:val="single" w:color="auto"/>
                <w:lang w:val="en-US" w:eastAsia="zh-CN"/>
              </w:rPr>
              <w:t>隧道窑</w:t>
            </w:r>
            <w:r>
              <w:rPr>
                <w:rFonts w:hint="eastAsia" w:ascii="宋体" w:hAnsi="宋体" w:eastAsia="宋体" w:cs="宋体"/>
                <w:color w:val="auto"/>
                <w:sz w:val="24"/>
                <w:highlight w:val="none"/>
                <w:u w:val="single" w:color="auto"/>
                <w:lang w:val="en-US" w:eastAsia="zh-CN"/>
              </w:rPr>
              <w:t>排气筒有组织废气排放监测结果符合《砖瓦工业大气污染物排放标准》（GB29620-2013）及其修改单表2中的标准要求。</w:t>
            </w:r>
            <w:r>
              <w:rPr>
                <w:rFonts w:hint="eastAsia" w:ascii="Times New Roman" w:hAnsi="Times New Roman" w:eastAsia="宋体" w:cs="Times New Roman"/>
                <w:color w:val="auto"/>
                <w:sz w:val="24"/>
                <w:highlight w:val="none"/>
                <w:u w:val="single" w:color="auto"/>
                <w:lang w:val="en-US" w:eastAsia="zh-CN"/>
              </w:rPr>
              <w:t>此外，湖南省已颁布《工业炉窑主要大气污染物排放标准》（DB43/3082-2024），砖瓦工业现有企业自2025年9月25日起执行。根据上述监测结果，原项目</w:t>
            </w:r>
            <w:r>
              <w:rPr>
                <w:rFonts w:hint="eastAsia" w:ascii="Times New Roman" w:hAnsi="Times New Roman" w:cs="Times New Roman"/>
                <w:color w:val="auto"/>
                <w:sz w:val="24"/>
                <w:highlight w:val="none"/>
                <w:u w:val="single" w:color="auto"/>
                <w:lang w:val="en-US" w:eastAsia="zh-CN"/>
              </w:rPr>
              <w:t>脱硫塔排气筒</w:t>
            </w:r>
            <w:r>
              <w:rPr>
                <w:rFonts w:hint="eastAsia" w:ascii="Times New Roman" w:hAnsi="Times New Roman" w:eastAsia="宋体" w:cs="Times New Roman"/>
                <w:color w:val="auto"/>
                <w:sz w:val="24"/>
                <w:highlight w:val="none"/>
                <w:u w:val="single" w:color="auto"/>
                <w:lang w:val="en-US" w:eastAsia="zh-CN"/>
              </w:rPr>
              <w:t>颗粒物、二氧化硫和氮氧化物排放浓度未超过DB43/3082-2024中提到的排放浓度限值（颗粒物20</w:t>
            </w:r>
            <w:r>
              <w:rPr>
                <w:rFonts w:hint="default" w:ascii="Times New Roman" w:hAnsi="Times New Roman" w:eastAsia="宋体" w:cs="Times New Roman"/>
                <w:color w:val="auto"/>
                <w:sz w:val="24"/>
                <w:highlight w:val="none"/>
                <w:u w:val="single" w:color="auto"/>
                <w:lang w:val="en-US" w:eastAsia="zh-CN"/>
              </w:rPr>
              <w:t>mg/m</w:t>
            </w:r>
            <w:r>
              <w:rPr>
                <w:rFonts w:hint="default" w:ascii="Times New Roman" w:hAnsi="Times New Roman" w:eastAsia="宋体" w:cs="Times New Roman"/>
                <w:color w:val="auto"/>
                <w:sz w:val="24"/>
                <w:highlight w:val="none"/>
                <w:u w:val="single" w:color="auto"/>
                <w:vertAlign w:val="superscript"/>
                <w:lang w:val="en-US" w:eastAsia="zh-CN"/>
              </w:rPr>
              <w:t>3</w:t>
            </w:r>
            <w:r>
              <w:rPr>
                <w:rFonts w:hint="default" w:ascii="Times New Roman" w:hAnsi="Times New Roman" w:eastAsia="宋体" w:cs="Times New Roman"/>
                <w:color w:val="auto"/>
                <w:sz w:val="24"/>
                <w:highlight w:val="none"/>
                <w:u w:val="single" w:color="auto"/>
                <w:lang w:val="en-US" w:eastAsia="zh-CN"/>
              </w:rPr>
              <w:t>，</w:t>
            </w:r>
            <w:r>
              <w:rPr>
                <w:rFonts w:hint="eastAsia" w:ascii="Times New Roman" w:hAnsi="Times New Roman" w:eastAsia="宋体" w:cs="Times New Roman"/>
                <w:color w:val="auto"/>
                <w:sz w:val="24"/>
                <w:highlight w:val="none"/>
                <w:u w:val="single" w:color="auto"/>
                <w:lang w:val="en-US" w:eastAsia="zh-CN"/>
              </w:rPr>
              <w:t>二氧化硫50</w:t>
            </w:r>
            <w:r>
              <w:rPr>
                <w:rFonts w:hint="default" w:ascii="Times New Roman" w:hAnsi="Times New Roman" w:eastAsia="宋体" w:cs="Times New Roman"/>
                <w:color w:val="auto"/>
                <w:sz w:val="24"/>
                <w:highlight w:val="none"/>
                <w:u w:val="single" w:color="auto"/>
                <w:lang w:val="en-US" w:eastAsia="zh-CN"/>
              </w:rPr>
              <w:t>mg/m</w:t>
            </w:r>
            <w:r>
              <w:rPr>
                <w:rFonts w:hint="default" w:ascii="Times New Roman" w:hAnsi="Times New Roman" w:eastAsia="宋体" w:cs="Times New Roman"/>
                <w:color w:val="auto"/>
                <w:sz w:val="24"/>
                <w:highlight w:val="none"/>
                <w:u w:val="single" w:color="auto"/>
                <w:vertAlign w:val="superscript"/>
                <w:lang w:val="en-US" w:eastAsia="zh-CN"/>
              </w:rPr>
              <w:t>3</w:t>
            </w:r>
            <w:r>
              <w:rPr>
                <w:rFonts w:hint="default" w:ascii="Times New Roman" w:hAnsi="Times New Roman" w:eastAsia="宋体" w:cs="Times New Roman"/>
                <w:color w:val="auto"/>
                <w:sz w:val="24"/>
                <w:highlight w:val="none"/>
                <w:u w:val="single" w:color="auto"/>
                <w:lang w:val="en-US" w:eastAsia="zh-CN"/>
              </w:rPr>
              <w:t>，</w:t>
            </w:r>
            <w:r>
              <w:rPr>
                <w:rFonts w:hint="eastAsia" w:ascii="Times New Roman" w:hAnsi="Times New Roman" w:eastAsia="宋体" w:cs="Times New Roman"/>
                <w:color w:val="auto"/>
                <w:sz w:val="24"/>
                <w:highlight w:val="none"/>
                <w:u w:val="single" w:color="auto"/>
                <w:lang w:val="en-US" w:eastAsia="zh-CN"/>
              </w:rPr>
              <w:t>氮氧化物100</w:t>
            </w:r>
            <w:r>
              <w:rPr>
                <w:rFonts w:hint="default" w:ascii="Times New Roman" w:hAnsi="Times New Roman" w:eastAsia="宋体" w:cs="Times New Roman"/>
                <w:color w:val="auto"/>
                <w:sz w:val="24"/>
                <w:highlight w:val="none"/>
                <w:u w:val="single" w:color="auto"/>
                <w:lang w:val="en-US" w:eastAsia="zh-CN"/>
              </w:rPr>
              <w:t>mg/m</w:t>
            </w:r>
            <w:r>
              <w:rPr>
                <w:rFonts w:hint="default" w:ascii="Times New Roman" w:hAnsi="Times New Roman" w:eastAsia="宋体" w:cs="Times New Roman"/>
                <w:color w:val="auto"/>
                <w:sz w:val="24"/>
                <w:highlight w:val="none"/>
                <w:u w:val="single" w:color="auto"/>
                <w:vertAlign w:val="superscript"/>
                <w:lang w:val="en-US" w:eastAsia="zh-CN"/>
              </w:rPr>
              <w:t>3</w:t>
            </w:r>
            <w:r>
              <w:rPr>
                <w:rFonts w:hint="eastAsia" w:ascii="Times New Roman" w:hAnsi="Times New Roman" w:eastAsia="宋体" w:cs="Times New Roman"/>
                <w:color w:val="auto"/>
                <w:sz w:val="24"/>
                <w:highlight w:val="none"/>
                <w:u w:val="single" w:color="auto"/>
                <w:lang w:val="en-US" w:eastAsia="zh-CN"/>
              </w:rPr>
              <w:t>）。</w:t>
            </w:r>
          </w:p>
          <w:p>
            <w:pPr>
              <w:pStyle w:val="15"/>
              <w:keepNext w:val="0"/>
              <w:keepLines w:val="0"/>
              <w:pageBreakBefore w:val="0"/>
              <w:kinsoku/>
              <w:wordWrap/>
              <w:overflowPunct/>
              <w:topLinePunct w:val="0"/>
              <w:bidi w:val="0"/>
              <w:spacing w:before="0" w:after="0" w:line="360" w:lineRule="auto"/>
              <w:ind w:right="0" w:firstLine="480" w:firstLineChars="200"/>
              <w:textAlignment w:val="auto"/>
              <w:rPr>
                <w:rFonts w:hint="eastAsia"/>
                <w:color w:val="auto"/>
                <w:u w:val="single" w:color="auto"/>
                <w:lang w:val="en-US" w:eastAsia="zh-CN"/>
              </w:rPr>
            </w:pPr>
            <w:r>
              <w:rPr>
                <w:rFonts w:hint="eastAsia" w:ascii="Times New Roman" w:hAnsi="Times New Roman" w:eastAsia="宋体" w:cs="Times New Roman"/>
                <w:color w:val="auto"/>
                <w:sz w:val="24"/>
                <w:u w:val="single" w:color="auto"/>
                <w:lang w:eastAsia="zh-CN"/>
              </w:rPr>
              <w:t>噪声：监测期间厂界东、南、西、北侧4个监测点的昼噪声均未超过《工业企业厂界环境噪声排放标准》（GB12348-2008）中2类标准限值</w:t>
            </w:r>
            <w:r>
              <w:rPr>
                <w:rFonts w:hint="eastAsia" w:ascii="Times New Roman" w:hAnsi="Times New Roman" w:cs="Times New Roman"/>
                <w:color w:val="auto"/>
                <w:sz w:val="24"/>
                <w:u w:val="single" w:color="auto"/>
                <w:lang w:eastAsia="zh-CN"/>
              </w:rPr>
              <w:t>。</w:t>
            </w:r>
          </w:p>
          <w:p>
            <w:pPr>
              <w:numPr>
                <w:ilvl w:val="0"/>
                <w:numId w:val="0"/>
              </w:numPr>
              <w:spacing w:line="360" w:lineRule="auto"/>
              <w:ind w:firstLine="480" w:firstLineChars="200"/>
              <w:rPr>
                <w:rFonts w:hint="eastAsia" w:ascii="Times New Roman" w:hAnsi="Times New Roman" w:cs="Times New Roman"/>
                <w:color w:val="auto"/>
                <w:sz w:val="24"/>
                <w:u w:val="single" w:color="auto"/>
                <w:lang w:val="en-US" w:eastAsia="zh-CN"/>
              </w:rPr>
            </w:pPr>
            <w:r>
              <w:rPr>
                <w:rFonts w:hint="eastAsia" w:cs="Times New Roman"/>
                <w:color w:val="auto"/>
                <w:sz w:val="24"/>
                <w:u w:val="single" w:color="auto"/>
                <w:lang w:val="en-US" w:eastAsia="zh-CN"/>
              </w:rPr>
              <w:t>依托</w:t>
            </w:r>
            <w:r>
              <w:rPr>
                <w:rFonts w:hint="eastAsia" w:ascii="Times New Roman" w:hAnsi="Times New Roman" w:cs="Times New Roman"/>
                <w:color w:val="auto"/>
                <w:sz w:val="24"/>
                <w:u w:val="single" w:color="auto"/>
                <w:lang w:val="en-US" w:eastAsia="zh-CN"/>
              </w:rPr>
              <w:t>项目对周围环境影响较小。</w:t>
            </w:r>
            <w:r>
              <w:rPr>
                <w:rFonts w:hint="eastAsia" w:cs="Times New Roman"/>
                <w:color w:val="auto"/>
                <w:sz w:val="24"/>
                <w:u w:val="single" w:color="auto"/>
                <w:lang w:val="en-US" w:eastAsia="zh-CN"/>
              </w:rPr>
              <w:t>依托</w:t>
            </w:r>
            <w:r>
              <w:rPr>
                <w:rFonts w:hint="eastAsia" w:ascii="Times New Roman" w:hAnsi="Times New Roman" w:cs="Times New Roman"/>
                <w:color w:val="auto"/>
                <w:sz w:val="24"/>
                <w:u w:val="single" w:color="auto"/>
                <w:lang w:val="en-US" w:eastAsia="zh-CN"/>
              </w:rPr>
              <w:t>项目工程基本落实环境影响评价报告的各项要求，根据监测</w:t>
            </w:r>
            <w:r>
              <w:rPr>
                <w:rFonts w:hint="eastAsia" w:cs="Times New Roman"/>
                <w:color w:val="auto"/>
                <w:sz w:val="24"/>
                <w:u w:val="single" w:color="auto"/>
                <w:lang w:val="en-US" w:eastAsia="zh-CN"/>
              </w:rPr>
              <w:t>结果</w:t>
            </w:r>
            <w:r>
              <w:rPr>
                <w:rFonts w:hint="eastAsia" w:ascii="Times New Roman" w:hAnsi="Times New Roman" w:cs="Times New Roman"/>
                <w:color w:val="auto"/>
                <w:sz w:val="24"/>
                <w:u w:val="single" w:color="auto"/>
                <w:lang w:val="en-US" w:eastAsia="zh-CN"/>
              </w:rPr>
              <w:t>显示废水、废气、噪声均达到了国家各项污染物排放标准，各类环保设施也按照要求建设到位。</w:t>
            </w:r>
          </w:p>
          <w:p>
            <w:pPr>
              <w:numPr>
                <w:ilvl w:val="0"/>
                <w:numId w:val="6"/>
              </w:numPr>
              <w:spacing w:line="360" w:lineRule="auto"/>
              <w:ind w:left="0" w:leftChars="0" w:firstLine="0" w:firstLineChars="0"/>
              <w:rPr>
                <w:rFonts w:hint="eastAsia" w:ascii="Times New Roman" w:hAnsi="Times New Roman" w:cs="Times New Roman"/>
                <w:color w:val="auto"/>
                <w:sz w:val="24"/>
                <w:u w:val="single" w:color="auto"/>
                <w:lang w:val="en-US" w:eastAsia="zh-CN"/>
              </w:rPr>
            </w:pPr>
            <w:r>
              <w:rPr>
                <w:rFonts w:hint="eastAsia" w:cs="Times New Roman"/>
                <w:color w:val="auto"/>
                <w:sz w:val="24"/>
                <w:u w:val="single" w:color="auto"/>
                <w:lang w:val="en-US" w:eastAsia="zh-CN"/>
              </w:rPr>
              <w:t>改进建议</w:t>
            </w:r>
          </w:p>
          <w:p>
            <w:pPr>
              <w:pStyle w:val="2"/>
              <w:keepNext w:val="0"/>
              <w:keepLines w:val="0"/>
              <w:pageBreakBefore w:val="0"/>
              <w:numPr>
                <w:ilvl w:val="0"/>
                <w:numId w:val="0"/>
              </w:numPr>
              <w:kinsoku/>
              <w:wordWrap/>
              <w:overflowPunct/>
              <w:topLinePunct w:val="0"/>
              <w:bidi w:val="0"/>
              <w:spacing w:line="360" w:lineRule="auto"/>
              <w:ind w:right="0" w:firstLine="480" w:firstLineChars="200"/>
              <w:textAlignment w:val="auto"/>
              <w:rPr>
                <w:rFonts w:hint="default" w:ascii="Times New Roman" w:hAnsi="Times New Roman" w:eastAsia="宋体" w:cs="Times New Roman"/>
                <w:color w:val="auto"/>
                <w:sz w:val="24"/>
                <w:u w:val="single" w:color="auto"/>
                <w:lang w:eastAsia="zh-CN"/>
              </w:rPr>
            </w:pPr>
            <w:r>
              <w:rPr>
                <w:rFonts w:hint="default" w:ascii="Times New Roman" w:hAnsi="Times New Roman" w:eastAsia="宋体" w:cs="Times New Roman"/>
                <w:color w:val="auto"/>
                <w:sz w:val="24"/>
                <w:u w:val="single" w:color="auto"/>
                <w:lang w:eastAsia="zh-CN"/>
              </w:rPr>
              <w:t>①加强环保设施的运行管理与维护，确保污染物得到有效处理。</w:t>
            </w:r>
          </w:p>
          <w:p>
            <w:pPr>
              <w:pStyle w:val="2"/>
              <w:keepNext w:val="0"/>
              <w:keepLines w:val="0"/>
              <w:pageBreakBefore w:val="0"/>
              <w:numPr>
                <w:ilvl w:val="0"/>
                <w:numId w:val="0"/>
              </w:numPr>
              <w:kinsoku/>
              <w:wordWrap/>
              <w:overflowPunct/>
              <w:topLinePunct w:val="0"/>
              <w:bidi w:val="0"/>
              <w:spacing w:line="360" w:lineRule="auto"/>
              <w:ind w:right="0" w:firstLine="480" w:firstLineChars="200"/>
              <w:textAlignment w:val="auto"/>
              <w:rPr>
                <w:rFonts w:hint="default" w:ascii="Times New Roman" w:hAnsi="Times New Roman" w:eastAsia="宋体" w:cs="Times New Roman"/>
                <w:color w:val="auto"/>
                <w:sz w:val="24"/>
                <w:u w:val="single" w:color="auto"/>
                <w:lang w:eastAsia="zh-CN"/>
              </w:rPr>
            </w:pPr>
            <w:r>
              <w:rPr>
                <w:rFonts w:hint="default" w:ascii="Times New Roman" w:hAnsi="Times New Roman" w:eastAsia="宋体" w:cs="Times New Roman"/>
                <w:color w:val="auto"/>
                <w:sz w:val="24"/>
                <w:u w:val="single" w:color="auto"/>
                <w:lang w:eastAsia="zh-CN"/>
              </w:rPr>
              <w:t>②加强日常监测，确保污染物长期、稳定达标排放；定期委托环境监测部门对周边环境进行监测，掌握污染动态。</w:t>
            </w:r>
          </w:p>
          <w:p>
            <w:pPr>
              <w:pStyle w:val="2"/>
              <w:keepNext w:val="0"/>
              <w:keepLines w:val="0"/>
              <w:pageBreakBefore w:val="0"/>
              <w:numPr>
                <w:ilvl w:val="0"/>
                <w:numId w:val="0"/>
              </w:numPr>
              <w:kinsoku/>
              <w:wordWrap/>
              <w:overflowPunct/>
              <w:topLinePunct w:val="0"/>
              <w:bidi w:val="0"/>
              <w:spacing w:line="360" w:lineRule="auto"/>
              <w:ind w:right="0" w:firstLine="480" w:firstLineChars="200"/>
              <w:textAlignment w:val="auto"/>
              <w:rPr>
                <w:rFonts w:hint="default" w:ascii="Times New Roman" w:hAnsi="Times New Roman" w:eastAsia="宋体" w:cs="Times New Roman"/>
                <w:color w:val="auto"/>
                <w:sz w:val="24"/>
                <w:u w:val="single" w:color="auto"/>
                <w:lang w:eastAsia="zh-CN"/>
              </w:rPr>
            </w:pPr>
            <w:r>
              <w:rPr>
                <w:rFonts w:hint="default" w:ascii="Times New Roman" w:hAnsi="Times New Roman" w:eastAsia="宋体" w:cs="Times New Roman"/>
                <w:color w:val="auto"/>
                <w:sz w:val="24"/>
                <w:u w:val="single" w:color="auto"/>
                <w:lang w:eastAsia="zh-CN"/>
              </w:rPr>
              <w:t>③加强内部环境管理，定期开展人员培训，宣贯国家环境保护法、环境保护方针和政策。</w:t>
            </w:r>
          </w:p>
          <w:p>
            <w:pPr>
              <w:pStyle w:val="2"/>
              <w:keepNext w:val="0"/>
              <w:keepLines w:val="0"/>
              <w:pageBreakBefore w:val="0"/>
              <w:numPr>
                <w:ilvl w:val="0"/>
                <w:numId w:val="0"/>
              </w:numPr>
              <w:kinsoku/>
              <w:wordWrap/>
              <w:overflowPunct/>
              <w:topLinePunct w:val="0"/>
              <w:bidi w:val="0"/>
              <w:spacing w:line="360" w:lineRule="auto"/>
              <w:ind w:right="0" w:firstLine="480" w:firstLineChars="200"/>
              <w:textAlignment w:val="auto"/>
              <w:rPr>
                <w:rFonts w:hint="default" w:ascii="Times New Roman" w:hAnsi="Times New Roman" w:eastAsia="宋体" w:cs="Times New Roman"/>
                <w:color w:val="auto"/>
                <w:sz w:val="24"/>
                <w:u w:val="single" w:color="auto"/>
                <w:lang w:val="en-US" w:eastAsia="zh-CN"/>
              </w:rPr>
            </w:pPr>
            <w:r>
              <w:rPr>
                <w:rFonts w:hint="eastAsia" w:ascii="Times New Roman" w:hAnsi="Times New Roman" w:eastAsia="宋体" w:cs="Times New Roman"/>
                <w:color w:val="auto"/>
                <w:sz w:val="24"/>
                <w:u w:val="single" w:color="auto"/>
                <w:lang w:eastAsia="zh-CN"/>
              </w:rPr>
              <w:t>④</w:t>
            </w:r>
            <w:r>
              <w:rPr>
                <w:rFonts w:hint="eastAsia" w:ascii="Times New Roman" w:hAnsi="Times New Roman" w:eastAsia="宋体" w:cs="Times New Roman"/>
                <w:color w:val="auto"/>
                <w:sz w:val="24"/>
                <w:u w:val="single" w:color="auto"/>
                <w:lang w:val="en-US" w:eastAsia="zh-CN"/>
              </w:rPr>
              <w:t>改进隧道窑烟气处理措施，</w:t>
            </w:r>
            <w:r>
              <w:rPr>
                <w:rFonts w:hint="eastAsia" w:ascii="Times New Roman" w:hAnsi="Times New Roman" w:cs="Times New Roman"/>
                <w:color w:val="auto"/>
                <w:sz w:val="24"/>
                <w:u w:val="single" w:color="auto"/>
                <w:lang w:val="en-US" w:eastAsia="zh-CN"/>
              </w:rPr>
              <w:t>采用双碱法处理隧道窑烧结烟气</w:t>
            </w:r>
            <w:r>
              <w:rPr>
                <w:rFonts w:hint="eastAsia" w:ascii="Times New Roman" w:hAnsi="Times New Roman" w:eastAsia="宋体" w:cs="Times New Roman"/>
                <w:color w:val="auto"/>
                <w:sz w:val="24"/>
                <w:u w:val="single" w:color="auto"/>
                <w:lang w:val="en-US" w:eastAsia="zh-CN"/>
              </w:rPr>
              <w:t>，提高烟气处理效率，确保达标排放。</w:t>
            </w:r>
          </w:p>
          <w:p>
            <w:pPr>
              <w:adjustRightInd w:val="0"/>
              <w:snapToGrid w:val="0"/>
              <w:rPr>
                <w:bCs/>
                <w:color w:val="auto"/>
                <w:sz w:val="24"/>
                <w:u w:val="none" w:color="auto"/>
              </w:rPr>
            </w:pPr>
          </w:p>
        </w:tc>
      </w:tr>
    </w:tbl>
    <w:p>
      <w:pPr>
        <w:pStyle w:val="26"/>
        <w:jc w:val="center"/>
        <w:rPr>
          <w:rFonts w:ascii="Times New Roman" w:hAnsi="Times New Roman" w:eastAsia="黑体"/>
          <w:snapToGrid w:val="0"/>
          <w:color w:val="FF0000"/>
          <w:sz w:val="36"/>
          <w:szCs w:val="36"/>
          <w:u w:val="none"/>
        </w:rPr>
        <w:sectPr>
          <w:pgSz w:w="11906" w:h="16838"/>
          <w:pgMar w:top="1440" w:right="1417" w:bottom="1440" w:left="1417" w:header="851" w:footer="850" w:gutter="0"/>
          <w:pgBorders>
            <w:top w:val="none" w:sz="0" w:space="0"/>
            <w:left w:val="none" w:sz="0" w:space="0"/>
            <w:bottom w:val="none" w:sz="0" w:space="0"/>
            <w:right w:val="none" w:sz="0" w:space="0"/>
          </w:pgBorders>
          <w:pgNumType w:fmt="decimal"/>
          <w:cols w:space="720" w:num="1"/>
          <w:docGrid w:type="lines" w:linePitch="312" w:charSpace="0"/>
        </w:sectPr>
      </w:pPr>
    </w:p>
    <w:p>
      <w:pPr>
        <w:pStyle w:val="26"/>
        <w:spacing w:before="0" w:beforeAutospacing="0" w:after="0" w:afterAutospacing="0"/>
        <w:jc w:val="center"/>
        <w:outlineLvl w:val="0"/>
        <w:rPr>
          <w:rFonts w:ascii="Times New Roman" w:hAnsi="Times New Roman" w:eastAsia="黑体"/>
          <w:snapToGrid w:val="0"/>
          <w:color w:val="000000"/>
          <w:sz w:val="30"/>
          <w:szCs w:val="30"/>
          <w:u w:val="none"/>
        </w:rPr>
      </w:pPr>
      <w:bookmarkStart w:id="6" w:name="_Toc603"/>
      <w:r>
        <w:rPr>
          <w:rFonts w:hint="eastAsia" w:ascii="Times New Roman" w:hAnsi="Times New Roman" w:eastAsia="黑体"/>
          <w:snapToGrid w:val="0"/>
          <w:color w:val="000000"/>
          <w:sz w:val="30"/>
          <w:szCs w:val="30"/>
          <w:u w:val="none"/>
        </w:rPr>
        <w:t>三、区域环境质量现状、环境保护目标及评价标准</w:t>
      </w:r>
      <w:bookmarkEnd w:id="6"/>
    </w:p>
    <w:tbl>
      <w:tblPr>
        <w:tblStyle w:val="30"/>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07"/>
        <w:gridCol w:w="8264"/>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906" w:hRule="atLeast"/>
          <w:jc w:val="center"/>
        </w:trPr>
        <w:tc>
          <w:tcPr>
            <w:tcW w:w="807" w:type="dxa"/>
            <w:noWrap w:val="0"/>
            <w:vAlign w:val="center"/>
          </w:tcPr>
          <w:p>
            <w:pPr>
              <w:adjustRightInd w:val="0"/>
              <w:snapToGrid w:val="0"/>
              <w:jc w:val="center"/>
              <w:rPr>
                <w:color w:val="000000"/>
                <w:kern w:val="0"/>
                <w:sz w:val="24"/>
                <w:u w:val="none"/>
              </w:rPr>
            </w:pPr>
            <w:r>
              <w:rPr>
                <w:color w:val="000000"/>
                <w:kern w:val="0"/>
                <w:sz w:val="24"/>
                <w:u w:val="none"/>
              </w:rPr>
              <w:t>区域</w:t>
            </w:r>
          </w:p>
          <w:p>
            <w:pPr>
              <w:adjustRightInd w:val="0"/>
              <w:snapToGrid w:val="0"/>
              <w:jc w:val="center"/>
              <w:rPr>
                <w:color w:val="000000"/>
                <w:kern w:val="0"/>
                <w:sz w:val="24"/>
                <w:u w:val="none"/>
              </w:rPr>
            </w:pPr>
            <w:r>
              <w:rPr>
                <w:color w:val="000000"/>
                <w:kern w:val="0"/>
                <w:sz w:val="24"/>
                <w:u w:val="none"/>
              </w:rPr>
              <w:t>环境</w:t>
            </w:r>
          </w:p>
          <w:p>
            <w:pPr>
              <w:adjustRightInd w:val="0"/>
              <w:snapToGrid w:val="0"/>
              <w:jc w:val="center"/>
              <w:rPr>
                <w:color w:val="000000"/>
                <w:kern w:val="0"/>
                <w:sz w:val="24"/>
                <w:u w:val="none"/>
              </w:rPr>
            </w:pPr>
            <w:r>
              <w:rPr>
                <w:color w:val="000000"/>
                <w:kern w:val="0"/>
                <w:sz w:val="24"/>
                <w:u w:val="none"/>
              </w:rPr>
              <w:t>质量</w:t>
            </w:r>
          </w:p>
          <w:p>
            <w:pPr>
              <w:adjustRightInd w:val="0"/>
              <w:snapToGrid w:val="0"/>
              <w:jc w:val="center"/>
              <w:rPr>
                <w:color w:val="000000"/>
                <w:kern w:val="0"/>
                <w:szCs w:val="21"/>
                <w:u w:val="none"/>
              </w:rPr>
            </w:pPr>
            <w:r>
              <w:rPr>
                <w:color w:val="000000"/>
                <w:kern w:val="0"/>
                <w:sz w:val="24"/>
                <w:u w:val="none"/>
              </w:rPr>
              <w:t>现状</w:t>
            </w:r>
          </w:p>
        </w:tc>
        <w:tc>
          <w:tcPr>
            <w:tcW w:w="8264" w:type="dxa"/>
            <w:noWrap w:val="0"/>
            <w:vAlign w:val="center"/>
          </w:tcPr>
          <w:p>
            <w:pPr>
              <w:spacing w:line="360" w:lineRule="auto"/>
              <w:ind w:firstLine="482" w:firstLineChars="200"/>
              <w:rPr>
                <w:color w:val="000000"/>
                <w:sz w:val="24"/>
                <w:u w:val="none"/>
              </w:rPr>
            </w:pPr>
            <w:r>
              <w:rPr>
                <w:b/>
                <w:bCs/>
                <w:color w:val="000000"/>
                <w:sz w:val="24"/>
                <w:u w:val="none"/>
              </w:rPr>
              <w:t>1大气环境质量现状</w:t>
            </w:r>
          </w:p>
          <w:p>
            <w:pPr>
              <w:spacing w:line="360" w:lineRule="auto"/>
              <w:ind w:firstLine="480" w:firstLineChars="200"/>
              <w:rPr>
                <w:color w:val="000000"/>
                <w:sz w:val="24"/>
                <w:u w:val="none"/>
              </w:rPr>
            </w:pPr>
            <w:r>
              <w:rPr>
                <w:color w:val="000000"/>
                <w:sz w:val="24"/>
                <w:u w:val="none"/>
              </w:rPr>
              <w:t>（1）达标区判定</w:t>
            </w:r>
          </w:p>
          <w:p>
            <w:pPr>
              <w:spacing w:line="360" w:lineRule="auto"/>
              <w:ind w:firstLine="480" w:firstLineChars="200"/>
              <w:rPr>
                <w:color w:val="000000"/>
                <w:sz w:val="24"/>
                <w:u w:val="none"/>
              </w:rPr>
            </w:pPr>
            <w:r>
              <w:rPr>
                <w:color w:val="000000"/>
                <w:sz w:val="24"/>
                <w:u w:val="none"/>
              </w:rPr>
              <w:t>根据《环境影响评价技术导则-大气环境》（HJ2.2-2018），项目所在区域达标判定，优先采用国家或地方生态环境主管部门公开发布的评价基准年环境质量公告或环境质量报告中的数据或结论，本次环评收集了衡阳市生态环境局发布的环境状况公报《关于202</w:t>
            </w:r>
            <w:r>
              <w:rPr>
                <w:rFonts w:hint="eastAsia"/>
                <w:color w:val="000000"/>
                <w:sz w:val="24"/>
                <w:u w:val="none"/>
                <w:lang w:val="en-US" w:eastAsia="zh-CN"/>
              </w:rPr>
              <w:t>4</w:t>
            </w:r>
            <w:r>
              <w:rPr>
                <w:color w:val="000000"/>
                <w:sz w:val="24"/>
                <w:u w:val="none"/>
              </w:rPr>
              <w:t>年12月及1-12月全市环境质量状况的通报》中</w:t>
            </w:r>
            <w:r>
              <w:rPr>
                <w:rFonts w:hint="eastAsia"/>
                <w:color w:val="000000"/>
                <w:sz w:val="24"/>
                <w:u w:val="none"/>
                <w:lang w:eastAsia="zh-CN"/>
              </w:rPr>
              <w:t>衡阳县</w:t>
            </w:r>
            <w:r>
              <w:rPr>
                <w:color w:val="000000"/>
                <w:sz w:val="24"/>
                <w:u w:val="none"/>
              </w:rPr>
              <w:t>的基本污染物环境质量现状数据。202</w:t>
            </w:r>
            <w:r>
              <w:rPr>
                <w:rFonts w:hint="eastAsia"/>
                <w:color w:val="000000"/>
                <w:sz w:val="24"/>
                <w:u w:val="none"/>
                <w:lang w:val="en-US" w:eastAsia="zh-CN"/>
              </w:rPr>
              <w:t>4</w:t>
            </w:r>
            <w:r>
              <w:rPr>
                <w:color w:val="000000"/>
                <w:sz w:val="24"/>
                <w:u w:val="none"/>
              </w:rPr>
              <w:t>年度衡</w:t>
            </w:r>
            <w:r>
              <w:rPr>
                <w:rFonts w:hint="eastAsia"/>
                <w:color w:val="000000"/>
                <w:sz w:val="24"/>
                <w:u w:val="none"/>
                <w:lang w:val="en-US" w:eastAsia="zh-CN"/>
              </w:rPr>
              <w:t>阳</w:t>
            </w:r>
            <w:r>
              <w:rPr>
                <w:color w:val="000000"/>
                <w:sz w:val="24"/>
                <w:u w:val="none"/>
              </w:rPr>
              <w:t>县环境空气质量统计情况见表3-1。（数据来源网址：http://sthjj.hengyang.gov.cn）</w:t>
            </w:r>
          </w:p>
          <w:p>
            <w:pPr>
              <w:pStyle w:val="66"/>
              <w:spacing w:line="360" w:lineRule="auto"/>
              <w:jc w:val="center"/>
              <w:rPr>
                <w:b/>
                <w:bCs/>
                <w:color w:val="000000"/>
                <w:sz w:val="21"/>
                <w:u w:val="none"/>
              </w:rPr>
            </w:pPr>
            <w:r>
              <w:rPr>
                <w:b/>
                <w:bCs/>
                <w:color w:val="000000"/>
                <w:sz w:val="21"/>
                <w:u w:val="none"/>
              </w:rPr>
              <w:t>表3-1202</w:t>
            </w:r>
            <w:r>
              <w:rPr>
                <w:rFonts w:hint="eastAsia"/>
                <w:b/>
                <w:bCs/>
                <w:color w:val="000000"/>
                <w:sz w:val="21"/>
                <w:u w:val="none"/>
                <w:lang w:val="en-US" w:eastAsia="zh-CN"/>
              </w:rPr>
              <w:t>4</w:t>
            </w:r>
            <w:r>
              <w:rPr>
                <w:b/>
                <w:bCs/>
                <w:color w:val="000000"/>
                <w:sz w:val="21"/>
                <w:u w:val="none"/>
              </w:rPr>
              <w:t>年度衡</w:t>
            </w:r>
            <w:r>
              <w:rPr>
                <w:rFonts w:hint="eastAsia"/>
                <w:b/>
                <w:bCs/>
                <w:color w:val="000000"/>
                <w:sz w:val="21"/>
                <w:u w:val="none"/>
                <w:lang w:val="en-US" w:eastAsia="zh-CN"/>
              </w:rPr>
              <w:t>阳</w:t>
            </w:r>
            <w:r>
              <w:rPr>
                <w:b/>
                <w:bCs/>
                <w:color w:val="000000"/>
                <w:sz w:val="21"/>
                <w:u w:val="none"/>
              </w:rPr>
              <w:t>县环境空气质量状况统计表</w:t>
            </w:r>
          </w:p>
          <w:tbl>
            <w:tblPr>
              <w:tblStyle w:val="30"/>
              <w:tblW w:w="4998" w:type="pct"/>
              <w:tblInd w:w="0" w:type="dxa"/>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Layout w:type="fixed"/>
              <w:tblCellMar>
                <w:top w:w="0" w:type="dxa"/>
                <w:left w:w="108" w:type="dxa"/>
                <w:bottom w:w="0" w:type="dxa"/>
                <w:right w:w="108" w:type="dxa"/>
              </w:tblCellMar>
            </w:tblPr>
            <w:tblGrid>
              <w:gridCol w:w="931"/>
              <w:gridCol w:w="1760"/>
              <w:gridCol w:w="1665"/>
              <w:gridCol w:w="1667"/>
              <w:gridCol w:w="1145"/>
              <w:gridCol w:w="847"/>
            </w:tblGrid>
            <w:tr>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trHeight w:val="454" w:hRule="atLeast"/>
              </w:trPr>
              <w:tc>
                <w:tcPr>
                  <w:tcW w:w="580" w:type="pct"/>
                  <w:tcBorders>
                    <w:tl2br w:val="nil"/>
                    <w:tr2bl w:val="nil"/>
                  </w:tcBorders>
                  <w:noWrap w:val="0"/>
                  <w:vAlign w:val="center"/>
                </w:tcPr>
                <w:p>
                  <w:pPr>
                    <w:keepNext w:val="0"/>
                    <w:keepLines w:val="0"/>
                    <w:pageBreakBefore w:val="0"/>
                    <w:wordWrap/>
                    <w:overflowPunct/>
                    <w:topLinePunct w:val="0"/>
                    <w:bidi w:val="0"/>
                    <w:adjustRightInd/>
                    <w:snapToGrid/>
                    <w:spacing w:line="240" w:lineRule="auto"/>
                    <w:ind w:firstLine="0" w:firstLineChars="0"/>
                    <w:jc w:val="center"/>
                    <w:rPr>
                      <w:b/>
                      <w:bCs/>
                      <w:kern w:val="0"/>
                      <w:sz w:val="18"/>
                      <w:szCs w:val="18"/>
                    </w:rPr>
                  </w:pPr>
                  <w:r>
                    <w:rPr>
                      <w:b/>
                      <w:bCs/>
                      <w:kern w:val="0"/>
                      <w:sz w:val="18"/>
                      <w:szCs w:val="18"/>
                    </w:rPr>
                    <w:t>序号</w:t>
                  </w:r>
                </w:p>
              </w:tc>
              <w:tc>
                <w:tcPr>
                  <w:tcW w:w="1097" w:type="pct"/>
                  <w:tcBorders>
                    <w:tl2br w:val="nil"/>
                    <w:tr2bl w:val="nil"/>
                  </w:tcBorders>
                  <w:noWrap w:val="0"/>
                  <w:vAlign w:val="center"/>
                </w:tcPr>
                <w:p>
                  <w:pPr>
                    <w:keepNext w:val="0"/>
                    <w:keepLines w:val="0"/>
                    <w:pageBreakBefore w:val="0"/>
                    <w:wordWrap/>
                    <w:overflowPunct/>
                    <w:topLinePunct w:val="0"/>
                    <w:bidi w:val="0"/>
                    <w:adjustRightInd/>
                    <w:snapToGrid/>
                    <w:spacing w:line="240" w:lineRule="auto"/>
                    <w:ind w:firstLine="0" w:firstLineChars="0"/>
                    <w:jc w:val="center"/>
                    <w:rPr>
                      <w:b/>
                      <w:bCs/>
                      <w:kern w:val="0"/>
                      <w:sz w:val="18"/>
                      <w:szCs w:val="18"/>
                    </w:rPr>
                  </w:pPr>
                  <w:r>
                    <w:rPr>
                      <w:b/>
                      <w:bCs/>
                      <w:kern w:val="0"/>
                      <w:sz w:val="18"/>
                      <w:szCs w:val="18"/>
                    </w:rPr>
                    <w:t>年评价指标</w:t>
                  </w:r>
                </w:p>
              </w:tc>
              <w:tc>
                <w:tcPr>
                  <w:tcW w:w="1038" w:type="pct"/>
                  <w:tcBorders>
                    <w:tl2br w:val="nil"/>
                    <w:tr2bl w:val="nil"/>
                  </w:tcBorders>
                  <w:noWrap w:val="0"/>
                  <w:vAlign w:val="center"/>
                </w:tcPr>
                <w:p>
                  <w:pPr>
                    <w:keepNext w:val="0"/>
                    <w:keepLines w:val="0"/>
                    <w:pageBreakBefore w:val="0"/>
                    <w:wordWrap/>
                    <w:overflowPunct/>
                    <w:topLinePunct w:val="0"/>
                    <w:bidi w:val="0"/>
                    <w:adjustRightInd/>
                    <w:snapToGrid/>
                    <w:spacing w:line="240" w:lineRule="auto"/>
                    <w:ind w:firstLine="0" w:firstLineChars="0"/>
                    <w:jc w:val="center"/>
                    <w:rPr>
                      <w:b/>
                      <w:bCs/>
                      <w:kern w:val="0"/>
                      <w:sz w:val="18"/>
                      <w:szCs w:val="18"/>
                    </w:rPr>
                  </w:pPr>
                  <w:r>
                    <w:rPr>
                      <w:rFonts w:hint="eastAsia"/>
                      <w:b/>
                      <w:bCs/>
                      <w:kern w:val="0"/>
                      <w:sz w:val="18"/>
                      <w:szCs w:val="18"/>
                      <w:lang w:val="en-US" w:eastAsia="zh-CN"/>
                    </w:rPr>
                    <w:t>平均</w:t>
                  </w:r>
                  <w:r>
                    <w:rPr>
                      <w:b/>
                      <w:bCs/>
                      <w:kern w:val="0"/>
                      <w:sz w:val="18"/>
                      <w:szCs w:val="18"/>
                    </w:rPr>
                    <w:t>值</w:t>
                  </w:r>
                </w:p>
              </w:tc>
              <w:tc>
                <w:tcPr>
                  <w:tcW w:w="1039" w:type="pct"/>
                  <w:tcBorders>
                    <w:tl2br w:val="nil"/>
                    <w:tr2bl w:val="nil"/>
                  </w:tcBorders>
                  <w:noWrap w:val="0"/>
                  <w:vAlign w:val="center"/>
                </w:tcPr>
                <w:p>
                  <w:pPr>
                    <w:keepNext w:val="0"/>
                    <w:keepLines w:val="0"/>
                    <w:pageBreakBefore w:val="0"/>
                    <w:wordWrap/>
                    <w:overflowPunct/>
                    <w:topLinePunct w:val="0"/>
                    <w:bidi w:val="0"/>
                    <w:adjustRightInd/>
                    <w:snapToGrid/>
                    <w:spacing w:line="240" w:lineRule="auto"/>
                    <w:ind w:firstLine="0" w:firstLineChars="0"/>
                    <w:jc w:val="center"/>
                    <w:rPr>
                      <w:b/>
                      <w:bCs/>
                      <w:kern w:val="0"/>
                      <w:sz w:val="18"/>
                      <w:szCs w:val="18"/>
                    </w:rPr>
                  </w:pPr>
                  <w:r>
                    <w:rPr>
                      <w:b/>
                      <w:bCs/>
                      <w:kern w:val="0"/>
                      <w:sz w:val="18"/>
                      <w:szCs w:val="18"/>
                    </w:rPr>
                    <w:t>标准值</w:t>
                  </w:r>
                </w:p>
              </w:tc>
              <w:tc>
                <w:tcPr>
                  <w:tcW w:w="714" w:type="pct"/>
                  <w:tcBorders>
                    <w:tl2br w:val="nil"/>
                    <w:tr2bl w:val="nil"/>
                  </w:tcBorders>
                  <w:noWrap w:val="0"/>
                  <w:vAlign w:val="center"/>
                </w:tcPr>
                <w:p>
                  <w:pPr>
                    <w:keepNext w:val="0"/>
                    <w:keepLines w:val="0"/>
                    <w:pageBreakBefore w:val="0"/>
                    <w:wordWrap/>
                    <w:overflowPunct/>
                    <w:topLinePunct w:val="0"/>
                    <w:bidi w:val="0"/>
                    <w:adjustRightInd/>
                    <w:snapToGrid/>
                    <w:spacing w:line="240" w:lineRule="auto"/>
                    <w:ind w:firstLine="0" w:firstLineChars="0"/>
                    <w:jc w:val="center"/>
                    <w:rPr>
                      <w:b/>
                      <w:bCs/>
                      <w:kern w:val="0"/>
                      <w:sz w:val="18"/>
                      <w:szCs w:val="18"/>
                    </w:rPr>
                  </w:pPr>
                  <w:r>
                    <w:rPr>
                      <w:b/>
                      <w:bCs/>
                      <w:kern w:val="0"/>
                      <w:sz w:val="18"/>
                      <w:szCs w:val="18"/>
                    </w:rPr>
                    <w:t>占标率</w:t>
                  </w:r>
                </w:p>
                <w:p>
                  <w:pPr>
                    <w:keepNext w:val="0"/>
                    <w:keepLines w:val="0"/>
                    <w:pageBreakBefore w:val="0"/>
                    <w:wordWrap/>
                    <w:overflowPunct/>
                    <w:topLinePunct w:val="0"/>
                    <w:bidi w:val="0"/>
                    <w:adjustRightInd/>
                    <w:snapToGrid/>
                    <w:spacing w:line="240" w:lineRule="auto"/>
                    <w:ind w:firstLine="0" w:firstLineChars="0"/>
                    <w:jc w:val="center"/>
                    <w:rPr>
                      <w:b/>
                      <w:bCs/>
                      <w:kern w:val="0"/>
                      <w:sz w:val="18"/>
                      <w:szCs w:val="18"/>
                    </w:rPr>
                  </w:pPr>
                  <w:r>
                    <w:rPr>
                      <w:b/>
                      <w:bCs/>
                      <w:kern w:val="0"/>
                      <w:sz w:val="18"/>
                      <w:szCs w:val="18"/>
                    </w:rPr>
                    <w:t>（%）</w:t>
                  </w:r>
                </w:p>
              </w:tc>
              <w:tc>
                <w:tcPr>
                  <w:tcW w:w="528" w:type="pct"/>
                  <w:tcBorders>
                    <w:tl2br w:val="nil"/>
                    <w:tr2bl w:val="nil"/>
                  </w:tcBorders>
                  <w:noWrap w:val="0"/>
                  <w:vAlign w:val="center"/>
                </w:tcPr>
                <w:p>
                  <w:pPr>
                    <w:keepNext w:val="0"/>
                    <w:keepLines w:val="0"/>
                    <w:pageBreakBefore w:val="0"/>
                    <w:wordWrap/>
                    <w:overflowPunct/>
                    <w:topLinePunct w:val="0"/>
                    <w:bidi w:val="0"/>
                    <w:adjustRightInd/>
                    <w:snapToGrid/>
                    <w:spacing w:line="240" w:lineRule="auto"/>
                    <w:ind w:firstLine="0" w:firstLineChars="0"/>
                    <w:jc w:val="center"/>
                    <w:rPr>
                      <w:b/>
                      <w:bCs/>
                      <w:kern w:val="0"/>
                      <w:sz w:val="18"/>
                      <w:szCs w:val="18"/>
                    </w:rPr>
                  </w:pPr>
                  <w:r>
                    <w:rPr>
                      <w:b/>
                      <w:bCs/>
                      <w:kern w:val="0"/>
                      <w:sz w:val="18"/>
                      <w:szCs w:val="18"/>
                    </w:rPr>
                    <w:t>是否达标</w:t>
                  </w:r>
                </w:p>
              </w:tc>
            </w:tr>
            <w:tr>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trHeight w:val="454" w:hRule="atLeast"/>
              </w:trPr>
              <w:tc>
                <w:tcPr>
                  <w:tcW w:w="580" w:type="pct"/>
                  <w:tcBorders>
                    <w:tl2br w:val="nil"/>
                    <w:tr2bl w:val="nil"/>
                  </w:tcBorders>
                  <w:noWrap w:val="0"/>
                  <w:vAlign w:val="center"/>
                </w:tcPr>
                <w:p>
                  <w:pPr>
                    <w:keepNext w:val="0"/>
                    <w:keepLines w:val="0"/>
                    <w:pageBreakBefore w:val="0"/>
                    <w:wordWrap/>
                    <w:overflowPunct/>
                    <w:topLinePunct w:val="0"/>
                    <w:bidi w:val="0"/>
                    <w:adjustRightInd/>
                    <w:snapToGrid/>
                    <w:spacing w:line="240" w:lineRule="auto"/>
                    <w:ind w:firstLine="0" w:firstLineChars="0"/>
                    <w:jc w:val="center"/>
                    <w:rPr>
                      <w:kern w:val="0"/>
                      <w:sz w:val="18"/>
                      <w:szCs w:val="18"/>
                    </w:rPr>
                  </w:pPr>
                  <w:r>
                    <w:rPr>
                      <w:kern w:val="0"/>
                      <w:sz w:val="18"/>
                      <w:szCs w:val="18"/>
                    </w:rPr>
                    <w:t>PM</w:t>
                  </w:r>
                  <w:r>
                    <w:rPr>
                      <w:kern w:val="0"/>
                      <w:sz w:val="18"/>
                      <w:szCs w:val="18"/>
                      <w:vertAlign w:val="subscript"/>
                    </w:rPr>
                    <w:t>10</w:t>
                  </w:r>
                </w:p>
              </w:tc>
              <w:tc>
                <w:tcPr>
                  <w:tcW w:w="1097" w:type="pct"/>
                  <w:tcBorders>
                    <w:tl2br w:val="nil"/>
                    <w:tr2bl w:val="nil"/>
                  </w:tcBorders>
                  <w:noWrap w:val="0"/>
                  <w:vAlign w:val="center"/>
                </w:tcPr>
                <w:p>
                  <w:pPr>
                    <w:keepNext w:val="0"/>
                    <w:keepLines w:val="0"/>
                    <w:pageBreakBefore w:val="0"/>
                    <w:wordWrap/>
                    <w:overflowPunct/>
                    <w:topLinePunct w:val="0"/>
                    <w:bidi w:val="0"/>
                    <w:adjustRightInd/>
                    <w:snapToGrid/>
                    <w:spacing w:line="240" w:lineRule="auto"/>
                    <w:ind w:firstLine="0" w:firstLineChars="0"/>
                    <w:jc w:val="center"/>
                    <w:rPr>
                      <w:kern w:val="0"/>
                      <w:sz w:val="18"/>
                      <w:szCs w:val="18"/>
                    </w:rPr>
                  </w:pPr>
                  <w:r>
                    <w:rPr>
                      <w:kern w:val="0"/>
                      <w:sz w:val="18"/>
                      <w:szCs w:val="18"/>
                    </w:rPr>
                    <w:t>年平均质量浓度</w:t>
                  </w:r>
                </w:p>
              </w:tc>
              <w:tc>
                <w:tcPr>
                  <w:tcW w:w="1038" w:type="pct"/>
                  <w:tcBorders>
                    <w:tl2br w:val="nil"/>
                    <w:tr2bl w:val="nil"/>
                  </w:tcBorders>
                  <w:noWrap w:val="0"/>
                  <w:vAlign w:val="center"/>
                </w:tcPr>
                <w:p>
                  <w:pPr>
                    <w:keepNext w:val="0"/>
                    <w:keepLines w:val="0"/>
                    <w:pageBreakBefore w:val="0"/>
                    <w:wordWrap/>
                    <w:overflowPunct/>
                    <w:topLinePunct w:val="0"/>
                    <w:bidi w:val="0"/>
                    <w:adjustRightInd/>
                    <w:snapToGrid/>
                    <w:spacing w:line="240" w:lineRule="auto"/>
                    <w:ind w:firstLine="0" w:firstLineChars="0"/>
                    <w:jc w:val="center"/>
                    <w:rPr>
                      <w:rFonts w:hint="default" w:eastAsia="宋体"/>
                      <w:kern w:val="0"/>
                      <w:sz w:val="18"/>
                      <w:szCs w:val="18"/>
                      <w:lang w:val="en-US" w:eastAsia="zh-CN"/>
                    </w:rPr>
                  </w:pPr>
                  <w:r>
                    <w:rPr>
                      <w:rFonts w:hint="eastAsia"/>
                      <w:kern w:val="0"/>
                      <w:sz w:val="18"/>
                      <w:szCs w:val="18"/>
                      <w:lang w:val="en-US" w:eastAsia="zh-CN"/>
                    </w:rPr>
                    <w:t>38</w:t>
                  </w:r>
                </w:p>
              </w:tc>
              <w:tc>
                <w:tcPr>
                  <w:tcW w:w="1039" w:type="pct"/>
                  <w:tcBorders>
                    <w:tl2br w:val="nil"/>
                    <w:tr2bl w:val="nil"/>
                  </w:tcBorders>
                  <w:noWrap w:val="0"/>
                  <w:vAlign w:val="center"/>
                </w:tcPr>
                <w:p>
                  <w:pPr>
                    <w:keepNext w:val="0"/>
                    <w:keepLines w:val="0"/>
                    <w:pageBreakBefore w:val="0"/>
                    <w:wordWrap/>
                    <w:overflowPunct/>
                    <w:topLinePunct w:val="0"/>
                    <w:bidi w:val="0"/>
                    <w:adjustRightInd/>
                    <w:snapToGrid/>
                    <w:spacing w:line="240" w:lineRule="auto"/>
                    <w:ind w:firstLine="0" w:firstLineChars="0"/>
                    <w:jc w:val="center"/>
                    <w:rPr>
                      <w:kern w:val="0"/>
                      <w:sz w:val="18"/>
                      <w:szCs w:val="18"/>
                    </w:rPr>
                  </w:pPr>
                  <w:r>
                    <w:rPr>
                      <w:kern w:val="0"/>
                      <w:sz w:val="18"/>
                      <w:szCs w:val="18"/>
                    </w:rPr>
                    <w:t>70</w:t>
                  </w:r>
                </w:p>
              </w:tc>
              <w:tc>
                <w:tcPr>
                  <w:tcW w:w="714" w:type="pct"/>
                  <w:tcBorders>
                    <w:tl2br w:val="nil"/>
                    <w:tr2bl w:val="nil"/>
                  </w:tcBorders>
                  <w:noWrap w:val="0"/>
                  <w:vAlign w:val="center"/>
                </w:tcPr>
                <w:p>
                  <w:pPr>
                    <w:keepNext w:val="0"/>
                    <w:keepLines w:val="0"/>
                    <w:pageBreakBefore w:val="0"/>
                    <w:wordWrap/>
                    <w:overflowPunct/>
                    <w:topLinePunct w:val="0"/>
                    <w:bidi w:val="0"/>
                    <w:adjustRightInd/>
                    <w:snapToGrid/>
                    <w:spacing w:line="240" w:lineRule="auto"/>
                    <w:ind w:firstLine="0" w:firstLineChars="0"/>
                    <w:jc w:val="center"/>
                    <w:rPr>
                      <w:rFonts w:hint="default" w:eastAsia="宋体"/>
                      <w:kern w:val="0"/>
                      <w:sz w:val="18"/>
                      <w:szCs w:val="18"/>
                      <w:lang w:val="en-US" w:eastAsia="zh-CN"/>
                    </w:rPr>
                  </w:pPr>
                  <w:r>
                    <w:rPr>
                      <w:rFonts w:hint="eastAsia"/>
                      <w:kern w:val="0"/>
                      <w:sz w:val="18"/>
                      <w:szCs w:val="18"/>
                      <w:lang w:val="en-US" w:eastAsia="zh-CN"/>
                    </w:rPr>
                    <w:t>54.3</w:t>
                  </w:r>
                </w:p>
              </w:tc>
              <w:tc>
                <w:tcPr>
                  <w:tcW w:w="528" w:type="pct"/>
                  <w:tcBorders>
                    <w:tl2br w:val="nil"/>
                    <w:tr2bl w:val="nil"/>
                  </w:tcBorders>
                  <w:noWrap w:val="0"/>
                  <w:vAlign w:val="center"/>
                </w:tcPr>
                <w:p>
                  <w:pPr>
                    <w:keepNext w:val="0"/>
                    <w:keepLines w:val="0"/>
                    <w:pageBreakBefore w:val="0"/>
                    <w:wordWrap/>
                    <w:overflowPunct/>
                    <w:topLinePunct w:val="0"/>
                    <w:bidi w:val="0"/>
                    <w:adjustRightInd/>
                    <w:snapToGrid/>
                    <w:spacing w:line="240" w:lineRule="auto"/>
                    <w:ind w:firstLine="0" w:firstLineChars="0"/>
                    <w:jc w:val="center"/>
                    <w:rPr>
                      <w:kern w:val="0"/>
                      <w:sz w:val="18"/>
                      <w:szCs w:val="18"/>
                    </w:rPr>
                  </w:pPr>
                  <w:r>
                    <w:rPr>
                      <w:kern w:val="0"/>
                      <w:sz w:val="18"/>
                      <w:szCs w:val="18"/>
                    </w:rPr>
                    <w:t>达标</w:t>
                  </w:r>
                </w:p>
              </w:tc>
            </w:tr>
            <w:tr>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trHeight w:val="454" w:hRule="atLeast"/>
              </w:trPr>
              <w:tc>
                <w:tcPr>
                  <w:tcW w:w="580" w:type="pct"/>
                  <w:tcBorders>
                    <w:tl2br w:val="nil"/>
                    <w:tr2bl w:val="nil"/>
                  </w:tcBorders>
                  <w:noWrap w:val="0"/>
                  <w:vAlign w:val="center"/>
                </w:tcPr>
                <w:p>
                  <w:pPr>
                    <w:keepNext w:val="0"/>
                    <w:keepLines w:val="0"/>
                    <w:pageBreakBefore w:val="0"/>
                    <w:wordWrap/>
                    <w:overflowPunct/>
                    <w:topLinePunct w:val="0"/>
                    <w:bidi w:val="0"/>
                    <w:adjustRightInd/>
                    <w:snapToGrid/>
                    <w:spacing w:line="240" w:lineRule="auto"/>
                    <w:ind w:firstLine="0" w:firstLineChars="0"/>
                    <w:jc w:val="center"/>
                    <w:rPr>
                      <w:kern w:val="0"/>
                      <w:sz w:val="18"/>
                      <w:szCs w:val="18"/>
                    </w:rPr>
                  </w:pPr>
                  <w:r>
                    <w:rPr>
                      <w:kern w:val="0"/>
                      <w:sz w:val="18"/>
                      <w:szCs w:val="18"/>
                    </w:rPr>
                    <w:t>P</w:t>
                  </w:r>
                  <w:r>
                    <w:rPr>
                      <w:rFonts w:hint="eastAsia"/>
                      <w:kern w:val="0"/>
                      <w:sz w:val="18"/>
                      <w:szCs w:val="18"/>
                    </w:rPr>
                    <w:t>M</w:t>
                  </w:r>
                  <w:r>
                    <w:rPr>
                      <w:rFonts w:hint="eastAsia"/>
                      <w:kern w:val="0"/>
                      <w:sz w:val="18"/>
                      <w:szCs w:val="18"/>
                      <w:vertAlign w:val="subscript"/>
                    </w:rPr>
                    <w:t>2</w:t>
                  </w:r>
                  <w:r>
                    <w:rPr>
                      <w:kern w:val="0"/>
                      <w:sz w:val="18"/>
                      <w:szCs w:val="18"/>
                      <w:vertAlign w:val="subscript"/>
                    </w:rPr>
                    <w:t>.5</w:t>
                  </w:r>
                </w:p>
              </w:tc>
              <w:tc>
                <w:tcPr>
                  <w:tcW w:w="1097" w:type="pct"/>
                  <w:tcBorders>
                    <w:tl2br w:val="nil"/>
                    <w:tr2bl w:val="nil"/>
                  </w:tcBorders>
                  <w:noWrap w:val="0"/>
                  <w:vAlign w:val="center"/>
                </w:tcPr>
                <w:p>
                  <w:pPr>
                    <w:keepNext w:val="0"/>
                    <w:keepLines w:val="0"/>
                    <w:pageBreakBefore w:val="0"/>
                    <w:wordWrap/>
                    <w:overflowPunct/>
                    <w:topLinePunct w:val="0"/>
                    <w:bidi w:val="0"/>
                    <w:adjustRightInd/>
                    <w:snapToGrid/>
                    <w:spacing w:line="240" w:lineRule="auto"/>
                    <w:ind w:firstLine="0" w:firstLineChars="0"/>
                    <w:jc w:val="center"/>
                    <w:rPr>
                      <w:kern w:val="0"/>
                      <w:sz w:val="18"/>
                      <w:szCs w:val="18"/>
                    </w:rPr>
                  </w:pPr>
                  <w:r>
                    <w:rPr>
                      <w:kern w:val="0"/>
                      <w:sz w:val="18"/>
                      <w:szCs w:val="18"/>
                    </w:rPr>
                    <w:t>年平均质量浓度</w:t>
                  </w:r>
                </w:p>
              </w:tc>
              <w:tc>
                <w:tcPr>
                  <w:tcW w:w="1038" w:type="pct"/>
                  <w:tcBorders>
                    <w:tl2br w:val="nil"/>
                    <w:tr2bl w:val="nil"/>
                  </w:tcBorders>
                  <w:noWrap w:val="0"/>
                  <w:vAlign w:val="center"/>
                </w:tcPr>
                <w:p>
                  <w:pPr>
                    <w:keepNext w:val="0"/>
                    <w:keepLines w:val="0"/>
                    <w:pageBreakBefore w:val="0"/>
                    <w:wordWrap/>
                    <w:overflowPunct/>
                    <w:topLinePunct w:val="0"/>
                    <w:bidi w:val="0"/>
                    <w:adjustRightInd/>
                    <w:snapToGrid/>
                    <w:spacing w:line="240" w:lineRule="auto"/>
                    <w:ind w:firstLine="0" w:firstLineChars="0"/>
                    <w:jc w:val="center"/>
                    <w:rPr>
                      <w:rFonts w:hint="default" w:eastAsia="宋体"/>
                      <w:kern w:val="0"/>
                      <w:sz w:val="18"/>
                      <w:szCs w:val="18"/>
                      <w:lang w:val="en-US" w:eastAsia="zh-CN"/>
                    </w:rPr>
                  </w:pPr>
                  <w:r>
                    <w:rPr>
                      <w:rFonts w:hint="eastAsia"/>
                      <w:kern w:val="0"/>
                      <w:sz w:val="18"/>
                      <w:szCs w:val="18"/>
                      <w:lang w:val="en-US" w:eastAsia="zh-CN"/>
                    </w:rPr>
                    <w:t>30</w:t>
                  </w:r>
                </w:p>
              </w:tc>
              <w:tc>
                <w:tcPr>
                  <w:tcW w:w="1039" w:type="pct"/>
                  <w:tcBorders>
                    <w:tl2br w:val="nil"/>
                    <w:tr2bl w:val="nil"/>
                  </w:tcBorders>
                  <w:noWrap w:val="0"/>
                  <w:vAlign w:val="center"/>
                </w:tcPr>
                <w:p>
                  <w:pPr>
                    <w:keepNext w:val="0"/>
                    <w:keepLines w:val="0"/>
                    <w:pageBreakBefore w:val="0"/>
                    <w:wordWrap/>
                    <w:overflowPunct/>
                    <w:topLinePunct w:val="0"/>
                    <w:bidi w:val="0"/>
                    <w:adjustRightInd/>
                    <w:snapToGrid/>
                    <w:spacing w:line="240" w:lineRule="auto"/>
                    <w:ind w:firstLine="0" w:firstLineChars="0"/>
                    <w:jc w:val="center"/>
                    <w:rPr>
                      <w:kern w:val="0"/>
                      <w:sz w:val="18"/>
                      <w:szCs w:val="18"/>
                    </w:rPr>
                  </w:pPr>
                  <w:r>
                    <w:rPr>
                      <w:kern w:val="0"/>
                      <w:sz w:val="18"/>
                      <w:szCs w:val="18"/>
                    </w:rPr>
                    <w:t>35</w:t>
                  </w:r>
                </w:p>
              </w:tc>
              <w:tc>
                <w:tcPr>
                  <w:tcW w:w="714" w:type="pct"/>
                  <w:tcBorders>
                    <w:tl2br w:val="nil"/>
                    <w:tr2bl w:val="nil"/>
                  </w:tcBorders>
                  <w:noWrap w:val="0"/>
                  <w:vAlign w:val="center"/>
                </w:tcPr>
                <w:p>
                  <w:pPr>
                    <w:keepNext w:val="0"/>
                    <w:keepLines w:val="0"/>
                    <w:pageBreakBefore w:val="0"/>
                    <w:wordWrap/>
                    <w:overflowPunct/>
                    <w:topLinePunct w:val="0"/>
                    <w:bidi w:val="0"/>
                    <w:adjustRightInd/>
                    <w:snapToGrid/>
                    <w:spacing w:line="240" w:lineRule="auto"/>
                    <w:ind w:firstLine="0" w:firstLineChars="0"/>
                    <w:jc w:val="center"/>
                    <w:rPr>
                      <w:rFonts w:hint="default" w:eastAsia="宋体"/>
                      <w:kern w:val="0"/>
                      <w:sz w:val="18"/>
                      <w:szCs w:val="18"/>
                      <w:lang w:val="en-US" w:eastAsia="zh-CN"/>
                    </w:rPr>
                  </w:pPr>
                  <w:r>
                    <w:rPr>
                      <w:rFonts w:hint="eastAsia"/>
                      <w:kern w:val="0"/>
                      <w:sz w:val="18"/>
                      <w:szCs w:val="18"/>
                      <w:lang w:val="en-US" w:eastAsia="zh-CN"/>
                    </w:rPr>
                    <w:t>85.7</w:t>
                  </w:r>
                </w:p>
              </w:tc>
              <w:tc>
                <w:tcPr>
                  <w:tcW w:w="528" w:type="pct"/>
                  <w:tcBorders>
                    <w:tl2br w:val="nil"/>
                    <w:tr2bl w:val="nil"/>
                  </w:tcBorders>
                  <w:noWrap w:val="0"/>
                  <w:vAlign w:val="center"/>
                </w:tcPr>
                <w:p>
                  <w:pPr>
                    <w:keepNext w:val="0"/>
                    <w:keepLines w:val="0"/>
                    <w:pageBreakBefore w:val="0"/>
                    <w:wordWrap/>
                    <w:overflowPunct/>
                    <w:topLinePunct w:val="0"/>
                    <w:bidi w:val="0"/>
                    <w:adjustRightInd/>
                    <w:snapToGrid/>
                    <w:spacing w:line="240" w:lineRule="auto"/>
                    <w:ind w:firstLine="0" w:firstLineChars="0"/>
                    <w:jc w:val="center"/>
                    <w:rPr>
                      <w:kern w:val="0"/>
                      <w:sz w:val="18"/>
                      <w:szCs w:val="18"/>
                    </w:rPr>
                  </w:pPr>
                  <w:r>
                    <w:rPr>
                      <w:kern w:val="0"/>
                      <w:sz w:val="18"/>
                      <w:szCs w:val="18"/>
                    </w:rPr>
                    <w:t>达标</w:t>
                  </w:r>
                </w:p>
              </w:tc>
            </w:tr>
            <w:tr>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trHeight w:val="454" w:hRule="atLeast"/>
              </w:trPr>
              <w:tc>
                <w:tcPr>
                  <w:tcW w:w="580" w:type="pct"/>
                  <w:tcBorders>
                    <w:tl2br w:val="nil"/>
                    <w:tr2bl w:val="nil"/>
                  </w:tcBorders>
                  <w:noWrap w:val="0"/>
                  <w:vAlign w:val="center"/>
                </w:tcPr>
                <w:p>
                  <w:pPr>
                    <w:keepNext w:val="0"/>
                    <w:keepLines w:val="0"/>
                    <w:pageBreakBefore w:val="0"/>
                    <w:wordWrap/>
                    <w:overflowPunct/>
                    <w:topLinePunct w:val="0"/>
                    <w:bidi w:val="0"/>
                    <w:adjustRightInd/>
                    <w:snapToGrid/>
                    <w:spacing w:line="240" w:lineRule="auto"/>
                    <w:ind w:firstLine="0" w:firstLineChars="0"/>
                    <w:jc w:val="center"/>
                    <w:rPr>
                      <w:kern w:val="0"/>
                      <w:sz w:val="18"/>
                      <w:szCs w:val="18"/>
                    </w:rPr>
                  </w:pPr>
                  <w:r>
                    <w:rPr>
                      <w:kern w:val="0"/>
                      <w:sz w:val="18"/>
                      <w:szCs w:val="18"/>
                    </w:rPr>
                    <w:t>CO</w:t>
                  </w:r>
                </w:p>
              </w:tc>
              <w:tc>
                <w:tcPr>
                  <w:tcW w:w="1097" w:type="pct"/>
                  <w:tcBorders>
                    <w:tl2br w:val="nil"/>
                    <w:tr2bl w:val="nil"/>
                  </w:tcBorders>
                  <w:noWrap w:val="0"/>
                  <w:vAlign w:val="center"/>
                </w:tcPr>
                <w:p>
                  <w:pPr>
                    <w:keepNext w:val="0"/>
                    <w:keepLines w:val="0"/>
                    <w:pageBreakBefore w:val="0"/>
                    <w:wordWrap/>
                    <w:overflowPunct/>
                    <w:topLinePunct w:val="0"/>
                    <w:bidi w:val="0"/>
                    <w:adjustRightInd/>
                    <w:snapToGrid/>
                    <w:spacing w:line="240" w:lineRule="auto"/>
                    <w:ind w:firstLine="0" w:firstLineChars="0"/>
                    <w:jc w:val="center"/>
                    <w:rPr>
                      <w:kern w:val="0"/>
                      <w:sz w:val="18"/>
                      <w:szCs w:val="18"/>
                    </w:rPr>
                  </w:pPr>
                  <w:r>
                    <w:rPr>
                      <w:kern w:val="0"/>
                      <w:sz w:val="18"/>
                      <w:szCs w:val="18"/>
                    </w:rPr>
                    <w:t>24小时平均第95百分位数浓度</w:t>
                  </w:r>
                </w:p>
              </w:tc>
              <w:tc>
                <w:tcPr>
                  <w:tcW w:w="1038" w:type="pct"/>
                  <w:tcBorders>
                    <w:tl2br w:val="nil"/>
                    <w:tr2bl w:val="nil"/>
                  </w:tcBorders>
                  <w:noWrap w:val="0"/>
                  <w:vAlign w:val="center"/>
                </w:tcPr>
                <w:p>
                  <w:pPr>
                    <w:keepNext w:val="0"/>
                    <w:keepLines w:val="0"/>
                    <w:pageBreakBefore w:val="0"/>
                    <w:wordWrap/>
                    <w:overflowPunct/>
                    <w:topLinePunct w:val="0"/>
                    <w:bidi w:val="0"/>
                    <w:adjustRightInd/>
                    <w:snapToGrid/>
                    <w:spacing w:line="240" w:lineRule="auto"/>
                    <w:ind w:firstLine="0" w:firstLineChars="0"/>
                    <w:jc w:val="center"/>
                    <w:rPr>
                      <w:kern w:val="0"/>
                      <w:sz w:val="18"/>
                      <w:szCs w:val="18"/>
                    </w:rPr>
                  </w:pPr>
                  <w:r>
                    <w:rPr>
                      <w:kern w:val="0"/>
                      <w:sz w:val="18"/>
                      <w:szCs w:val="18"/>
                    </w:rPr>
                    <w:t>1.</w:t>
                  </w:r>
                  <w:r>
                    <w:rPr>
                      <w:rFonts w:hint="eastAsia"/>
                      <w:kern w:val="0"/>
                      <w:sz w:val="18"/>
                      <w:szCs w:val="18"/>
                      <w:lang w:val="en-US" w:eastAsia="zh-CN"/>
                    </w:rPr>
                    <w:t>1</w:t>
                  </w:r>
                  <w:r>
                    <w:rPr>
                      <w:kern w:val="0"/>
                      <w:sz w:val="18"/>
                      <w:szCs w:val="18"/>
                    </w:rPr>
                    <w:t>（mg/m</w:t>
                  </w:r>
                  <w:r>
                    <w:rPr>
                      <w:kern w:val="0"/>
                      <w:sz w:val="18"/>
                      <w:szCs w:val="18"/>
                      <w:vertAlign w:val="superscript"/>
                    </w:rPr>
                    <w:t>3</w:t>
                  </w:r>
                  <w:r>
                    <w:rPr>
                      <w:kern w:val="0"/>
                      <w:sz w:val="18"/>
                      <w:szCs w:val="18"/>
                    </w:rPr>
                    <w:t>）</w:t>
                  </w:r>
                </w:p>
              </w:tc>
              <w:tc>
                <w:tcPr>
                  <w:tcW w:w="1039" w:type="pct"/>
                  <w:tcBorders>
                    <w:tl2br w:val="nil"/>
                    <w:tr2bl w:val="nil"/>
                  </w:tcBorders>
                  <w:noWrap w:val="0"/>
                  <w:vAlign w:val="center"/>
                </w:tcPr>
                <w:p>
                  <w:pPr>
                    <w:keepNext w:val="0"/>
                    <w:keepLines w:val="0"/>
                    <w:pageBreakBefore w:val="0"/>
                    <w:wordWrap/>
                    <w:overflowPunct/>
                    <w:topLinePunct w:val="0"/>
                    <w:bidi w:val="0"/>
                    <w:adjustRightInd/>
                    <w:snapToGrid/>
                    <w:spacing w:line="240" w:lineRule="auto"/>
                    <w:ind w:firstLine="0" w:firstLineChars="0"/>
                    <w:jc w:val="center"/>
                    <w:rPr>
                      <w:kern w:val="0"/>
                      <w:sz w:val="18"/>
                      <w:szCs w:val="18"/>
                    </w:rPr>
                  </w:pPr>
                  <w:r>
                    <w:rPr>
                      <w:rFonts w:hint="eastAsia"/>
                      <w:kern w:val="0"/>
                      <w:sz w:val="18"/>
                      <w:szCs w:val="18"/>
                      <w:lang w:val="en-US" w:eastAsia="zh-CN"/>
                    </w:rPr>
                    <w:t>4</w:t>
                  </w:r>
                  <w:r>
                    <w:rPr>
                      <w:kern w:val="0"/>
                      <w:sz w:val="18"/>
                      <w:szCs w:val="18"/>
                    </w:rPr>
                    <w:t>.0（mg/m</w:t>
                  </w:r>
                  <w:r>
                    <w:rPr>
                      <w:kern w:val="0"/>
                      <w:sz w:val="18"/>
                      <w:szCs w:val="18"/>
                      <w:vertAlign w:val="superscript"/>
                    </w:rPr>
                    <w:t>3</w:t>
                  </w:r>
                  <w:r>
                    <w:rPr>
                      <w:kern w:val="0"/>
                      <w:sz w:val="18"/>
                      <w:szCs w:val="18"/>
                    </w:rPr>
                    <w:t>）</w:t>
                  </w:r>
                </w:p>
              </w:tc>
              <w:tc>
                <w:tcPr>
                  <w:tcW w:w="714" w:type="pct"/>
                  <w:tcBorders>
                    <w:tl2br w:val="nil"/>
                    <w:tr2bl w:val="nil"/>
                  </w:tcBorders>
                  <w:noWrap w:val="0"/>
                  <w:vAlign w:val="center"/>
                </w:tcPr>
                <w:p>
                  <w:pPr>
                    <w:keepNext w:val="0"/>
                    <w:keepLines w:val="0"/>
                    <w:pageBreakBefore w:val="0"/>
                    <w:wordWrap/>
                    <w:overflowPunct/>
                    <w:topLinePunct w:val="0"/>
                    <w:bidi w:val="0"/>
                    <w:adjustRightInd/>
                    <w:snapToGrid/>
                    <w:spacing w:line="240" w:lineRule="auto"/>
                    <w:ind w:firstLine="0" w:firstLineChars="0"/>
                    <w:jc w:val="center"/>
                    <w:rPr>
                      <w:rFonts w:hint="default" w:eastAsia="宋体"/>
                      <w:kern w:val="0"/>
                      <w:sz w:val="18"/>
                      <w:szCs w:val="18"/>
                      <w:lang w:val="en-US" w:eastAsia="zh-CN"/>
                    </w:rPr>
                  </w:pPr>
                  <w:r>
                    <w:rPr>
                      <w:rFonts w:hint="eastAsia"/>
                      <w:kern w:val="0"/>
                      <w:sz w:val="18"/>
                      <w:szCs w:val="18"/>
                      <w:lang w:val="en-US" w:eastAsia="zh-CN"/>
                    </w:rPr>
                    <w:t>27.5</w:t>
                  </w:r>
                </w:p>
              </w:tc>
              <w:tc>
                <w:tcPr>
                  <w:tcW w:w="528" w:type="pct"/>
                  <w:tcBorders>
                    <w:tl2br w:val="nil"/>
                    <w:tr2bl w:val="nil"/>
                  </w:tcBorders>
                  <w:noWrap w:val="0"/>
                  <w:vAlign w:val="center"/>
                </w:tcPr>
                <w:p>
                  <w:pPr>
                    <w:keepNext w:val="0"/>
                    <w:keepLines w:val="0"/>
                    <w:pageBreakBefore w:val="0"/>
                    <w:wordWrap/>
                    <w:overflowPunct/>
                    <w:topLinePunct w:val="0"/>
                    <w:bidi w:val="0"/>
                    <w:adjustRightInd/>
                    <w:snapToGrid/>
                    <w:spacing w:line="240" w:lineRule="auto"/>
                    <w:ind w:firstLine="0" w:firstLineChars="0"/>
                    <w:jc w:val="center"/>
                    <w:rPr>
                      <w:kern w:val="0"/>
                      <w:sz w:val="18"/>
                      <w:szCs w:val="18"/>
                    </w:rPr>
                  </w:pPr>
                  <w:r>
                    <w:rPr>
                      <w:kern w:val="0"/>
                      <w:sz w:val="18"/>
                      <w:szCs w:val="18"/>
                    </w:rPr>
                    <w:t>达标</w:t>
                  </w:r>
                </w:p>
              </w:tc>
            </w:tr>
            <w:tr>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trHeight w:val="454" w:hRule="atLeast"/>
              </w:trPr>
              <w:tc>
                <w:tcPr>
                  <w:tcW w:w="580" w:type="pct"/>
                  <w:tcBorders>
                    <w:tl2br w:val="nil"/>
                    <w:tr2bl w:val="nil"/>
                  </w:tcBorders>
                  <w:noWrap w:val="0"/>
                  <w:vAlign w:val="center"/>
                </w:tcPr>
                <w:p>
                  <w:pPr>
                    <w:keepNext w:val="0"/>
                    <w:keepLines w:val="0"/>
                    <w:pageBreakBefore w:val="0"/>
                    <w:wordWrap/>
                    <w:overflowPunct/>
                    <w:topLinePunct w:val="0"/>
                    <w:bidi w:val="0"/>
                    <w:adjustRightInd/>
                    <w:snapToGrid/>
                    <w:spacing w:line="240" w:lineRule="auto"/>
                    <w:ind w:firstLine="0" w:firstLineChars="0"/>
                    <w:jc w:val="center"/>
                    <w:rPr>
                      <w:kern w:val="0"/>
                      <w:sz w:val="18"/>
                      <w:szCs w:val="18"/>
                    </w:rPr>
                  </w:pPr>
                  <w:r>
                    <w:rPr>
                      <w:kern w:val="0"/>
                      <w:sz w:val="18"/>
                      <w:szCs w:val="18"/>
                    </w:rPr>
                    <w:t>O</w:t>
                  </w:r>
                  <w:r>
                    <w:rPr>
                      <w:kern w:val="0"/>
                      <w:sz w:val="18"/>
                      <w:szCs w:val="18"/>
                      <w:vertAlign w:val="subscript"/>
                    </w:rPr>
                    <w:t>3</w:t>
                  </w:r>
                </w:p>
              </w:tc>
              <w:tc>
                <w:tcPr>
                  <w:tcW w:w="1097" w:type="pct"/>
                  <w:tcBorders>
                    <w:tl2br w:val="nil"/>
                    <w:tr2bl w:val="nil"/>
                  </w:tcBorders>
                  <w:noWrap w:val="0"/>
                  <w:vAlign w:val="center"/>
                </w:tcPr>
                <w:p>
                  <w:pPr>
                    <w:keepNext w:val="0"/>
                    <w:keepLines w:val="0"/>
                    <w:pageBreakBefore w:val="0"/>
                    <w:wordWrap/>
                    <w:overflowPunct/>
                    <w:topLinePunct w:val="0"/>
                    <w:bidi w:val="0"/>
                    <w:adjustRightInd/>
                    <w:snapToGrid/>
                    <w:spacing w:line="240" w:lineRule="auto"/>
                    <w:ind w:firstLine="0" w:firstLineChars="0"/>
                    <w:jc w:val="center"/>
                    <w:rPr>
                      <w:kern w:val="0"/>
                      <w:sz w:val="18"/>
                      <w:szCs w:val="18"/>
                    </w:rPr>
                  </w:pPr>
                  <w:r>
                    <w:rPr>
                      <w:sz w:val="18"/>
                      <w:szCs w:val="18"/>
                    </w:rPr>
                    <w:t>日最大8h滑动平均值的</w:t>
                  </w:r>
                  <w:r>
                    <w:rPr>
                      <w:kern w:val="0"/>
                      <w:sz w:val="18"/>
                      <w:szCs w:val="18"/>
                    </w:rPr>
                    <w:t>第90百分位数浓度</w:t>
                  </w:r>
                </w:p>
              </w:tc>
              <w:tc>
                <w:tcPr>
                  <w:tcW w:w="1038" w:type="pct"/>
                  <w:tcBorders>
                    <w:tl2br w:val="nil"/>
                    <w:tr2bl w:val="nil"/>
                  </w:tcBorders>
                  <w:noWrap w:val="0"/>
                  <w:vAlign w:val="center"/>
                </w:tcPr>
                <w:p>
                  <w:pPr>
                    <w:keepNext w:val="0"/>
                    <w:keepLines w:val="0"/>
                    <w:pageBreakBefore w:val="0"/>
                    <w:wordWrap/>
                    <w:overflowPunct/>
                    <w:topLinePunct w:val="0"/>
                    <w:bidi w:val="0"/>
                    <w:adjustRightInd/>
                    <w:snapToGrid/>
                    <w:spacing w:line="240" w:lineRule="auto"/>
                    <w:ind w:firstLine="0" w:firstLineChars="0"/>
                    <w:jc w:val="center"/>
                    <w:rPr>
                      <w:rFonts w:hint="default" w:eastAsia="宋体"/>
                      <w:kern w:val="0"/>
                      <w:sz w:val="18"/>
                      <w:szCs w:val="18"/>
                      <w:lang w:val="en-US" w:eastAsia="zh-CN"/>
                    </w:rPr>
                  </w:pPr>
                  <w:r>
                    <w:rPr>
                      <w:rFonts w:hint="eastAsia"/>
                      <w:kern w:val="0"/>
                      <w:sz w:val="18"/>
                      <w:szCs w:val="18"/>
                      <w:lang w:val="en-US" w:eastAsia="zh-CN"/>
                    </w:rPr>
                    <w:t>112</w:t>
                  </w:r>
                </w:p>
              </w:tc>
              <w:tc>
                <w:tcPr>
                  <w:tcW w:w="1039" w:type="pct"/>
                  <w:tcBorders>
                    <w:tl2br w:val="nil"/>
                    <w:tr2bl w:val="nil"/>
                  </w:tcBorders>
                  <w:noWrap w:val="0"/>
                  <w:vAlign w:val="center"/>
                </w:tcPr>
                <w:p>
                  <w:pPr>
                    <w:keepNext w:val="0"/>
                    <w:keepLines w:val="0"/>
                    <w:pageBreakBefore w:val="0"/>
                    <w:wordWrap/>
                    <w:overflowPunct/>
                    <w:topLinePunct w:val="0"/>
                    <w:bidi w:val="0"/>
                    <w:adjustRightInd/>
                    <w:snapToGrid/>
                    <w:spacing w:line="240" w:lineRule="auto"/>
                    <w:ind w:firstLine="0" w:firstLineChars="0"/>
                    <w:jc w:val="center"/>
                    <w:rPr>
                      <w:kern w:val="0"/>
                      <w:sz w:val="18"/>
                      <w:szCs w:val="18"/>
                    </w:rPr>
                  </w:pPr>
                  <w:r>
                    <w:rPr>
                      <w:kern w:val="0"/>
                      <w:sz w:val="18"/>
                      <w:szCs w:val="18"/>
                    </w:rPr>
                    <w:t>160</w:t>
                  </w:r>
                </w:p>
              </w:tc>
              <w:tc>
                <w:tcPr>
                  <w:tcW w:w="714" w:type="pct"/>
                  <w:tcBorders>
                    <w:tl2br w:val="nil"/>
                    <w:tr2bl w:val="nil"/>
                  </w:tcBorders>
                  <w:noWrap w:val="0"/>
                  <w:vAlign w:val="center"/>
                </w:tcPr>
                <w:p>
                  <w:pPr>
                    <w:keepNext w:val="0"/>
                    <w:keepLines w:val="0"/>
                    <w:pageBreakBefore w:val="0"/>
                    <w:wordWrap/>
                    <w:overflowPunct/>
                    <w:topLinePunct w:val="0"/>
                    <w:bidi w:val="0"/>
                    <w:adjustRightInd/>
                    <w:snapToGrid/>
                    <w:spacing w:line="240" w:lineRule="auto"/>
                    <w:ind w:firstLine="0" w:firstLineChars="0"/>
                    <w:jc w:val="center"/>
                    <w:rPr>
                      <w:rFonts w:hint="default" w:eastAsia="宋体"/>
                      <w:kern w:val="0"/>
                      <w:sz w:val="18"/>
                      <w:szCs w:val="18"/>
                      <w:lang w:val="en-US" w:eastAsia="zh-CN"/>
                    </w:rPr>
                  </w:pPr>
                  <w:r>
                    <w:rPr>
                      <w:rFonts w:hint="eastAsia"/>
                      <w:kern w:val="0"/>
                      <w:sz w:val="18"/>
                      <w:szCs w:val="18"/>
                      <w:lang w:val="en-US" w:eastAsia="zh-CN"/>
                    </w:rPr>
                    <w:t>70</w:t>
                  </w:r>
                </w:p>
              </w:tc>
              <w:tc>
                <w:tcPr>
                  <w:tcW w:w="528" w:type="pct"/>
                  <w:tcBorders>
                    <w:tl2br w:val="nil"/>
                    <w:tr2bl w:val="nil"/>
                  </w:tcBorders>
                  <w:noWrap w:val="0"/>
                  <w:vAlign w:val="center"/>
                </w:tcPr>
                <w:p>
                  <w:pPr>
                    <w:keepNext w:val="0"/>
                    <w:keepLines w:val="0"/>
                    <w:pageBreakBefore w:val="0"/>
                    <w:wordWrap/>
                    <w:overflowPunct/>
                    <w:topLinePunct w:val="0"/>
                    <w:bidi w:val="0"/>
                    <w:adjustRightInd/>
                    <w:snapToGrid/>
                    <w:spacing w:line="240" w:lineRule="auto"/>
                    <w:ind w:firstLine="0" w:firstLineChars="0"/>
                    <w:jc w:val="center"/>
                    <w:rPr>
                      <w:kern w:val="0"/>
                      <w:sz w:val="18"/>
                      <w:szCs w:val="18"/>
                    </w:rPr>
                  </w:pPr>
                  <w:r>
                    <w:rPr>
                      <w:kern w:val="0"/>
                      <w:sz w:val="18"/>
                      <w:szCs w:val="18"/>
                    </w:rPr>
                    <w:t>达标</w:t>
                  </w:r>
                </w:p>
              </w:tc>
            </w:tr>
            <w:tr>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trHeight w:val="454" w:hRule="atLeast"/>
              </w:trPr>
              <w:tc>
                <w:tcPr>
                  <w:tcW w:w="580" w:type="pct"/>
                  <w:tcBorders>
                    <w:tl2br w:val="nil"/>
                    <w:tr2bl w:val="nil"/>
                  </w:tcBorders>
                  <w:noWrap w:val="0"/>
                  <w:vAlign w:val="center"/>
                </w:tcPr>
                <w:p>
                  <w:pPr>
                    <w:keepNext w:val="0"/>
                    <w:keepLines w:val="0"/>
                    <w:pageBreakBefore w:val="0"/>
                    <w:wordWrap/>
                    <w:overflowPunct/>
                    <w:topLinePunct w:val="0"/>
                    <w:bidi w:val="0"/>
                    <w:adjustRightInd/>
                    <w:snapToGrid/>
                    <w:spacing w:line="240" w:lineRule="auto"/>
                    <w:ind w:firstLine="0" w:firstLineChars="0"/>
                    <w:jc w:val="center"/>
                    <w:rPr>
                      <w:kern w:val="0"/>
                      <w:sz w:val="18"/>
                      <w:szCs w:val="18"/>
                    </w:rPr>
                  </w:pPr>
                  <w:r>
                    <w:rPr>
                      <w:kern w:val="0"/>
                      <w:sz w:val="18"/>
                      <w:szCs w:val="18"/>
                    </w:rPr>
                    <w:t>SO</w:t>
                  </w:r>
                  <w:r>
                    <w:rPr>
                      <w:kern w:val="0"/>
                      <w:sz w:val="18"/>
                      <w:szCs w:val="18"/>
                      <w:vertAlign w:val="subscript"/>
                    </w:rPr>
                    <w:t>2</w:t>
                  </w:r>
                </w:p>
              </w:tc>
              <w:tc>
                <w:tcPr>
                  <w:tcW w:w="1097" w:type="pct"/>
                  <w:tcBorders>
                    <w:tl2br w:val="nil"/>
                    <w:tr2bl w:val="nil"/>
                  </w:tcBorders>
                  <w:noWrap w:val="0"/>
                  <w:vAlign w:val="center"/>
                </w:tcPr>
                <w:p>
                  <w:pPr>
                    <w:keepNext w:val="0"/>
                    <w:keepLines w:val="0"/>
                    <w:pageBreakBefore w:val="0"/>
                    <w:wordWrap/>
                    <w:overflowPunct/>
                    <w:topLinePunct w:val="0"/>
                    <w:bidi w:val="0"/>
                    <w:adjustRightInd/>
                    <w:snapToGrid/>
                    <w:spacing w:line="240" w:lineRule="auto"/>
                    <w:ind w:firstLine="0" w:firstLineChars="0"/>
                    <w:jc w:val="center"/>
                    <w:rPr>
                      <w:kern w:val="0"/>
                      <w:sz w:val="18"/>
                      <w:szCs w:val="18"/>
                    </w:rPr>
                  </w:pPr>
                  <w:r>
                    <w:rPr>
                      <w:sz w:val="18"/>
                      <w:szCs w:val="18"/>
                    </w:rPr>
                    <w:t>年平均质量浓度</w:t>
                  </w:r>
                </w:p>
              </w:tc>
              <w:tc>
                <w:tcPr>
                  <w:tcW w:w="1038" w:type="pct"/>
                  <w:tcBorders>
                    <w:tl2br w:val="nil"/>
                    <w:tr2bl w:val="nil"/>
                  </w:tcBorders>
                  <w:noWrap w:val="0"/>
                  <w:vAlign w:val="center"/>
                </w:tcPr>
                <w:p>
                  <w:pPr>
                    <w:keepNext w:val="0"/>
                    <w:keepLines w:val="0"/>
                    <w:pageBreakBefore w:val="0"/>
                    <w:wordWrap/>
                    <w:overflowPunct/>
                    <w:topLinePunct w:val="0"/>
                    <w:bidi w:val="0"/>
                    <w:adjustRightInd/>
                    <w:snapToGrid/>
                    <w:spacing w:line="240" w:lineRule="auto"/>
                    <w:ind w:firstLine="0" w:firstLineChars="0"/>
                    <w:jc w:val="center"/>
                    <w:rPr>
                      <w:rFonts w:hint="default" w:eastAsia="宋体"/>
                      <w:kern w:val="0"/>
                      <w:sz w:val="18"/>
                      <w:szCs w:val="18"/>
                      <w:lang w:val="en-US" w:eastAsia="zh-CN"/>
                    </w:rPr>
                  </w:pPr>
                  <w:r>
                    <w:rPr>
                      <w:rFonts w:hint="eastAsia"/>
                      <w:kern w:val="0"/>
                      <w:sz w:val="18"/>
                      <w:szCs w:val="18"/>
                      <w:lang w:val="en-US" w:eastAsia="zh-CN"/>
                    </w:rPr>
                    <w:t>6</w:t>
                  </w:r>
                </w:p>
              </w:tc>
              <w:tc>
                <w:tcPr>
                  <w:tcW w:w="1039" w:type="pct"/>
                  <w:tcBorders>
                    <w:tl2br w:val="nil"/>
                    <w:tr2bl w:val="nil"/>
                  </w:tcBorders>
                  <w:noWrap w:val="0"/>
                  <w:vAlign w:val="center"/>
                </w:tcPr>
                <w:p>
                  <w:pPr>
                    <w:keepNext w:val="0"/>
                    <w:keepLines w:val="0"/>
                    <w:pageBreakBefore w:val="0"/>
                    <w:wordWrap/>
                    <w:overflowPunct/>
                    <w:topLinePunct w:val="0"/>
                    <w:bidi w:val="0"/>
                    <w:adjustRightInd/>
                    <w:snapToGrid/>
                    <w:spacing w:line="240" w:lineRule="auto"/>
                    <w:ind w:firstLine="0" w:firstLineChars="0"/>
                    <w:jc w:val="center"/>
                    <w:rPr>
                      <w:kern w:val="0"/>
                      <w:sz w:val="18"/>
                      <w:szCs w:val="18"/>
                    </w:rPr>
                  </w:pPr>
                  <w:r>
                    <w:rPr>
                      <w:kern w:val="0"/>
                      <w:sz w:val="18"/>
                      <w:szCs w:val="18"/>
                    </w:rPr>
                    <w:t>60</w:t>
                  </w:r>
                </w:p>
              </w:tc>
              <w:tc>
                <w:tcPr>
                  <w:tcW w:w="714" w:type="pct"/>
                  <w:tcBorders>
                    <w:tl2br w:val="nil"/>
                    <w:tr2bl w:val="nil"/>
                  </w:tcBorders>
                  <w:noWrap w:val="0"/>
                  <w:vAlign w:val="center"/>
                </w:tcPr>
                <w:p>
                  <w:pPr>
                    <w:keepNext w:val="0"/>
                    <w:keepLines w:val="0"/>
                    <w:pageBreakBefore w:val="0"/>
                    <w:wordWrap/>
                    <w:overflowPunct/>
                    <w:topLinePunct w:val="0"/>
                    <w:bidi w:val="0"/>
                    <w:adjustRightInd/>
                    <w:snapToGrid/>
                    <w:spacing w:line="240" w:lineRule="auto"/>
                    <w:ind w:firstLine="0" w:firstLineChars="0"/>
                    <w:jc w:val="center"/>
                    <w:rPr>
                      <w:rFonts w:hint="default" w:eastAsia="宋体"/>
                      <w:kern w:val="0"/>
                      <w:sz w:val="18"/>
                      <w:szCs w:val="18"/>
                      <w:lang w:val="en-US" w:eastAsia="zh-CN"/>
                    </w:rPr>
                  </w:pPr>
                  <w:r>
                    <w:rPr>
                      <w:rFonts w:hint="eastAsia"/>
                      <w:kern w:val="0"/>
                      <w:sz w:val="18"/>
                      <w:szCs w:val="18"/>
                      <w:lang w:val="en-US" w:eastAsia="zh-CN"/>
                    </w:rPr>
                    <w:t>10</w:t>
                  </w:r>
                </w:p>
              </w:tc>
              <w:tc>
                <w:tcPr>
                  <w:tcW w:w="528" w:type="pct"/>
                  <w:tcBorders>
                    <w:tl2br w:val="nil"/>
                    <w:tr2bl w:val="nil"/>
                  </w:tcBorders>
                  <w:noWrap w:val="0"/>
                  <w:vAlign w:val="center"/>
                </w:tcPr>
                <w:p>
                  <w:pPr>
                    <w:keepNext w:val="0"/>
                    <w:keepLines w:val="0"/>
                    <w:pageBreakBefore w:val="0"/>
                    <w:wordWrap/>
                    <w:overflowPunct/>
                    <w:topLinePunct w:val="0"/>
                    <w:bidi w:val="0"/>
                    <w:adjustRightInd/>
                    <w:snapToGrid/>
                    <w:spacing w:line="240" w:lineRule="auto"/>
                    <w:ind w:firstLine="0" w:firstLineChars="0"/>
                    <w:jc w:val="center"/>
                    <w:rPr>
                      <w:kern w:val="0"/>
                      <w:sz w:val="18"/>
                      <w:szCs w:val="18"/>
                    </w:rPr>
                  </w:pPr>
                  <w:r>
                    <w:rPr>
                      <w:kern w:val="0"/>
                      <w:sz w:val="18"/>
                      <w:szCs w:val="18"/>
                    </w:rPr>
                    <w:t>达标</w:t>
                  </w:r>
                </w:p>
              </w:tc>
            </w:tr>
            <w:tr>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trHeight w:val="454" w:hRule="atLeast"/>
              </w:trPr>
              <w:tc>
                <w:tcPr>
                  <w:tcW w:w="580" w:type="pct"/>
                  <w:tcBorders>
                    <w:tl2br w:val="nil"/>
                    <w:tr2bl w:val="nil"/>
                  </w:tcBorders>
                  <w:noWrap w:val="0"/>
                  <w:vAlign w:val="center"/>
                </w:tcPr>
                <w:p>
                  <w:pPr>
                    <w:keepNext w:val="0"/>
                    <w:keepLines w:val="0"/>
                    <w:pageBreakBefore w:val="0"/>
                    <w:wordWrap/>
                    <w:overflowPunct/>
                    <w:topLinePunct w:val="0"/>
                    <w:bidi w:val="0"/>
                    <w:adjustRightInd/>
                    <w:snapToGrid/>
                    <w:spacing w:line="240" w:lineRule="auto"/>
                    <w:ind w:firstLine="0" w:firstLineChars="0"/>
                    <w:jc w:val="center"/>
                    <w:rPr>
                      <w:kern w:val="0"/>
                      <w:sz w:val="18"/>
                      <w:szCs w:val="18"/>
                    </w:rPr>
                  </w:pPr>
                  <w:r>
                    <w:rPr>
                      <w:kern w:val="0"/>
                      <w:sz w:val="18"/>
                      <w:szCs w:val="18"/>
                    </w:rPr>
                    <w:t>NO</w:t>
                  </w:r>
                  <w:r>
                    <w:rPr>
                      <w:kern w:val="0"/>
                      <w:sz w:val="18"/>
                      <w:szCs w:val="18"/>
                      <w:vertAlign w:val="subscript"/>
                    </w:rPr>
                    <w:t>2</w:t>
                  </w:r>
                </w:p>
              </w:tc>
              <w:tc>
                <w:tcPr>
                  <w:tcW w:w="1097" w:type="pct"/>
                  <w:tcBorders>
                    <w:tl2br w:val="nil"/>
                    <w:tr2bl w:val="nil"/>
                  </w:tcBorders>
                  <w:noWrap w:val="0"/>
                  <w:vAlign w:val="center"/>
                </w:tcPr>
                <w:p>
                  <w:pPr>
                    <w:keepNext w:val="0"/>
                    <w:keepLines w:val="0"/>
                    <w:pageBreakBefore w:val="0"/>
                    <w:wordWrap/>
                    <w:overflowPunct/>
                    <w:topLinePunct w:val="0"/>
                    <w:bidi w:val="0"/>
                    <w:adjustRightInd/>
                    <w:snapToGrid/>
                    <w:spacing w:line="240" w:lineRule="auto"/>
                    <w:ind w:firstLine="0" w:firstLineChars="0"/>
                    <w:jc w:val="center"/>
                    <w:rPr>
                      <w:kern w:val="0"/>
                      <w:sz w:val="18"/>
                      <w:szCs w:val="18"/>
                    </w:rPr>
                  </w:pPr>
                  <w:r>
                    <w:rPr>
                      <w:sz w:val="18"/>
                      <w:szCs w:val="18"/>
                    </w:rPr>
                    <w:t>年平均质量浓度</w:t>
                  </w:r>
                </w:p>
              </w:tc>
              <w:tc>
                <w:tcPr>
                  <w:tcW w:w="1038" w:type="pct"/>
                  <w:tcBorders>
                    <w:tl2br w:val="nil"/>
                    <w:tr2bl w:val="nil"/>
                  </w:tcBorders>
                  <w:noWrap w:val="0"/>
                  <w:vAlign w:val="center"/>
                </w:tcPr>
                <w:p>
                  <w:pPr>
                    <w:keepNext w:val="0"/>
                    <w:keepLines w:val="0"/>
                    <w:pageBreakBefore w:val="0"/>
                    <w:wordWrap/>
                    <w:overflowPunct/>
                    <w:topLinePunct w:val="0"/>
                    <w:bidi w:val="0"/>
                    <w:adjustRightInd/>
                    <w:snapToGrid/>
                    <w:spacing w:line="240" w:lineRule="auto"/>
                    <w:ind w:firstLine="0" w:firstLineChars="0"/>
                    <w:jc w:val="center"/>
                    <w:rPr>
                      <w:rFonts w:hint="default" w:eastAsia="宋体"/>
                      <w:kern w:val="0"/>
                      <w:sz w:val="18"/>
                      <w:szCs w:val="18"/>
                      <w:lang w:val="en-US" w:eastAsia="zh-CN"/>
                    </w:rPr>
                  </w:pPr>
                  <w:r>
                    <w:rPr>
                      <w:rFonts w:hint="eastAsia"/>
                      <w:kern w:val="0"/>
                      <w:sz w:val="18"/>
                      <w:szCs w:val="18"/>
                      <w:lang w:val="en-US" w:eastAsia="zh-CN"/>
                    </w:rPr>
                    <w:t>11</w:t>
                  </w:r>
                </w:p>
              </w:tc>
              <w:tc>
                <w:tcPr>
                  <w:tcW w:w="1039" w:type="pct"/>
                  <w:tcBorders>
                    <w:tl2br w:val="nil"/>
                    <w:tr2bl w:val="nil"/>
                  </w:tcBorders>
                  <w:noWrap w:val="0"/>
                  <w:vAlign w:val="center"/>
                </w:tcPr>
                <w:p>
                  <w:pPr>
                    <w:keepNext w:val="0"/>
                    <w:keepLines w:val="0"/>
                    <w:pageBreakBefore w:val="0"/>
                    <w:wordWrap/>
                    <w:overflowPunct/>
                    <w:topLinePunct w:val="0"/>
                    <w:bidi w:val="0"/>
                    <w:adjustRightInd/>
                    <w:snapToGrid/>
                    <w:spacing w:line="240" w:lineRule="auto"/>
                    <w:ind w:firstLine="0" w:firstLineChars="0"/>
                    <w:jc w:val="center"/>
                    <w:rPr>
                      <w:kern w:val="0"/>
                      <w:sz w:val="18"/>
                      <w:szCs w:val="18"/>
                    </w:rPr>
                  </w:pPr>
                  <w:r>
                    <w:rPr>
                      <w:kern w:val="0"/>
                      <w:sz w:val="18"/>
                      <w:szCs w:val="18"/>
                    </w:rPr>
                    <w:t>40</w:t>
                  </w:r>
                </w:p>
              </w:tc>
              <w:tc>
                <w:tcPr>
                  <w:tcW w:w="714" w:type="pct"/>
                  <w:tcBorders>
                    <w:tl2br w:val="nil"/>
                    <w:tr2bl w:val="nil"/>
                  </w:tcBorders>
                  <w:noWrap w:val="0"/>
                  <w:vAlign w:val="center"/>
                </w:tcPr>
                <w:p>
                  <w:pPr>
                    <w:keepNext w:val="0"/>
                    <w:keepLines w:val="0"/>
                    <w:pageBreakBefore w:val="0"/>
                    <w:wordWrap/>
                    <w:overflowPunct/>
                    <w:topLinePunct w:val="0"/>
                    <w:bidi w:val="0"/>
                    <w:adjustRightInd/>
                    <w:snapToGrid/>
                    <w:spacing w:line="240" w:lineRule="auto"/>
                    <w:ind w:firstLine="0" w:firstLineChars="0"/>
                    <w:jc w:val="center"/>
                    <w:rPr>
                      <w:rFonts w:hint="default" w:eastAsia="宋体"/>
                      <w:kern w:val="0"/>
                      <w:sz w:val="18"/>
                      <w:szCs w:val="18"/>
                      <w:lang w:val="en-US" w:eastAsia="zh-CN"/>
                    </w:rPr>
                  </w:pPr>
                  <w:r>
                    <w:rPr>
                      <w:rFonts w:hint="eastAsia"/>
                      <w:kern w:val="0"/>
                      <w:sz w:val="18"/>
                      <w:szCs w:val="18"/>
                      <w:lang w:val="en-US" w:eastAsia="zh-CN"/>
                    </w:rPr>
                    <w:t>27.5</w:t>
                  </w:r>
                </w:p>
              </w:tc>
              <w:tc>
                <w:tcPr>
                  <w:tcW w:w="528" w:type="pct"/>
                  <w:tcBorders>
                    <w:tl2br w:val="nil"/>
                    <w:tr2bl w:val="nil"/>
                  </w:tcBorders>
                  <w:noWrap w:val="0"/>
                  <w:vAlign w:val="center"/>
                </w:tcPr>
                <w:p>
                  <w:pPr>
                    <w:keepNext w:val="0"/>
                    <w:keepLines w:val="0"/>
                    <w:pageBreakBefore w:val="0"/>
                    <w:wordWrap/>
                    <w:overflowPunct/>
                    <w:topLinePunct w:val="0"/>
                    <w:bidi w:val="0"/>
                    <w:adjustRightInd/>
                    <w:snapToGrid/>
                    <w:spacing w:line="240" w:lineRule="auto"/>
                    <w:ind w:firstLine="0" w:firstLineChars="0"/>
                    <w:jc w:val="center"/>
                    <w:rPr>
                      <w:kern w:val="0"/>
                      <w:sz w:val="18"/>
                      <w:szCs w:val="18"/>
                    </w:rPr>
                  </w:pPr>
                  <w:r>
                    <w:rPr>
                      <w:kern w:val="0"/>
                      <w:sz w:val="18"/>
                      <w:szCs w:val="18"/>
                    </w:rPr>
                    <w:t>达标</w:t>
                  </w:r>
                </w:p>
              </w:tc>
            </w:tr>
            <w:tr>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trHeight w:val="454" w:hRule="atLeast"/>
              </w:trPr>
              <w:tc>
                <w:tcPr>
                  <w:tcW w:w="5000" w:type="pct"/>
                  <w:gridSpan w:val="6"/>
                  <w:tcBorders>
                    <w:tl2br w:val="nil"/>
                    <w:tr2bl w:val="nil"/>
                  </w:tcBorders>
                  <w:noWrap w:val="0"/>
                  <w:vAlign w:val="center"/>
                </w:tcPr>
                <w:p>
                  <w:pPr>
                    <w:keepNext w:val="0"/>
                    <w:keepLines w:val="0"/>
                    <w:pageBreakBefore w:val="0"/>
                    <w:wordWrap/>
                    <w:overflowPunct/>
                    <w:topLinePunct w:val="0"/>
                    <w:bidi w:val="0"/>
                    <w:adjustRightInd/>
                    <w:snapToGrid/>
                    <w:spacing w:line="240" w:lineRule="auto"/>
                    <w:ind w:firstLine="0" w:firstLineChars="0"/>
                    <w:jc w:val="both"/>
                    <w:rPr>
                      <w:kern w:val="0"/>
                      <w:sz w:val="21"/>
                      <w:szCs w:val="21"/>
                    </w:rPr>
                  </w:pPr>
                  <w:r>
                    <w:rPr>
                      <w:rFonts w:ascii="Times New Roman" w:hAnsi="Times New Roman" w:eastAsia="宋体"/>
                      <w:bCs/>
                      <w:color w:val="000000"/>
                      <w:sz w:val="18"/>
                      <w:szCs w:val="18"/>
                      <w:u w:val="none"/>
                    </w:rPr>
                    <w:t>备注：①、标准值为《环境空气质量标准》（GB3095-2012）二级标准。</w:t>
                  </w:r>
                </w:p>
              </w:tc>
            </w:tr>
          </w:tbl>
          <w:p>
            <w:pPr>
              <w:pStyle w:val="66"/>
              <w:spacing w:line="360" w:lineRule="auto"/>
              <w:jc w:val="center"/>
              <w:rPr>
                <w:b/>
                <w:bCs/>
                <w:color w:val="000000"/>
                <w:sz w:val="21"/>
                <w:u w:val="none"/>
              </w:rPr>
            </w:pPr>
          </w:p>
          <w:p>
            <w:pPr>
              <w:spacing w:line="360" w:lineRule="auto"/>
              <w:ind w:firstLine="480" w:firstLineChars="200"/>
              <w:rPr>
                <w:color w:val="000000"/>
                <w:sz w:val="24"/>
                <w:u w:val="none"/>
              </w:rPr>
            </w:pPr>
            <w:r>
              <w:rPr>
                <w:color w:val="000000"/>
                <w:sz w:val="24"/>
                <w:u w:val="none"/>
              </w:rPr>
              <w:t>由表3-1可知，PM</w:t>
            </w:r>
            <w:r>
              <w:rPr>
                <w:color w:val="000000"/>
                <w:sz w:val="24"/>
                <w:u w:val="none"/>
                <w:vertAlign w:val="subscript"/>
              </w:rPr>
              <w:t>2.5</w:t>
            </w:r>
            <w:r>
              <w:rPr>
                <w:color w:val="000000"/>
                <w:sz w:val="24"/>
                <w:u w:val="none"/>
              </w:rPr>
              <w:t>、PM</w:t>
            </w:r>
            <w:r>
              <w:rPr>
                <w:color w:val="000000"/>
                <w:sz w:val="24"/>
                <w:u w:val="none"/>
                <w:vertAlign w:val="subscript"/>
              </w:rPr>
              <w:t>10</w:t>
            </w:r>
            <w:r>
              <w:rPr>
                <w:color w:val="000000"/>
                <w:sz w:val="24"/>
                <w:u w:val="none"/>
              </w:rPr>
              <w:t>、SO</w:t>
            </w:r>
            <w:r>
              <w:rPr>
                <w:color w:val="000000"/>
                <w:sz w:val="24"/>
                <w:u w:val="none"/>
                <w:vertAlign w:val="subscript"/>
              </w:rPr>
              <w:t>2</w:t>
            </w:r>
            <w:r>
              <w:rPr>
                <w:color w:val="000000"/>
                <w:sz w:val="24"/>
                <w:u w:val="none"/>
              </w:rPr>
              <w:t>、NO</w:t>
            </w:r>
            <w:r>
              <w:rPr>
                <w:color w:val="000000"/>
                <w:sz w:val="24"/>
                <w:u w:val="none"/>
                <w:vertAlign w:val="subscript"/>
              </w:rPr>
              <w:t>2</w:t>
            </w:r>
            <w:r>
              <w:rPr>
                <w:color w:val="000000"/>
                <w:sz w:val="24"/>
                <w:u w:val="none"/>
              </w:rPr>
              <w:t>、CO年平均值、CO日最大8h平均值浓度均满足《环境空气质量标准》（GB3096-2012）中二级标准。因此，项目区域属于环境空气质量达标区。</w:t>
            </w:r>
          </w:p>
          <w:p>
            <w:pPr>
              <w:spacing w:line="360" w:lineRule="auto"/>
              <w:ind w:firstLine="482" w:firstLineChars="200"/>
              <w:rPr>
                <w:b/>
                <w:bCs/>
                <w:color w:val="000000"/>
                <w:sz w:val="24"/>
                <w:u w:val="none"/>
              </w:rPr>
            </w:pPr>
            <w:r>
              <w:rPr>
                <w:b/>
                <w:bCs/>
                <w:color w:val="000000"/>
                <w:sz w:val="24"/>
                <w:u w:val="none"/>
              </w:rPr>
              <w:t>2地表水环境质量现状</w:t>
            </w:r>
          </w:p>
          <w:p>
            <w:pPr>
              <w:spacing w:line="360" w:lineRule="auto"/>
              <w:ind w:firstLine="480" w:firstLineChars="200"/>
              <w:rPr>
                <w:color w:val="000000"/>
                <w:sz w:val="24"/>
                <w:u w:val="none"/>
              </w:rPr>
            </w:pPr>
            <w:r>
              <w:rPr>
                <w:color w:val="000000"/>
                <w:sz w:val="24"/>
                <w:u w:val="none"/>
              </w:rPr>
              <w:t>根据衡阳市生态环境局发布的《关于202</w:t>
            </w:r>
            <w:r>
              <w:rPr>
                <w:rFonts w:hint="eastAsia"/>
                <w:color w:val="000000"/>
                <w:sz w:val="24"/>
                <w:u w:val="none"/>
                <w:lang w:val="en-US" w:eastAsia="zh-CN"/>
              </w:rPr>
              <w:t>4</w:t>
            </w:r>
            <w:r>
              <w:rPr>
                <w:color w:val="000000"/>
                <w:sz w:val="24"/>
                <w:u w:val="none"/>
              </w:rPr>
              <w:t>年12月及1~12月全市环境质量状况的通报》可知，本项目周边最近的地表水体为</w:t>
            </w:r>
            <w:r>
              <w:rPr>
                <w:rFonts w:hint="eastAsia"/>
                <w:color w:val="000000"/>
                <w:sz w:val="24"/>
                <w:u w:val="none"/>
                <w:lang w:val="en-US" w:eastAsia="zh-CN"/>
              </w:rPr>
              <w:t>蒸水</w:t>
            </w:r>
            <w:r>
              <w:rPr>
                <w:color w:val="000000"/>
                <w:sz w:val="24"/>
                <w:u w:val="none"/>
              </w:rPr>
              <w:t>，距离本项目最近的地表水监测断面为</w:t>
            </w:r>
            <w:r>
              <w:rPr>
                <w:rFonts w:hint="eastAsia"/>
                <w:color w:val="000000"/>
                <w:sz w:val="24"/>
                <w:u w:val="none"/>
                <w:lang w:val="en-US" w:eastAsia="zh-CN"/>
              </w:rPr>
              <w:t>新化村</w:t>
            </w:r>
            <w:r>
              <w:rPr>
                <w:color w:val="000000"/>
                <w:sz w:val="24"/>
                <w:u w:val="none"/>
              </w:rPr>
              <w:t>监测断面，其水质监测情况如下表所示：</w:t>
            </w:r>
          </w:p>
          <w:p>
            <w:pPr>
              <w:jc w:val="center"/>
              <w:rPr>
                <w:b/>
                <w:color w:val="000000"/>
                <w:szCs w:val="21"/>
                <w:u w:val="none"/>
              </w:rPr>
            </w:pPr>
            <w:r>
              <w:rPr>
                <w:b/>
                <w:color w:val="000000"/>
                <w:szCs w:val="21"/>
                <w:u w:val="none"/>
              </w:rPr>
              <w:t>表3-</w:t>
            </w:r>
            <w:r>
              <w:rPr>
                <w:rFonts w:hint="eastAsia"/>
                <w:b/>
                <w:color w:val="000000"/>
                <w:szCs w:val="21"/>
                <w:u w:val="none"/>
              </w:rPr>
              <w:t>3</w:t>
            </w:r>
            <w:r>
              <w:rPr>
                <w:b/>
                <w:color w:val="000000"/>
                <w:szCs w:val="21"/>
                <w:u w:val="none"/>
              </w:rPr>
              <w:t>202</w:t>
            </w:r>
            <w:r>
              <w:rPr>
                <w:rFonts w:hint="eastAsia"/>
                <w:b/>
                <w:color w:val="000000"/>
                <w:szCs w:val="21"/>
                <w:u w:val="none"/>
                <w:lang w:val="en-US" w:eastAsia="zh-CN"/>
              </w:rPr>
              <w:t>3</w:t>
            </w:r>
            <w:r>
              <w:rPr>
                <w:b/>
                <w:color w:val="000000"/>
                <w:szCs w:val="21"/>
                <w:u w:val="none"/>
              </w:rPr>
              <w:t>年1-12月衡</w:t>
            </w:r>
            <w:r>
              <w:rPr>
                <w:rFonts w:hint="eastAsia"/>
                <w:b/>
                <w:color w:val="000000"/>
                <w:szCs w:val="21"/>
                <w:u w:val="none"/>
                <w:lang w:val="en-US" w:eastAsia="zh-CN"/>
              </w:rPr>
              <w:t>阳县</w:t>
            </w:r>
            <w:r>
              <w:rPr>
                <w:b/>
                <w:color w:val="000000"/>
                <w:szCs w:val="21"/>
                <w:u w:val="none"/>
              </w:rPr>
              <w:t>地表水水质情况</w:t>
            </w:r>
          </w:p>
          <w:p>
            <w:pPr>
              <w:pStyle w:val="28"/>
              <w:spacing w:before="120"/>
              <w:ind w:firstLine="0" w:firstLineChars="0"/>
              <w:rPr>
                <w:color w:val="000000"/>
                <w:u w:val="none"/>
              </w:rPr>
            </w:pPr>
            <w:r>
              <w:drawing>
                <wp:inline distT="0" distB="0" distL="114300" distR="114300">
                  <wp:extent cx="5109210" cy="2783205"/>
                  <wp:effectExtent l="0" t="0" r="11430" b="5715"/>
                  <wp:docPr id="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
                          <pic:cNvPicPr>
                            <a:picLocks noChangeAspect="1"/>
                          </pic:cNvPicPr>
                        </pic:nvPicPr>
                        <pic:blipFill>
                          <a:blip r:embed="rId23"/>
                          <a:stretch>
                            <a:fillRect/>
                          </a:stretch>
                        </pic:blipFill>
                        <pic:spPr>
                          <a:xfrm>
                            <a:off x="0" y="0"/>
                            <a:ext cx="5109210" cy="2783205"/>
                          </a:xfrm>
                          <a:prstGeom prst="rect">
                            <a:avLst/>
                          </a:prstGeom>
                          <a:noFill/>
                          <a:ln>
                            <a:noFill/>
                          </a:ln>
                        </pic:spPr>
                      </pic:pic>
                    </a:graphicData>
                  </a:graphic>
                </wp:inline>
              </w:drawing>
            </w:r>
          </w:p>
          <w:p>
            <w:pPr>
              <w:spacing w:line="360" w:lineRule="auto"/>
              <w:ind w:firstLine="480" w:firstLineChars="200"/>
              <w:rPr>
                <w:color w:val="000000"/>
                <w:sz w:val="24"/>
                <w:u w:val="none"/>
              </w:rPr>
            </w:pPr>
            <w:r>
              <w:rPr>
                <w:color w:val="000000"/>
                <w:sz w:val="24"/>
                <w:u w:val="none"/>
              </w:rPr>
              <w:t>由上表分析评价可知，</w:t>
            </w:r>
            <w:r>
              <w:rPr>
                <w:rFonts w:hint="eastAsia"/>
                <w:color w:val="000000"/>
                <w:sz w:val="24"/>
                <w:u w:val="none"/>
                <w:lang w:val="en-US" w:eastAsia="zh-CN"/>
              </w:rPr>
              <w:t>新化村</w:t>
            </w:r>
            <w:r>
              <w:rPr>
                <w:color w:val="000000"/>
                <w:sz w:val="24"/>
                <w:u w:val="none"/>
              </w:rPr>
              <w:t>监测断面水质达到《地表水环境质量标准》（GB3838-2002）II类标准，区域地表水环境质量良好。</w:t>
            </w:r>
          </w:p>
          <w:p>
            <w:pPr>
              <w:spacing w:line="360" w:lineRule="auto"/>
              <w:ind w:firstLine="482" w:firstLineChars="200"/>
              <w:rPr>
                <w:b/>
                <w:bCs/>
                <w:color w:val="auto"/>
                <w:sz w:val="24"/>
                <w:u w:val="none"/>
              </w:rPr>
            </w:pPr>
            <w:r>
              <w:rPr>
                <w:b/>
                <w:bCs/>
                <w:color w:val="auto"/>
                <w:sz w:val="24"/>
                <w:u w:val="none"/>
              </w:rPr>
              <w:t>3声环境质量现状</w:t>
            </w:r>
          </w:p>
          <w:p>
            <w:pPr>
              <w:pStyle w:val="79"/>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根据《建设项目环境影响报告表内容</w:t>
            </w:r>
            <w:r>
              <w:rPr>
                <w:rFonts w:hint="eastAsia"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格式及编制技术指南常见问题解答》中第五条，其中明确指出：厂界外周边50m范围内无声环境保护目标的建设项目，不再要求提供声环境质呈现状监测数据。本项目50m范围内无规划或现状声环境保护目标，因此本项目无须提供声环境质量现状监测数据。</w:t>
            </w:r>
          </w:p>
          <w:p>
            <w:pPr>
              <w:spacing w:line="360" w:lineRule="auto"/>
              <w:ind w:firstLine="482" w:firstLineChars="200"/>
              <w:rPr>
                <w:rFonts w:hint="eastAsia"/>
                <w:b/>
                <w:bCs/>
                <w:color w:val="000000"/>
                <w:sz w:val="24"/>
                <w:u w:val="none"/>
                <w:lang w:val="en-US" w:eastAsia="zh-CN"/>
              </w:rPr>
            </w:pPr>
            <w:r>
              <w:rPr>
                <w:rFonts w:hint="eastAsia"/>
                <w:b/>
                <w:bCs/>
                <w:color w:val="000000"/>
                <w:sz w:val="24"/>
                <w:u w:val="none"/>
                <w:lang w:val="en-US" w:eastAsia="zh-CN"/>
              </w:rPr>
              <w:t>4地下水、土壤环境质量现状</w:t>
            </w:r>
          </w:p>
          <w:p>
            <w:pPr>
              <w:pStyle w:val="65"/>
              <w:spacing w:line="360" w:lineRule="auto"/>
              <w:jc w:val="left"/>
              <w:rPr>
                <w:rFonts w:hint="default" w:ascii="Times New Roman" w:hAnsi="Times New Roman"/>
                <w:color w:val="000000"/>
                <w:szCs w:val="24"/>
                <w:u w:val="none"/>
                <w:shd w:val="clear" w:color="auto" w:fill="FFFFFF"/>
                <w:lang w:val="en-US" w:eastAsia="zh-CN"/>
              </w:rPr>
            </w:pPr>
            <w:r>
              <w:rPr>
                <w:rFonts w:hint="eastAsia" w:hAnsi="Times New Roman"/>
                <w:color w:val="000000"/>
                <w:sz w:val="24"/>
                <w:szCs w:val="24"/>
                <w:u w:val="none"/>
                <w:shd w:val="clear" w:color="auto" w:fill="FFFFFF"/>
                <w:lang w:eastAsia="zh-CN"/>
              </w:rPr>
              <w:t>衡阳县财源页岩砖有限公司</w:t>
            </w:r>
            <w:r>
              <w:rPr>
                <w:rFonts w:hint="eastAsia" w:ascii="Times New Roman" w:hAnsi="Times New Roman"/>
                <w:color w:val="000000"/>
                <w:sz w:val="24"/>
                <w:szCs w:val="24"/>
                <w:u w:val="none"/>
                <w:shd w:val="clear" w:color="auto" w:fill="FFFFFF"/>
                <w:lang w:eastAsia="zh-CN"/>
              </w:rPr>
              <w:t>在原有厂区范围内进行，主要生产</w:t>
            </w:r>
            <w:r>
              <w:rPr>
                <w:rFonts w:hint="eastAsia"/>
                <w:color w:val="000000"/>
                <w:sz w:val="24"/>
                <w:szCs w:val="24"/>
                <w:u w:val="none"/>
                <w:lang w:val="en-US" w:eastAsia="zh-CN"/>
              </w:rPr>
              <w:t>烧结页岩砖</w:t>
            </w:r>
            <w:r>
              <w:rPr>
                <w:rFonts w:hint="eastAsia"/>
                <w:color w:val="000000"/>
                <w:sz w:val="24"/>
                <w:szCs w:val="24"/>
                <w:u w:val="none"/>
                <w:lang w:eastAsia="zh-CN"/>
              </w:rPr>
              <w:t>。本项目在运营过程对地下水环境和土壤环境产生的影响较小，因此不作现状评价。</w:t>
            </w:r>
          </w:p>
          <w:p>
            <w:pPr>
              <w:spacing w:line="360" w:lineRule="auto"/>
              <w:ind w:firstLine="482" w:firstLineChars="200"/>
              <w:rPr>
                <w:rFonts w:hint="eastAsia"/>
                <w:b/>
                <w:bCs/>
                <w:color w:val="000000"/>
                <w:sz w:val="24"/>
                <w:u w:val="none"/>
                <w:lang w:val="en-US" w:eastAsia="zh-CN"/>
              </w:rPr>
            </w:pPr>
            <w:r>
              <w:rPr>
                <w:rFonts w:hint="eastAsia"/>
                <w:b/>
                <w:bCs/>
                <w:color w:val="000000"/>
                <w:sz w:val="24"/>
                <w:u w:val="none"/>
                <w:lang w:val="en-US" w:eastAsia="zh-CN"/>
              </w:rPr>
              <w:t>5生态环境</w:t>
            </w:r>
          </w:p>
          <w:p>
            <w:pPr>
              <w:pStyle w:val="65"/>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rPr>
                <w:color w:val="000000"/>
                <w:kern w:val="0"/>
                <w:szCs w:val="21"/>
                <w:u w:val="none"/>
              </w:rPr>
            </w:pPr>
            <w:r>
              <w:rPr>
                <w:rFonts w:hint="eastAsia" w:hAnsi="Times New Roman" w:cs="Times New Roman"/>
                <w:bCs/>
                <w:color w:val="000000"/>
                <w:sz w:val="24"/>
                <w:u w:val="none"/>
                <w:lang w:val="en-US" w:eastAsia="zh-CN"/>
              </w:rPr>
              <w:t>本项目只在原有厂区内进行，根据现场调查新增用地为原采矿区，无生态环保目标，依据《建设项目环境影响报告表编制技术指南（污染影响类）》（试行）可不开展生态现状调查。</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400" w:hRule="atLeast"/>
          <w:jc w:val="center"/>
        </w:trPr>
        <w:tc>
          <w:tcPr>
            <w:tcW w:w="807" w:type="dxa"/>
            <w:noWrap w:val="0"/>
            <w:vAlign w:val="center"/>
          </w:tcPr>
          <w:p>
            <w:pPr>
              <w:adjustRightInd w:val="0"/>
              <w:snapToGrid w:val="0"/>
              <w:jc w:val="center"/>
              <w:rPr>
                <w:color w:val="000000"/>
                <w:kern w:val="0"/>
                <w:sz w:val="24"/>
                <w:u w:val="none"/>
              </w:rPr>
            </w:pPr>
            <w:r>
              <w:rPr>
                <w:color w:val="000000"/>
                <w:kern w:val="0"/>
                <w:sz w:val="24"/>
                <w:u w:val="none"/>
              </w:rPr>
              <w:t>环境</w:t>
            </w:r>
          </w:p>
          <w:p>
            <w:pPr>
              <w:adjustRightInd w:val="0"/>
              <w:snapToGrid w:val="0"/>
              <w:jc w:val="center"/>
              <w:rPr>
                <w:color w:val="000000"/>
                <w:kern w:val="0"/>
                <w:sz w:val="24"/>
                <w:u w:val="none"/>
              </w:rPr>
            </w:pPr>
            <w:r>
              <w:rPr>
                <w:color w:val="000000"/>
                <w:kern w:val="0"/>
                <w:sz w:val="24"/>
                <w:u w:val="none"/>
              </w:rPr>
              <w:t>保护</w:t>
            </w:r>
          </w:p>
          <w:p>
            <w:pPr>
              <w:adjustRightInd w:val="0"/>
              <w:snapToGrid w:val="0"/>
              <w:jc w:val="center"/>
              <w:rPr>
                <w:color w:val="000000"/>
                <w:kern w:val="0"/>
                <w:szCs w:val="21"/>
                <w:u w:val="none"/>
              </w:rPr>
            </w:pPr>
            <w:r>
              <w:rPr>
                <w:color w:val="000000"/>
                <w:kern w:val="0"/>
                <w:sz w:val="24"/>
                <w:u w:val="none"/>
              </w:rPr>
              <w:t>目标</w:t>
            </w:r>
          </w:p>
        </w:tc>
        <w:tc>
          <w:tcPr>
            <w:tcW w:w="8264" w:type="dxa"/>
            <w:noWrap w:val="0"/>
            <w:vAlign w:val="center"/>
          </w:tcPr>
          <w:p>
            <w:pPr>
              <w:pStyle w:val="65"/>
              <w:spacing w:line="360" w:lineRule="auto"/>
              <w:ind w:firstLine="482"/>
              <w:jc w:val="left"/>
              <w:rPr>
                <w:rFonts w:hint="eastAsia" w:ascii="宋体" w:hAnsi="宋体" w:eastAsia="宋体" w:cs="宋体"/>
                <w:b/>
                <w:color w:val="000000"/>
                <w:sz w:val="24"/>
                <w:u w:val="none"/>
              </w:rPr>
            </w:pPr>
            <w:r>
              <w:rPr>
                <w:rFonts w:hint="eastAsia" w:ascii="宋体" w:hAnsi="宋体" w:eastAsia="宋体" w:cs="宋体"/>
                <w:b/>
                <w:color w:val="000000"/>
                <w:sz w:val="24"/>
                <w:u w:val="none"/>
              </w:rPr>
              <w:t>1、大气环境</w:t>
            </w:r>
          </w:p>
          <w:p>
            <w:pPr>
              <w:pStyle w:val="65"/>
              <w:spacing w:line="360" w:lineRule="auto"/>
              <w:jc w:val="left"/>
              <w:rPr>
                <w:rFonts w:hint="eastAsia" w:ascii="宋体" w:hAnsi="宋体" w:eastAsia="宋体" w:cs="宋体"/>
                <w:bCs/>
                <w:color w:val="000000"/>
                <w:sz w:val="24"/>
                <w:u w:val="none"/>
              </w:rPr>
            </w:pPr>
            <w:r>
              <w:rPr>
                <w:rFonts w:hint="eastAsia" w:ascii="宋体" w:hAnsi="宋体" w:eastAsia="宋体" w:cs="宋体"/>
                <w:bCs/>
                <w:color w:val="000000"/>
                <w:sz w:val="24"/>
                <w:u w:val="none"/>
              </w:rPr>
              <w:t>本项目位于</w:t>
            </w:r>
            <w:r>
              <w:rPr>
                <w:rFonts w:hint="eastAsia" w:ascii="宋体" w:cs="宋体"/>
                <w:bCs/>
                <w:color w:val="000000"/>
                <w:sz w:val="24"/>
                <w:u w:val="none"/>
                <w:lang w:eastAsia="zh-CN"/>
              </w:rPr>
              <w:t>衡阳县西渡镇正大村枣子组</w:t>
            </w:r>
            <w:r>
              <w:rPr>
                <w:rFonts w:hint="eastAsia" w:ascii="宋体" w:hAnsi="宋体" w:eastAsia="宋体" w:cs="宋体"/>
                <w:bCs/>
                <w:color w:val="000000"/>
                <w:sz w:val="24"/>
                <w:u w:val="none"/>
              </w:rPr>
              <w:t>，本项目厂界外500m范围内大气环境保护目标详见表3-5及附图2。</w:t>
            </w:r>
          </w:p>
          <w:p>
            <w:pPr>
              <w:snapToGrid w:val="0"/>
              <w:jc w:val="center"/>
              <w:rPr>
                <w:rFonts w:hint="eastAsia" w:ascii="宋体" w:hAnsi="宋体" w:eastAsia="宋体" w:cs="宋体"/>
                <w:b/>
                <w:color w:val="000000"/>
                <w:szCs w:val="21"/>
                <w:u w:val="none"/>
              </w:rPr>
            </w:pPr>
          </w:p>
          <w:p>
            <w:pPr>
              <w:snapToGrid w:val="0"/>
              <w:jc w:val="center"/>
              <w:rPr>
                <w:rFonts w:hint="eastAsia" w:ascii="宋体" w:hAnsi="宋体" w:eastAsia="宋体" w:cs="宋体"/>
                <w:b/>
                <w:color w:val="000000"/>
                <w:szCs w:val="21"/>
                <w:u w:val="none"/>
              </w:rPr>
            </w:pPr>
            <w:r>
              <w:rPr>
                <w:rFonts w:hint="eastAsia" w:ascii="宋体" w:hAnsi="宋体" w:eastAsia="宋体" w:cs="宋体"/>
                <w:b/>
                <w:color w:val="000000"/>
                <w:szCs w:val="21"/>
                <w:u w:val="none"/>
              </w:rPr>
              <w:t>表3-5环境空气保护目标一览表</w:t>
            </w:r>
          </w:p>
          <w:tbl>
            <w:tblPr>
              <w:tblStyle w:val="30"/>
              <w:tblpPr w:leftFromText="180" w:rightFromText="180" w:vertAnchor="text" w:horzAnchor="page" w:tblpXSpec="center" w:tblpY="449"/>
              <w:tblOverlap w:val="never"/>
              <w:tblW w:w="7966"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6" w:space="0"/>
              </w:tblBorders>
              <w:tblLayout w:type="fixed"/>
              <w:tblCellMar>
                <w:top w:w="0" w:type="dxa"/>
                <w:left w:w="108" w:type="dxa"/>
                <w:bottom w:w="0" w:type="dxa"/>
                <w:right w:w="108" w:type="dxa"/>
              </w:tblCellMar>
            </w:tblPr>
            <w:tblGrid>
              <w:gridCol w:w="972"/>
              <w:gridCol w:w="1865"/>
              <w:gridCol w:w="1388"/>
              <w:gridCol w:w="1587"/>
              <w:gridCol w:w="215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6" w:space="0"/>
                </w:tblBorders>
                <w:tblCellMar>
                  <w:top w:w="0" w:type="dxa"/>
                  <w:left w:w="108" w:type="dxa"/>
                  <w:bottom w:w="0" w:type="dxa"/>
                  <w:right w:w="108" w:type="dxa"/>
                </w:tblCellMar>
              </w:tblPrEx>
              <w:trPr>
                <w:trHeight w:val="454" w:hRule="atLeast"/>
                <w:tblHeader/>
                <w:jc w:val="center"/>
              </w:trPr>
              <w:tc>
                <w:tcPr>
                  <w:tcW w:w="972" w:type="dxa"/>
                  <w:tcBorders>
                    <w:tl2br w:val="nil"/>
                    <w:tr2bl w:val="nil"/>
                  </w:tcBorders>
                  <w:noWrap w:val="0"/>
                  <w:vAlign w:val="center"/>
                </w:tcPr>
                <w:p>
                  <w:pPr>
                    <w:jc w:val="center"/>
                    <w:rPr>
                      <w:rFonts w:hint="eastAsia" w:ascii="宋体" w:hAnsi="宋体" w:eastAsia="宋体" w:cs="宋体"/>
                      <w:b/>
                      <w:bCs/>
                      <w:sz w:val="21"/>
                      <w:szCs w:val="21"/>
                      <w:u w:val="none"/>
                    </w:rPr>
                  </w:pPr>
                  <w:r>
                    <w:rPr>
                      <w:rFonts w:hint="eastAsia" w:ascii="宋体" w:hAnsi="宋体" w:eastAsia="宋体" w:cs="宋体"/>
                      <w:b/>
                      <w:bCs/>
                      <w:sz w:val="21"/>
                      <w:szCs w:val="21"/>
                      <w:u w:val="none"/>
                    </w:rPr>
                    <w:t>序号</w:t>
                  </w:r>
                </w:p>
              </w:tc>
              <w:tc>
                <w:tcPr>
                  <w:tcW w:w="1865" w:type="dxa"/>
                  <w:tcBorders>
                    <w:tl2br w:val="nil"/>
                    <w:tr2bl w:val="nil"/>
                  </w:tcBorders>
                  <w:noWrap w:val="0"/>
                  <w:vAlign w:val="center"/>
                </w:tcPr>
                <w:p>
                  <w:pPr>
                    <w:jc w:val="center"/>
                    <w:rPr>
                      <w:rFonts w:hint="eastAsia" w:ascii="宋体" w:hAnsi="宋体" w:eastAsia="宋体" w:cs="宋体"/>
                      <w:b/>
                      <w:bCs/>
                      <w:sz w:val="21"/>
                      <w:szCs w:val="21"/>
                      <w:u w:val="none"/>
                    </w:rPr>
                  </w:pPr>
                  <w:r>
                    <w:rPr>
                      <w:rFonts w:hint="eastAsia" w:ascii="宋体" w:hAnsi="宋体" w:eastAsia="宋体" w:cs="宋体"/>
                      <w:b/>
                      <w:bCs/>
                      <w:sz w:val="21"/>
                      <w:szCs w:val="21"/>
                      <w:u w:val="none"/>
                    </w:rPr>
                    <w:t>敏感点</w:t>
                  </w:r>
                </w:p>
              </w:tc>
              <w:tc>
                <w:tcPr>
                  <w:tcW w:w="1388" w:type="dxa"/>
                  <w:tcBorders>
                    <w:tl2br w:val="nil"/>
                    <w:tr2bl w:val="nil"/>
                  </w:tcBorders>
                  <w:noWrap w:val="0"/>
                  <w:vAlign w:val="center"/>
                </w:tcPr>
                <w:p>
                  <w:pPr>
                    <w:jc w:val="center"/>
                    <w:rPr>
                      <w:rFonts w:hint="eastAsia" w:ascii="宋体" w:hAnsi="宋体" w:eastAsia="宋体" w:cs="宋体"/>
                      <w:b/>
                      <w:bCs/>
                      <w:sz w:val="21"/>
                      <w:szCs w:val="21"/>
                      <w:u w:val="none"/>
                    </w:rPr>
                  </w:pPr>
                  <w:r>
                    <w:rPr>
                      <w:rFonts w:hint="eastAsia" w:ascii="宋体" w:hAnsi="宋体" w:eastAsia="宋体" w:cs="宋体"/>
                      <w:b/>
                      <w:bCs/>
                      <w:sz w:val="21"/>
                      <w:szCs w:val="21"/>
                      <w:u w:val="none"/>
                    </w:rPr>
                    <w:t>方位</w:t>
                  </w:r>
                </w:p>
              </w:tc>
              <w:tc>
                <w:tcPr>
                  <w:tcW w:w="1587" w:type="dxa"/>
                  <w:tcBorders>
                    <w:tl2br w:val="nil"/>
                    <w:tr2bl w:val="nil"/>
                  </w:tcBorders>
                  <w:noWrap w:val="0"/>
                  <w:vAlign w:val="center"/>
                </w:tcPr>
                <w:p>
                  <w:pPr>
                    <w:jc w:val="center"/>
                    <w:rPr>
                      <w:rFonts w:hint="eastAsia" w:ascii="宋体" w:hAnsi="宋体" w:eastAsia="宋体" w:cs="宋体"/>
                      <w:b/>
                      <w:bCs/>
                      <w:sz w:val="21"/>
                      <w:szCs w:val="21"/>
                      <w:u w:val="none"/>
                    </w:rPr>
                  </w:pPr>
                  <w:r>
                    <w:rPr>
                      <w:rFonts w:hint="eastAsia" w:ascii="宋体" w:hAnsi="宋体" w:eastAsia="宋体" w:cs="宋体"/>
                      <w:b/>
                      <w:bCs/>
                      <w:sz w:val="21"/>
                      <w:szCs w:val="21"/>
                      <w:u w:val="none"/>
                    </w:rPr>
                    <w:t>距离</w:t>
                  </w:r>
                </w:p>
              </w:tc>
              <w:tc>
                <w:tcPr>
                  <w:tcW w:w="2154" w:type="dxa"/>
                  <w:tcBorders>
                    <w:tl2br w:val="nil"/>
                    <w:tr2bl w:val="nil"/>
                  </w:tcBorders>
                  <w:noWrap w:val="0"/>
                  <w:vAlign w:val="center"/>
                </w:tcPr>
                <w:p>
                  <w:pPr>
                    <w:jc w:val="center"/>
                    <w:rPr>
                      <w:rFonts w:hint="eastAsia" w:ascii="宋体" w:hAnsi="宋体" w:eastAsia="宋体" w:cs="宋体"/>
                      <w:b/>
                      <w:bCs/>
                      <w:sz w:val="21"/>
                      <w:szCs w:val="21"/>
                      <w:u w:val="none"/>
                    </w:rPr>
                  </w:pPr>
                  <w:r>
                    <w:rPr>
                      <w:rFonts w:hint="eastAsia" w:ascii="宋体" w:hAnsi="宋体" w:eastAsia="宋体" w:cs="宋体"/>
                      <w:b/>
                      <w:bCs/>
                      <w:sz w:val="21"/>
                      <w:szCs w:val="21"/>
                      <w:u w:val="none"/>
                    </w:rPr>
                    <w:t>敏感特征</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6" w:space="0"/>
                </w:tblBorders>
                <w:tblCellMar>
                  <w:top w:w="0" w:type="dxa"/>
                  <w:left w:w="108" w:type="dxa"/>
                  <w:bottom w:w="0" w:type="dxa"/>
                  <w:right w:w="108" w:type="dxa"/>
                </w:tblCellMar>
              </w:tblPrEx>
              <w:trPr>
                <w:trHeight w:val="454" w:hRule="atLeast"/>
                <w:jc w:val="center"/>
              </w:trPr>
              <w:tc>
                <w:tcPr>
                  <w:tcW w:w="972" w:type="dxa"/>
                  <w:tcBorders>
                    <w:tl2br w:val="nil"/>
                    <w:tr2bl w:val="nil"/>
                  </w:tcBorders>
                  <w:noWrap w:val="0"/>
                  <w:vAlign w:val="center"/>
                </w:tcPr>
                <w:p>
                  <w:pPr>
                    <w:jc w:val="center"/>
                    <w:rPr>
                      <w:rFonts w:hint="eastAsia" w:ascii="宋体" w:hAnsi="宋体" w:eastAsia="宋体" w:cs="宋体"/>
                      <w:color w:val="auto"/>
                      <w:sz w:val="21"/>
                      <w:szCs w:val="21"/>
                      <w:u w:val="none"/>
                    </w:rPr>
                  </w:pPr>
                  <w:r>
                    <w:rPr>
                      <w:rFonts w:hint="eastAsia" w:ascii="宋体" w:hAnsi="宋体" w:eastAsia="宋体" w:cs="宋体"/>
                      <w:color w:val="auto"/>
                      <w:sz w:val="21"/>
                      <w:szCs w:val="21"/>
                      <w:u w:val="none"/>
                    </w:rPr>
                    <w:t>1</w:t>
                  </w:r>
                </w:p>
              </w:tc>
              <w:tc>
                <w:tcPr>
                  <w:tcW w:w="1865" w:type="dxa"/>
                  <w:tcBorders>
                    <w:tl2br w:val="nil"/>
                    <w:tr2bl w:val="nil"/>
                  </w:tcBorders>
                  <w:noWrap w:val="0"/>
                  <w:vAlign w:val="center"/>
                </w:tcPr>
                <w:p>
                  <w:pPr>
                    <w:jc w:val="center"/>
                    <w:rPr>
                      <w:rFonts w:hint="default" w:ascii="宋体" w:hAnsi="宋体" w:eastAsia="宋体" w:cs="宋体"/>
                      <w:color w:val="auto"/>
                      <w:sz w:val="21"/>
                      <w:szCs w:val="21"/>
                      <w:u w:val="none"/>
                      <w:lang w:val="en-US" w:eastAsia="zh-CN"/>
                    </w:rPr>
                  </w:pPr>
                  <w:r>
                    <w:rPr>
                      <w:rFonts w:hint="eastAsia" w:ascii="宋体" w:hAnsi="宋体" w:cs="宋体"/>
                      <w:color w:val="auto"/>
                      <w:sz w:val="21"/>
                      <w:szCs w:val="21"/>
                      <w:u w:val="none"/>
                      <w:lang w:val="en-US" w:eastAsia="zh-CN"/>
                    </w:rPr>
                    <w:t>H1正大</w:t>
                  </w:r>
                  <w:r>
                    <w:rPr>
                      <w:rFonts w:hint="eastAsia" w:ascii="宋体" w:hAnsi="宋体" w:eastAsia="宋体" w:cs="宋体"/>
                      <w:color w:val="auto"/>
                      <w:sz w:val="21"/>
                      <w:szCs w:val="21"/>
                      <w:u w:val="none"/>
                      <w:lang w:val="en-US" w:eastAsia="zh-CN"/>
                    </w:rPr>
                    <w:t>村居民点</w:t>
                  </w:r>
                </w:p>
              </w:tc>
              <w:tc>
                <w:tcPr>
                  <w:tcW w:w="1388" w:type="dxa"/>
                  <w:tcBorders>
                    <w:tl2br w:val="nil"/>
                    <w:tr2bl w:val="nil"/>
                  </w:tcBorders>
                  <w:noWrap w:val="0"/>
                  <w:vAlign w:val="center"/>
                </w:tcPr>
                <w:p>
                  <w:pPr>
                    <w:jc w:val="center"/>
                    <w:rPr>
                      <w:rFonts w:hint="eastAsia" w:ascii="宋体" w:hAnsi="宋体" w:eastAsia="宋体" w:cs="宋体"/>
                      <w:color w:val="auto"/>
                      <w:sz w:val="21"/>
                      <w:szCs w:val="21"/>
                      <w:u w:val="none"/>
                      <w:lang w:val="en-US" w:eastAsia="zh-CN"/>
                    </w:rPr>
                  </w:pPr>
                  <w:r>
                    <w:rPr>
                      <w:rFonts w:hint="eastAsia" w:ascii="宋体" w:hAnsi="宋体" w:eastAsia="宋体" w:cs="宋体"/>
                      <w:color w:val="auto"/>
                      <w:sz w:val="21"/>
                      <w:szCs w:val="21"/>
                      <w:u w:val="none"/>
                      <w:lang w:val="en-US" w:eastAsia="zh-CN"/>
                    </w:rPr>
                    <w:t>项目</w:t>
                  </w:r>
                  <w:r>
                    <w:rPr>
                      <w:rFonts w:hint="eastAsia" w:ascii="宋体" w:hAnsi="宋体" w:cs="宋体"/>
                      <w:color w:val="auto"/>
                      <w:sz w:val="21"/>
                      <w:szCs w:val="21"/>
                      <w:u w:val="none"/>
                      <w:lang w:val="en-US" w:eastAsia="zh-CN"/>
                    </w:rPr>
                    <w:t>东北侧</w:t>
                  </w:r>
                </w:p>
              </w:tc>
              <w:tc>
                <w:tcPr>
                  <w:tcW w:w="1587" w:type="dxa"/>
                  <w:tcBorders>
                    <w:tl2br w:val="nil"/>
                    <w:tr2bl w:val="nil"/>
                  </w:tcBorders>
                  <w:noWrap w:val="0"/>
                  <w:vAlign w:val="center"/>
                </w:tcPr>
                <w:p>
                  <w:pPr>
                    <w:jc w:val="center"/>
                    <w:rPr>
                      <w:rFonts w:hint="eastAsia" w:ascii="宋体" w:hAnsi="宋体" w:eastAsia="宋体" w:cs="宋体"/>
                      <w:color w:val="auto"/>
                      <w:sz w:val="21"/>
                      <w:szCs w:val="21"/>
                      <w:u w:val="none"/>
                      <w:lang w:val="en-US" w:eastAsia="zh-CN"/>
                    </w:rPr>
                  </w:pPr>
                  <w:r>
                    <w:rPr>
                      <w:rFonts w:hint="eastAsia" w:ascii="宋体" w:hAnsi="宋体" w:eastAsia="宋体" w:cs="宋体"/>
                      <w:color w:val="auto"/>
                      <w:sz w:val="21"/>
                      <w:szCs w:val="21"/>
                      <w:u w:val="none"/>
                      <w:lang w:val="en-US" w:eastAsia="zh-CN"/>
                    </w:rPr>
                    <w:t>约</w:t>
                  </w:r>
                  <w:r>
                    <w:rPr>
                      <w:rFonts w:hint="eastAsia" w:ascii="宋体" w:hAnsi="宋体" w:cs="宋体"/>
                      <w:color w:val="auto"/>
                      <w:sz w:val="21"/>
                      <w:szCs w:val="21"/>
                      <w:u w:val="none"/>
                      <w:lang w:val="en-US" w:eastAsia="zh-CN"/>
                    </w:rPr>
                    <w:t>360</w:t>
                  </w:r>
                  <w:r>
                    <w:rPr>
                      <w:rFonts w:hint="eastAsia" w:ascii="宋体" w:hAnsi="宋体" w:eastAsia="宋体" w:cs="宋体"/>
                      <w:color w:val="auto"/>
                      <w:sz w:val="21"/>
                      <w:szCs w:val="21"/>
                      <w:u w:val="none"/>
                      <w:lang w:val="en-US" w:eastAsia="zh-CN"/>
                    </w:rPr>
                    <w:t>~</w:t>
                  </w:r>
                  <w:r>
                    <w:rPr>
                      <w:rFonts w:hint="eastAsia" w:ascii="宋体" w:hAnsi="宋体" w:cs="宋体"/>
                      <w:color w:val="auto"/>
                      <w:sz w:val="21"/>
                      <w:szCs w:val="21"/>
                      <w:u w:val="none"/>
                      <w:lang w:val="en-US" w:eastAsia="zh-CN"/>
                    </w:rPr>
                    <w:t>500</w:t>
                  </w:r>
                  <w:r>
                    <w:rPr>
                      <w:rFonts w:hint="eastAsia" w:ascii="宋体" w:hAnsi="宋体" w:eastAsia="宋体" w:cs="宋体"/>
                      <w:color w:val="auto"/>
                      <w:sz w:val="21"/>
                      <w:szCs w:val="21"/>
                      <w:u w:val="none"/>
                      <w:lang w:val="en-US" w:eastAsia="zh-CN"/>
                    </w:rPr>
                    <w:t>m</w:t>
                  </w:r>
                </w:p>
              </w:tc>
              <w:tc>
                <w:tcPr>
                  <w:tcW w:w="2154" w:type="dxa"/>
                  <w:tcBorders>
                    <w:tl2br w:val="nil"/>
                    <w:tr2bl w:val="nil"/>
                  </w:tcBorders>
                  <w:noWrap w:val="0"/>
                  <w:vAlign w:val="center"/>
                </w:tcPr>
                <w:p>
                  <w:pPr>
                    <w:jc w:val="center"/>
                    <w:rPr>
                      <w:rFonts w:hint="eastAsia" w:ascii="宋体" w:hAnsi="宋体" w:eastAsia="宋体" w:cs="宋体"/>
                      <w:color w:val="auto"/>
                      <w:sz w:val="21"/>
                      <w:szCs w:val="21"/>
                      <w:u w:val="none"/>
                      <w:lang w:val="en-US" w:eastAsia="zh-CN"/>
                    </w:rPr>
                  </w:pPr>
                  <w:r>
                    <w:rPr>
                      <w:rFonts w:hint="eastAsia" w:ascii="宋体" w:hAnsi="宋体" w:eastAsia="宋体" w:cs="宋体"/>
                      <w:color w:val="auto"/>
                      <w:sz w:val="21"/>
                      <w:szCs w:val="21"/>
                      <w:u w:val="none"/>
                      <w:lang w:val="en-US" w:eastAsia="zh-CN"/>
                    </w:rPr>
                    <w:t>居民，约</w:t>
                  </w:r>
                  <w:r>
                    <w:rPr>
                      <w:rFonts w:hint="eastAsia" w:ascii="宋体" w:hAnsi="宋体" w:cs="宋体"/>
                      <w:color w:val="auto"/>
                      <w:sz w:val="21"/>
                      <w:szCs w:val="21"/>
                      <w:u w:val="none"/>
                      <w:lang w:val="en-US" w:eastAsia="zh-CN"/>
                    </w:rPr>
                    <w:t>20</w:t>
                  </w:r>
                  <w:r>
                    <w:rPr>
                      <w:rFonts w:hint="eastAsia" w:ascii="宋体" w:hAnsi="宋体" w:eastAsia="宋体" w:cs="宋体"/>
                      <w:color w:val="auto"/>
                      <w:sz w:val="21"/>
                      <w:szCs w:val="21"/>
                      <w:u w:val="none"/>
                      <w:lang w:val="en-US" w:eastAsia="zh-CN"/>
                    </w:rPr>
                    <w:t>户</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6" w:space="0"/>
                </w:tblBorders>
                <w:tblCellMar>
                  <w:top w:w="0" w:type="dxa"/>
                  <w:left w:w="108" w:type="dxa"/>
                  <w:bottom w:w="0" w:type="dxa"/>
                  <w:right w:w="108" w:type="dxa"/>
                </w:tblCellMar>
              </w:tblPrEx>
              <w:trPr>
                <w:trHeight w:val="454" w:hRule="atLeast"/>
                <w:jc w:val="center"/>
              </w:trPr>
              <w:tc>
                <w:tcPr>
                  <w:tcW w:w="972" w:type="dxa"/>
                  <w:tcBorders>
                    <w:tl2br w:val="nil"/>
                    <w:tr2bl w:val="nil"/>
                  </w:tcBorders>
                  <w:noWrap w:val="0"/>
                  <w:vAlign w:val="center"/>
                </w:tcPr>
                <w:p>
                  <w:pPr>
                    <w:jc w:val="center"/>
                    <w:rPr>
                      <w:rFonts w:hint="eastAsia" w:ascii="宋体" w:hAnsi="宋体" w:eastAsia="宋体" w:cs="宋体"/>
                      <w:color w:val="auto"/>
                      <w:sz w:val="21"/>
                      <w:szCs w:val="21"/>
                      <w:u w:val="none"/>
                      <w:lang w:val="en-US" w:eastAsia="zh-CN"/>
                    </w:rPr>
                  </w:pPr>
                  <w:r>
                    <w:rPr>
                      <w:rFonts w:hint="eastAsia" w:ascii="宋体" w:hAnsi="宋体" w:eastAsia="宋体" w:cs="宋体"/>
                      <w:color w:val="auto"/>
                      <w:sz w:val="21"/>
                      <w:szCs w:val="21"/>
                      <w:u w:val="none"/>
                      <w:lang w:val="en-US" w:eastAsia="zh-CN"/>
                    </w:rPr>
                    <w:t>2</w:t>
                  </w:r>
                </w:p>
              </w:tc>
              <w:tc>
                <w:tcPr>
                  <w:tcW w:w="1865" w:type="dxa"/>
                  <w:tcBorders>
                    <w:tl2br w:val="nil"/>
                    <w:tr2bl w:val="nil"/>
                  </w:tcBorders>
                  <w:noWrap w:val="0"/>
                  <w:vAlign w:val="center"/>
                </w:tcPr>
                <w:p>
                  <w:pPr>
                    <w:jc w:val="center"/>
                    <w:rPr>
                      <w:rFonts w:hint="eastAsia" w:ascii="宋体" w:hAnsi="宋体" w:eastAsia="宋体" w:cs="宋体"/>
                      <w:color w:val="auto"/>
                      <w:sz w:val="21"/>
                      <w:szCs w:val="21"/>
                      <w:u w:val="none"/>
                      <w:lang w:val="en-US" w:eastAsia="zh-CN"/>
                    </w:rPr>
                  </w:pPr>
                  <w:r>
                    <w:rPr>
                      <w:rFonts w:hint="eastAsia" w:ascii="宋体" w:hAnsi="宋体" w:cs="宋体"/>
                      <w:color w:val="auto"/>
                      <w:sz w:val="21"/>
                      <w:szCs w:val="21"/>
                      <w:u w:val="none"/>
                      <w:lang w:val="en-US" w:eastAsia="zh-CN"/>
                    </w:rPr>
                    <w:t>H2正大村</w:t>
                  </w:r>
                  <w:r>
                    <w:rPr>
                      <w:rFonts w:hint="eastAsia" w:ascii="宋体" w:hAnsi="宋体" w:eastAsia="宋体" w:cs="宋体"/>
                      <w:color w:val="auto"/>
                      <w:sz w:val="21"/>
                      <w:szCs w:val="21"/>
                      <w:u w:val="none"/>
                      <w:lang w:val="en-US" w:eastAsia="zh-CN"/>
                    </w:rPr>
                    <w:t>居民点</w:t>
                  </w:r>
                </w:p>
              </w:tc>
              <w:tc>
                <w:tcPr>
                  <w:tcW w:w="1388" w:type="dxa"/>
                  <w:tcBorders>
                    <w:tl2br w:val="nil"/>
                    <w:tr2bl w:val="nil"/>
                  </w:tcBorders>
                  <w:noWrap w:val="0"/>
                  <w:vAlign w:val="center"/>
                </w:tcPr>
                <w:p>
                  <w:pPr>
                    <w:jc w:val="center"/>
                    <w:rPr>
                      <w:rFonts w:hint="eastAsia" w:ascii="宋体" w:hAnsi="宋体" w:eastAsia="宋体" w:cs="宋体"/>
                      <w:color w:val="auto"/>
                      <w:sz w:val="21"/>
                      <w:szCs w:val="21"/>
                      <w:u w:val="none"/>
                      <w:lang w:val="en-US" w:eastAsia="zh-CN"/>
                    </w:rPr>
                  </w:pPr>
                  <w:r>
                    <w:rPr>
                      <w:rFonts w:hint="eastAsia" w:ascii="宋体" w:hAnsi="宋体" w:eastAsia="宋体" w:cs="宋体"/>
                      <w:color w:val="auto"/>
                      <w:sz w:val="21"/>
                      <w:szCs w:val="21"/>
                      <w:u w:val="none"/>
                      <w:lang w:val="en-US" w:eastAsia="zh-CN"/>
                    </w:rPr>
                    <w:t>项目</w:t>
                  </w:r>
                  <w:r>
                    <w:rPr>
                      <w:rFonts w:hint="eastAsia" w:ascii="宋体" w:hAnsi="宋体" w:cs="宋体"/>
                      <w:color w:val="auto"/>
                      <w:sz w:val="21"/>
                      <w:szCs w:val="21"/>
                      <w:u w:val="none"/>
                      <w:lang w:val="en-US" w:eastAsia="zh-CN"/>
                    </w:rPr>
                    <w:t>东</w:t>
                  </w:r>
                  <w:r>
                    <w:rPr>
                      <w:rFonts w:hint="eastAsia" w:ascii="宋体" w:hAnsi="宋体" w:eastAsia="宋体" w:cs="宋体"/>
                      <w:color w:val="auto"/>
                      <w:sz w:val="21"/>
                      <w:szCs w:val="21"/>
                      <w:u w:val="none"/>
                      <w:lang w:val="en-US" w:eastAsia="zh-CN"/>
                    </w:rPr>
                    <w:t>面</w:t>
                  </w:r>
                </w:p>
              </w:tc>
              <w:tc>
                <w:tcPr>
                  <w:tcW w:w="1587" w:type="dxa"/>
                  <w:tcBorders>
                    <w:tl2br w:val="nil"/>
                    <w:tr2bl w:val="nil"/>
                  </w:tcBorders>
                  <w:noWrap w:val="0"/>
                  <w:vAlign w:val="center"/>
                </w:tcPr>
                <w:p>
                  <w:pPr>
                    <w:jc w:val="center"/>
                    <w:rPr>
                      <w:rFonts w:hint="eastAsia" w:ascii="宋体" w:hAnsi="宋体" w:eastAsia="宋体" w:cs="宋体"/>
                      <w:color w:val="auto"/>
                      <w:sz w:val="21"/>
                      <w:szCs w:val="21"/>
                      <w:u w:val="none"/>
                      <w:lang w:val="en-US" w:eastAsia="zh-CN"/>
                    </w:rPr>
                  </w:pPr>
                  <w:r>
                    <w:rPr>
                      <w:rFonts w:hint="eastAsia" w:ascii="宋体" w:hAnsi="宋体" w:eastAsia="宋体" w:cs="宋体"/>
                      <w:color w:val="auto"/>
                      <w:sz w:val="21"/>
                      <w:szCs w:val="21"/>
                      <w:u w:val="none"/>
                      <w:lang w:val="en-US" w:eastAsia="zh-CN"/>
                    </w:rPr>
                    <w:t>约</w:t>
                  </w:r>
                  <w:r>
                    <w:rPr>
                      <w:rFonts w:hint="eastAsia" w:ascii="宋体" w:hAnsi="宋体" w:cs="宋体"/>
                      <w:color w:val="auto"/>
                      <w:sz w:val="21"/>
                      <w:szCs w:val="21"/>
                      <w:u w:val="none"/>
                      <w:lang w:val="en-US" w:eastAsia="zh-CN"/>
                    </w:rPr>
                    <w:t>70</w:t>
                  </w:r>
                  <w:r>
                    <w:rPr>
                      <w:rFonts w:hint="eastAsia" w:ascii="宋体" w:hAnsi="宋体" w:eastAsia="宋体" w:cs="宋体"/>
                      <w:color w:val="auto"/>
                      <w:sz w:val="21"/>
                      <w:szCs w:val="21"/>
                      <w:u w:val="none"/>
                      <w:lang w:val="en-US" w:eastAsia="zh-CN"/>
                    </w:rPr>
                    <w:t>~</w:t>
                  </w:r>
                  <w:r>
                    <w:rPr>
                      <w:rFonts w:hint="eastAsia" w:ascii="宋体" w:hAnsi="宋体" w:cs="宋体"/>
                      <w:color w:val="auto"/>
                      <w:sz w:val="21"/>
                      <w:szCs w:val="21"/>
                      <w:u w:val="none"/>
                      <w:lang w:val="en-US" w:eastAsia="zh-CN"/>
                    </w:rPr>
                    <w:t>24</w:t>
                  </w:r>
                  <w:r>
                    <w:rPr>
                      <w:rFonts w:hint="eastAsia" w:ascii="宋体" w:hAnsi="宋体" w:eastAsia="宋体" w:cs="宋体"/>
                      <w:color w:val="auto"/>
                      <w:sz w:val="21"/>
                      <w:szCs w:val="21"/>
                      <w:u w:val="none"/>
                      <w:lang w:val="en-US" w:eastAsia="zh-CN"/>
                    </w:rPr>
                    <w:t>0m</w:t>
                  </w:r>
                </w:p>
              </w:tc>
              <w:tc>
                <w:tcPr>
                  <w:tcW w:w="2154" w:type="dxa"/>
                  <w:tcBorders>
                    <w:tl2br w:val="nil"/>
                    <w:tr2bl w:val="nil"/>
                  </w:tcBorders>
                  <w:noWrap w:val="0"/>
                  <w:vAlign w:val="center"/>
                </w:tcPr>
                <w:p>
                  <w:pPr>
                    <w:jc w:val="center"/>
                    <w:rPr>
                      <w:rFonts w:hint="eastAsia" w:ascii="宋体" w:hAnsi="宋体" w:eastAsia="宋体" w:cs="宋体"/>
                      <w:color w:val="auto"/>
                      <w:sz w:val="21"/>
                      <w:szCs w:val="21"/>
                      <w:u w:val="none"/>
                      <w:lang w:val="en-US" w:eastAsia="zh-CN"/>
                    </w:rPr>
                  </w:pPr>
                  <w:r>
                    <w:rPr>
                      <w:rFonts w:hint="eastAsia" w:ascii="宋体" w:hAnsi="宋体" w:eastAsia="宋体" w:cs="宋体"/>
                      <w:color w:val="auto"/>
                      <w:sz w:val="21"/>
                      <w:szCs w:val="21"/>
                      <w:u w:val="none"/>
                      <w:lang w:val="en-US" w:eastAsia="zh-CN"/>
                    </w:rPr>
                    <w:t>居民，约</w:t>
                  </w:r>
                  <w:r>
                    <w:rPr>
                      <w:rFonts w:hint="eastAsia" w:ascii="宋体" w:hAnsi="宋体" w:cs="宋体"/>
                      <w:color w:val="auto"/>
                      <w:sz w:val="21"/>
                      <w:szCs w:val="21"/>
                      <w:u w:val="none"/>
                      <w:lang w:val="en-US" w:eastAsia="zh-CN"/>
                    </w:rPr>
                    <w:t>8</w:t>
                  </w:r>
                  <w:r>
                    <w:rPr>
                      <w:rFonts w:hint="eastAsia" w:ascii="宋体" w:hAnsi="宋体" w:eastAsia="宋体" w:cs="宋体"/>
                      <w:color w:val="auto"/>
                      <w:sz w:val="21"/>
                      <w:szCs w:val="21"/>
                      <w:u w:val="none"/>
                      <w:lang w:val="en-US" w:eastAsia="zh-CN"/>
                    </w:rPr>
                    <w:t>户</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6" w:space="0"/>
                </w:tblBorders>
                <w:tblCellMar>
                  <w:top w:w="0" w:type="dxa"/>
                  <w:left w:w="108" w:type="dxa"/>
                  <w:bottom w:w="0" w:type="dxa"/>
                  <w:right w:w="108" w:type="dxa"/>
                </w:tblCellMar>
              </w:tblPrEx>
              <w:trPr>
                <w:trHeight w:val="454" w:hRule="atLeast"/>
                <w:jc w:val="center"/>
              </w:trPr>
              <w:tc>
                <w:tcPr>
                  <w:tcW w:w="972" w:type="dxa"/>
                  <w:tcBorders>
                    <w:tl2br w:val="nil"/>
                    <w:tr2bl w:val="nil"/>
                  </w:tcBorders>
                  <w:noWrap w:val="0"/>
                  <w:vAlign w:val="center"/>
                </w:tcPr>
                <w:p>
                  <w:pPr>
                    <w:jc w:val="center"/>
                    <w:rPr>
                      <w:rFonts w:hint="eastAsia" w:ascii="宋体" w:hAnsi="宋体" w:eastAsia="宋体" w:cs="宋体"/>
                      <w:color w:val="auto"/>
                      <w:sz w:val="21"/>
                      <w:szCs w:val="21"/>
                      <w:u w:val="none"/>
                      <w:lang w:val="en-US" w:eastAsia="zh-CN"/>
                    </w:rPr>
                  </w:pPr>
                  <w:r>
                    <w:rPr>
                      <w:rFonts w:hint="eastAsia" w:ascii="宋体" w:hAnsi="宋体" w:eastAsia="宋体" w:cs="宋体"/>
                      <w:color w:val="auto"/>
                      <w:sz w:val="21"/>
                      <w:szCs w:val="21"/>
                      <w:u w:val="none"/>
                      <w:lang w:val="en-US" w:eastAsia="zh-CN"/>
                    </w:rPr>
                    <w:t>3</w:t>
                  </w:r>
                </w:p>
              </w:tc>
              <w:tc>
                <w:tcPr>
                  <w:tcW w:w="1865" w:type="dxa"/>
                  <w:tcBorders>
                    <w:tl2br w:val="nil"/>
                    <w:tr2bl w:val="nil"/>
                  </w:tcBorders>
                  <w:noWrap w:val="0"/>
                  <w:vAlign w:val="center"/>
                </w:tcPr>
                <w:p>
                  <w:pPr>
                    <w:jc w:val="center"/>
                    <w:rPr>
                      <w:rFonts w:hint="eastAsia" w:ascii="宋体" w:hAnsi="宋体" w:eastAsia="宋体" w:cs="宋体"/>
                      <w:color w:val="auto"/>
                      <w:sz w:val="21"/>
                      <w:szCs w:val="21"/>
                      <w:u w:val="none"/>
                      <w:lang w:val="en-US" w:eastAsia="zh-CN"/>
                    </w:rPr>
                  </w:pPr>
                  <w:r>
                    <w:rPr>
                      <w:rFonts w:hint="eastAsia" w:ascii="宋体" w:hAnsi="宋体" w:cs="宋体"/>
                      <w:color w:val="auto"/>
                      <w:sz w:val="21"/>
                      <w:szCs w:val="21"/>
                      <w:u w:val="none"/>
                      <w:lang w:val="en-US" w:eastAsia="zh-CN"/>
                    </w:rPr>
                    <w:t>H3正大村</w:t>
                  </w:r>
                  <w:r>
                    <w:rPr>
                      <w:rFonts w:hint="eastAsia" w:ascii="宋体" w:hAnsi="宋体" w:eastAsia="宋体" w:cs="宋体"/>
                      <w:color w:val="auto"/>
                      <w:sz w:val="21"/>
                      <w:szCs w:val="21"/>
                      <w:u w:val="none"/>
                      <w:lang w:val="en-US" w:eastAsia="zh-CN"/>
                    </w:rPr>
                    <w:t>居民点</w:t>
                  </w:r>
                </w:p>
              </w:tc>
              <w:tc>
                <w:tcPr>
                  <w:tcW w:w="1388" w:type="dxa"/>
                  <w:tcBorders>
                    <w:tl2br w:val="nil"/>
                    <w:tr2bl w:val="nil"/>
                  </w:tcBorders>
                  <w:noWrap w:val="0"/>
                  <w:vAlign w:val="center"/>
                </w:tcPr>
                <w:p>
                  <w:pPr>
                    <w:jc w:val="center"/>
                    <w:rPr>
                      <w:rFonts w:hint="eastAsia" w:ascii="宋体" w:hAnsi="宋体" w:eastAsia="宋体" w:cs="宋体"/>
                      <w:color w:val="auto"/>
                      <w:sz w:val="21"/>
                      <w:szCs w:val="21"/>
                      <w:u w:val="none"/>
                      <w:lang w:val="en-US" w:eastAsia="zh-CN"/>
                    </w:rPr>
                  </w:pPr>
                  <w:r>
                    <w:rPr>
                      <w:rFonts w:hint="eastAsia" w:ascii="宋体" w:hAnsi="宋体" w:eastAsia="宋体" w:cs="宋体"/>
                      <w:color w:val="auto"/>
                      <w:sz w:val="21"/>
                      <w:szCs w:val="21"/>
                      <w:u w:val="none"/>
                      <w:lang w:val="en-US" w:eastAsia="zh-CN"/>
                    </w:rPr>
                    <w:t>项目</w:t>
                  </w:r>
                  <w:r>
                    <w:rPr>
                      <w:rFonts w:hint="eastAsia" w:ascii="宋体" w:hAnsi="宋体" w:cs="宋体"/>
                      <w:color w:val="auto"/>
                      <w:sz w:val="21"/>
                      <w:szCs w:val="21"/>
                      <w:u w:val="none"/>
                      <w:lang w:val="en-US" w:eastAsia="zh-CN"/>
                    </w:rPr>
                    <w:t>东</w:t>
                  </w:r>
                  <w:r>
                    <w:rPr>
                      <w:rFonts w:hint="eastAsia" w:ascii="宋体" w:hAnsi="宋体" w:eastAsia="宋体" w:cs="宋体"/>
                      <w:color w:val="auto"/>
                      <w:sz w:val="21"/>
                      <w:szCs w:val="21"/>
                      <w:u w:val="none"/>
                      <w:lang w:val="en-US" w:eastAsia="zh-CN"/>
                    </w:rPr>
                    <w:t>南面</w:t>
                  </w:r>
                </w:p>
              </w:tc>
              <w:tc>
                <w:tcPr>
                  <w:tcW w:w="1587" w:type="dxa"/>
                  <w:tcBorders>
                    <w:tl2br w:val="nil"/>
                    <w:tr2bl w:val="nil"/>
                  </w:tcBorders>
                  <w:noWrap w:val="0"/>
                  <w:vAlign w:val="center"/>
                </w:tcPr>
                <w:p>
                  <w:pPr>
                    <w:jc w:val="center"/>
                    <w:rPr>
                      <w:rFonts w:hint="eastAsia" w:ascii="宋体" w:hAnsi="宋体" w:eastAsia="宋体" w:cs="宋体"/>
                      <w:color w:val="auto"/>
                      <w:sz w:val="21"/>
                      <w:szCs w:val="21"/>
                      <w:u w:val="none"/>
                      <w:lang w:val="en-US" w:eastAsia="zh-CN"/>
                    </w:rPr>
                  </w:pPr>
                  <w:r>
                    <w:rPr>
                      <w:rFonts w:hint="eastAsia" w:ascii="宋体" w:hAnsi="宋体" w:eastAsia="宋体" w:cs="宋体"/>
                      <w:color w:val="auto"/>
                      <w:sz w:val="21"/>
                      <w:szCs w:val="21"/>
                      <w:u w:val="none"/>
                      <w:lang w:val="en-US" w:eastAsia="zh-CN"/>
                    </w:rPr>
                    <w:t>约</w:t>
                  </w:r>
                  <w:r>
                    <w:rPr>
                      <w:rFonts w:hint="eastAsia" w:ascii="宋体" w:hAnsi="宋体" w:cs="宋体"/>
                      <w:color w:val="auto"/>
                      <w:sz w:val="21"/>
                      <w:szCs w:val="21"/>
                      <w:u w:val="none"/>
                      <w:lang w:val="en-US" w:eastAsia="zh-CN"/>
                    </w:rPr>
                    <w:t>1</w:t>
                  </w:r>
                  <w:r>
                    <w:rPr>
                      <w:rFonts w:hint="eastAsia" w:ascii="宋体" w:hAnsi="宋体" w:eastAsia="宋体" w:cs="宋体"/>
                      <w:color w:val="auto"/>
                      <w:sz w:val="21"/>
                      <w:szCs w:val="21"/>
                      <w:u w:val="none"/>
                      <w:lang w:val="en-US" w:eastAsia="zh-CN"/>
                    </w:rPr>
                    <w:t>50~</w:t>
                  </w:r>
                  <w:r>
                    <w:rPr>
                      <w:rFonts w:hint="eastAsia" w:ascii="宋体" w:hAnsi="宋体" w:cs="宋体"/>
                      <w:color w:val="auto"/>
                      <w:sz w:val="21"/>
                      <w:szCs w:val="21"/>
                      <w:u w:val="none"/>
                      <w:lang w:val="en-US" w:eastAsia="zh-CN"/>
                    </w:rPr>
                    <w:t>27</w:t>
                  </w:r>
                  <w:r>
                    <w:rPr>
                      <w:rFonts w:hint="eastAsia" w:ascii="宋体" w:hAnsi="宋体" w:eastAsia="宋体" w:cs="宋体"/>
                      <w:color w:val="auto"/>
                      <w:sz w:val="21"/>
                      <w:szCs w:val="21"/>
                      <w:u w:val="none"/>
                      <w:lang w:val="en-US" w:eastAsia="zh-CN"/>
                    </w:rPr>
                    <w:t>0m</w:t>
                  </w:r>
                </w:p>
              </w:tc>
              <w:tc>
                <w:tcPr>
                  <w:tcW w:w="2154" w:type="dxa"/>
                  <w:tcBorders>
                    <w:tl2br w:val="nil"/>
                    <w:tr2bl w:val="nil"/>
                  </w:tcBorders>
                  <w:noWrap w:val="0"/>
                  <w:vAlign w:val="center"/>
                </w:tcPr>
                <w:p>
                  <w:pPr>
                    <w:jc w:val="center"/>
                    <w:rPr>
                      <w:rFonts w:hint="eastAsia" w:ascii="宋体" w:hAnsi="宋体" w:eastAsia="宋体" w:cs="宋体"/>
                      <w:color w:val="auto"/>
                      <w:sz w:val="21"/>
                      <w:szCs w:val="21"/>
                      <w:u w:val="none"/>
                      <w:lang w:val="en-US" w:eastAsia="zh-CN"/>
                    </w:rPr>
                  </w:pPr>
                  <w:r>
                    <w:rPr>
                      <w:rFonts w:hint="eastAsia" w:ascii="宋体" w:hAnsi="宋体" w:eastAsia="宋体" w:cs="宋体"/>
                      <w:color w:val="auto"/>
                      <w:sz w:val="21"/>
                      <w:szCs w:val="21"/>
                      <w:u w:val="none"/>
                      <w:lang w:val="en-US" w:eastAsia="zh-CN"/>
                    </w:rPr>
                    <w:t>居民，约</w:t>
                  </w:r>
                  <w:r>
                    <w:rPr>
                      <w:rFonts w:hint="eastAsia" w:ascii="宋体" w:hAnsi="宋体" w:cs="宋体"/>
                      <w:color w:val="auto"/>
                      <w:sz w:val="21"/>
                      <w:szCs w:val="21"/>
                      <w:u w:val="none"/>
                      <w:lang w:val="en-US" w:eastAsia="zh-CN"/>
                    </w:rPr>
                    <w:t>6</w:t>
                  </w:r>
                  <w:r>
                    <w:rPr>
                      <w:rFonts w:hint="eastAsia" w:ascii="宋体" w:hAnsi="宋体" w:eastAsia="宋体" w:cs="宋体"/>
                      <w:color w:val="auto"/>
                      <w:sz w:val="21"/>
                      <w:szCs w:val="21"/>
                      <w:u w:val="none"/>
                      <w:lang w:val="en-US" w:eastAsia="zh-CN"/>
                    </w:rPr>
                    <w:t>户</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6" w:space="0"/>
                </w:tblBorders>
                <w:tblCellMar>
                  <w:top w:w="0" w:type="dxa"/>
                  <w:left w:w="108" w:type="dxa"/>
                  <w:bottom w:w="0" w:type="dxa"/>
                  <w:right w:w="108" w:type="dxa"/>
                </w:tblCellMar>
              </w:tblPrEx>
              <w:trPr>
                <w:trHeight w:val="454" w:hRule="atLeast"/>
                <w:jc w:val="center"/>
              </w:trPr>
              <w:tc>
                <w:tcPr>
                  <w:tcW w:w="972" w:type="dxa"/>
                  <w:tcBorders>
                    <w:tl2br w:val="nil"/>
                    <w:tr2bl w:val="nil"/>
                  </w:tcBorders>
                  <w:noWrap w:val="0"/>
                  <w:vAlign w:val="center"/>
                </w:tcPr>
                <w:p>
                  <w:pPr>
                    <w:jc w:val="center"/>
                    <w:rPr>
                      <w:rFonts w:hint="eastAsia" w:ascii="宋体" w:hAnsi="宋体" w:eastAsia="宋体" w:cs="宋体"/>
                      <w:color w:val="auto"/>
                      <w:sz w:val="21"/>
                      <w:szCs w:val="21"/>
                      <w:u w:val="none"/>
                      <w:lang w:val="en-US" w:eastAsia="zh-CN"/>
                    </w:rPr>
                  </w:pPr>
                  <w:r>
                    <w:rPr>
                      <w:rFonts w:hint="eastAsia" w:ascii="宋体" w:hAnsi="宋体" w:eastAsia="宋体" w:cs="宋体"/>
                      <w:color w:val="auto"/>
                      <w:sz w:val="21"/>
                      <w:szCs w:val="21"/>
                      <w:u w:val="none"/>
                      <w:lang w:val="en-US" w:eastAsia="zh-CN"/>
                    </w:rPr>
                    <w:t>4</w:t>
                  </w:r>
                </w:p>
              </w:tc>
              <w:tc>
                <w:tcPr>
                  <w:tcW w:w="1865" w:type="dxa"/>
                  <w:tcBorders>
                    <w:tl2br w:val="nil"/>
                    <w:tr2bl w:val="nil"/>
                  </w:tcBorders>
                  <w:noWrap w:val="0"/>
                  <w:vAlign w:val="center"/>
                </w:tcPr>
                <w:p>
                  <w:pPr>
                    <w:jc w:val="center"/>
                    <w:rPr>
                      <w:rFonts w:hint="eastAsia" w:ascii="宋体" w:hAnsi="宋体" w:eastAsia="宋体" w:cs="宋体"/>
                      <w:color w:val="auto"/>
                      <w:sz w:val="21"/>
                      <w:szCs w:val="21"/>
                      <w:u w:val="none"/>
                      <w:lang w:val="en-US" w:eastAsia="zh-CN"/>
                    </w:rPr>
                  </w:pPr>
                  <w:r>
                    <w:rPr>
                      <w:rFonts w:hint="eastAsia" w:ascii="宋体" w:hAnsi="宋体" w:cs="宋体"/>
                      <w:color w:val="auto"/>
                      <w:sz w:val="21"/>
                      <w:szCs w:val="21"/>
                      <w:u w:val="none"/>
                      <w:lang w:val="en-US" w:eastAsia="zh-CN"/>
                    </w:rPr>
                    <w:t>H4正大</w:t>
                  </w:r>
                  <w:r>
                    <w:rPr>
                      <w:rFonts w:hint="eastAsia" w:ascii="宋体" w:hAnsi="宋体" w:eastAsia="宋体" w:cs="宋体"/>
                      <w:color w:val="auto"/>
                      <w:sz w:val="21"/>
                      <w:szCs w:val="21"/>
                      <w:u w:val="none"/>
                      <w:lang w:val="en-US" w:eastAsia="zh-CN"/>
                    </w:rPr>
                    <w:t>村居民点</w:t>
                  </w:r>
                </w:p>
              </w:tc>
              <w:tc>
                <w:tcPr>
                  <w:tcW w:w="1388" w:type="dxa"/>
                  <w:tcBorders>
                    <w:tl2br w:val="nil"/>
                    <w:tr2bl w:val="nil"/>
                  </w:tcBorders>
                  <w:noWrap w:val="0"/>
                  <w:vAlign w:val="center"/>
                </w:tcPr>
                <w:p>
                  <w:pPr>
                    <w:jc w:val="center"/>
                    <w:rPr>
                      <w:rFonts w:hint="eastAsia" w:ascii="宋体" w:hAnsi="宋体" w:eastAsia="宋体" w:cs="宋体"/>
                      <w:color w:val="auto"/>
                      <w:sz w:val="21"/>
                      <w:szCs w:val="21"/>
                      <w:u w:val="none"/>
                      <w:lang w:val="en-US" w:eastAsia="zh-CN"/>
                    </w:rPr>
                  </w:pPr>
                  <w:r>
                    <w:rPr>
                      <w:rFonts w:hint="eastAsia" w:ascii="宋体" w:hAnsi="宋体" w:eastAsia="宋体" w:cs="宋体"/>
                      <w:color w:val="auto"/>
                      <w:sz w:val="21"/>
                      <w:szCs w:val="21"/>
                      <w:u w:val="none"/>
                      <w:lang w:val="en-US" w:eastAsia="zh-CN"/>
                    </w:rPr>
                    <w:t>项目</w:t>
                  </w:r>
                  <w:r>
                    <w:rPr>
                      <w:rFonts w:hint="eastAsia" w:ascii="宋体" w:hAnsi="宋体" w:cs="宋体"/>
                      <w:color w:val="auto"/>
                      <w:sz w:val="21"/>
                      <w:szCs w:val="21"/>
                      <w:u w:val="none"/>
                      <w:lang w:val="en-US" w:eastAsia="zh-CN"/>
                    </w:rPr>
                    <w:t>南</w:t>
                  </w:r>
                  <w:r>
                    <w:rPr>
                      <w:rFonts w:hint="eastAsia" w:ascii="宋体" w:hAnsi="宋体" w:eastAsia="宋体" w:cs="宋体"/>
                      <w:color w:val="auto"/>
                      <w:sz w:val="21"/>
                      <w:szCs w:val="21"/>
                      <w:u w:val="none"/>
                      <w:lang w:val="en-US" w:eastAsia="zh-CN"/>
                    </w:rPr>
                    <w:t>面</w:t>
                  </w:r>
                </w:p>
              </w:tc>
              <w:tc>
                <w:tcPr>
                  <w:tcW w:w="1587" w:type="dxa"/>
                  <w:tcBorders>
                    <w:tl2br w:val="nil"/>
                    <w:tr2bl w:val="nil"/>
                  </w:tcBorders>
                  <w:noWrap w:val="0"/>
                  <w:vAlign w:val="center"/>
                </w:tcPr>
                <w:p>
                  <w:pPr>
                    <w:jc w:val="center"/>
                    <w:rPr>
                      <w:rFonts w:hint="eastAsia" w:ascii="宋体" w:hAnsi="宋体" w:eastAsia="宋体" w:cs="宋体"/>
                      <w:color w:val="auto"/>
                      <w:sz w:val="21"/>
                      <w:szCs w:val="21"/>
                      <w:u w:val="none"/>
                      <w:lang w:val="en-US" w:eastAsia="zh-CN"/>
                    </w:rPr>
                  </w:pPr>
                  <w:r>
                    <w:rPr>
                      <w:rFonts w:hint="eastAsia" w:ascii="宋体" w:hAnsi="宋体" w:eastAsia="宋体" w:cs="宋体"/>
                      <w:color w:val="auto"/>
                      <w:sz w:val="21"/>
                      <w:szCs w:val="21"/>
                      <w:u w:val="none"/>
                      <w:lang w:val="en-US" w:eastAsia="zh-CN"/>
                    </w:rPr>
                    <w:t>约</w:t>
                  </w:r>
                  <w:r>
                    <w:rPr>
                      <w:rFonts w:hint="eastAsia" w:ascii="宋体" w:hAnsi="宋体" w:cs="宋体"/>
                      <w:color w:val="auto"/>
                      <w:sz w:val="21"/>
                      <w:szCs w:val="21"/>
                      <w:u w:val="none"/>
                      <w:lang w:val="en-US" w:eastAsia="zh-CN"/>
                    </w:rPr>
                    <w:t>32</w:t>
                  </w:r>
                  <w:r>
                    <w:rPr>
                      <w:rFonts w:hint="eastAsia" w:ascii="宋体" w:hAnsi="宋体" w:eastAsia="宋体" w:cs="宋体"/>
                      <w:color w:val="auto"/>
                      <w:sz w:val="21"/>
                      <w:szCs w:val="21"/>
                      <w:u w:val="none"/>
                      <w:lang w:val="en-US" w:eastAsia="zh-CN"/>
                    </w:rPr>
                    <w:t>0~500m</w:t>
                  </w:r>
                </w:p>
              </w:tc>
              <w:tc>
                <w:tcPr>
                  <w:tcW w:w="2154" w:type="dxa"/>
                  <w:tcBorders>
                    <w:tl2br w:val="nil"/>
                    <w:tr2bl w:val="nil"/>
                  </w:tcBorders>
                  <w:noWrap w:val="0"/>
                  <w:vAlign w:val="center"/>
                </w:tcPr>
                <w:p>
                  <w:pPr>
                    <w:jc w:val="center"/>
                    <w:rPr>
                      <w:rFonts w:hint="eastAsia" w:ascii="宋体" w:hAnsi="宋体" w:eastAsia="宋体" w:cs="宋体"/>
                      <w:color w:val="auto"/>
                      <w:sz w:val="21"/>
                      <w:szCs w:val="21"/>
                      <w:u w:val="none"/>
                      <w:lang w:val="en-US" w:eastAsia="zh-CN"/>
                    </w:rPr>
                  </w:pPr>
                  <w:r>
                    <w:rPr>
                      <w:rFonts w:hint="eastAsia" w:ascii="宋体" w:hAnsi="宋体" w:eastAsia="宋体" w:cs="宋体"/>
                      <w:color w:val="auto"/>
                      <w:sz w:val="21"/>
                      <w:szCs w:val="21"/>
                      <w:u w:val="none"/>
                      <w:lang w:val="en-US" w:eastAsia="zh-CN"/>
                    </w:rPr>
                    <w:t>居民，约</w:t>
                  </w:r>
                  <w:r>
                    <w:rPr>
                      <w:rFonts w:hint="eastAsia" w:ascii="宋体" w:hAnsi="宋体" w:cs="宋体"/>
                      <w:color w:val="auto"/>
                      <w:sz w:val="21"/>
                      <w:szCs w:val="21"/>
                      <w:u w:val="none"/>
                      <w:lang w:val="en-US" w:eastAsia="zh-CN"/>
                    </w:rPr>
                    <w:t>14</w:t>
                  </w:r>
                  <w:r>
                    <w:rPr>
                      <w:rFonts w:hint="eastAsia" w:ascii="宋体" w:hAnsi="宋体" w:eastAsia="宋体" w:cs="宋体"/>
                      <w:color w:val="auto"/>
                      <w:sz w:val="21"/>
                      <w:szCs w:val="21"/>
                      <w:u w:val="none"/>
                      <w:lang w:val="en-US" w:eastAsia="zh-CN"/>
                    </w:rPr>
                    <w:t>户</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6" w:space="0"/>
                </w:tblBorders>
                <w:tblCellMar>
                  <w:top w:w="0" w:type="dxa"/>
                  <w:left w:w="108" w:type="dxa"/>
                  <w:bottom w:w="0" w:type="dxa"/>
                  <w:right w:w="108" w:type="dxa"/>
                </w:tblCellMar>
              </w:tblPrEx>
              <w:trPr>
                <w:trHeight w:val="454" w:hRule="atLeast"/>
                <w:jc w:val="center"/>
              </w:trPr>
              <w:tc>
                <w:tcPr>
                  <w:tcW w:w="972" w:type="dxa"/>
                  <w:tcBorders>
                    <w:tl2br w:val="nil"/>
                    <w:tr2bl w:val="nil"/>
                  </w:tcBorders>
                  <w:noWrap w:val="0"/>
                  <w:vAlign w:val="center"/>
                </w:tcPr>
                <w:p>
                  <w:pPr>
                    <w:jc w:val="center"/>
                    <w:rPr>
                      <w:rFonts w:hint="eastAsia" w:ascii="宋体" w:hAnsi="宋体" w:eastAsia="宋体" w:cs="宋体"/>
                      <w:color w:val="auto"/>
                      <w:sz w:val="21"/>
                      <w:szCs w:val="21"/>
                      <w:u w:val="none"/>
                      <w:lang w:val="en-US" w:eastAsia="zh-CN"/>
                    </w:rPr>
                  </w:pPr>
                  <w:r>
                    <w:rPr>
                      <w:rFonts w:hint="eastAsia" w:ascii="宋体" w:hAnsi="宋体" w:eastAsia="宋体" w:cs="宋体"/>
                      <w:color w:val="auto"/>
                      <w:sz w:val="21"/>
                      <w:szCs w:val="21"/>
                      <w:u w:val="none"/>
                      <w:lang w:val="en-US" w:eastAsia="zh-CN"/>
                    </w:rPr>
                    <w:t>5</w:t>
                  </w:r>
                </w:p>
              </w:tc>
              <w:tc>
                <w:tcPr>
                  <w:tcW w:w="1865" w:type="dxa"/>
                  <w:tcBorders>
                    <w:tl2br w:val="nil"/>
                    <w:tr2bl w:val="nil"/>
                  </w:tcBorders>
                  <w:noWrap w:val="0"/>
                  <w:vAlign w:val="center"/>
                </w:tcPr>
                <w:p>
                  <w:pPr>
                    <w:jc w:val="center"/>
                    <w:rPr>
                      <w:rFonts w:hint="eastAsia" w:ascii="宋体" w:hAnsi="宋体" w:eastAsia="宋体" w:cs="宋体"/>
                      <w:color w:val="auto"/>
                      <w:sz w:val="21"/>
                      <w:szCs w:val="21"/>
                      <w:u w:val="none"/>
                      <w:lang w:val="en-US" w:eastAsia="zh-CN"/>
                    </w:rPr>
                  </w:pPr>
                  <w:r>
                    <w:rPr>
                      <w:rFonts w:hint="eastAsia" w:ascii="宋体" w:hAnsi="宋体" w:cs="宋体"/>
                      <w:color w:val="auto"/>
                      <w:sz w:val="21"/>
                      <w:szCs w:val="21"/>
                      <w:u w:val="none"/>
                      <w:lang w:val="en-US" w:eastAsia="zh-CN"/>
                    </w:rPr>
                    <w:t>H5正大</w:t>
                  </w:r>
                  <w:r>
                    <w:rPr>
                      <w:rFonts w:hint="eastAsia" w:ascii="宋体" w:hAnsi="宋体" w:eastAsia="宋体" w:cs="宋体"/>
                      <w:color w:val="auto"/>
                      <w:sz w:val="21"/>
                      <w:szCs w:val="21"/>
                      <w:u w:val="none"/>
                      <w:lang w:val="en-US" w:eastAsia="zh-CN"/>
                    </w:rPr>
                    <w:t>村居民点</w:t>
                  </w:r>
                </w:p>
              </w:tc>
              <w:tc>
                <w:tcPr>
                  <w:tcW w:w="1388" w:type="dxa"/>
                  <w:tcBorders>
                    <w:tl2br w:val="nil"/>
                    <w:tr2bl w:val="nil"/>
                  </w:tcBorders>
                  <w:noWrap w:val="0"/>
                  <w:vAlign w:val="center"/>
                </w:tcPr>
                <w:p>
                  <w:pPr>
                    <w:jc w:val="center"/>
                    <w:rPr>
                      <w:rFonts w:hint="eastAsia" w:ascii="宋体" w:hAnsi="宋体" w:eastAsia="宋体" w:cs="宋体"/>
                      <w:color w:val="auto"/>
                      <w:kern w:val="2"/>
                      <w:sz w:val="21"/>
                      <w:szCs w:val="21"/>
                      <w:u w:val="none"/>
                      <w:lang w:val="en-US" w:eastAsia="zh-CN" w:bidi="ar-SA"/>
                    </w:rPr>
                  </w:pPr>
                  <w:r>
                    <w:rPr>
                      <w:rFonts w:hint="eastAsia" w:ascii="宋体" w:hAnsi="宋体" w:eastAsia="宋体" w:cs="宋体"/>
                      <w:color w:val="auto"/>
                      <w:sz w:val="21"/>
                      <w:szCs w:val="21"/>
                      <w:u w:val="none"/>
                      <w:lang w:val="en-US" w:eastAsia="zh-CN"/>
                    </w:rPr>
                    <w:t>项目</w:t>
                  </w:r>
                  <w:r>
                    <w:rPr>
                      <w:rFonts w:hint="eastAsia" w:ascii="宋体" w:hAnsi="宋体" w:cs="宋体"/>
                      <w:color w:val="auto"/>
                      <w:sz w:val="21"/>
                      <w:szCs w:val="21"/>
                      <w:u w:val="none"/>
                      <w:lang w:val="en-US" w:eastAsia="zh-CN"/>
                    </w:rPr>
                    <w:t>西南</w:t>
                  </w:r>
                  <w:r>
                    <w:rPr>
                      <w:rFonts w:hint="eastAsia" w:ascii="宋体" w:hAnsi="宋体" w:eastAsia="宋体" w:cs="宋体"/>
                      <w:color w:val="auto"/>
                      <w:sz w:val="21"/>
                      <w:szCs w:val="21"/>
                      <w:u w:val="none"/>
                      <w:lang w:val="en-US" w:eastAsia="zh-CN"/>
                    </w:rPr>
                    <w:t>面</w:t>
                  </w:r>
                </w:p>
              </w:tc>
              <w:tc>
                <w:tcPr>
                  <w:tcW w:w="1587" w:type="dxa"/>
                  <w:tcBorders>
                    <w:tl2br w:val="nil"/>
                    <w:tr2bl w:val="nil"/>
                  </w:tcBorders>
                  <w:noWrap w:val="0"/>
                  <w:vAlign w:val="center"/>
                </w:tcPr>
                <w:p>
                  <w:pPr>
                    <w:jc w:val="center"/>
                    <w:rPr>
                      <w:rFonts w:hint="eastAsia" w:ascii="宋体" w:hAnsi="宋体" w:eastAsia="宋体" w:cs="宋体"/>
                      <w:color w:val="auto"/>
                      <w:kern w:val="2"/>
                      <w:sz w:val="21"/>
                      <w:szCs w:val="21"/>
                      <w:u w:val="none"/>
                      <w:lang w:val="en-US" w:eastAsia="zh-CN" w:bidi="ar-SA"/>
                    </w:rPr>
                  </w:pPr>
                  <w:r>
                    <w:rPr>
                      <w:rFonts w:hint="eastAsia" w:ascii="宋体" w:hAnsi="宋体" w:eastAsia="宋体" w:cs="宋体"/>
                      <w:color w:val="auto"/>
                      <w:sz w:val="21"/>
                      <w:szCs w:val="21"/>
                      <w:u w:val="none"/>
                      <w:lang w:val="en-US" w:eastAsia="zh-CN"/>
                    </w:rPr>
                    <w:t>约</w:t>
                  </w:r>
                  <w:r>
                    <w:rPr>
                      <w:rFonts w:hint="eastAsia" w:ascii="宋体" w:hAnsi="宋体" w:cs="宋体"/>
                      <w:color w:val="auto"/>
                      <w:sz w:val="21"/>
                      <w:szCs w:val="21"/>
                      <w:u w:val="none"/>
                      <w:lang w:val="en-US" w:eastAsia="zh-CN"/>
                    </w:rPr>
                    <w:t>70</w:t>
                  </w:r>
                  <w:r>
                    <w:rPr>
                      <w:rFonts w:hint="eastAsia" w:ascii="宋体" w:hAnsi="宋体" w:eastAsia="宋体" w:cs="宋体"/>
                      <w:color w:val="auto"/>
                      <w:sz w:val="21"/>
                      <w:szCs w:val="21"/>
                      <w:u w:val="none"/>
                      <w:lang w:val="en-US" w:eastAsia="zh-CN"/>
                    </w:rPr>
                    <w:t>~</w:t>
                  </w:r>
                  <w:r>
                    <w:rPr>
                      <w:rFonts w:hint="eastAsia" w:ascii="宋体" w:hAnsi="宋体" w:cs="宋体"/>
                      <w:color w:val="auto"/>
                      <w:sz w:val="21"/>
                      <w:szCs w:val="21"/>
                      <w:u w:val="none"/>
                      <w:lang w:val="en-US" w:eastAsia="zh-CN"/>
                    </w:rPr>
                    <w:t>28</w:t>
                  </w:r>
                  <w:r>
                    <w:rPr>
                      <w:rFonts w:hint="eastAsia" w:ascii="宋体" w:hAnsi="宋体" w:eastAsia="宋体" w:cs="宋体"/>
                      <w:color w:val="auto"/>
                      <w:sz w:val="21"/>
                      <w:szCs w:val="21"/>
                      <w:u w:val="none"/>
                      <w:lang w:val="en-US" w:eastAsia="zh-CN"/>
                    </w:rPr>
                    <w:t>0m</w:t>
                  </w:r>
                </w:p>
              </w:tc>
              <w:tc>
                <w:tcPr>
                  <w:tcW w:w="2154" w:type="dxa"/>
                  <w:tcBorders>
                    <w:tl2br w:val="nil"/>
                    <w:tr2bl w:val="nil"/>
                  </w:tcBorders>
                  <w:noWrap w:val="0"/>
                  <w:vAlign w:val="center"/>
                </w:tcPr>
                <w:p>
                  <w:pPr>
                    <w:jc w:val="center"/>
                    <w:rPr>
                      <w:rFonts w:hint="eastAsia" w:ascii="宋体" w:hAnsi="宋体" w:eastAsia="宋体" w:cs="宋体"/>
                      <w:color w:val="auto"/>
                      <w:kern w:val="2"/>
                      <w:sz w:val="21"/>
                      <w:szCs w:val="21"/>
                      <w:u w:val="none"/>
                      <w:lang w:val="en-US" w:eastAsia="zh-CN" w:bidi="ar-SA"/>
                    </w:rPr>
                  </w:pPr>
                  <w:r>
                    <w:rPr>
                      <w:rFonts w:hint="eastAsia" w:ascii="宋体" w:hAnsi="宋体" w:eastAsia="宋体" w:cs="宋体"/>
                      <w:color w:val="auto"/>
                      <w:sz w:val="21"/>
                      <w:szCs w:val="21"/>
                      <w:u w:val="none"/>
                      <w:lang w:val="en-US" w:eastAsia="zh-CN"/>
                    </w:rPr>
                    <w:t>居民，约</w:t>
                  </w:r>
                  <w:r>
                    <w:rPr>
                      <w:rFonts w:hint="eastAsia" w:ascii="宋体" w:hAnsi="宋体" w:cs="宋体"/>
                      <w:color w:val="auto"/>
                      <w:sz w:val="21"/>
                      <w:szCs w:val="21"/>
                      <w:u w:val="none"/>
                      <w:lang w:val="en-US" w:eastAsia="zh-CN"/>
                    </w:rPr>
                    <w:t>33</w:t>
                  </w:r>
                  <w:r>
                    <w:rPr>
                      <w:rFonts w:hint="eastAsia" w:ascii="宋体" w:hAnsi="宋体" w:eastAsia="宋体" w:cs="宋体"/>
                      <w:color w:val="auto"/>
                      <w:sz w:val="21"/>
                      <w:szCs w:val="21"/>
                      <w:u w:val="none"/>
                      <w:lang w:val="en-US" w:eastAsia="zh-CN"/>
                    </w:rPr>
                    <w:t>户</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6" w:space="0"/>
                </w:tblBorders>
                <w:tblCellMar>
                  <w:top w:w="0" w:type="dxa"/>
                  <w:left w:w="108" w:type="dxa"/>
                  <w:bottom w:w="0" w:type="dxa"/>
                  <w:right w:w="108" w:type="dxa"/>
                </w:tblCellMar>
              </w:tblPrEx>
              <w:trPr>
                <w:trHeight w:val="454" w:hRule="atLeast"/>
                <w:jc w:val="center"/>
              </w:trPr>
              <w:tc>
                <w:tcPr>
                  <w:tcW w:w="972" w:type="dxa"/>
                  <w:tcBorders>
                    <w:tl2br w:val="nil"/>
                    <w:tr2bl w:val="nil"/>
                  </w:tcBorders>
                  <w:noWrap w:val="0"/>
                  <w:vAlign w:val="center"/>
                </w:tcPr>
                <w:p>
                  <w:pPr>
                    <w:jc w:val="center"/>
                    <w:rPr>
                      <w:rFonts w:hint="eastAsia" w:ascii="宋体" w:hAnsi="宋体" w:eastAsia="宋体" w:cs="宋体"/>
                      <w:color w:val="auto"/>
                      <w:sz w:val="21"/>
                      <w:szCs w:val="21"/>
                      <w:u w:val="none"/>
                      <w:lang w:val="en-US" w:eastAsia="zh-CN"/>
                    </w:rPr>
                  </w:pPr>
                  <w:r>
                    <w:rPr>
                      <w:rFonts w:hint="eastAsia" w:ascii="宋体" w:hAnsi="宋体" w:eastAsia="宋体" w:cs="宋体"/>
                      <w:color w:val="auto"/>
                      <w:sz w:val="21"/>
                      <w:szCs w:val="21"/>
                      <w:u w:val="none"/>
                      <w:lang w:val="en-US" w:eastAsia="zh-CN"/>
                    </w:rPr>
                    <w:t>6</w:t>
                  </w:r>
                </w:p>
              </w:tc>
              <w:tc>
                <w:tcPr>
                  <w:tcW w:w="1865" w:type="dxa"/>
                  <w:tcBorders>
                    <w:tl2br w:val="nil"/>
                    <w:tr2bl w:val="nil"/>
                  </w:tcBorders>
                  <w:noWrap w:val="0"/>
                  <w:vAlign w:val="center"/>
                </w:tcPr>
                <w:p>
                  <w:pPr>
                    <w:jc w:val="center"/>
                    <w:rPr>
                      <w:rFonts w:hint="eastAsia" w:ascii="宋体" w:hAnsi="宋体" w:eastAsia="宋体" w:cs="宋体"/>
                      <w:color w:val="auto"/>
                      <w:sz w:val="21"/>
                      <w:szCs w:val="21"/>
                      <w:u w:val="none"/>
                      <w:lang w:val="en-US" w:eastAsia="zh-CN"/>
                    </w:rPr>
                  </w:pPr>
                  <w:r>
                    <w:rPr>
                      <w:rFonts w:hint="eastAsia" w:ascii="宋体" w:hAnsi="宋体" w:cs="宋体"/>
                      <w:color w:val="auto"/>
                      <w:sz w:val="21"/>
                      <w:szCs w:val="21"/>
                      <w:u w:val="none"/>
                      <w:lang w:val="en-US" w:eastAsia="zh-CN"/>
                    </w:rPr>
                    <w:t>H6正大</w:t>
                  </w:r>
                  <w:r>
                    <w:rPr>
                      <w:rFonts w:hint="eastAsia" w:ascii="宋体" w:hAnsi="宋体" w:eastAsia="宋体" w:cs="宋体"/>
                      <w:color w:val="auto"/>
                      <w:sz w:val="21"/>
                      <w:szCs w:val="21"/>
                      <w:u w:val="none"/>
                      <w:lang w:val="en-US" w:eastAsia="zh-CN"/>
                    </w:rPr>
                    <w:t>村居民点</w:t>
                  </w:r>
                </w:p>
              </w:tc>
              <w:tc>
                <w:tcPr>
                  <w:tcW w:w="1388" w:type="dxa"/>
                  <w:tcBorders>
                    <w:tl2br w:val="nil"/>
                    <w:tr2bl w:val="nil"/>
                  </w:tcBorders>
                  <w:noWrap w:val="0"/>
                  <w:vAlign w:val="center"/>
                </w:tcPr>
                <w:p>
                  <w:pPr>
                    <w:jc w:val="center"/>
                    <w:rPr>
                      <w:rFonts w:hint="eastAsia" w:ascii="宋体" w:hAnsi="宋体" w:eastAsia="宋体" w:cs="宋体"/>
                      <w:color w:val="auto"/>
                      <w:sz w:val="21"/>
                      <w:szCs w:val="21"/>
                      <w:u w:val="none"/>
                      <w:lang w:val="en-US" w:eastAsia="zh-CN"/>
                    </w:rPr>
                  </w:pPr>
                  <w:r>
                    <w:rPr>
                      <w:rFonts w:hint="eastAsia" w:ascii="宋体" w:hAnsi="宋体" w:eastAsia="宋体" w:cs="宋体"/>
                      <w:color w:val="auto"/>
                      <w:sz w:val="21"/>
                      <w:szCs w:val="21"/>
                      <w:u w:val="none"/>
                      <w:lang w:val="en-US" w:eastAsia="zh-CN"/>
                    </w:rPr>
                    <w:t>项目</w:t>
                  </w:r>
                  <w:r>
                    <w:rPr>
                      <w:rFonts w:hint="eastAsia" w:ascii="宋体" w:hAnsi="宋体" w:cs="宋体"/>
                      <w:color w:val="auto"/>
                      <w:sz w:val="21"/>
                      <w:szCs w:val="21"/>
                      <w:u w:val="none"/>
                      <w:lang w:val="en-US" w:eastAsia="zh-CN"/>
                    </w:rPr>
                    <w:t>西</w:t>
                  </w:r>
                  <w:r>
                    <w:rPr>
                      <w:rFonts w:hint="eastAsia" w:ascii="宋体" w:hAnsi="宋体" w:eastAsia="宋体" w:cs="宋体"/>
                      <w:color w:val="auto"/>
                      <w:sz w:val="21"/>
                      <w:szCs w:val="21"/>
                      <w:u w:val="none"/>
                      <w:lang w:val="en-US" w:eastAsia="zh-CN"/>
                    </w:rPr>
                    <w:t>面</w:t>
                  </w:r>
                </w:p>
              </w:tc>
              <w:tc>
                <w:tcPr>
                  <w:tcW w:w="1587" w:type="dxa"/>
                  <w:tcBorders>
                    <w:tl2br w:val="nil"/>
                    <w:tr2bl w:val="nil"/>
                  </w:tcBorders>
                  <w:noWrap w:val="0"/>
                  <w:vAlign w:val="center"/>
                </w:tcPr>
                <w:p>
                  <w:pPr>
                    <w:jc w:val="center"/>
                    <w:rPr>
                      <w:rFonts w:hint="eastAsia" w:ascii="宋体" w:hAnsi="宋体" w:eastAsia="宋体" w:cs="宋体"/>
                      <w:color w:val="auto"/>
                      <w:sz w:val="21"/>
                      <w:szCs w:val="21"/>
                      <w:u w:val="none"/>
                      <w:lang w:val="en-US" w:eastAsia="zh-CN"/>
                    </w:rPr>
                  </w:pPr>
                  <w:r>
                    <w:rPr>
                      <w:rFonts w:hint="eastAsia" w:ascii="宋体" w:hAnsi="宋体" w:eastAsia="宋体" w:cs="宋体"/>
                      <w:color w:val="auto"/>
                      <w:sz w:val="21"/>
                      <w:szCs w:val="21"/>
                      <w:u w:val="none"/>
                      <w:lang w:val="en-US" w:eastAsia="zh-CN"/>
                    </w:rPr>
                    <w:t>约</w:t>
                  </w:r>
                  <w:r>
                    <w:rPr>
                      <w:rFonts w:hint="eastAsia" w:ascii="宋体" w:hAnsi="宋体" w:cs="宋体"/>
                      <w:color w:val="auto"/>
                      <w:sz w:val="21"/>
                      <w:szCs w:val="21"/>
                      <w:u w:val="none"/>
                      <w:lang w:val="en-US" w:eastAsia="zh-CN"/>
                    </w:rPr>
                    <w:t>120</w:t>
                  </w:r>
                  <w:r>
                    <w:rPr>
                      <w:rFonts w:hint="eastAsia" w:ascii="宋体" w:hAnsi="宋体" w:eastAsia="宋体" w:cs="宋体"/>
                      <w:color w:val="auto"/>
                      <w:sz w:val="21"/>
                      <w:szCs w:val="21"/>
                      <w:u w:val="none"/>
                      <w:lang w:val="en-US" w:eastAsia="zh-CN"/>
                    </w:rPr>
                    <w:t>~</w:t>
                  </w:r>
                  <w:r>
                    <w:rPr>
                      <w:rFonts w:hint="eastAsia" w:ascii="宋体" w:hAnsi="宋体" w:cs="宋体"/>
                      <w:color w:val="auto"/>
                      <w:sz w:val="21"/>
                      <w:szCs w:val="21"/>
                      <w:u w:val="none"/>
                      <w:lang w:val="en-US" w:eastAsia="zh-CN"/>
                    </w:rPr>
                    <w:t>50</w:t>
                  </w:r>
                  <w:r>
                    <w:rPr>
                      <w:rFonts w:hint="eastAsia" w:ascii="宋体" w:hAnsi="宋体" w:eastAsia="宋体" w:cs="宋体"/>
                      <w:color w:val="auto"/>
                      <w:sz w:val="21"/>
                      <w:szCs w:val="21"/>
                      <w:u w:val="none"/>
                      <w:lang w:val="en-US" w:eastAsia="zh-CN"/>
                    </w:rPr>
                    <w:t>0m</w:t>
                  </w:r>
                </w:p>
              </w:tc>
              <w:tc>
                <w:tcPr>
                  <w:tcW w:w="2154" w:type="dxa"/>
                  <w:tcBorders>
                    <w:tl2br w:val="nil"/>
                    <w:tr2bl w:val="nil"/>
                  </w:tcBorders>
                  <w:noWrap w:val="0"/>
                  <w:vAlign w:val="center"/>
                </w:tcPr>
                <w:p>
                  <w:pPr>
                    <w:jc w:val="center"/>
                    <w:rPr>
                      <w:rFonts w:hint="eastAsia" w:ascii="宋体" w:hAnsi="宋体" w:eastAsia="宋体" w:cs="宋体"/>
                      <w:color w:val="auto"/>
                      <w:sz w:val="21"/>
                      <w:szCs w:val="21"/>
                      <w:u w:val="none"/>
                      <w:lang w:val="en-US" w:eastAsia="zh-CN"/>
                    </w:rPr>
                  </w:pPr>
                  <w:r>
                    <w:rPr>
                      <w:rFonts w:hint="eastAsia" w:ascii="宋体" w:hAnsi="宋体" w:eastAsia="宋体" w:cs="宋体"/>
                      <w:color w:val="auto"/>
                      <w:sz w:val="21"/>
                      <w:szCs w:val="21"/>
                      <w:u w:val="none"/>
                      <w:lang w:val="en-US" w:eastAsia="zh-CN"/>
                    </w:rPr>
                    <w:t>居民，约</w:t>
                  </w:r>
                  <w:r>
                    <w:rPr>
                      <w:rFonts w:hint="eastAsia" w:ascii="宋体" w:hAnsi="宋体" w:cs="宋体"/>
                      <w:color w:val="auto"/>
                      <w:sz w:val="21"/>
                      <w:szCs w:val="21"/>
                      <w:u w:val="none"/>
                      <w:lang w:val="en-US" w:eastAsia="zh-CN"/>
                    </w:rPr>
                    <w:t>7</w:t>
                  </w:r>
                  <w:r>
                    <w:rPr>
                      <w:rFonts w:hint="eastAsia" w:ascii="宋体" w:hAnsi="宋体" w:eastAsia="宋体" w:cs="宋体"/>
                      <w:color w:val="auto"/>
                      <w:sz w:val="21"/>
                      <w:szCs w:val="21"/>
                      <w:u w:val="none"/>
                      <w:lang w:val="en-US" w:eastAsia="zh-CN"/>
                    </w:rPr>
                    <w:t>户</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6" w:space="0"/>
                </w:tblBorders>
                <w:tblCellMar>
                  <w:top w:w="0" w:type="dxa"/>
                  <w:left w:w="108" w:type="dxa"/>
                  <w:bottom w:w="0" w:type="dxa"/>
                  <w:right w:w="108" w:type="dxa"/>
                </w:tblCellMar>
              </w:tblPrEx>
              <w:trPr>
                <w:trHeight w:val="454" w:hRule="atLeast"/>
                <w:jc w:val="center"/>
              </w:trPr>
              <w:tc>
                <w:tcPr>
                  <w:tcW w:w="972" w:type="dxa"/>
                  <w:tcBorders>
                    <w:tl2br w:val="nil"/>
                    <w:tr2bl w:val="nil"/>
                  </w:tcBorders>
                  <w:noWrap w:val="0"/>
                  <w:vAlign w:val="center"/>
                </w:tcPr>
                <w:p>
                  <w:pPr>
                    <w:jc w:val="center"/>
                    <w:rPr>
                      <w:rFonts w:hint="eastAsia" w:ascii="宋体" w:hAnsi="宋体" w:eastAsia="宋体" w:cs="宋体"/>
                      <w:color w:val="auto"/>
                      <w:sz w:val="21"/>
                      <w:szCs w:val="21"/>
                      <w:u w:val="none"/>
                      <w:lang w:val="en-US" w:eastAsia="zh-CN"/>
                    </w:rPr>
                  </w:pPr>
                  <w:r>
                    <w:rPr>
                      <w:rFonts w:hint="eastAsia" w:ascii="宋体" w:hAnsi="宋体" w:eastAsia="宋体" w:cs="宋体"/>
                      <w:color w:val="auto"/>
                      <w:sz w:val="21"/>
                      <w:szCs w:val="21"/>
                      <w:u w:val="none"/>
                      <w:lang w:val="en-US" w:eastAsia="zh-CN"/>
                    </w:rPr>
                    <w:t>7</w:t>
                  </w:r>
                </w:p>
              </w:tc>
              <w:tc>
                <w:tcPr>
                  <w:tcW w:w="1865" w:type="dxa"/>
                  <w:tcBorders>
                    <w:tl2br w:val="nil"/>
                    <w:tr2bl w:val="nil"/>
                  </w:tcBorders>
                  <w:noWrap w:val="0"/>
                  <w:vAlign w:val="center"/>
                </w:tcPr>
                <w:p>
                  <w:pPr>
                    <w:jc w:val="center"/>
                    <w:rPr>
                      <w:rFonts w:hint="eastAsia" w:ascii="宋体" w:hAnsi="宋体" w:eastAsia="宋体" w:cs="宋体"/>
                      <w:color w:val="auto"/>
                      <w:sz w:val="21"/>
                      <w:szCs w:val="21"/>
                      <w:u w:val="none"/>
                      <w:lang w:val="en-US" w:eastAsia="zh-CN"/>
                    </w:rPr>
                  </w:pPr>
                  <w:r>
                    <w:rPr>
                      <w:rFonts w:hint="eastAsia" w:ascii="宋体" w:hAnsi="宋体" w:cs="宋体"/>
                      <w:color w:val="auto"/>
                      <w:sz w:val="21"/>
                      <w:szCs w:val="21"/>
                      <w:u w:val="none"/>
                      <w:lang w:val="en-US" w:eastAsia="zh-CN"/>
                    </w:rPr>
                    <w:t>H7正大</w:t>
                  </w:r>
                  <w:r>
                    <w:rPr>
                      <w:rFonts w:hint="eastAsia" w:ascii="宋体" w:hAnsi="宋体" w:eastAsia="宋体" w:cs="宋体"/>
                      <w:color w:val="auto"/>
                      <w:sz w:val="21"/>
                      <w:szCs w:val="21"/>
                      <w:u w:val="none"/>
                      <w:lang w:val="en-US" w:eastAsia="zh-CN"/>
                    </w:rPr>
                    <w:t>村居民点</w:t>
                  </w:r>
                </w:p>
              </w:tc>
              <w:tc>
                <w:tcPr>
                  <w:tcW w:w="1388" w:type="dxa"/>
                  <w:tcBorders>
                    <w:tl2br w:val="nil"/>
                    <w:tr2bl w:val="nil"/>
                  </w:tcBorders>
                  <w:noWrap w:val="0"/>
                  <w:vAlign w:val="center"/>
                </w:tcPr>
                <w:p>
                  <w:pPr>
                    <w:jc w:val="center"/>
                    <w:rPr>
                      <w:rFonts w:hint="eastAsia" w:ascii="宋体" w:hAnsi="宋体" w:eastAsia="宋体" w:cs="宋体"/>
                      <w:color w:val="auto"/>
                      <w:sz w:val="21"/>
                      <w:szCs w:val="21"/>
                      <w:u w:val="none"/>
                      <w:lang w:val="en-US" w:eastAsia="zh-CN"/>
                    </w:rPr>
                  </w:pPr>
                  <w:r>
                    <w:rPr>
                      <w:rFonts w:hint="eastAsia" w:ascii="宋体" w:hAnsi="宋体" w:eastAsia="宋体" w:cs="宋体"/>
                      <w:color w:val="auto"/>
                      <w:sz w:val="21"/>
                      <w:szCs w:val="21"/>
                      <w:u w:val="none"/>
                      <w:lang w:val="en-US" w:eastAsia="zh-CN"/>
                    </w:rPr>
                    <w:t>项目</w:t>
                  </w:r>
                  <w:r>
                    <w:rPr>
                      <w:rFonts w:hint="eastAsia" w:ascii="宋体" w:hAnsi="宋体" w:cs="宋体"/>
                      <w:color w:val="auto"/>
                      <w:sz w:val="21"/>
                      <w:szCs w:val="21"/>
                      <w:u w:val="none"/>
                      <w:lang w:val="en-US" w:eastAsia="zh-CN"/>
                    </w:rPr>
                    <w:t>北</w:t>
                  </w:r>
                  <w:r>
                    <w:rPr>
                      <w:rFonts w:hint="eastAsia" w:ascii="宋体" w:hAnsi="宋体" w:eastAsia="宋体" w:cs="宋体"/>
                      <w:color w:val="auto"/>
                      <w:sz w:val="21"/>
                      <w:szCs w:val="21"/>
                      <w:u w:val="none"/>
                      <w:lang w:val="en-US" w:eastAsia="zh-CN"/>
                    </w:rPr>
                    <w:t>面</w:t>
                  </w:r>
                </w:p>
              </w:tc>
              <w:tc>
                <w:tcPr>
                  <w:tcW w:w="1587" w:type="dxa"/>
                  <w:tcBorders>
                    <w:tl2br w:val="nil"/>
                    <w:tr2bl w:val="nil"/>
                  </w:tcBorders>
                  <w:noWrap w:val="0"/>
                  <w:vAlign w:val="center"/>
                </w:tcPr>
                <w:p>
                  <w:pPr>
                    <w:jc w:val="center"/>
                    <w:rPr>
                      <w:rFonts w:hint="eastAsia" w:ascii="宋体" w:hAnsi="宋体" w:eastAsia="宋体" w:cs="宋体"/>
                      <w:color w:val="auto"/>
                      <w:sz w:val="21"/>
                      <w:szCs w:val="21"/>
                      <w:u w:val="none"/>
                      <w:lang w:val="en-US" w:eastAsia="zh-CN"/>
                    </w:rPr>
                  </w:pPr>
                  <w:r>
                    <w:rPr>
                      <w:rFonts w:hint="eastAsia" w:ascii="宋体" w:hAnsi="宋体" w:eastAsia="宋体" w:cs="宋体"/>
                      <w:color w:val="auto"/>
                      <w:sz w:val="21"/>
                      <w:szCs w:val="21"/>
                      <w:u w:val="none"/>
                      <w:lang w:val="en-US" w:eastAsia="zh-CN"/>
                    </w:rPr>
                    <w:t>约</w:t>
                  </w:r>
                  <w:r>
                    <w:rPr>
                      <w:rFonts w:hint="eastAsia" w:ascii="宋体" w:hAnsi="宋体" w:cs="宋体"/>
                      <w:color w:val="auto"/>
                      <w:sz w:val="21"/>
                      <w:szCs w:val="21"/>
                      <w:u w:val="none"/>
                      <w:lang w:val="en-US" w:eastAsia="zh-CN"/>
                    </w:rPr>
                    <w:t>16</w:t>
                  </w:r>
                  <w:r>
                    <w:rPr>
                      <w:rFonts w:hint="eastAsia" w:ascii="宋体" w:hAnsi="宋体" w:eastAsia="宋体" w:cs="宋体"/>
                      <w:color w:val="auto"/>
                      <w:sz w:val="21"/>
                      <w:szCs w:val="21"/>
                      <w:u w:val="none"/>
                      <w:lang w:val="en-US" w:eastAsia="zh-CN"/>
                    </w:rPr>
                    <w:t>0~500m</w:t>
                  </w:r>
                </w:p>
              </w:tc>
              <w:tc>
                <w:tcPr>
                  <w:tcW w:w="2154" w:type="dxa"/>
                  <w:tcBorders>
                    <w:tl2br w:val="nil"/>
                    <w:tr2bl w:val="nil"/>
                  </w:tcBorders>
                  <w:noWrap w:val="0"/>
                  <w:vAlign w:val="center"/>
                </w:tcPr>
                <w:p>
                  <w:pPr>
                    <w:jc w:val="center"/>
                    <w:rPr>
                      <w:rFonts w:hint="eastAsia" w:ascii="宋体" w:hAnsi="宋体" w:eastAsia="宋体" w:cs="宋体"/>
                      <w:color w:val="auto"/>
                      <w:sz w:val="21"/>
                      <w:szCs w:val="21"/>
                      <w:u w:val="none"/>
                      <w:lang w:val="en-US" w:eastAsia="zh-CN"/>
                    </w:rPr>
                  </w:pPr>
                  <w:r>
                    <w:rPr>
                      <w:rFonts w:hint="eastAsia" w:ascii="宋体" w:hAnsi="宋体" w:eastAsia="宋体" w:cs="宋体"/>
                      <w:color w:val="auto"/>
                      <w:sz w:val="21"/>
                      <w:szCs w:val="21"/>
                      <w:u w:val="none"/>
                      <w:lang w:val="en-US" w:eastAsia="zh-CN"/>
                    </w:rPr>
                    <w:t>居民，约</w:t>
                  </w:r>
                  <w:r>
                    <w:rPr>
                      <w:rFonts w:hint="eastAsia" w:ascii="宋体" w:hAnsi="宋体" w:cs="宋体"/>
                      <w:color w:val="auto"/>
                      <w:sz w:val="21"/>
                      <w:szCs w:val="21"/>
                      <w:u w:val="none"/>
                      <w:lang w:val="en-US" w:eastAsia="zh-CN"/>
                    </w:rPr>
                    <w:t>25</w:t>
                  </w:r>
                  <w:r>
                    <w:rPr>
                      <w:rFonts w:hint="eastAsia" w:ascii="宋体" w:hAnsi="宋体" w:eastAsia="宋体" w:cs="宋体"/>
                      <w:color w:val="auto"/>
                      <w:sz w:val="21"/>
                      <w:szCs w:val="21"/>
                      <w:u w:val="none"/>
                      <w:lang w:val="en-US" w:eastAsia="zh-CN"/>
                    </w:rPr>
                    <w:t>户</w:t>
                  </w:r>
                </w:p>
              </w:tc>
            </w:tr>
          </w:tbl>
          <w:p>
            <w:pPr>
              <w:pStyle w:val="65"/>
              <w:spacing w:line="360" w:lineRule="auto"/>
              <w:ind w:firstLine="482"/>
              <w:jc w:val="left"/>
              <w:rPr>
                <w:rFonts w:hint="eastAsia" w:ascii="宋体" w:hAnsi="宋体" w:eastAsia="宋体" w:cs="宋体"/>
                <w:b/>
                <w:color w:val="000000"/>
                <w:sz w:val="24"/>
                <w:u w:val="none"/>
              </w:rPr>
            </w:pPr>
          </w:p>
          <w:p>
            <w:pPr>
              <w:pStyle w:val="65"/>
              <w:spacing w:line="360" w:lineRule="auto"/>
              <w:ind w:firstLine="482"/>
              <w:jc w:val="left"/>
              <w:rPr>
                <w:rFonts w:hint="eastAsia" w:ascii="宋体" w:hAnsi="宋体" w:eastAsia="宋体" w:cs="宋体"/>
                <w:b/>
                <w:color w:val="000000"/>
                <w:sz w:val="24"/>
                <w:u w:val="none"/>
              </w:rPr>
            </w:pPr>
            <w:r>
              <w:rPr>
                <w:rFonts w:hint="eastAsia" w:ascii="宋体" w:hAnsi="宋体" w:eastAsia="宋体" w:cs="宋体"/>
                <w:b/>
                <w:color w:val="000000"/>
                <w:sz w:val="24"/>
                <w:u w:val="none"/>
              </w:rPr>
              <w:t>2、声环境</w:t>
            </w:r>
          </w:p>
          <w:p>
            <w:pPr>
              <w:snapToGrid w:val="0"/>
              <w:ind w:firstLine="480" w:firstLineChars="200"/>
              <w:jc w:val="both"/>
              <w:rPr>
                <w:rFonts w:hint="eastAsia" w:ascii="宋体" w:hAnsi="宋体" w:eastAsia="宋体" w:cs="宋体"/>
                <w:b/>
                <w:color w:val="000000"/>
                <w:szCs w:val="21"/>
                <w:u w:val="none"/>
                <w:lang w:eastAsia="zh-CN"/>
              </w:rPr>
            </w:pPr>
            <w:r>
              <w:rPr>
                <w:rFonts w:hint="eastAsia" w:ascii="宋体" w:hAnsi="宋体" w:eastAsia="宋体" w:cs="宋体"/>
                <w:bCs/>
                <w:color w:val="000000"/>
                <w:sz w:val="24"/>
                <w:u w:val="none"/>
              </w:rPr>
              <w:t>本项目厂界50m范围内</w:t>
            </w:r>
            <w:r>
              <w:rPr>
                <w:rFonts w:hint="eastAsia" w:ascii="宋体" w:cs="宋体"/>
                <w:bCs/>
                <w:color w:val="000000"/>
                <w:sz w:val="24"/>
                <w:u w:val="none"/>
                <w:lang w:val="en-US" w:eastAsia="zh-CN"/>
              </w:rPr>
              <w:t>无</w:t>
            </w:r>
            <w:r>
              <w:rPr>
                <w:rFonts w:hint="eastAsia" w:ascii="宋体" w:hAnsi="宋体" w:eastAsia="宋体" w:cs="宋体"/>
                <w:bCs/>
                <w:color w:val="000000"/>
                <w:sz w:val="24"/>
                <w:u w:val="none"/>
              </w:rPr>
              <w:t>声环境保护目标</w:t>
            </w:r>
            <w:r>
              <w:rPr>
                <w:rFonts w:hint="eastAsia" w:ascii="宋体" w:hAnsi="宋体" w:cs="宋体"/>
                <w:bCs/>
                <w:color w:val="000000"/>
                <w:sz w:val="24"/>
                <w:u w:val="none"/>
                <w:lang w:eastAsia="zh-CN"/>
              </w:rPr>
              <w:t>。</w:t>
            </w:r>
          </w:p>
          <w:p>
            <w:pPr>
              <w:pStyle w:val="65"/>
              <w:spacing w:line="360" w:lineRule="auto"/>
              <w:ind w:firstLine="482"/>
              <w:jc w:val="left"/>
              <w:rPr>
                <w:rFonts w:hint="eastAsia" w:ascii="宋体" w:hAnsi="宋体" w:eastAsia="宋体" w:cs="宋体"/>
                <w:b/>
                <w:color w:val="000000"/>
                <w:sz w:val="24"/>
                <w:u w:val="none"/>
              </w:rPr>
            </w:pPr>
            <w:r>
              <w:rPr>
                <w:rFonts w:hint="eastAsia" w:ascii="宋体" w:hAnsi="宋体" w:eastAsia="宋体" w:cs="宋体"/>
                <w:b/>
                <w:color w:val="000000"/>
                <w:sz w:val="24"/>
                <w:u w:val="none"/>
              </w:rPr>
              <w:t>3、地下水环境</w:t>
            </w:r>
          </w:p>
          <w:p>
            <w:pPr>
              <w:pStyle w:val="65"/>
              <w:spacing w:line="360" w:lineRule="auto"/>
              <w:jc w:val="left"/>
              <w:rPr>
                <w:rFonts w:hint="eastAsia" w:ascii="宋体" w:hAnsi="宋体" w:eastAsia="宋体" w:cs="宋体"/>
                <w:bCs/>
                <w:color w:val="000000"/>
                <w:sz w:val="24"/>
                <w:u w:val="none"/>
              </w:rPr>
            </w:pPr>
            <w:r>
              <w:rPr>
                <w:rFonts w:hint="eastAsia" w:ascii="宋体" w:hAnsi="宋体" w:eastAsia="宋体" w:cs="宋体"/>
                <w:bCs/>
                <w:color w:val="000000"/>
                <w:sz w:val="24"/>
                <w:u w:val="none"/>
              </w:rPr>
              <w:t>本项目厂界外500m范围内无地下水集中式饮用水水源和热水、矿泉水、温泉等特殊地下水资源。</w:t>
            </w:r>
          </w:p>
          <w:p>
            <w:pPr>
              <w:pStyle w:val="65"/>
              <w:spacing w:line="360" w:lineRule="auto"/>
              <w:ind w:firstLine="482"/>
              <w:jc w:val="left"/>
              <w:rPr>
                <w:rFonts w:hint="eastAsia" w:ascii="宋体" w:hAnsi="宋体" w:eastAsia="宋体" w:cs="宋体"/>
                <w:b/>
                <w:color w:val="auto"/>
                <w:sz w:val="24"/>
                <w:u w:val="none"/>
              </w:rPr>
            </w:pPr>
            <w:r>
              <w:rPr>
                <w:rFonts w:hint="eastAsia" w:ascii="宋体" w:hAnsi="宋体" w:eastAsia="宋体" w:cs="宋体"/>
                <w:b/>
                <w:color w:val="auto"/>
                <w:sz w:val="24"/>
                <w:u w:val="none"/>
              </w:rPr>
              <w:t>4、地表水环境</w:t>
            </w:r>
          </w:p>
          <w:p>
            <w:pPr>
              <w:pStyle w:val="65"/>
              <w:spacing w:line="360" w:lineRule="auto"/>
              <w:jc w:val="left"/>
              <w:rPr>
                <w:rFonts w:hint="eastAsia" w:ascii="宋体" w:hAnsi="宋体" w:eastAsia="宋体" w:cs="宋体"/>
                <w:bCs/>
                <w:color w:val="auto"/>
                <w:sz w:val="24"/>
                <w:u w:val="none"/>
              </w:rPr>
            </w:pPr>
            <w:r>
              <w:rPr>
                <w:rFonts w:hint="eastAsia" w:ascii="宋体" w:hAnsi="宋体" w:eastAsia="宋体" w:cs="宋体"/>
                <w:bCs/>
                <w:color w:val="auto"/>
                <w:sz w:val="24"/>
                <w:u w:val="none"/>
              </w:rPr>
              <w:t>本项目地表水主要为</w:t>
            </w:r>
            <w:r>
              <w:rPr>
                <w:rFonts w:hint="eastAsia" w:ascii="宋体" w:cs="宋体"/>
                <w:bCs/>
                <w:color w:val="auto"/>
                <w:sz w:val="24"/>
                <w:u w:val="none"/>
                <w:lang w:val="en-US" w:eastAsia="zh-CN"/>
              </w:rPr>
              <w:t>蒸水</w:t>
            </w:r>
            <w:r>
              <w:rPr>
                <w:rFonts w:hint="eastAsia" w:ascii="宋体" w:hAnsi="宋体" w:eastAsia="宋体" w:cs="宋体"/>
                <w:bCs/>
                <w:color w:val="auto"/>
                <w:sz w:val="24"/>
                <w:u w:val="none"/>
              </w:rPr>
              <w:t>，所在区域内的地表水功能均为工业用水区，具体见下表：</w:t>
            </w:r>
          </w:p>
          <w:p>
            <w:pPr>
              <w:snapToGrid w:val="0"/>
              <w:spacing w:before="156" w:beforeLines="50"/>
              <w:jc w:val="center"/>
              <w:rPr>
                <w:rFonts w:hint="eastAsia" w:ascii="宋体" w:hAnsi="宋体" w:eastAsia="宋体" w:cs="宋体"/>
                <w:b/>
                <w:color w:val="auto"/>
                <w:szCs w:val="21"/>
                <w:u w:val="none"/>
              </w:rPr>
            </w:pPr>
            <w:r>
              <w:rPr>
                <w:rFonts w:hint="eastAsia" w:ascii="宋体" w:hAnsi="宋体" w:eastAsia="宋体" w:cs="宋体"/>
                <w:b/>
                <w:color w:val="auto"/>
                <w:szCs w:val="21"/>
                <w:u w:val="none"/>
              </w:rPr>
              <w:t>表3-7地表水环境保护目标一览表</w:t>
            </w:r>
          </w:p>
          <w:tbl>
            <w:tblPr>
              <w:tblStyle w:val="30"/>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217"/>
              <w:gridCol w:w="1910"/>
              <w:gridCol w:w="2578"/>
              <w:gridCol w:w="2267"/>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39" w:hRule="atLeast"/>
                <w:jc w:val="center"/>
              </w:trPr>
              <w:tc>
                <w:tcPr>
                  <w:tcW w:w="1217" w:type="dxa"/>
                  <w:noWrap w:val="0"/>
                  <w:vAlign w:val="center"/>
                </w:tcPr>
                <w:p>
                  <w:pPr>
                    <w:pStyle w:val="11"/>
                    <w:ind w:firstLine="0" w:firstLineChars="0"/>
                    <w:jc w:val="center"/>
                    <w:rPr>
                      <w:rFonts w:hint="eastAsia" w:ascii="宋体" w:hAnsi="宋体" w:eastAsia="宋体" w:cs="宋体"/>
                      <w:color w:val="auto"/>
                      <w:sz w:val="18"/>
                      <w:szCs w:val="18"/>
                      <w:u w:val="none"/>
                    </w:rPr>
                  </w:pPr>
                  <w:r>
                    <w:rPr>
                      <w:rFonts w:hint="eastAsia" w:ascii="宋体" w:hAnsi="宋体" w:eastAsia="宋体" w:cs="宋体"/>
                      <w:color w:val="auto"/>
                      <w:sz w:val="18"/>
                      <w:szCs w:val="18"/>
                      <w:u w:val="none"/>
                    </w:rPr>
                    <w:t>名称</w:t>
                  </w:r>
                </w:p>
              </w:tc>
              <w:tc>
                <w:tcPr>
                  <w:tcW w:w="1910" w:type="dxa"/>
                  <w:noWrap w:val="0"/>
                  <w:vAlign w:val="center"/>
                </w:tcPr>
                <w:p>
                  <w:pPr>
                    <w:pStyle w:val="11"/>
                    <w:ind w:firstLine="0" w:firstLineChars="0"/>
                    <w:jc w:val="center"/>
                    <w:rPr>
                      <w:rFonts w:hint="eastAsia" w:ascii="宋体" w:hAnsi="宋体" w:eastAsia="宋体" w:cs="宋体"/>
                      <w:color w:val="auto"/>
                      <w:sz w:val="18"/>
                      <w:szCs w:val="18"/>
                      <w:u w:val="none"/>
                    </w:rPr>
                  </w:pPr>
                  <w:r>
                    <w:rPr>
                      <w:rFonts w:hint="eastAsia" w:ascii="宋体" w:hAnsi="宋体" w:eastAsia="宋体" w:cs="宋体"/>
                      <w:color w:val="auto"/>
                      <w:sz w:val="18"/>
                      <w:szCs w:val="18"/>
                      <w:u w:val="none"/>
                    </w:rPr>
                    <w:t>保护对象</w:t>
                  </w:r>
                </w:p>
              </w:tc>
              <w:tc>
                <w:tcPr>
                  <w:tcW w:w="2578" w:type="dxa"/>
                  <w:noWrap w:val="0"/>
                  <w:vAlign w:val="center"/>
                </w:tcPr>
                <w:p>
                  <w:pPr>
                    <w:pStyle w:val="11"/>
                    <w:ind w:firstLine="0" w:firstLineChars="0"/>
                    <w:jc w:val="center"/>
                    <w:rPr>
                      <w:rFonts w:hint="eastAsia" w:ascii="宋体" w:hAnsi="宋体" w:eastAsia="宋体" w:cs="宋体"/>
                      <w:color w:val="auto"/>
                      <w:sz w:val="18"/>
                      <w:szCs w:val="18"/>
                      <w:u w:val="none"/>
                    </w:rPr>
                  </w:pPr>
                  <w:r>
                    <w:rPr>
                      <w:rFonts w:hint="eastAsia" w:ascii="宋体" w:hAnsi="宋体" w:eastAsia="宋体" w:cs="宋体"/>
                      <w:color w:val="auto"/>
                      <w:sz w:val="18"/>
                      <w:szCs w:val="18"/>
                      <w:u w:val="none"/>
                    </w:rPr>
                    <w:t>与项目位置关系</w:t>
                  </w:r>
                </w:p>
              </w:tc>
              <w:tc>
                <w:tcPr>
                  <w:tcW w:w="2267" w:type="dxa"/>
                  <w:noWrap w:val="0"/>
                  <w:vAlign w:val="center"/>
                </w:tcPr>
                <w:p>
                  <w:pPr>
                    <w:pStyle w:val="11"/>
                    <w:ind w:firstLine="0" w:firstLineChars="0"/>
                    <w:jc w:val="center"/>
                    <w:rPr>
                      <w:rFonts w:hint="eastAsia" w:ascii="宋体" w:hAnsi="宋体" w:eastAsia="宋体" w:cs="宋体"/>
                      <w:color w:val="auto"/>
                      <w:sz w:val="18"/>
                      <w:szCs w:val="18"/>
                      <w:u w:val="none"/>
                    </w:rPr>
                  </w:pPr>
                  <w:r>
                    <w:rPr>
                      <w:rFonts w:hint="eastAsia" w:ascii="宋体" w:hAnsi="宋体" w:eastAsia="宋体" w:cs="宋体"/>
                      <w:color w:val="auto"/>
                      <w:sz w:val="18"/>
                      <w:szCs w:val="18"/>
                      <w:u w:val="none"/>
                    </w:rPr>
                    <w:t>保护要求</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217" w:type="dxa"/>
                  <w:noWrap w:val="0"/>
                  <w:vAlign w:val="center"/>
                </w:tcPr>
                <w:p>
                  <w:pPr>
                    <w:pStyle w:val="11"/>
                    <w:ind w:firstLine="0" w:firstLineChars="0"/>
                    <w:jc w:val="center"/>
                    <w:rPr>
                      <w:rFonts w:hint="eastAsia" w:ascii="宋体" w:hAnsi="宋体" w:eastAsia="宋体" w:cs="宋体"/>
                      <w:color w:val="auto"/>
                      <w:sz w:val="18"/>
                      <w:szCs w:val="18"/>
                      <w:u w:val="none"/>
                      <w:lang w:eastAsia="zh-CN"/>
                    </w:rPr>
                  </w:pPr>
                  <w:r>
                    <w:rPr>
                      <w:rFonts w:hint="eastAsia" w:ascii="宋体" w:hAnsi="宋体" w:cs="宋体"/>
                      <w:color w:val="auto"/>
                      <w:sz w:val="18"/>
                      <w:szCs w:val="18"/>
                      <w:u w:val="none"/>
                      <w:lang w:val="en-US" w:eastAsia="zh-CN"/>
                    </w:rPr>
                    <w:t>蒸水</w:t>
                  </w:r>
                </w:p>
              </w:tc>
              <w:tc>
                <w:tcPr>
                  <w:tcW w:w="1910" w:type="dxa"/>
                  <w:noWrap w:val="0"/>
                  <w:vAlign w:val="center"/>
                </w:tcPr>
                <w:p>
                  <w:pPr>
                    <w:pStyle w:val="11"/>
                    <w:ind w:firstLine="0" w:firstLineChars="0"/>
                    <w:jc w:val="center"/>
                    <w:rPr>
                      <w:rFonts w:hint="eastAsia" w:ascii="宋体" w:hAnsi="宋体" w:eastAsia="宋体" w:cs="宋体"/>
                      <w:color w:val="auto"/>
                      <w:sz w:val="18"/>
                      <w:szCs w:val="18"/>
                      <w:u w:val="none"/>
                    </w:rPr>
                  </w:pPr>
                  <w:r>
                    <w:rPr>
                      <w:rFonts w:hint="eastAsia" w:ascii="宋体" w:hAnsi="宋体" w:cs="宋体"/>
                      <w:color w:val="auto"/>
                      <w:sz w:val="18"/>
                      <w:szCs w:val="18"/>
                      <w:u w:val="none"/>
                      <w:lang w:val="en-US" w:eastAsia="zh-CN"/>
                    </w:rPr>
                    <w:t>新化村</w:t>
                  </w:r>
                  <w:r>
                    <w:rPr>
                      <w:rFonts w:hint="eastAsia" w:ascii="宋体" w:hAnsi="宋体" w:eastAsia="宋体" w:cs="宋体"/>
                      <w:color w:val="auto"/>
                      <w:sz w:val="18"/>
                      <w:szCs w:val="18"/>
                      <w:u w:val="none"/>
                    </w:rPr>
                    <w:t>，</w:t>
                  </w:r>
                  <w:r>
                    <w:rPr>
                      <w:rFonts w:hint="eastAsia" w:ascii="宋体" w:hAnsi="宋体" w:cs="宋体"/>
                      <w:color w:val="auto"/>
                      <w:sz w:val="18"/>
                      <w:szCs w:val="18"/>
                      <w:u w:val="none"/>
                      <w:lang w:val="en-US" w:eastAsia="zh-CN"/>
                    </w:rPr>
                    <w:t>景观娱乐</w:t>
                  </w:r>
                  <w:r>
                    <w:rPr>
                      <w:rFonts w:hint="eastAsia" w:ascii="宋体" w:hAnsi="宋体" w:eastAsia="宋体" w:cs="宋体"/>
                      <w:color w:val="auto"/>
                      <w:sz w:val="18"/>
                      <w:szCs w:val="18"/>
                      <w:u w:val="none"/>
                    </w:rPr>
                    <w:t>用水区，中河</w:t>
                  </w:r>
                </w:p>
              </w:tc>
              <w:tc>
                <w:tcPr>
                  <w:tcW w:w="2578" w:type="dxa"/>
                  <w:noWrap w:val="0"/>
                  <w:vAlign w:val="center"/>
                </w:tcPr>
                <w:p>
                  <w:pPr>
                    <w:pStyle w:val="11"/>
                    <w:ind w:firstLine="0" w:firstLineChars="0"/>
                    <w:jc w:val="center"/>
                    <w:rPr>
                      <w:rFonts w:hint="eastAsia" w:ascii="宋体" w:hAnsi="宋体" w:eastAsia="宋体" w:cs="宋体"/>
                      <w:color w:val="auto"/>
                      <w:sz w:val="18"/>
                      <w:szCs w:val="18"/>
                      <w:u w:val="none"/>
                    </w:rPr>
                  </w:pPr>
                  <w:r>
                    <w:rPr>
                      <w:rFonts w:hint="eastAsia" w:ascii="宋体" w:hAnsi="宋体" w:cs="宋体"/>
                      <w:color w:val="auto"/>
                      <w:sz w:val="18"/>
                      <w:szCs w:val="18"/>
                      <w:u w:val="none"/>
                      <w:lang w:val="en-US" w:eastAsia="zh-CN"/>
                    </w:rPr>
                    <w:t>东南</w:t>
                  </w:r>
                  <w:r>
                    <w:rPr>
                      <w:rFonts w:hint="eastAsia" w:ascii="宋体" w:hAnsi="宋体" w:eastAsia="宋体" w:cs="宋体"/>
                      <w:color w:val="auto"/>
                      <w:sz w:val="18"/>
                      <w:szCs w:val="18"/>
                      <w:u w:val="none"/>
                    </w:rPr>
                    <w:t>侧</w:t>
                  </w:r>
                  <w:r>
                    <w:rPr>
                      <w:rFonts w:hint="eastAsia" w:ascii="宋体" w:hAnsi="宋体" w:cs="宋体"/>
                      <w:color w:val="auto"/>
                      <w:sz w:val="18"/>
                      <w:szCs w:val="18"/>
                      <w:u w:val="none"/>
                      <w:lang w:val="en-US" w:eastAsia="zh-CN"/>
                    </w:rPr>
                    <w:t>4</w:t>
                  </w:r>
                  <w:r>
                    <w:rPr>
                      <w:rFonts w:hint="eastAsia" w:ascii="宋体" w:hAnsi="宋体" w:eastAsia="宋体" w:cs="宋体"/>
                      <w:color w:val="auto"/>
                      <w:sz w:val="18"/>
                      <w:szCs w:val="18"/>
                      <w:u w:val="none"/>
                      <w:lang w:val="en-US" w:eastAsia="zh-CN"/>
                    </w:rPr>
                    <w:t>.</w:t>
                  </w:r>
                  <w:r>
                    <w:rPr>
                      <w:rFonts w:hint="eastAsia" w:ascii="宋体" w:hAnsi="宋体" w:cs="宋体"/>
                      <w:color w:val="auto"/>
                      <w:sz w:val="18"/>
                      <w:szCs w:val="18"/>
                      <w:u w:val="none"/>
                      <w:lang w:val="en-US" w:eastAsia="zh-CN"/>
                    </w:rPr>
                    <w:t>6</w:t>
                  </w:r>
                  <w:r>
                    <w:rPr>
                      <w:rFonts w:hint="eastAsia" w:ascii="宋体" w:hAnsi="宋体" w:eastAsia="宋体" w:cs="宋体"/>
                      <w:color w:val="auto"/>
                      <w:sz w:val="18"/>
                      <w:szCs w:val="18"/>
                      <w:u w:val="none"/>
                    </w:rPr>
                    <w:t>km处</w:t>
                  </w:r>
                </w:p>
              </w:tc>
              <w:tc>
                <w:tcPr>
                  <w:tcW w:w="2267" w:type="dxa"/>
                  <w:noWrap w:val="0"/>
                  <w:vAlign w:val="center"/>
                </w:tcPr>
                <w:p>
                  <w:pPr>
                    <w:pStyle w:val="11"/>
                    <w:ind w:firstLine="0" w:firstLineChars="0"/>
                    <w:jc w:val="center"/>
                    <w:rPr>
                      <w:rFonts w:hint="eastAsia" w:ascii="宋体" w:hAnsi="宋体" w:eastAsia="宋体" w:cs="宋体"/>
                      <w:color w:val="auto"/>
                      <w:sz w:val="18"/>
                      <w:szCs w:val="18"/>
                      <w:u w:val="none"/>
                    </w:rPr>
                  </w:pPr>
                  <w:r>
                    <w:rPr>
                      <w:rFonts w:hint="eastAsia" w:ascii="宋体" w:hAnsi="宋体" w:eastAsia="宋体" w:cs="宋体"/>
                      <w:color w:val="auto"/>
                      <w:sz w:val="18"/>
                      <w:szCs w:val="18"/>
                      <w:u w:val="none"/>
                    </w:rPr>
                    <w:t>（GB3838-2002）Ⅲ类</w:t>
                  </w:r>
                </w:p>
              </w:tc>
            </w:tr>
          </w:tbl>
          <w:p>
            <w:pPr>
              <w:pStyle w:val="65"/>
              <w:spacing w:line="360" w:lineRule="auto"/>
              <w:ind w:firstLine="482"/>
              <w:jc w:val="left"/>
              <w:rPr>
                <w:rFonts w:hint="eastAsia" w:ascii="宋体" w:hAnsi="宋体" w:eastAsia="宋体" w:cs="宋体"/>
                <w:b/>
                <w:color w:val="000000"/>
                <w:sz w:val="24"/>
                <w:u w:val="none"/>
              </w:rPr>
            </w:pPr>
            <w:r>
              <w:rPr>
                <w:rFonts w:hint="eastAsia" w:ascii="宋体" w:hAnsi="宋体" w:eastAsia="宋体" w:cs="宋体"/>
                <w:b/>
                <w:color w:val="000000"/>
                <w:sz w:val="24"/>
                <w:u w:val="none"/>
              </w:rPr>
              <w:t>5、生态环境</w:t>
            </w:r>
          </w:p>
          <w:p>
            <w:pPr>
              <w:pStyle w:val="65"/>
              <w:spacing w:line="360" w:lineRule="auto"/>
              <w:jc w:val="left"/>
              <w:rPr>
                <w:rFonts w:hint="eastAsia" w:ascii="宋体" w:hAnsi="宋体" w:eastAsia="宋体" w:cs="宋体"/>
                <w:bCs/>
                <w:color w:val="000000"/>
                <w:sz w:val="24"/>
                <w:u w:val="none"/>
              </w:rPr>
            </w:pPr>
            <w:r>
              <w:rPr>
                <w:rFonts w:hint="eastAsia" w:ascii="宋体" w:hAnsi="宋体" w:eastAsia="宋体" w:cs="宋体"/>
                <w:bCs/>
                <w:color w:val="000000"/>
                <w:sz w:val="24"/>
                <w:u w:val="none"/>
              </w:rPr>
              <w:t>本项目位于项目现有用地范围内，不新增用地，</w:t>
            </w:r>
            <w:r>
              <w:rPr>
                <w:rStyle w:val="34"/>
                <w:rFonts w:hint="eastAsia" w:ascii="宋体" w:hAnsi="宋体" w:eastAsia="宋体" w:cs="宋体"/>
                <w:color w:val="000000"/>
                <w:kern w:val="0"/>
                <w:sz w:val="24"/>
                <w:u w:val="none"/>
                <w:lang w:val="en-US" w:eastAsia="zh-CN"/>
              </w:rPr>
              <w:t>对生态环境影响较小</w:t>
            </w:r>
            <w:r>
              <w:rPr>
                <w:rFonts w:hint="eastAsia" w:ascii="宋体" w:hAnsi="宋体" w:eastAsia="宋体" w:cs="宋体"/>
                <w:bCs/>
                <w:color w:val="000000"/>
                <w:sz w:val="24"/>
                <w:u w:val="none"/>
              </w:rPr>
              <w:t>。</w:t>
            </w:r>
          </w:p>
          <w:p>
            <w:pPr>
              <w:adjustRightInd w:val="0"/>
              <w:snapToGrid w:val="0"/>
              <w:jc w:val="center"/>
              <w:rPr>
                <w:rFonts w:hint="eastAsia" w:ascii="宋体" w:hAnsi="宋体" w:eastAsia="宋体" w:cs="宋体"/>
                <w:color w:val="000000"/>
                <w:kern w:val="0"/>
                <w:szCs w:val="21"/>
                <w:u w:val="none"/>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094" w:hRule="atLeast"/>
          <w:jc w:val="center"/>
        </w:trPr>
        <w:tc>
          <w:tcPr>
            <w:tcW w:w="807" w:type="dxa"/>
            <w:noWrap w:val="0"/>
            <w:tcMar>
              <w:left w:w="28" w:type="dxa"/>
              <w:right w:w="28" w:type="dxa"/>
            </w:tcMar>
            <w:vAlign w:val="center"/>
          </w:tcPr>
          <w:p>
            <w:pPr>
              <w:adjustRightInd w:val="0"/>
              <w:snapToGrid w:val="0"/>
              <w:jc w:val="center"/>
              <w:rPr>
                <w:color w:val="000000"/>
                <w:kern w:val="0"/>
                <w:sz w:val="24"/>
                <w:u w:val="none"/>
              </w:rPr>
            </w:pPr>
            <w:r>
              <w:rPr>
                <w:color w:val="000000"/>
                <w:kern w:val="0"/>
                <w:sz w:val="24"/>
                <w:u w:val="none"/>
              </w:rPr>
              <w:t>污染</w:t>
            </w:r>
          </w:p>
          <w:p>
            <w:pPr>
              <w:adjustRightInd w:val="0"/>
              <w:snapToGrid w:val="0"/>
              <w:jc w:val="center"/>
              <w:rPr>
                <w:color w:val="000000"/>
                <w:kern w:val="0"/>
                <w:sz w:val="24"/>
                <w:u w:val="none"/>
              </w:rPr>
            </w:pPr>
            <w:r>
              <w:rPr>
                <w:color w:val="000000"/>
                <w:kern w:val="0"/>
                <w:sz w:val="24"/>
                <w:u w:val="none"/>
              </w:rPr>
              <w:t>物排</w:t>
            </w:r>
          </w:p>
          <w:p>
            <w:pPr>
              <w:adjustRightInd w:val="0"/>
              <w:snapToGrid w:val="0"/>
              <w:jc w:val="center"/>
              <w:rPr>
                <w:color w:val="000000"/>
                <w:kern w:val="0"/>
                <w:sz w:val="24"/>
                <w:u w:val="none"/>
              </w:rPr>
            </w:pPr>
            <w:r>
              <w:rPr>
                <w:color w:val="000000"/>
                <w:kern w:val="0"/>
                <w:sz w:val="24"/>
                <w:u w:val="none"/>
              </w:rPr>
              <w:t>放控</w:t>
            </w:r>
          </w:p>
          <w:p>
            <w:pPr>
              <w:adjustRightInd w:val="0"/>
              <w:snapToGrid w:val="0"/>
              <w:jc w:val="center"/>
              <w:rPr>
                <w:color w:val="000000"/>
                <w:kern w:val="0"/>
                <w:sz w:val="24"/>
                <w:u w:val="none"/>
              </w:rPr>
            </w:pPr>
            <w:r>
              <w:rPr>
                <w:color w:val="000000"/>
                <w:kern w:val="0"/>
                <w:sz w:val="24"/>
                <w:u w:val="none"/>
              </w:rPr>
              <w:t>制标</w:t>
            </w:r>
          </w:p>
          <w:p>
            <w:pPr>
              <w:adjustRightInd w:val="0"/>
              <w:snapToGrid w:val="0"/>
              <w:jc w:val="center"/>
              <w:rPr>
                <w:color w:val="FF0000"/>
                <w:kern w:val="0"/>
                <w:szCs w:val="21"/>
                <w:u w:val="none"/>
              </w:rPr>
            </w:pPr>
            <w:r>
              <w:rPr>
                <w:color w:val="000000"/>
                <w:kern w:val="0"/>
                <w:sz w:val="24"/>
                <w:u w:val="none"/>
              </w:rPr>
              <w:t>准</w:t>
            </w:r>
          </w:p>
        </w:tc>
        <w:tc>
          <w:tcPr>
            <w:tcW w:w="8264" w:type="dxa"/>
            <w:noWrap w:val="0"/>
            <w:vAlign w:val="center"/>
          </w:tcPr>
          <w:p>
            <w:pPr>
              <w:spacing w:line="360" w:lineRule="auto"/>
              <w:ind w:firstLine="480"/>
              <w:jc w:val="left"/>
              <w:rPr>
                <w:b/>
                <w:bCs/>
                <w:color w:val="000000"/>
                <w:sz w:val="24"/>
                <w:u w:val="none"/>
              </w:rPr>
            </w:pPr>
            <w:r>
              <w:rPr>
                <w:b/>
                <w:bCs/>
                <w:color w:val="000000"/>
                <w:sz w:val="24"/>
                <w:u w:val="none"/>
              </w:rPr>
              <w:t>1、废水</w:t>
            </w:r>
          </w:p>
          <w:p>
            <w:pPr>
              <w:spacing w:line="360" w:lineRule="auto"/>
              <w:ind w:firstLine="480" w:firstLineChars="200"/>
              <w:rPr>
                <w:color w:val="000000"/>
                <w:sz w:val="24"/>
                <w:u w:val="none"/>
              </w:rPr>
            </w:pPr>
            <w:r>
              <w:rPr>
                <w:color w:val="000000"/>
                <w:sz w:val="24"/>
                <w:u w:val="none"/>
              </w:rPr>
              <w:t>本项目生产环节中除尘脱硫设施补充用水经中和沉淀池处理后回用于脱硫设施，不外排；厂区初期雨水经沉淀池处理，回用于降尘洒水及除尘脱硫设施补充水；车辆及设备冲洗废水沉淀处理后回用，不外排；生活污水经化粪池处理后</w:t>
            </w:r>
            <w:r>
              <w:rPr>
                <w:rFonts w:hint="eastAsia"/>
                <w:color w:val="000000"/>
                <w:sz w:val="24"/>
                <w:u w:val="none"/>
                <w:lang w:val="en-US" w:eastAsia="zh-CN"/>
              </w:rPr>
              <w:t>用作农肥</w:t>
            </w:r>
            <w:r>
              <w:rPr>
                <w:color w:val="000000"/>
                <w:sz w:val="24"/>
                <w:u w:val="none"/>
              </w:rPr>
              <w:t>。</w:t>
            </w:r>
          </w:p>
          <w:p>
            <w:pPr>
              <w:spacing w:line="360" w:lineRule="auto"/>
              <w:ind w:firstLine="482" w:firstLineChars="200"/>
              <w:rPr>
                <w:color w:val="000000"/>
                <w:sz w:val="24"/>
                <w:u w:val="none"/>
              </w:rPr>
            </w:pPr>
            <w:r>
              <w:rPr>
                <w:b/>
                <w:bCs/>
                <w:color w:val="000000"/>
                <w:sz w:val="24"/>
                <w:u w:val="none"/>
              </w:rPr>
              <w:t>2、废气</w:t>
            </w:r>
          </w:p>
          <w:p>
            <w:pPr>
              <w:spacing w:line="360" w:lineRule="auto"/>
              <w:ind w:firstLine="480" w:firstLineChars="200"/>
              <w:rPr>
                <w:rFonts w:hint="default" w:ascii="Times New Roman" w:hAnsi="Times New Roman" w:eastAsia="宋体" w:cs="Times New Roman"/>
                <w:color w:val="000000"/>
                <w:sz w:val="24"/>
                <w:highlight w:val="none"/>
                <w:u w:val="none" w:color="auto"/>
              </w:rPr>
            </w:pPr>
            <w:r>
              <w:rPr>
                <w:rFonts w:hint="default" w:ascii="Times New Roman" w:hAnsi="Times New Roman" w:eastAsia="宋体" w:cs="Times New Roman"/>
                <w:color w:val="000000"/>
                <w:sz w:val="24"/>
                <w:highlight w:val="none"/>
                <w:u w:val="none" w:color="auto"/>
              </w:rPr>
              <w:t>营运期工艺粉尘、隧道窑烟气</w:t>
            </w:r>
            <w:r>
              <w:rPr>
                <w:rFonts w:hint="eastAsia" w:ascii="Times New Roman" w:hAnsi="Times New Roman" w:eastAsia="宋体" w:cs="Times New Roman"/>
                <w:color w:val="000000"/>
                <w:sz w:val="24"/>
                <w:highlight w:val="none"/>
                <w:u w:val="none" w:color="auto"/>
                <w:lang w:eastAsia="zh-CN"/>
              </w:rPr>
              <w:t>中颗粒物、二氧化硫和氮氧化物</w:t>
            </w:r>
            <w:r>
              <w:rPr>
                <w:rFonts w:hint="default" w:ascii="Times New Roman" w:hAnsi="Times New Roman" w:eastAsia="宋体" w:cs="Times New Roman"/>
                <w:color w:val="000000"/>
                <w:sz w:val="24"/>
                <w:highlight w:val="none"/>
                <w:u w:val="none" w:color="auto"/>
              </w:rPr>
              <w:t>执行</w:t>
            </w:r>
            <w:r>
              <w:rPr>
                <w:rFonts w:hint="eastAsia" w:ascii="Times New Roman" w:hAnsi="Times New Roman" w:eastAsia="宋体" w:cs="Times New Roman"/>
                <w:color w:val="000000"/>
                <w:sz w:val="24"/>
                <w:highlight w:val="none"/>
                <w:u w:val="none" w:color="auto"/>
                <w:lang w:eastAsia="zh-CN"/>
              </w:rPr>
              <w:t>《</w:t>
            </w:r>
            <w:r>
              <w:rPr>
                <w:rFonts w:hint="eastAsia" w:ascii="Times New Roman" w:hAnsi="Times New Roman" w:eastAsia="宋体" w:cs="Times New Roman"/>
                <w:color w:val="000000"/>
                <w:sz w:val="24"/>
                <w:highlight w:val="none"/>
                <w:u w:val="none"/>
                <w:lang w:val="en-US" w:eastAsia="zh-CN"/>
              </w:rPr>
              <w:t>工业炉窑主要大气污染物排放标准</w:t>
            </w:r>
            <w:r>
              <w:rPr>
                <w:rFonts w:hint="eastAsia" w:ascii="Times New Roman" w:hAnsi="Times New Roman" w:eastAsia="宋体" w:cs="Times New Roman"/>
                <w:color w:val="000000"/>
                <w:sz w:val="24"/>
                <w:highlight w:val="none"/>
                <w:u w:val="none" w:color="auto"/>
                <w:lang w:eastAsia="zh-CN"/>
              </w:rPr>
              <w:t>》（</w:t>
            </w:r>
            <w:r>
              <w:rPr>
                <w:rFonts w:hint="eastAsia" w:ascii="Times New Roman" w:hAnsi="Times New Roman" w:eastAsia="宋体" w:cs="Times New Roman"/>
                <w:color w:val="000000"/>
                <w:sz w:val="24"/>
                <w:highlight w:val="none"/>
                <w:u w:val="none" w:color="auto"/>
                <w:lang w:val="en-US" w:eastAsia="zh-CN"/>
              </w:rPr>
              <w:t>DB43/3082-2024</w:t>
            </w:r>
            <w:r>
              <w:rPr>
                <w:rFonts w:hint="eastAsia" w:ascii="Times New Roman" w:hAnsi="Times New Roman" w:eastAsia="宋体" w:cs="Times New Roman"/>
                <w:color w:val="000000"/>
                <w:sz w:val="24"/>
                <w:highlight w:val="none"/>
                <w:u w:val="none" w:color="auto"/>
                <w:lang w:eastAsia="zh-CN"/>
              </w:rPr>
              <w:t>）中砖瓦工业的排放浓度限值，氟化物执行</w:t>
            </w:r>
            <w:r>
              <w:rPr>
                <w:rFonts w:hint="default" w:ascii="Times New Roman" w:hAnsi="Times New Roman" w:eastAsia="宋体" w:cs="Times New Roman"/>
                <w:color w:val="000000"/>
                <w:sz w:val="24"/>
                <w:highlight w:val="none"/>
                <w:u w:val="none" w:color="auto"/>
              </w:rPr>
              <w:t>《砖瓦工业大气污染物排放标准》（GB29620-2013）</w:t>
            </w:r>
            <w:r>
              <w:rPr>
                <w:rFonts w:hint="eastAsia" w:ascii="Times New Roman" w:hAnsi="Times New Roman" w:eastAsia="宋体" w:cs="Times New Roman"/>
                <w:color w:val="000000"/>
                <w:sz w:val="24"/>
                <w:highlight w:val="none"/>
                <w:u w:val="none" w:color="auto"/>
                <w:lang w:eastAsia="zh-CN"/>
              </w:rPr>
              <w:t>中的排放限值</w:t>
            </w:r>
            <w:r>
              <w:rPr>
                <w:rFonts w:hint="eastAsia" w:ascii="Times New Roman" w:hAnsi="Times New Roman" w:cs="Times New Roman"/>
                <w:color w:val="000000"/>
                <w:sz w:val="24"/>
                <w:highlight w:val="none"/>
                <w:u w:val="none" w:color="auto"/>
                <w:lang w:eastAsia="zh-CN"/>
              </w:rPr>
              <w:t>，</w:t>
            </w:r>
            <w:r>
              <w:rPr>
                <w:rFonts w:hint="default" w:ascii="Times New Roman" w:hAnsi="Times New Roman" w:eastAsia="宋体" w:cs="Times New Roman"/>
                <w:color w:val="000000"/>
                <w:sz w:val="24"/>
                <w:highlight w:val="none"/>
                <w:u w:val="none" w:color="auto"/>
              </w:rPr>
              <w:t>具体排放限值</w:t>
            </w:r>
            <w:r>
              <w:rPr>
                <w:rFonts w:hint="eastAsia" w:ascii="Times New Roman" w:hAnsi="Times New Roman" w:eastAsia="宋体" w:cs="Times New Roman"/>
                <w:color w:val="000000"/>
                <w:sz w:val="24"/>
                <w:highlight w:val="none"/>
                <w:u w:val="none" w:color="auto"/>
                <w:lang w:eastAsia="zh-CN"/>
              </w:rPr>
              <w:t>如</w:t>
            </w:r>
            <w:r>
              <w:rPr>
                <w:rFonts w:hint="default" w:ascii="Times New Roman" w:hAnsi="Times New Roman" w:eastAsia="宋体" w:cs="Times New Roman"/>
                <w:color w:val="000000"/>
                <w:sz w:val="24"/>
                <w:highlight w:val="none"/>
                <w:u w:val="none" w:color="auto"/>
              </w:rPr>
              <w:t>下：</w:t>
            </w:r>
          </w:p>
          <w:p>
            <w:pPr>
              <w:jc w:val="center"/>
              <w:rPr>
                <w:rFonts w:hint="eastAsia" w:eastAsia="宋体"/>
                <w:b/>
                <w:color w:val="000000"/>
                <w:szCs w:val="21"/>
                <w:u w:val="none"/>
                <w:lang w:eastAsia="zh-CN"/>
              </w:rPr>
            </w:pPr>
            <w:r>
              <w:rPr>
                <w:b/>
                <w:color w:val="000000"/>
                <w:szCs w:val="21"/>
                <w:u w:val="none"/>
              </w:rPr>
              <w:t>表3-</w:t>
            </w:r>
            <w:r>
              <w:rPr>
                <w:rFonts w:hint="eastAsia"/>
                <w:b/>
                <w:color w:val="000000"/>
                <w:szCs w:val="21"/>
                <w:u w:val="none"/>
              </w:rPr>
              <w:t>8</w:t>
            </w:r>
            <w:r>
              <w:rPr>
                <w:rFonts w:hint="eastAsia"/>
                <w:b/>
                <w:color w:val="000000"/>
                <w:szCs w:val="21"/>
                <w:u w:val="none"/>
                <w:lang w:val="en-US" w:eastAsia="zh-CN"/>
              </w:rPr>
              <w:t>有组织</w:t>
            </w:r>
            <w:r>
              <w:rPr>
                <w:b/>
                <w:color w:val="000000"/>
                <w:szCs w:val="21"/>
                <w:u w:val="none"/>
              </w:rPr>
              <w:t>大气污染物排放限值单位：mg/</w:t>
            </w:r>
            <w:r>
              <w:rPr>
                <w:rFonts w:hint="eastAsia"/>
                <w:b/>
                <w:color w:val="000000"/>
                <w:szCs w:val="21"/>
                <w:u w:val="none"/>
                <w:lang w:eastAsia="zh-CN"/>
              </w:rPr>
              <w:t>m³</w:t>
            </w:r>
          </w:p>
          <w:tbl>
            <w:tblPr>
              <w:tblStyle w:val="30"/>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922"/>
              <w:gridCol w:w="2520"/>
              <w:gridCol w:w="349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22" w:type="dxa"/>
                  <w:noWrap w:val="0"/>
                  <w:vAlign w:val="center"/>
                </w:tcPr>
                <w:p>
                  <w:pPr>
                    <w:jc w:val="center"/>
                    <w:rPr>
                      <w:rFonts w:hint="default" w:ascii="Times New Roman" w:hAnsi="Times New Roman" w:eastAsia="宋体" w:cs="Times New Roman"/>
                      <w:snapToGrid w:val="0"/>
                      <w:color w:val="000000"/>
                      <w:kern w:val="0"/>
                      <w:sz w:val="18"/>
                      <w:szCs w:val="18"/>
                      <w:highlight w:val="none"/>
                      <w:u w:val="none" w:color="auto"/>
                      <w:lang w:val="en-US" w:eastAsia="en-US" w:bidi="ar-SA"/>
                    </w:rPr>
                  </w:pPr>
                  <w:r>
                    <w:rPr>
                      <w:rFonts w:hint="default" w:ascii="Times New Roman" w:hAnsi="Times New Roman" w:eastAsia="宋体" w:cs="Times New Roman"/>
                      <w:color w:val="000000"/>
                      <w:sz w:val="18"/>
                      <w:szCs w:val="18"/>
                      <w:highlight w:val="none"/>
                      <w:u w:val="none" w:color="auto"/>
                    </w:rPr>
                    <w:t>污染物项目</w:t>
                  </w:r>
                </w:p>
              </w:tc>
              <w:tc>
                <w:tcPr>
                  <w:tcW w:w="2520" w:type="dxa"/>
                  <w:noWrap w:val="0"/>
                  <w:vAlign w:val="center"/>
                </w:tcPr>
                <w:p>
                  <w:pPr>
                    <w:jc w:val="center"/>
                    <w:rPr>
                      <w:rFonts w:hint="default" w:ascii="Times New Roman" w:hAnsi="Times New Roman" w:eastAsia="宋体" w:cs="Times New Roman"/>
                      <w:color w:val="000000"/>
                      <w:sz w:val="18"/>
                      <w:szCs w:val="18"/>
                      <w:highlight w:val="none"/>
                      <w:u w:val="none" w:color="auto"/>
                    </w:rPr>
                  </w:pPr>
                  <w:r>
                    <w:rPr>
                      <w:rFonts w:hint="default" w:ascii="Times New Roman" w:hAnsi="Times New Roman" w:eastAsia="宋体" w:cs="Times New Roman"/>
                      <w:color w:val="000000"/>
                      <w:sz w:val="18"/>
                      <w:szCs w:val="18"/>
                      <w:highlight w:val="none"/>
                      <w:u w:val="none" w:color="auto"/>
                    </w:rPr>
                    <w:t>最高允许排放浓度（mg/m³）</w:t>
                  </w:r>
                </w:p>
              </w:tc>
              <w:tc>
                <w:tcPr>
                  <w:tcW w:w="3495" w:type="dxa"/>
                  <w:noWrap w:val="0"/>
                  <w:vAlign w:val="center"/>
                </w:tcPr>
                <w:p>
                  <w:pPr>
                    <w:jc w:val="center"/>
                    <w:rPr>
                      <w:rFonts w:hint="default" w:ascii="Times New Roman" w:hAnsi="Times New Roman" w:eastAsia="宋体" w:cs="Times New Roman"/>
                      <w:color w:val="000000"/>
                      <w:sz w:val="18"/>
                      <w:szCs w:val="18"/>
                      <w:highlight w:val="none"/>
                      <w:u w:val="none" w:color="auto"/>
                      <w:lang w:val="en-US" w:eastAsia="zh-CN"/>
                    </w:rPr>
                  </w:pPr>
                  <w:r>
                    <w:rPr>
                      <w:rFonts w:hint="eastAsia" w:ascii="Times New Roman" w:hAnsi="Times New Roman" w:eastAsia="宋体" w:cs="Times New Roman"/>
                      <w:color w:val="000000"/>
                      <w:sz w:val="18"/>
                      <w:szCs w:val="18"/>
                      <w:highlight w:val="none"/>
                      <w:u w:val="none" w:color="auto"/>
                      <w:lang w:eastAsia="zh-CN"/>
                    </w:rPr>
                    <w:t>相关标准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22" w:type="dxa"/>
                  <w:noWrap w:val="0"/>
                  <w:vAlign w:val="center"/>
                </w:tcPr>
                <w:p>
                  <w:pPr>
                    <w:jc w:val="center"/>
                    <w:rPr>
                      <w:rFonts w:hint="default" w:ascii="Times New Roman" w:hAnsi="Times New Roman" w:eastAsia="宋体" w:cs="Times New Roman"/>
                      <w:snapToGrid w:val="0"/>
                      <w:color w:val="000000"/>
                      <w:kern w:val="0"/>
                      <w:sz w:val="18"/>
                      <w:szCs w:val="18"/>
                      <w:highlight w:val="none"/>
                      <w:u w:val="none" w:color="auto"/>
                      <w:lang w:val="en-US" w:eastAsia="en-US" w:bidi="ar-SA"/>
                    </w:rPr>
                  </w:pPr>
                  <w:r>
                    <w:rPr>
                      <w:rFonts w:hint="default" w:ascii="Times New Roman" w:hAnsi="Times New Roman" w:eastAsia="宋体" w:cs="Times New Roman"/>
                      <w:color w:val="000000"/>
                      <w:sz w:val="18"/>
                      <w:szCs w:val="18"/>
                      <w:highlight w:val="none"/>
                      <w:u w:val="none" w:color="auto"/>
                    </w:rPr>
                    <w:t>颗粒物</w:t>
                  </w:r>
                </w:p>
              </w:tc>
              <w:tc>
                <w:tcPr>
                  <w:tcW w:w="2520" w:type="dxa"/>
                  <w:noWrap w:val="0"/>
                  <w:vAlign w:val="center"/>
                </w:tcPr>
                <w:p>
                  <w:pPr>
                    <w:jc w:val="center"/>
                    <w:rPr>
                      <w:rFonts w:hint="default" w:ascii="Times New Roman" w:hAnsi="Times New Roman" w:eastAsia="宋体" w:cs="Times New Roman"/>
                      <w:color w:val="000000"/>
                      <w:sz w:val="18"/>
                      <w:szCs w:val="18"/>
                      <w:highlight w:val="none"/>
                      <w:u w:val="none" w:color="auto"/>
                      <w:lang w:val="en-US" w:eastAsia="zh-CN"/>
                    </w:rPr>
                  </w:pPr>
                  <w:r>
                    <w:rPr>
                      <w:rFonts w:hint="eastAsia" w:ascii="Times New Roman" w:hAnsi="Times New Roman" w:eastAsia="宋体" w:cs="Times New Roman"/>
                      <w:color w:val="000000"/>
                      <w:sz w:val="18"/>
                      <w:szCs w:val="18"/>
                      <w:highlight w:val="none"/>
                      <w:u w:val="none" w:color="auto"/>
                      <w:lang w:val="en-US" w:eastAsia="zh-CN"/>
                    </w:rPr>
                    <w:t>20</w:t>
                  </w:r>
                </w:p>
              </w:tc>
              <w:tc>
                <w:tcPr>
                  <w:tcW w:w="3495" w:type="dxa"/>
                  <w:vMerge w:val="restart"/>
                  <w:noWrap w:val="0"/>
                  <w:vAlign w:val="center"/>
                </w:tcPr>
                <w:p>
                  <w:pPr>
                    <w:jc w:val="center"/>
                    <w:rPr>
                      <w:rFonts w:hint="default" w:ascii="Times New Roman" w:hAnsi="Times New Roman" w:eastAsia="宋体" w:cs="Times New Roman"/>
                      <w:color w:val="000000"/>
                      <w:sz w:val="18"/>
                      <w:szCs w:val="18"/>
                      <w:highlight w:val="none"/>
                      <w:u w:val="none" w:color="auto"/>
                    </w:rPr>
                  </w:pPr>
                  <w:r>
                    <w:rPr>
                      <w:rFonts w:hint="default" w:ascii="Times New Roman" w:hAnsi="Times New Roman" w:eastAsia="宋体" w:cs="Times New Roman"/>
                      <w:color w:val="000000"/>
                      <w:sz w:val="18"/>
                      <w:szCs w:val="18"/>
                      <w:highlight w:val="none"/>
                      <w:u w:val="none" w:color="auto"/>
                    </w:rPr>
                    <w:t>《工业炉窑主要大气污染物排放标准》</w:t>
                  </w:r>
                </w:p>
                <w:p>
                  <w:pPr>
                    <w:jc w:val="center"/>
                    <w:rPr>
                      <w:rFonts w:hint="default" w:ascii="Times New Roman" w:hAnsi="Times New Roman" w:eastAsia="宋体" w:cs="Times New Roman"/>
                      <w:color w:val="000000"/>
                      <w:sz w:val="18"/>
                      <w:szCs w:val="18"/>
                      <w:highlight w:val="none"/>
                      <w:u w:val="none" w:color="auto"/>
                    </w:rPr>
                  </w:pPr>
                  <w:r>
                    <w:rPr>
                      <w:rFonts w:hint="default" w:ascii="Times New Roman" w:hAnsi="Times New Roman" w:eastAsia="宋体" w:cs="Times New Roman"/>
                      <w:color w:val="000000"/>
                      <w:sz w:val="18"/>
                      <w:szCs w:val="18"/>
                      <w:highlight w:val="none"/>
                      <w:u w:val="none" w:color="auto"/>
                    </w:rPr>
                    <w:t>（DB43/3082-2024）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22" w:type="dxa"/>
                  <w:noWrap w:val="0"/>
                  <w:vAlign w:val="center"/>
                </w:tcPr>
                <w:p>
                  <w:pPr>
                    <w:jc w:val="center"/>
                    <w:rPr>
                      <w:rFonts w:hint="default" w:ascii="Times New Roman" w:hAnsi="Times New Roman" w:eastAsia="宋体" w:cs="Times New Roman"/>
                      <w:snapToGrid w:val="0"/>
                      <w:color w:val="000000"/>
                      <w:kern w:val="0"/>
                      <w:sz w:val="18"/>
                      <w:szCs w:val="18"/>
                      <w:highlight w:val="none"/>
                      <w:u w:val="none" w:color="auto"/>
                      <w:lang w:val="en-US" w:eastAsia="en-US" w:bidi="ar-SA"/>
                    </w:rPr>
                  </w:pPr>
                  <w:r>
                    <w:rPr>
                      <w:rFonts w:hint="default" w:ascii="Times New Roman" w:hAnsi="Times New Roman" w:eastAsia="宋体" w:cs="Times New Roman"/>
                      <w:color w:val="000000"/>
                      <w:sz w:val="18"/>
                      <w:szCs w:val="18"/>
                      <w:highlight w:val="none"/>
                      <w:u w:val="none" w:color="auto"/>
                    </w:rPr>
                    <w:t>二氧化硫</w:t>
                  </w:r>
                </w:p>
              </w:tc>
              <w:tc>
                <w:tcPr>
                  <w:tcW w:w="2520" w:type="dxa"/>
                  <w:noWrap w:val="0"/>
                  <w:vAlign w:val="center"/>
                </w:tcPr>
                <w:p>
                  <w:pPr>
                    <w:jc w:val="center"/>
                    <w:rPr>
                      <w:rFonts w:hint="default" w:ascii="Times New Roman" w:hAnsi="Times New Roman" w:eastAsia="宋体" w:cs="Times New Roman"/>
                      <w:color w:val="000000"/>
                      <w:sz w:val="18"/>
                      <w:szCs w:val="18"/>
                      <w:highlight w:val="none"/>
                      <w:u w:val="none" w:color="auto"/>
                      <w:lang w:val="en-US" w:eastAsia="zh-CN"/>
                    </w:rPr>
                  </w:pPr>
                  <w:r>
                    <w:rPr>
                      <w:rFonts w:hint="eastAsia" w:ascii="Times New Roman" w:hAnsi="Times New Roman" w:eastAsia="宋体" w:cs="Times New Roman"/>
                      <w:color w:val="000000"/>
                      <w:sz w:val="18"/>
                      <w:szCs w:val="18"/>
                      <w:highlight w:val="none"/>
                      <w:u w:val="none" w:color="auto"/>
                      <w:lang w:val="en-US" w:eastAsia="zh-CN"/>
                    </w:rPr>
                    <w:t>50</w:t>
                  </w:r>
                </w:p>
              </w:tc>
              <w:tc>
                <w:tcPr>
                  <w:tcW w:w="3495" w:type="dxa"/>
                  <w:vMerge w:val="continue"/>
                  <w:noWrap w:val="0"/>
                  <w:vAlign w:val="center"/>
                </w:tcPr>
                <w:p>
                  <w:pPr>
                    <w:jc w:val="center"/>
                    <w:rPr>
                      <w:rFonts w:hint="default" w:ascii="Times New Roman" w:hAnsi="Times New Roman" w:eastAsia="宋体" w:cs="Times New Roman"/>
                      <w:color w:val="000000"/>
                      <w:sz w:val="18"/>
                      <w:szCs w:val="18"/>
                      <w:highlight w:val="none"/>
                      <w:u w:val="none" w:color="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22" w:type="dxa"/>
                  <w:noWrap w:val="0"/>
                  <w:vAlign w:val="center"/>
                </w:tcPr>
                <w:p>
                  <w:pPr>
                    <w:jc w:val="center"/>
                    <w:rPr>
                      <w:rFonts w:hint="eastAsia" w:ascii="Times New Roman" w:hAnsi="Times New Roman" w:eastAsia="宋体" w:cs="Times New Roman"/>
                      <w:snapToGrid w:val="0"/>
                      <w:color w:val="000000"/>
                      <w:kern w:val="0"/>
                      <w:sz w:val="18"/>
                      <w:szCs w:val="18"/>
                      <w:highlight w:val="none"/>
                      <w:u w:val="none" w:color="auto"/>
                      <w:lang w:val="en-US" w:eastAsia="zh-CN" w:bidi="ar-SA"/>
                    </w:rPr>
                  </w:pPr>
                  <w:r>
                    <w:rPr>
                      <w:rFonts w:hint="eastAsia" w:ascii="Times New Roman" w:hAnsi="Times New Roman" w:eastAsia="宋体" w:cs="Times New Roman"/>
                      <w:color w:val="000000"/>
                      <w:sz w:val="18"/>
                      <w:szCs w:val="18"/>
                      <w:highlight w:val="none"/>
                      <w:u w:val="none" w:color="auto"/>
                      <w:lang w:eastAsia="zh-CN"/>
                    </w:rPr>
                    <w:t>氮氧化物</w:t>
                  </w:r>
                </w:p>
              </w:tc>
              <w:tc>
                <w:tcPr>
                  <w:tcW w:w="2520" w:type="dxa"/>
                  <w:noWrap w:val="0"/>
                  <w:vAlign w:val="center"/>
                </w:tcPr>
                <w:p>
                  <w:pPr>
                    <w:jc w:val="center"/>
                    <w:rPr>
                      <w:rFonts w:hint="default" w:ascii="Times New Roman" w:hAnsi="Times New Roman" w:eastAsia="宋体" w:cs="Times New Roman"/>
                      <w:color w:val="000000"/>
                      <w:sz w:val="18"/>
                      <w:szCs w:val="18"/>
                      <w:highlight w:val="none"/>
                      <w:u w:val="none" w:color="auto"/>
                      <w:lang w:val="en-US" w:eastAsia="zh-CN"/>
                    </w:rPr>
                  </w:pPr>
                  <w:r>
                    <w:rPr>
                      <w:rFonts w:hint="eastAsia" w:ascii="Times New Roman" w:hAnsi="Times New Roman" w:eastAsia="宋体" w:cs="Times New Roman"/>
                      <w:color w:val="000000"/>
                      <w:sz w:val="18"/>
                      <w:szCs w:val="18"/>
                      <w:highlight w:val="none"/>
                      <w:u w:val="none" w:color="auto"/>
                      <w:lang w:val="en-US" w:eastAsia="zh-CN"/>
                    </w:rPr>
                    <w:t>100</w:t>
                  </w:r>
                </w:p>
              </w:tc>
              <w:tc>
                <w:tcPr>
                  <w:tcW w:w="3495" w:type="dxa"/>
                  <w:vMerge w:val="continue"/>
                  <w:noWrap w:val="0"/>
                  <w:vAlign w:val="center"/>
                </w:tcPr>
                <w:p>
                  <w:pPr>
                    <w:jc w:val="center"/>
                    <w:rPr>
                      <w:rFonts w:hint="default" w:ascii="Times New Roman" w:hAnsi="Times New Roman" w:eastAsia="宋体" w:cs="Times New Roman"/>
                      <w:color w:val="000000"/>
                      <w:sz w:val="18"/>
                      <w:szCs w:val="18"/>
                      <w:highlight w:val="none"/>
                      <w:u w:val="none" w:color="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22" w:type="dxa"/>
                  <w:noWrap w:val="0"/>
                  <w:vAlign w:val="center"/>
                </w:tcPr>
                <w:p>
                  <w:pPr>
                    <w:jc w:val="center"/>
                    <w:rPr>
                      <w:rFonts w:hint="eastAsia" w:ascii="Times New Roman" w:hAnsi="Times New Roman" w:eastAsia="宋体" w:cs="Times New Roman"/>
                      <w:color w:val="000000"/>
                      <w:sz w:val="18"/>
                      <w:szCs w:val="18"/>
                      <w:highlight w:val="none"/>
                      <w:u w:val="none" w:color="auto"/>
                      <w:lang w:eastAsia="zh-CN"/>
                    </w:rPr>
                  </w:pPr>
                  <w:r>
                    <w:rPr>
                      <w:rFonts w:hint="eastAsia" w:ascii="Times New Roman" w:hAnsi="Times New Roman" w:eastAsia="宋体" w:cs="Times New Roman"/>
                      <w:color w:val="000000"/>
                      <w:sz w:val="18"/>
                      <w:szCs w:val="18"/>
                      <w:highlight w:val="none"/>
                      <w:u w:val="none" w:color="auto"/>
                      <w:lang w:eastAsia="zh-CN"/>
                    </w:rPr>
                    <w:t>氟化物</w:t>
                  </w:r>
                </w:p>
              </w:tc>
              <w:tc>
                <w:tcPr>
                  <w:tcW w:w="2520" w:type="dxa"/>
                  <w:noWrap w:val="0"/>
                  <w:vAlign w:val="center"/>
                </w:tcPr>
                <w:p>
                  <w:pPr>
                    <w:jc w:val="center"/>
                    <w:rPr>
                      <w:rFonts w:hint="default" w:ascii="Times New Roman" w:hAnsi="Times New Roman" w:eastAsia="宋体" w:cs="Times New Roman"/>
                      <w:color w:val="000000"/>
                      <w:sz w:val="18"/>
                      <w:szCs w:val="18"/>
                      <w:highlight w:val="none"/>
                      <w:u w:val="none" w:color="auto"/>
                      <w:lang w:val="en-US" w:eastAsia="zh-CN"/>
                    </w:rPr>
                  </w:pPr>
                  <w:r>
                    <w:rPr>
                      <w:rFonts w:hint="eastAsia" w:ascii="Times New Roman" w:hAnsi="Times New Roman" w:eastAsia="宋体" w:cs="Times New Roman"/>
                      <w:color w:val="000000"/>
                      <w:sz w:val="18"/>
                      <w:szCs w:val="18"/>
                      <w:highlight w:val="none"/>
                      <w:u w:val="none" w:color="auto"/>
                      <w:lang w:val="en-US" w:eastAsia="zh-CN"/>
                    </w:rPr>
                    <w:t>3</w:t>
                  </w:r>
                </w:p>
              </w:tc>
              <w:tc>
                <w:tcPr>
                  <w:tcW w:w="3495" w:type="dxa"/>
                  <w:noWrap w:val="0"/>
                  <w:vAlign w:val="center"/>
                </w:tcPr>
                <w:p>
                  <w:pPr>
                    <w:jc w:val="center"/>
                    <w:rPr>
                      <w:rFonts w:hint="default" w:ascii="Times New Roman" w:hAnsi="Times New Roman" w:eastAsia="宋体" w:cs="Times New Roman"/>
                      <w:color w:val="000000"/>
                      <w:sz w:val="18"/>
                      <w:szCs w:val="18"/>
                      <w:highlight w:val="none"/>
                      <w:u w:val="none" w:color="auto"/>
                    </w:rPr>
                  </w:pPr>
                  <w:r>
                    <w:rPr>
                      <w:rFonts w:hint="default" w:ascii="Times New Roman" w:hAnsi="Times New Roman" w:eastAsia="宋体" w:cs="Times New Roman"/>
                      <w:color w:val="000000"/>
                      <w:sz w:val="18"/>
                      <w:szCs w:val="18"/>
                      <w:highlight w:val="none"/>
                      <w:u w:val="none" w:color="auto"/>
                    </w:rPr>
                    <w:t>《砖瓦工业大气污染物排放标准》（GB29620-2013）</w:t>
                  </w:r>
                </w:p>
              </w:tc>
            </w:tr>
          </w:tbl>
          <w:p>
            <w:pPr>
              <w:jc w:val="center"/>
              <w:rPr>
                <w:b/>
                <w:color w:val="000000"/>
                <w:szCs w:val="21"/>
                <w:u w:val="none"/>
              </w:rPr>
            </w:pPr>
          </w:p>
          <w:p>
            <w:pPr>
              <w:jc w:val="center"/>
              <w:rPr>
                <w:rFonts w:hint="eastAsia" w:eastAsia="宋体"/>
                <w:b/>
                <w:color w:val="000000"/>
                <w:szCs w:val="21"/>
                <w:u w:val="none"/>
                <w:lang w:eastAsia="zh-CN"/>
              </w:rPr>
            </w:pPr>
            <w:r>
              <w:rPr>
                <w:b/>
                <w:color w:val="000000"/>
                <w:szCs w:val="21"/>
                <w:u w:val="none"/>
              </w:rPr>
              <w:t>表3-</w:t>
            </w:r>
            <w:r>
              <w:rPr>
                <w:rFonts w:hint="eastAsia"/>
                <w:b/>
                <w:color w:val="000000"/>
                <w:szCs w:val="21"/>
                <w:u w:val="none"/>
              </w:rPr>
              <w:t>9</w:t>
            </w:r>
            <w:r>
              <w:rPr>
                <w:rFonts w:hint="eastAsia"/>
                <w:b/>
                <w:color w:val="000000"/>
                <w:szCs w:val="21"/>
                <w:u w:val="none"/>
                <w:lang w:val="en-US" w:eastAsia="zh-CN"/>
              </w:rPr>
              <w:t>无组织</w:t>
            </w:r>
            <w:r>
              <w:rPr>
                <w:b/>
                <w:color w:val="000000"/>
                <w:szCs w:val="21"/>
                <w:u w:val="none"/>
              </w:rPr>
              <w:t>大气污染物浓度限值单位：mg/</w:t>
            </w:r>
            <w:r>
              <w:rPr>
                <w:rFonts w:hint="eastAsia"/>
                <w:b/>
                <w:color w:val="000000"/>
                <w:szCs w:val="21"/>
                <w:u w:val="none"/>
                <w:lang w:eastAsia="zh-CN"/>
              </w:rPr>
              <w:t>m³</w:t>
            </w:r>
          </w:p>
          <w:tbl>
            <w:tblPr>
              <w:tblStyle w:val="30"/>
              <w:tblW w:w="8078"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193"/>
              <w:gridCol w:w="2038"/>
              <w:gridCol w:w="1557"/>
              <w:gridCol w:w="329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75" w:hRule="atLeast"/>
                <w:jc w:val="center"/>
              </w:trPr>
              <w:tc>
                <w:tcPr>
                  <w:tcW w:w="1193" w:type="dxa"/>
                  <w:noWrap w:val="0"/>
                  <w:vAlign w:val="center"/>
                </w:tcPr>
                <w:p>
                  <w:pPr>
                    <w:jc w:val="center"/>
                    <w:rPr>
                      <w:color w:val="000000"/>
                      <w:sz w:val="18"/>
                      <w:szCs w:val="18"/>
                      <w:u w:val="none"/>
                    </w:rPr>
                  </w:pPr>
                  <w:r>
                    <w:rPr>
                      <w:color w:val="000000"/>
                      <w:sz w:val="18"/>
                      <w:szCs w:val="18"/>
                      <w:u w:val="none"/>
                    </w:rPr>
                    <w:t>序号</w:t>
                  </w:r>
                </w:p>
              </w:tc>
              <w:tc>
                <w:tcPr>
                  <w:tcW w:w="2038" w:type="dxa"/>
                  <w:noWrap w:val="0"/>
                  <w:vAlign w:val="center"/>
                </w:tcPr>
                <w:p>
                  <w:pPr>
                    <w:jc w:val="center"/>
                    <w:rPr>
                      <w:color w:val="000000"/>
                      <w:sz w:val="18"/>
                      <w:szCs w:val="18"/>
                      <w:u w:val="none"/>
                    </w:rPr>
                  </w:pPr>
                  <w:r>
                    <w:rPr>
                      <w:color w:val="000000"/>
                      <w:sz w:val="18"/>
                      <w:szCs w:val="18"/>
                      <w:u w:val="none"/>
                    </w:rPr>
                    <w:t>污染物项目</w:t>
                  </w:r>
                </w:p>
              </w:tc>
              <w:tc>
                <w:tcPr>
                  <w:tcW w:w="1557" w:type="dxa"/>
                  <w:noWrap w:val="0"/>
                  <w:vAlign w:val="center"/>
                </w:tcPr>
                <w:p>
                  <w:pPr>
                    <w:jc w:val="center"/>
                    <w:rPr>
                      <w:color w:val="000000"/>
                      <w:sz w:val="18"/>
                      <w:szCs w:val="18"/>
                      <w:u w:val="none"/>
                    </w:rPr>
                  </w:pPr>
                  <w:r>
                    <w:rPr>
                      <w:color w:val="000000"/>
                      <w:sz w:val="18"/>
                      <w:szCs w:val="18"/>
                      <w:u w:val="none"/>
                    </w:rPr>
                    <w:t>浓度限制</w:t>
                  </w:r>
                </w:p>
              </w:tc>
              <w:tc>
                <w:tcPr>
                  <w:tcW w:w="3290" w:type="dxa"/>
                  <w:noWrap w:val="0"/>
                  <w:vAlign w:val="center"/>
                </w:tcPr>
                <w:p>
                  <w:pPr>
                    <w:jc w:val="center"/>
                    <w:rPr>
                      <w:color w:val="000000"/>
                      <w:sz w:val="18"/>
                      <w:szCs w:val="18"/>
                      <w:u w:val="none"/>
                    </w:rPr>
                  </w:pPr>
                  <w:r>
                    <w:rPr>
                      <w:rFonts w:hint="eastAsia" w:ascii="Times New Roman" w:hAnsi="Times New Roman" w:eastAsia="宋体" w:cs="Times New Roman"/>
                      <w:color w:val="000000"/>
                      <w:sz w:val="18"/>
                      <w:szCs w:val="18"/>
                      <w:highlight w:val="none"/>
                      <w:u w:val="none" w:color="auto"/>
                      <w:lang w:eastAsia="zh-CN"/>
                    </w:rPr>
                    <w:t>相关标准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38" w:hRule="atLeast"/>
                <w:jc w:val="center"/>
              </w:trPr>
              <w:tc>
                <w:tcPr>
                  <w:tcW w:w="1193" w:type="dxa"/>
                  <w:noWrap w:val="0"/>
                  <w:vAlign w:val="center"/>
                </w:tcPr>
                <w:p>
                  <w:pPr>
                    <w:jc w:val="center"/>
                    <w:rPr>
                      <w:color w:val="000000"/>
                      <w:sz w:val="18"/>
                      <w:szCs w:val="18"/>
                      <w:u w:val="none"/>
                    </w:rPr>
                  </w:pPr>
                  <w:r>
                    <w:rPr>
                      <w:color w:val="000000"/>
                      <w:sz w:val="18"/>
                      <w:szCs w:val="18"/>
                      <w:u w:val="none"/>
                    </w:rPr>
                    <w:t>1</w:t>
                  </w:r>
                </w:p>
              </w:tc>
              <w:tc>
                <w:tcPr>
                  <w:tcW w:w="2038" w:type="dxa"/>
                  <w:noWrap w:val="0"/>
                  <w:vAlign w:val="center"/>
                </w:tcPr>
                <w:p>
                  <w:pPr>
                    <w:jc w:val="center"/>
                    <w:rPr>
                      <w:color w:val="000000"/>
                      <w:sz w:val="18"/>
                      <w:szCs w:val="18"/>
                      <w:u w:val="none"/>
                    </w:rPr>
                  </w:pPr>
                  <w:r>
                    <w:rPr>
                      <w:color w:val="000000"/>
                      <w:sz w:val="18"/>
                      <w:szCs w:val="18"/>
                      <w:u w:val="none"/>
                    </w:rPr>
                    <w:t>总悬浮颗粒物</w:t>
                  </w:r>
                </w:p>
              </w:tc>
              <w:tc>
                <w:tcPr>
                  <w:tcW w:w="1557" w:type="dxa"/>
                  <w:noWrap w:val="0"/>
                  <w:vAlign w:val="center"/>
                </w:tcPr>
                <w:p>
                  <w:pPr>
                    <w:jc w:val="center"/>
                    <w:rPr>
                      <w:color w:val="000000"/>
                      <w:sz w:val="18"/>
                      <w:szCs w:val="18"/>
                      <w:u w:val="none"/>
                    </w:rPr>
                  </w:pPr>
                  <w:r>
                    <w:rPr>
                      <w:color w:val="000000"/>
                      <w:sz w:val="18"/>
                      <w:szCs w:val="18"/>
                      <w:u w:val="none"/>
                    </w:rPr>
                    <w:t>1.0</w:t>
                  </w:r>
                </w:p>
              </w:tc>
              <w:tc>
                <w:tcPr>
                  <w:tcW w:w="3290" w:type="dxa"/>
                  <w:vMerge w:val="restart"/>
                  <w:noWrap w:val="0"/>
                  <w:vAlign w:val="center"/>
                </w:tcPr>
                <w:p>
                  <w:pPr>
                    <w:jc w:val="center"/>
                    <w:rPr>
                      <w:rFonts w:hint="default" w:ascii="Times New Roman" w:hAnsi="Times New Roman" w:eastAsia="宋体" w:cs="Times New Roman"/>
                      <w:color w:val="000000"/>
                      <w:sz w:val="18"/>
                      <w:szCs w:val="18"/>
                      <w:highlight w:val="none"/>
                      <w:u w:val="none" w:color="auto"/>
                    </w:rPr>
                  </w:pPr>
                  <w:r>
                    <w:rPr>
                      <w:rFonts w:hint="default" w:ascii="Times New Roman" w:hAnsi="Times New Roman" w:eastAsia="宋体" w:cs="Times New Roman"/>
                      <w:color w:val="000000"/>
                      <w:sz w:val="18"/>
                      <w:szCs w:val="18"/>
                      <w:highlight w:val="none"/>
                      <w:u w:val="none" w:color="auto"/>
                    </w:rPr>
                    <w:t>《砖瓦工业大气污染物排放标准》</w:t>
                  </w:r>
                </w:p>
                <w:p>
                  <w:pPr>
                    <w:jc w:val="center"/>
                    <w:rPr>
                      <w:color w:val="000000"/>
                      <w:sz w:val="18"/>
                      <w:szCs w:val="18"/>
                      <w:u w:val="none"/>
                    </w:rPr>
                  </w:pPr>
                  <w:r>
                    <w:rPr>
                      <w:rFonts w:hint="default" w:ascii="Times New Roman" w:hAnsi="Times New Roman" w:eastAsia="宋体" w:cs="Times New Roman"/>
                      <w:color w:val="000000"/>
                      <w:sz w:val="18"/>
                      <w:szCs w:val="18"/>
                      <w:highlight w:val="none"/>
                      <w:u w:val="none" w:color="auto"/>
                    </w:rPr>
                    <w:t>（GB29620-2013）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38" w:hRule="atLeast"/>
                <w:jc w:val="center"/>
              </w:trPr>
              <w:tc>
                <w:tcPr>
                  <w:tcW w:w="1193" w:type="dxa"/>
                  <w:noWrap w:val="0"/>
                  <w:vAlign w:val="center"/>
                </w:tcPr>
                <w:p>
                  <w:pPr>
                    <w:jc w:val="center"/>
                    <w:rPr>
                      <w:color w:val="000000"/>
                      <w:sz w:val="18"/>
                      <w:szCs w:val="18"/>
                      <w:u w:val="none"/>
                    </w:rPr>
                  </w:pPr>
                  <w:r>
                    <w:rPr>
                      <w:color w:val="000000"/>
                      <w:sz w:val="18"/>
                      <w:szCs w:val="18"/>
                      <w:u w:val="none"/>
                    </w:rPr>
                    <w:t>2</w:t>
                  </w:r>
                </w:p>
              </w:tc>
              <w:tc>
                <w:tcPr>
                  <w:tcW w:w="2038" w:type="dxa"/>
                  <w:noWrap w:val="0"/>
                  <w:vAlign w:val="center"/>
                </w:tcPr>
                <w:p>
                  <w:pPr>
                    <w:jc w:val="center"/>
                    <w:rPr>
                      <w:color w:val="000000"/>
                      <w:sz w:val="18"/>
                      <w:szCs w:val="18"/>
                      <w:u w:val="none"/>
                    </w:rPr>
                  </w:pPr>
                  <w:r>
                    <w:rPr>
                      <w:color w:val="000000"/>
                      <w:sz w:val="18"/>
                      <w:szCs w:val="18"/>
                      <w:u w:val="none"/>
                    </w:rPr>
                    <w:t>二氧化硫</w:t>
                  </w:r>
                </w:p>
              </w:tc>
              <w:tc>
                <w:tcPr>
                  <w:tcW w:w="1557" w:type="dxa"/>
                  <w:noWrap w:val="0"/>
                  <w:vAlign w:val="center"/>
                </w:tcPr>
                <w:p>
                  <w:pPr>
                    <w:jc w:val="center"/>
                    <w:rPr>
                      <w:color w:val="000000"/>
                      <w:sz w:val="18"/>
                      <w:szCs w:val="18"/>
                      <w:u w:val="none"/>
                    </w:rPr>
                  </w:pPr>
                  <w:r>
                    <w:rPr>
                      <w:color w:val="000000"/>
                      <w:sz w:val="18"/>
                      <w:szCs w:val="18"/>
                      <w:u w:val="none"/>
                    </w:rPr>
                    <w:t>0.5</w:t>
                  </w:r>
                </w:p>
              </w:tc>
              <w:tc>
                <w:tcPr>
                  <w:tcW w:w="3290" w:type="dxa"/>
                  <w:vMerge w:val="continue"/>
                  <w:noWrap w:val="0"/>
                  <w:vAlign w:val="center"/>
                </w:tcPr>
                <w:p>
                  <w:pPr>
                    <w:jc w:val="center"/>
                    <w:rPr>
                      <w:color w:val="000000"/>
                      <w:sz w:val="18"/>
                      <w:szCs w:val="18"/>
                      <w:u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4" w:hRule="atLeast"/>
                <w:jc w:val="center"/>
              </w:trPr>
              <w:tc>
                <w:tcPr>
                  <w:tcW w:w="1193" w:type="dxa"/>
                  <w:noWrap w:val="0"/>
                  <w:vAlign w:val="center"/>
                </w:tcPr>
                <w:p>
                  <w:pPr>
                    <w:jc w:val="center"/>
                    <w:rPr>
                      <w:color w:val="000000"/>
                      <w:sz w:val="18"/>
                      <w:szCs w:val="18"/>
                      <w:u w:val="none"/>
                    </w:rPr>
                  </w:pPr>
                  <w:r>
                    <w:rPr>
                      <w:color w:val="000000"/>
                      <w:sz w:val="18"/>
                      <w:szCs w:val="18"/>
                      <w:u w:val="none"/>
                    </w:rPr>
                    <w:t>3</w:t>
                  </w:r>
                </w:p>
              </w:tc>
              <w:tc>
                <w:tcPr>
                  <w:tcW w:w="2038" w:type="dxa"/>
                  <w:noWrap w:val="0"/>
                  <w:vAlign w:val="center"/>
                </w:tcPr>
                <w:p>
                  <w:pPr>
                    <w:jc w:val="center"/>
                    <w:rPr>
                      <w:color w:val="000000"/>
                      <w:sz w:val="18"/>
                      <w:szCs w:val="18"/>
                      <w:u w:val="none"/>
                    </w:rPr>
                  </w:pPr>
                  <w:r>
                    <w:rPr>
                      <w:color w:val="000000"/>
                      <w:sz w:val="18"/>
                      <w:szCs w:val="18"/>
                      <w:u w:val="none"/>
                    </w:rPr>
                    <w:t>氟化物</w:t>
                  </w:r>
                </w:p>
              </w:tc>
              <w:tc>
                <w:tcPr>
                  <w:tcW w:w="1557" w:type="dxa"/>
                  <w:noWrap w:val="0"/>
                  <w:vAlign w:val="center"/>
                </w:tcPr>
                <w:p>
                  <w:pPr>
                    <w:jc w:val="center"/>
                    <w:rPr>
                      <w:color w:val="000000"/>
                      <w:sz w:val="18"/>
                      <w:szCs w:val="18"/>
                      <w:u w:val="none"/>
                    </w:rPr>
                  </w:pPr>
                  <w:r>
                    <w:rPr>
                      <w:color w:val="000000"/>
                      <w:sz w:val="18"/>
                      <w:szCs w:val="18"/>
                      <w:u w:val="none"/>
                    </w:rPr>
                    <w:t>0.02</w:t>
                  </w:r>
                </w:p>
              </w:tc>
              <w:tc>
                <w:tcPr>
                  <w:tcW w:w="3290" w:type="dxa"/>
                  <w:vMerge w:val="continue"/>
                  <w:noWrap w:val="0"/>
                  <w:vAlign w:val="center"/>
                </w:tcPr>
                <w:p>
                  <w:pPr>
                    <w:jc w:val="center"/>
                    <w:rPr>
                      <w:color w:val="000000"/>
                      <w:sz w:val="18"/>
                      <w:szCs w:val="18"/>
                      <w:u w:val="none"/>
                    </w:rPr>
                  </w:pPr>
                </w:p>
              </w:tc>
            </w:tr>
          </w:tbl>
          <w:p>
            <w:pPr>
              <w:spacing w:line="360" w:lineRule="auto"/>
              <w:ind w:firstLine="482" w:firstLineChars="200"/>
              <w:rPr>
                <w:b/>
                <w:bCs/>
                <w:color w:val="000000"/>
                <w:sz w:val="24"/>
                <w:u w:val="none"/>
              </w:rPr>
            </w:pPr>
            <w:r>
              <w:rPr>
                <w:b/>
                <w:bCs/>
                <w:color w:val="000000"/>
                <w:sz w:val="24"/>
                <w:u w:val="none"/>
              </w:rPr>
              <w:t>3、噪声</w:t>
            </w:r>
          </w:p>
          <w:p>
            <w:pPr>
              <w:spacing w:line="360" w:lineRule="auto"/>
              <w:ind w:firstLine="480"/>
              <w:rPr>
                <w:rFonts w:hint="default" w:ascii="Times New Roman" w:hAnsi="Times New Roman" w:cs="Times New Roman"/>
                <w:color w:val="000000"/>
                <w:sz w:val="24"/>
                <w:u w:val="none"/>
              </w:rPr>
            </w:pPr>
            <w:r>
              <w:rPr>
                <w:rFonts w:hint="default" w:ascii="Times New Roman" w:hAnsi="Times New Roman" w:cs="Times New Roman"/>
                <w:color w:val="000000"/>
                <w:sz w:val="24"/>
                <w:u w:val="none"/>
              </w:rPr>
              <w:t>施工期场界噪声执行《建筑施工场界环境噪声排放标准》（GB12523-2011）；营运期厂界噪声执行《工业企业厂界噪声排放标准》（GB12348-2008）2类，具体见表3-11。</w:t>
            </w:r>
          </w:p>
          <w:p>
            <w:pPr>
              <w:jc w:val="center"/>
              <w:rPr>
                <w:b/>
                <w:bCs/>
                <w:color w:val="000000"/>
                <w:szCs w:val="21"/>
                <w:u w:val="none"/>
              </w:rPr>
            </w:pPr>
            <w:r>
              <w:rPr>
                <w:b/>
                <w:bCs/>
                <w:color w:val="000000"/>
                <w:szCs w:val="21"/>
                <w:u w:val="none"/>
              </w:rPr>
              <w:t>表3-1</w:t>
            </w:r>
            <w:r>
              <w:rPr>
                <w:rFonts w:hint="eastAsia"/>
                <w:b/>
                <w:bCs/>
                <w:color w:val="000000"/>
                <w:szCs w:val="21"/>
                <w:u w:val="none"/>
              </w:rPr>
              <w:t>1</w:t>
            </w:r>
            <w:r>
              <w:rPr>
                <w:b/>
                <w:bCs/>
                <w:color w:val="000000"/>
                <w:szCs w:val="21"/>
                <w:u w:val="none"/>
              </w:rPr>
              <w:t>噪声排放标准单位：</w:t>
            </w:r>
            <w:r>
              <w:rPr>
                <w:b/>
                <w:color w:val="000000"/>
                <w:szCs w:val="21"/>
                <w:u w:val="none"/>
              </w:rPr>
              <w:t>dB(A)</w:t>
            </w:r>
          </w:p>
          <w:tbl>
            <w:tblPr>
              <w:tblStyle w:val="30"/>
              <w:tblW w:w="0" w:type="auto"/>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
            <w:tblGrid>
              <w:gridCol w:w="4806"/>
              <w:gridCol w:w="1043"/>
              <w:gridCol w:w="1043"/>
              <w:gridCol w:w="1045"/>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4806" w:type="dxa"/>
                  <w:noWrap w:val="0"/>
                  <w:vAlign w:val="center"/>
                </w:tcPr>
                <w:p>
                  <w:pPr>
                    <w:jc w:val="center"/>
                    <w:rPr>
                      <w:color w:val="000000"/>
                      <w:sz w:val="18"/>
                      <w:szCs w:val="18"/>
                      <w:u w:val="none"/>
                    </w:rPr>
                  </w:pPr>
                  <w:r>
                    <w:rPr>
                      <w:color w:val="000000"/>
                      <w:sz w:val="18"/>
                      <w:szCs w:val="18"/>
                      <w:u w:val="none"/>
                    </w:rPr>
                    <w:t>标准名称</w:t>
                  </w:r>
                </w:p>
              </w:tc>
              <w:tc>
                <w:tcPr>
                  <w:tcW w:w="1043" w:type="dxa"/>
                  <w:noWrap w:val="0"/>
                  <w:vAlign w:val="center"/>
                </w:tcPr>
                <w:p>
                  <w:pPr>
                    <w:jc w:val="center"/>
                    <w:rPr>
                      <w:color w:val="000000"/>
                      <w:sz w:val="18"/>
                      <w:szCs w:val="18"/>
                      <w:u w:val="none"/>
                    </w:rPr>
                  </w:pPr>
                  <w:r>
                    <w:rPr>
                      <w:color w:val="000000"/>
                      <w:sz w:val="18"/>
                      <w:szCs w:val="18"/>
                      <w:u w:val="none"/>
                    </w:rPr>
                    <w:t>类别</w:t>
                  </w:r>
                </w:p>
              </w:tc>
              <w:tc>
                <w:tcPr>
                  <w:tcW w:w="1043" w:type="dxa"/>
                  <w:noWrap w:val="0"/>
                  <w:vAlign w:val="center"/>
                </w:tcPr>
                <w:p>
                  <w:pPr>
                    <w:jc w:val="center"/>
                    <w:rPr>
                      <w:color w:val="000000"/>
                      <w:sz w:val="18"/>
                      <w:szCs w:val="18"/>
                      <w:u w:val="none"/>
                    </w:rPr>
                  </w:pPr>
                  <w:r>
                    <w:rPr>
                      <w:color w:val="000000"/>
                      <w:sz w:val="18"/>
                      <w:szCs w:val="18"/>
                      <w:u w:val="none"/>
                    </w:rPr>
                    <w:t>昼间</w:t>
                  </w:r>
                </w:p>
              </w:tc>
              <w:tc>
                <w:tcPr>
                  <w:tcW w:w="1045" w:type="dxa"/>
                  <w:noWrap w:val="0"/>
                  <w:vAlign w:val="center"/>
                </w:tcPr>
                <w:p>
                  <w:pPr>
                    <w:jc w:val="center"/>
                    <w:rPr>
                      <w:color w:val="000000"/>
                      <w:sz w:val="18"/>
                      <w:szCs w:val="18"/>
                      <w:u w:val="none"/>
                    </w:rPr>
                  </w:pPr>
                  <w:r>
                    <w:rPr>
                      <w:color w:val="000000"/>
                      <w:sz w:val="18"/>
                      <w:szCs w:val="18"/>
                      <w:u w:val="none"/>
                    </w:rPr>
                    <w:t>夜间</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4806" w:type="dxa"/>
                  <w:noWrap w:val="0"/>
                  <w:vAlign w:val="center"/>
                </w:tcPr>
                <w:p>
                  <w:pPr>
                    <w:jc w:val="center"/>
                    <w:rPr>
                      <w:color w:val="000000"/>
                      <w:sz w:val="18"/>
                      <w:szCs w:val="18"/>
                      <w:u w:val="none"/>
                    </w:rPr>
                  </w:pPr>
                  <w:r>
                    <w:rPr>
                      <w:color w:val="000000"/>
                      <w:sz w:val="18"/>
                      <w:szCs w:val="18"/>
                      <w:u w:val="none"/>
                    </w:rPr>
                    <w:t>《建筑施工场界环境噪声排放标准》（GB12523-2011）</w:t>
                  </w:r>
                </w:p>
              </w:tc>
              <w:tc>
                <w:tcPr>
                  <w:tcW w:w="1043" w:type="dxa"/>
                  <w:noWrap w:val="0"/>
                  <w:vAlign w:val="center"/>
                </w:tcPr>
                <w:p>
                  <w:pPr>
                    <w:jc w:val="center"/>
                    <w:rPr>
                      <w:color w:val="000000"/>
                      <w:sz w:val="18"/>
                      <w:szCs w:val="18"/>
                      <w:u w:val="none"/>
                    </w:rPr>
                  </w:pPr>
                  <w:r>
                    <w:rPr>
                      <w:color w:val="000000"/>
                      <w:sz w:val="18"/>
                      <w:szCs w:val="18"/>
                      <w:u w:val="none"/>
                    </w:rPr>
                    <w:t>/</w:t>
                  </w:r>
                </w:p>
              </w:tc>
              <w:tc>
                <w:tcPr>
                  <w:tcW w:w="1043" w:type="dxa"/>
                  <w:noWrap w:val="0"/>
                  <w:vAlign w:val="center"/>
                </w:tcPr>
                <w:p>
                  <w:pPr>
                    <w:jc w:val="center"/>
                    <w:rPr>
                      <w:color w:val="000000"/>
                      <w:sz w:val="18"/>
                      <w:szCs w:val="18"/>
                      <w:u w:val="none"/>
                    </w:rPr>
                  </w:pPr>
                  <w:r>
                    <w:rPr>
                      <w:color w:val="000000"/>
                      <w:sz w:val="18"/>
                      <w:szCs w:val="18"/>
                      <w:u w:val="none"/>
                    </w:rPr>
                    <w:t>70</w:t>
                  </w:r>
                </w:p>
              </w:tc>
              <w:tc>
                <w:tcPr>
                  <w:tcW w:w="1045" w:type="dxa"/>
                  <w:noWrap w:val="0"/>
                  <w:vAlign w:val="center"/>
                </w:tcPr>
                <w:p>
                  <w:pPr>
                    <w:jc w:val="center"/>
                    <w:rPr>
                      <w:color w:val="000000"/>
                      <w:sz w:val="18"/>
                      <w:szCs w:val="18"/>
                      <w:u w:val="none"/>
                    </w:rPr>
                  </w:pPr>
                  <w:r>
                    <w:rPr>
                      <w:color w:val="000000"/>
                      <w:sz w:val="18"/>
                      <w:szCs w:val="18"/>
                      <w:u w:val="none"/>
                    </w:rPr>
                    <w:t>55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4806" w:type="dxa"/>
                  <w:noWrap w:val="0"/>
                  <w:vAlign w:val="center"/>
                </w:tcPr>
                <w:p>
                  <w:pPr>
                    <w:jc w:val="center"/>
                    <w:rPr>
                      <w:color w:val="000000"/>
                      <w:sz w:val="18"/>
                      <w:szCs w:val="18"/>
                      <w:u w:val="none"/>
                    </w:rPr>
                  </w:pPr>
                  <w:r>
                    <w:rPr>
                      <w:color w:val="000000"/>
                      <w:sz w:val="18"/>
                      <w:szCs w:val="18"/>
                      <w:u w:val="none"/>
                    </w:rPr>
                    <w:t>《工业企业厂界环境噪声排放标准》（GB12348-2008）</w:t>
                  </w:r>
                </w:p>
              </w:tc>
              <w:tc>
                <w:tcPr>
                  <w:tcW w:w="1043" w:type="dxa"/>
                  <w:noWrap w:val="0"/>
                  <w:vAlign w:val="center"/>
                </w:tcPr>
                <w:p>
                  <w:pPr>
                    <w:jc w:val="center"/>
                    <w:rPr>
                      <w:color w:val="000000"/>
                      <w:sz w:val="18"/>
                      <w:szCs w:val="18"/>
                      <w:u w:val="none"/>
                    </w:rPr>
                  </w:pPr>
                  <w:r>
                    <w:rPr>
                      <w:color w:val="000000"/>
                      <w:sz w:val="18"/>
                      <w:szCs w:val="18"/>
                      <w:u w:val="none"/>
                    </w:rPr>
                    <w:t>2类</w:t>
                  </w:r>
                </w:p>
              </w:tc>
              <w:tc>
                <w:tcPr>
                  <w:tcW w:w="1043" w:type="dxa"/>
                  <w:noWrap w:val="0"/>
                  <w:vAlign w:val="center"/>
                </w:tcPr>
                <w:p>
                  <w:pPr>
                    <w:jc w:val="center"/>
                    <w:rPr>
                      <w:color w:val="000000"/>
                      <w:sz w:val="18"/>
                      <w:szCs w:val="18"/>
                      <w:u w:val="none"/>
                    </w:rPr>
                  </w:pPr>
                  <w:r>
                    <w:rPr>
                      <w:color w:val="000000"/>
                      <w:sz w:val="18"/>
                      <w:szCs w:val="18"/>
                      <w:u w:val="none"/>
                    </w:rPr>
                    <w:t>60</w:t>
                  </w:r>
                </w:p>
              </w:tc>
              <w:tc>
                <w:tcPr>
                  <w:tcW w:w="1045" w:type="dxa"/>
                  <w:noWrap w:val="0"/>
                  <w:vAlign w:val="center"/>
                </w:tcPr>
                <w:p>
                  <w:pPr>
                    <w:jc w:val="center"/>
                    <w:rPr>
                      <w:color w:val="000000"/>
                      <w:sz w:val="18"/>
                      <w:szCs w:val="18"/>
                      <w:u w:val="none"/>
                    </w:rPr>
                  </w:pPr>
                  <w:r>
                    <w:rPr>
                      <w:color w:val="000000"/>
                      <w:sz w:val="18"/>
                      <w:szCs w:val="18"/>
                      <w:u w:val="none"/>
                    </w:rPr>
                    <w:t>50</w:t>
                  </w:r>
                </w:p>
              </w:tc>
            </w:tr>
          </w:tbl>
          <w:p>
            <w:pPr>
              <w:spacing w:line="360" w:lineRule="auto"/>
              <w:ind w:firstLine="482" w:firstLineChars="200"/>
              <w:rPr>
                <w:color w:val="000000"/>
                <w:sz w:val="24"/>
                <w:u w:val="none"/>
              </w:rPr>
            </w:pPr>
            <w:r>
              <w:rPr>
                <w:b/>
                <w:bCs/>
                <w:color w:val="000000"/>
                <w:sz w:val="24"/>
                <w:u w:val="none"/>
              </w:rPr>
              <w:t>4、固体废物</w:t>
            </w:r>
          </w:p>
          <w:p>
            <w:pPr>
              <w:spacing w:line="360" w:lineRule="auto"/>
              <w:ind w:firstLine="480" w:firstLineChars="200"/>
              <w:rPr>
                <w:color w:val="FF0000"/>
                <w:kern w:val="0"/>
                <w:szCs w:val="21"/>
                <w:u w:val="none"/>
              </w:rPr>
            </w:pPr>
            <w:r>
              <w:rPr>
                <w:color w:val="000000"/>
                <w:sz w:val="24"/>
                <w:u w:val="none"/>
              </w:rPr>
              <w:t>生活垃圾委托环卫部门处置；一般工业固体废物执行《一般工业固体废物贮存和填埋污染控制标准》（GB18599-2020）</w:t>
            </w:r>
            <w:r>
              <w:rPr>
                <w:color w:val="000000"/>
                <w:sz w:val="24"/>
                <w:highlight w:val="none"/>
                <w:u w:val="none"/>
              </w:rPr>
              <w:t>；危险废物执行《危险废物贮存污染控制标准》（</w:t>
            </w:r>
            <w:r>
              <w:rPr>
                <w:rFonts w:hint="eastAsia"/>
                <w:color w:val="000000"/>
                <w:sz w:val="24"/>
                <w:highlight w:val="none"/>
                <w:u w:val="none"/>
              </w:rPr>
              <w:t>GB18597-2023</w:t>
            </w:r>
            <w:r>
              <w:rPr>
                <w:color w:val="000000"/>
                <w:sz w:val="24"/>
                <w:highlight w:val="none"/>
                <w:u w:val="none"/>
              </w:rPr>
              <w:t>）；危险废物转移执行《危险废物转移联单管理办法》。</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30" w:hRule="atLeast"/>
          <w:jc w:val="center"/>
        </w:trPr>
        <w:tc>
          <w:tcPr>
            <w:tcW w:w="807" w:type="dxa"/>
            <w:noWrap w:val="0"/>
            <w:vAlign w:val="center"/>
          </w:tcPr>
          <w:p>
            <w:pPr>
              <w:adjustRightInd w:val="0"/>
              <w:snapToGrid w:val="0"/>
              <w:jc w:val="center"/>
              <w:rPr>
                <w:color w:val="000000"/>
                <w:kern w:val="0"/>
                <w:szCs w:val="21"/>
                <w:u w:val="none"/>
              </w:rPr>
            </w:pPr>
            <w:r>
              <w:rPr>
                <w:color w:val="000000"/>
                <w:kern w:val="0"/>
                <w:szCs w:val="21"/>
                <w:u w:val="none"/>
              </w:rPr>
              <w:t>总量</w:t>
            </w:r>
          </w:p>
          <w:p>
            <w:pPr>
              <w:adjustRightInd w:val="0"/>
              <w:snapToGrid w:val="0"/>
              <w:jc w:val="center"/>
              <w:rPr>
                <w:color w:val="000000"/>
                <w:kern w:val="0"/>
                <w:szCs w:val="21"/>
                <w:u w:val="none"/>
              </w:rPr>
            </w:pPr>
            <w:r>
              <w:rPr>
                <w:color w:val="000000"/>
                <w:kern w:val="0"/>
                <w:szCs w:val="21"/>
                <w:u w:val="none"/>
              </w:rPr>
              <w:t>控制</w:t>
            </w:r>
          </w:p>
          <w:p>
            <w:pPr>
              <w:adjustRightInd w:val="0"/>
              <w:snapToGrid w:val="0"/>
              <w:jc w:val="center"/>
              <w:rPr>
                <w:color w:val="FF0000"/>
                <w:kern w:val="0"/>
                <w:szCs w:val="21"/>
                <w:u w:val="none"/>
              </w:rPr>
            </w:pPr>
            <w:r>
              <w:rPr>
                <w:color w:val="000000"/>
                <w:kern w:val="0"/>
                <w:szCs w:val="21"/>
                <w:u w:val="none"/>
              </w:rPr>
              <w:t>指标</w:t>
            </w:r>
          </w:p>
        </w:tc>
        <w:tc>
          <w:tcPr>
            <w:tcW w:w="8264" w:type="dxa"/>
            <w:noWrap w:val="0"/>
            <w:vAlign w:val="center"/>
          </w:tcPr>
          <w:p>
            <w:pPr>
              <w:spacing w:line="360" w:lineRule="auto"/>
              <w:ind w:firstLine="480"/>
              <w:rPr>
                <w:color w:val="000000"/>
                <w:sz w:val="24"/>
                <w:highlight w:val="none"/>
                <w:u w:val="none"/>
              </w:rPr>
            </w:pPr>
            <w:r>
              <w:rPr>
                <w:color w:val="000000"/>
                <w:sz w:val="24"/>
                <w:highlight w:val="none"/>
                <w:u w:val="none"/>
              </w:rPr>
              <w:t>本项目为</w:t>
            </w:r>
            <w:r>
              <w:rPr>
                <w:rFonts w:hint="eastAsia"/>
                <w:color w:val="000000"/>
                <w:sz w:val="24"/>
                <w:highlight w:val="none"/>
                <w:u w:val="none"/>
                <w:lang w:val="en-US" w:eastAsia="zh-CN"/>
              </w:rPr>
              <w:t>新建项目</w:t>
            </w:r>
            <w:r>
              <w:rPr>
                <w:color w:val="000000"/>
                <w:sz w:val="24"/>
                <w:highlight w:val="none"/>
                <w:u w:val="none"/>
              </w:rPr>
              <w:t>，建设单位应根据本项目废气、废水和固体废物等污染物的排放量，向上级主管部门和环保部门申请各项污染物排放总量控制指标。</w:t>
            </w:r>
          </w:p>
          <w:p>
            <w:pPr>
              <w:spacing w:line="360" w:lineRule="auto"/>
              <w:ind w:firstLine="480"/>
              <w:rPr>
                <w:color w:val="000000"/>
                <w:sz w:val="24"/>
                <w:highlight w:val="none"/>
                <w:u w:val="single"/>
              </w:rPr>
            </w:pPr>
            <w:r>
              <w:rPr>
                <w:color w:val="000000"/>
                <w:sz w:val="24"/>
                <w:highlight w:val="none"/>
                <w:u w:val="single"/>
              </w:rPr>
              <w:t>（1）水污染物排放总量控制指标</w:t>
            </w:r>
          </w:p>
          <w:p>
            <w:pPr>
              <w:spacing w:line="360" w:lineRule="auto"/>
              <w:ind w:firstLine="480"/>
              <w:rPr>
                <w:color w:val="000000"/>
                <w:sz w:val="24"/>
                <w:highlight w:val="none"/>
                <w:u w:val="single"/>
              </w:rPr>
            </w:pPr>
            <w:r>
              <w:rPr>
                <w:color w:val="000000"/>
                <w:sz w:val="24"/>
                <w:highlight w:val="none"/>
                <w:u w:val="single"/>
              </w:rPr>
              <w:t>针对本项目的特点，本项目无生产废水外排，项目生活污水经化粪池厌氧消化后</w:t>
            </w:r>
            <w:r>
              <w:rPr>
                <w:rFonts w:hint="eastAsia"/>
                <w:color w:val="000000"/>
                <w:sz w:val="24"/>
                <w:highlight w:val="none"/>
                <w:u w:val="single"/>
                <w:lang w:eastAsia="zh-CN"/>
              </w:rPr>
              <w:t>用作农肥</w:t>
            </w:r>
            <w:r>
              <w:rPr>
                <w:color w:val="000000"/>
                <w:sz w:val="24"/>
                <w:highlight w:val="none"/>
                <w:u w:val="single"/>
              </w:rPr>
              <w:t>，不外排。因此建议不设COD</w:t>
            </w:r>
            <w:r>
              <w:rPr>
                <w:color w:val="000000"/>
                <w:sz w:val="24"/>
                <w:highlight w:val="none"/>
                <w:u w:val="single"/>
                <w:vertAlign w:val="subscript"/>
              </w:rPr>
              <w:t>Cr</w:t>
            </w:r>
            <w:r>
              <w:rPr>
                <w:color w:val="000000"/>
                <w:sz w:val="24"/>
                <w:highlight w:val="none"/>
                <w:u w:val="single"/>
              </w:rPr>
              <w:t>、NH</w:t>
            </w:r>
            <w:r>
              <w:rPr>
                <w:color w:val="000000"/>
                <w:sz w:val="24"/>
                <w:highlight w:val="none"/>
                <w:u w:val="single"/>
                <w:vertAlign w:val="subscript"/>
              </w:rPr>
              <w:t>3</w:t>
            </w:r>
            <w:r>
              <w:rPr>
                <w:color w:val="000000"/>
                <w:sz w:val="24"/>
                <w:highlight w:val="none"/>
                <w:u w:val="single"/>
              </w:rPr>
              <w:t>-N总量控制指标。</w:t>
            </w:r>
          </w:p>
          <w:p>
            <w:pPr>
              <w:pStyle w:val="11"/>
              <w:spacing w:line="360" w:lineRule="auto"/>
              <w:ind w:firstLine="480"/>
              <w:rPr>
                <w:rFonts w:hint="default" w:eastAsia="宋体"/>
                <w:color w:val="000000"/>
                <w:sz w:val="24"/>
                <w:highlight w:val="none"/>
                <w:u w:val="single"/>
                <w:lang w:val="en-US" w:eastAsia="zh-CN"/>
              </w:rPr>
            </w:pPr>
            <w:r>
              <w:rPr>
                <w:color w:val="000000"/>
                <w:sz w:val="24"/>
                <w:highlight w:val="none"/>
                <w:u w:val="single"/>
              </w:rPr>
              <w:t>（2）大气污染物排放总量控制指标</w:t>
            </w:r>
          </w:p>
          <w:p>
            <w:pPr>
              <w:jc w:val="center"/>
              <w:rPr>
                <w:b/>
                <w:bCs/>
                <w:color w:val="auto"/>
                <w:szCs w:val="21"/>
                <w:highlight w:val="none"/>
                <w:u w:val="none"/>
              </w:rPr>
            </w:pPr>
            <w:r>
              <w:rPr>
                <w:b/>
                <w:bCs/>
                <w:color w:val="auto"/>
                <w:szCs w:val="21"/>
                <w:highlight w:val="none"/>
                <w:u w:val="none"/>
              </w:rPr>
              <w:t>表3-1</w:t>
            </w:r>
            <w:r>
              <w:rPr>
                <w:rFonts w:hint="eastAsia"/>
                <w:b/>
                <w:bCs/>
                <w:color w:val="auto"/>
                <w:szCs w:val="21"/>
                <w:highlight w:val="none"/>
                <w:u w:val="none"/>
              </w:rPr>
              <w:t>2</w:t>
            </w:r>
            <w:r>
              <w:rPr>
                <w:b/>
                <w:bCs/>
                <w:color w:val="auto"/>
                <w:szCs w:val="21"/>
                <w:highlight w:val="none"/>
                <w:u w:val="none"/>
              </w:rPr>
              <w:t>废气污染物总量控制建议指标（单位：t/a）</w:t>
            </w:r>
          </w:p>
          <w:tbl>
            <w:tblPr>
              <w:tblStyle w:val="30"/>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384"/>
              <w:gridCol w:w="1291"/>
              <w:gridCol w:w="1972"/>
              <w:gridCol w:w="1589"/>
              <w:gridCol w:w="177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63" w:type="pct"/>
                  <w:noWrap w:val="0"/>
                  <w:vAlign w:val="center"/>
                </w:tcPr>
                <w:p>
                  <w:pPr>
                    <w:ind w:left="-105" w:leftChars="-50" w:right="-105" w:rightChars="-50"/>
                    <w:jc w:val="center"/>
                    <w:rPr>
                      <w:color w:val="auto"/>
                      <w:sz w:val="18"/>
                      <w:szCs w:val="18"/>
                      <w:highlight w:val="none"/>
                      <w:u w:val="none"/>
                    </w:rPr>
                  </w:pPr>
                  <w:r>
                    <w:rPr>
                      <w:color w:val="auto"/>
                      <w:sz w:val="18"/>
                      <w:szCs w:val="18"/>
                      <w:highlight w:val="none"/>
                      <w:u w:val="none"/>
                    </w:rPr>
                    <w:t>大气污染物</w:t>
                  </w:r>
                </w:p>
              </w:tc>
              <w:tc>
                <w:tcPr>
                  <w:tcW w:w="805" w:type="pct"/>
                  <w:noWrap w:val="0"/>
                  <w:vAlign w:val="center"/>
                </w:tcPr>
                <w:p>
                  <w:pPr>
                    <w:ind w:left="-105" w:leftChars="-50" w:right="-105" w:rightChars="-50"/>
                    <w:jc w:val="center"/>
                    <w:rPr>
                      <w:color w:val="auto"/>
                      <w:sz w:val="18"/>
                      <w:szCs w:val="18"/>
                      <w:highlight w:val="none"/>
                      <w:u w:val="none"/>
                    </w:rPr>
                  </w:pPr>
                  <w:r>
                    <w:rPr>
                      <w:color w:val="auto"/>
                      <w:sz w:val="18"/>
                      <w:szCs w:val="18"/>
                      <w:highlight w:val="none"/>
                      <w:u w:val="none"/>
                    </w:rPr>
                    <w:t>排放情况</w:t>
                  </w:r>
                </w:p>
              </w:tc>
              <w:tc>
                <w:tcPr>
                  <w:tcW w:w="1230" w:type="pct"/>
                  <w:noWrap w:val="0"/>
                  <w:vAlign w:val="center"/>
                </w:tcPr>
                <w:p>
                  <w:pPr>
                    <w:ind w:left="-105" w:leftChars="-50" w:right="-105" w:rightChars="-50"/>
                    <w:jc w:val="center"/>
                    <w:rPr>
                      <w:color w:val="auto"/>
                      <w:sz w:val="18"/>
                      <w:szCs w:val="18"/>
                      <w:highlight w:val="none"/>
                      <w:u w:val="none"/>
                    </w:rPr>
                  </w:pPr>
                  <w:r>
                    <w:rPr>
                      <w:color w:val="auto"/>
                      <w:sz w:val="18"/>
                      <w:szCs w:val="18"/>
                      <w:highlight w:val="none"/>
                      <w:u w:val="none"/>
                    </w:rPr>
                    <w:t>建议总量控制指标</w:t>
                  </w:r>
                </w:p>
              </w:tc>
              <w:tc>
                <w:tcPr>
                  <w:tcW w:w="991" w:type="pct"/>
                  <w:noWrap w:val="0"/>
                  <w:vAlign w:val="center"/>
                </w:tcPr>
                <w:p>
                  <w:pPr>
                    <w:ind w:left="-105" w:leftChars="-50" w:right="-105" w:rightChars="-50"/>
                    <w:jc w:val="center"/>
                    <w:rPr>
                      <w:color w:val="auto"/>
                      <w:sz w:val="18"/>
                      <w:szCs w:val="18"/>
                      <w:highlight w:val="none"/>
                      <w:u w:val="none"/>
                    </w:rPr>
                  </w:pPr>
                  <w:r>
                    <w:rPr>
                      <w:color w:val="auto"/>
                      <w:sz w:val="18"/>
                      <w:szCs w:val="18"/>
                      <w:highlight w:val="none"/>
                      <w:u w:val="none"/>
                    </w:rPr>
                    <w:t>已申购总量指标</w:t>
                  </w:r>
                </w:p>
              </w:tc>
              <w:tc>
                <w:tcPr>
                  <w:tcW w:w="1109" w:type="pct"/>
                  <w:noWrap w:val="0"/>
                  <w:vAlign w:val="center"/>
                </w:tcPr>
                <w:p>
                  <w:pPr>
                    <w:ind w:left="-105" w:leftChars="-50" w:right="-105" w:rightChars="-50"/>
                    <w:jc w:val="center"/>
                    <w:rPr>
                      <w:color w:val="auto"/>
                      <w:sz w:val="18"/>
                      <w:szCs w:val="18"/>
                      <w:highlight w:val="none"/>
                      <w:u w:val="none"/>
                    </w:rPr>
                  </w:pPr>
                  <w:r>
                    <w:rPr>
                      <w:color w:val="auto"/>
                      <w:sz w:val="18"/>
                      <w:szCs w:val="18"/>
                      <w:highlight w:val="none"/>
                      <w:u w:val="none"/>
                    </w:rPr>
                    <w:t>需购买总量指标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63" w:type="pct"/>
                  <w:noWrap w:val="0"/>
                  <w:vAlign w:val="center"/>
                </w:tcPr>
                <w:p>
                  <w:pPr>
                    <w:ind w:left="-105" w:leftChars="-50" w:right="-105" w:rightChars="-50"/>
                    <w:jc w:val="center"/>
                    <w:rPr>
                      <w:color w:val="auto"/>
                      <w:sz w:val="18"/>
                      <w:szCs w:val="18"/>
                      <w:highlight w:val="none"/>
                      <w:u w:val="none"/>
                    </w:rPr>
                  </w:pPr>
                  <w:r>
                    <w:rPr>
                      <w:bCs/>
                      <w:color w:val="auto"/>
                      <w:sz w:val="18"/>
                      <w:szCs w:val="18"/>
                      <w:highlight w:val="none"/>
                      <w:u w:val="none"/>
                    </w:rPr>
                    <w:t>SO</w:t>
                  </w:r>
                  <w:r>
                    <w:rPr>
                      <w:bCs/>
                      <w:color w:val="auto"/>
                      <w:sz w:val="18"/>
                      <w:szCs w:val="18"/>
                      <w:highlight w:val="none"/>
                      <w:u w:val="none"/>
                      <w:vertAlign w:val="subscript"/>
                    </w:rPr>
                    <w:t>2</w:t>
                  </w:r>
                </w:p>
              </w:tc>
              <w:tc>
                <w:tcPr>
                  <w:tcW w:w="805" w:type="pct"/>
                  <w:noWrap w:val="0"/>
                  <w:vAlign w:val="center"/>
                </w:tcPr>
                <w:p>
                  <w:pPr>
                    <w:ind w:left="-105" w:leftChars="-50" w:right="-105" w:rightChars="-50"/>
                    <w:jc w:val="center"/>
                    <w:rPr>
                      <w:rFonts w:hint="default" w:eastAsia="宋体"/>
                      <w:color w:val="auto"/>
                      <w:sz w:val="18"/>
                      <w:szCs w:val="18"/>
                      <w:highlight w:val="none"/>
                      <w:u w:val="none"/>
                      <w:lang w:val="en-US" w:eastAsia="zh-CN"/>
                    </w:rPr>
                  </w:pPr>
                  <w:r>
                    <w:rPr>
                      <w:rFonts w:hint="eastAsia"/>
                      <w:color w:val="auto"/>
                      <w:sz w:val="18"/>
                      <w:szCs w:val="18"/>
                      <w:highlight w:val="none"/>
                      <w:u w:val="none"/>
                      <w:lang w:val="en-US" w:eastAsia="zh-CN"/>
                    </w:rPr>
                    <w:t>5.04</w:t>
                  </w:r>
                </w:p>
              </w:tc>
              <w:tc>
                <w:tcPr>
                  <w:tcW w:w="1972" w:type="dxa"/>
                  <w:noWrap w:val="0"/>
                  <w:vAlign w:val="center"/>
                </w:tcPr>
                <w:p>
                  <w:pPr>
                    <w:ind w:left="-105" w:leftChars="-50" w:right="-105" w:rightChars="-50"/>
                    <w:jc w:val="center"/>
                    <w:rPr>
                      <w:rFonts w:hint="default" w:eastAsia="宋体"/>
                      <w:color w:val="auto"/>
                      <w:sz w:val="18"/>
                      <w:szCs w:val="18"/>
                      <w:highlight w:val="none"/>
                      <w:u w:val="none"/>
                      <w:lang w:val="en-US" w:eastAsia="zh-CN"/>
                    </w:rPr>
                  </w:pPr>
                  <w:r>
                    <w:rPr>
                      <w:rFonts w:hint="eastAsia"/>
                      <w:color w:val="auto"/>
                      <w:sz w:val="18"/>
                      <w:szCs w:val="18"/>
                      <w:highlight w:val="none"/>
                      <w:u w:val="none"/>
                      <w:lang w:val="en-US" w:eastAsia="zh-CN"/>
                    </w:rPr>
                    <w:t>5.04</w:t>
                  </w:r>
                </w:p>
              </w:tc>
              <w:tc>
                <w:tcPr>
                  <w:tcW w:w="1589" w:type="dxa"/>
                  <w:noWrap w:val="0"/>
                  <w:vAlign w:val="center"/>
                </w:tcPr>
                <w:p>
                  <w:pPr>
                    <w:ind w:left="-105" w:leftChars="-50" w:right="-105" w:rightChars="-50"/>
                    <w:jc w:val="center"/>
                    <w:rPr>
                      <w:rFonts w:hint="default" w:eastAsia="宋体"/>
                      <w:color w:val="auto"/>
                      <w:sz w:val="18"/>
                      <w:szCs w:val="18"/>
                      <w:highlight w:val="none"/>
                      <w:u w:val="none"/>
                      <w:lang w:val="en-US" w:eastAsia="zh-CN"/>
                    </w:rPr>
                  </w:pPr>
                  <w:r>
                    <w:rPr>
                      <w:rFonts w:hint="eastAsia"/>
                      <w:color w:val="auto"/>
                      <w:sz w:val="18"/>
                      <w:szCs w:val="18"/>
                      <w:highlight w:val="none"/>
                      <w:u w:val="none"/>
                      <w:lang w:val="en-US" w:eastAsia="zh-CN"/>
                    </w:rPr>
                    <w:t>15.05</w:t>
                  </w:r>
                </w:p>
              </w:tc>
              <w:tc>
                <w:tcPr>
                  <w:tcW w:w="1109" w:type="pct"/>
                  <w:noWrap w:val="0"/>
                  <w:vAlign w:val="center"/>
                </w:tcPr>
                <w:p>
                  <w:pPr>
                    <w:ind w:left="-105" w:leftChars="-50" w:right="-105" w:rightChars="-50"/>
                    <w:jc w:val="center"/>
                    <w:rPr>
                      <w:color w:val="auto"/>
                      <w:sz w:val="18"/>
                      <w:szCs w:val="18"/>
                      <w:highlight w:val="none"/>
                      <w:u w:val="none"/>
                    </w:rPr>
                  </w:pPr>
                  <w:r>
                    <w:rPr>
                      <w:color w:val="auto"/>
                      <w:sz w:val="18"/>
                      <w:szCs w:val="18"/>
                      <w:highlight w:val="none"/>
                      <w:u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63" w:type="pct"/>
                  <w:noWrap w:val="0"/>
                  <w:vAlign w:val="center"/>
                </w:tcPr>
                <w:p>
                  <w:pPr>
                    <w:ind w:left="-105" w:leftChars="-50" w:right="-105" w:rightChars="-50"/>
                    <w:jc w:val="center"/>
                    <w:rPr>
                      <w:color w:val="auto"/>
                      <w:sz w:val="18"/>
                      <w:szCs w:val="18"/>
                      <w:highlight w:val="none"/>
                      <w:u w:val="none"/>
                    </w:rPr>
                  </w:pPr>
                  <w:r>
                    <w:rPr>
                      <w:bCs/>
                      <w:color w:val="auto"/>
                      <w:sz w:val="18"/>
                      <w:szCs w:val="18"/>
                      <w:highlight w:val="none"/>
                      <w:u w:val="none"/>
                    </w:rPr>
                    <w:t>NO</w:t>
                  </w:r>
                  <w:r>
                    <w:rPr>
                      <w:bCs/>
                      <w:color w:val="auto"/>
                      <w:sz w:val="18"/>
                      <w:szCs w:val="18"/>
                      <w:highlight w:val="none"/>
                      <w:u w:val="none"/>
                      <w:vertAlign w:val="subscript"/>
                    </w:rPr>
                    <w:t>X</w:t>
                  </w:r>
                </w:p>
              </w:tc>
              <w:tc>
                <w:tcPr>
                  <w:tcW w:w="805" w:type="pct"/>
                  <w:noWrap w:val="0"/>
                  <w:vAlign w:val="center"/>
                </w:tcPr>
                <w:p>
                  <w:pPr>
                    <w:ind w:left="-105" w:leftChars="-50" w:right="-105" w:rightChars="-50"/>
                    <w:jc w:val="center"/>
                    <w:rPr>
                      <w:rFonts w:hint="default" w:eastAsia="宋体"/>
                      <w:color w:val="auto"/>
                      <w:sz w:val="18"/>
                      <w:szCs w:val="18"/>
                      <w:highlight w:val="none"/>
                      <w:u w:val="none"/>
                      <w:lang w:val="en-US" w:eastAsia="zh-CN"/>
                    </w:rPr>
                  </w:pPr>
                  <w:r>
                    <w:rPr>
                      <w:rFonts w:hint="eastAsia"/>
                      <w:color w:val="auto"/>
                      <w:sz w:val="18"/>
                      <w:szCs w:val="18"/>
                      <w:highlight w:val="none"/>
                      <w:u w:val="none"/>
                      <w:lang w:val="en-US" w:eastAsia="zh-CN"/>
                    </w:rPr>
                    <w:t>9.78</w:t>
                  </w:r>
                </w:p>
              </w:tc>
              <w:tc>
                <w:tcPr>
                  <w:tcW w:w="1972" w:type="dxa"/>
                  <w:noWrap w:val="0"/>
                  <w:vAlign w:val="center"/>
                </w:tcPr>
                <w:p>
                  <w:pPr>
                    <w:ind w:left="-105" w:leftChars="-50" w:right="-105" w:rightChars="-50"/>
                    <w:jc w:val="center"/>
                    <w:rPr>
                      <w:rFonts w:hint="default" w:eastAsia="宋体"/>
                      <w:color w:val="auto"/>
                      <w:sz w:val="18"/>
                      <w:szCs w:val="18"/>
                      <w:highlight w:val="none"/>
                      <w:u w:val="none"/>
                      <w:lang w:val="en-US" w:eastAsia="zh-CN"/>
                    </w:rPr>
                  </w:pPr>
                  <w:r>
                    <w:rPr>
                      <w:rFonts w:hint="eastAsia"/>
                      <w:color w:val="auto"/>
                      <w:sz w:val="18"/>
                      <w:szCs w:val="18"/>
                      <w:highlight w:val="none"/>
                      <w:u w:val="none"/>
                      <w:lang w:val="en-US" w:eastAsia="zh-CN"/>
                    </w:rPr>
                    <w:t>9.78</w:t>
                  </w:r>
                </w:p>
              </w:tc>
              <w:tc>
                <w:tcPr>
                  <w:tcW w:w="1589" w:type="dxa"/>
                  <w:noWrap w:val="0"/>
                  <w:vAlign w:val="center"/>
                </w:tcPr>
                <w:p>
                  <w:pPr>
                    <w:ind w:left="-105" w:leftChars="-50" w:right="-105" w:rightChars="-50"/>
                    <w:jc w:val="center"/>
                    <w:rPr>
                      <w:rFonts w:hint="default" w:eastAsia="宋体"/>
                      <w:color w:val="auto"/>
                      <w:sz w:val="18"/>
                      <w:szCs w:val="18"/>
                      <w:highlight w:val="none"/>
                      <w:u w:val="none"/>
                      <w:lang w:val="en-US" w:eastAsia="zh-CN"/>
                    </w:rPr>
                  </w:pPr>
                  <w:r>
                    <w:rPr>
                      <w:rFonts w:hint="eastAsia"/>
                      <w:color w:val="auto"/>
                      <w:sz w:val="18"/>
                      <w:szCs w:val="18"/>
                      <w:highlight w:val="none"/>
                      <w:u w:val="none"/>
                      <w:lang w:val="en-US" w:eastAsia="zh-CN"/>
                    </w:rPr>
                    <w:t>9.14</w:t>
                  </w:r>
                </w:p>
              </w:tc>
              <w:tc>
                <w:tcPr>
                  <w:tcW w:w="1109" w:type="pct"/>
                  <w:noWrap w:val="0"/>
                  <w:vAlign w:val="center"/>
                </w:tcPr>
                <w:p>
                  <w:pPr>
                    <w:ind w:left="-105" w:leftChars="-50" w:right="-105" w:rightChars="-50"/>
                    <w:jc w:val="center"/>
                    <w:rPr>
                      <w:rFonts w:hint="default" w:eastAsia="宋体"/>
                      <w:color w:val="auto"/>
                      <w:sz w:val="18"/>
                      <w:szCs w:val="18"/>
                      <w:highlight w:val="none"/>
                      <w:u w:val="none"/>
                      <w:lang w:val="en-US" w:eastAsia="zh-CN"/>
                    </w:rPr>
                  </w:pPr>
                  <w:r>
                    <w:rPr>
                      <w:rFonts w:hint="eastAsia"/>
                      <w:color w:val="auto"/>
                      <w:sz w:val="18"/>
                      <w:szCs w:val="18"/>
                      <w:highlight w:val="none"/>
                      <w:u w:val="none"/>
                      <w:lang w:val="en-US" w:eastAsia="zh-CN"/>
                    </w:rPr>
                    <w:t>0.64</w:t>
                  </w:r>
                </w:p>
              </w:tc>
            </w:tr>
          </w:tbl>
          <w:p>
            <w:pPr>
              <w:adjustRightInd w:val="0"/>
              <w:snapToGrid w:val="0"/>
              <w:spacing w:line="360" w:lineRule="auto"/>
              <w:ind w:firstLine="420" w:firstLineChars="200"/>
              <w:jc w:val="left"/>
              <w:rPr>
                <w:color w:val="FF0000"/>
                <w:kern w:val="0"/>
                <w:szCs w:val="21"/>
                <w:u w:val="none"/>
              </w:rPr>
            </w:pPr>
          </w:p>
        </w:tc>
      </w:tr>
    </w:tbl>
    <w:p>
      <w:pPr>
        <w:pStyle w:val="26"/>
        <w:spacing w:before="0" w:beforeAutospacing="0" w:after="0" w:afterAutospacing="0"/>
        <w:jc w:val="center"/>
        <w:outlineLvl w:val="0"/>
        <w:rPr>
          <w:rFonts w:ascii="Times New Roman" w:hAnsi="Times New Roman" w:eastAsia="黑体"/>
          <w:snapToGrid w:val="0"/>
          <w:color w:val="FF0000"/>
          <w:sz w:val="30"/>
          <w:szCs w:val="30"/>
          <w:u w:val="none"/>
        </w:rPr>
      </w:pPr>
      <w:r>
        <w:rPr>
          <w:rFonts w:ascii="Times New Roman" w:hAnsi="Times New Roman" w:eastAsia="黑体"/>
          <w:snapToGrid w:val="0"/>
          <w:color w:val="FF0000"/>
          <w:sz w:val="36"/>
          <w:szCs w:val="36"/>
          <w:u w:val="none"/>
        </w:rPr>
        <w:br w:type="page"/>
      </w:r>
      <w:bookmarkStart w:id="7" w:name="_Toc20315"/>
      <w:r>
        <w:rPr>
          <w:rFonts w:hint="eastAsia" w:ascii="Times New Roman" w:hAnsi="Times New Roman" w:eastAsia="黑体"/>
          <w:snapToGrid w:val="0"/>
          <w:color w:val="000000"/>
          <w:sz w:val="30"/>
          <w:szCs w:val="30"/>
          <w:u w:val="none"/>
        </w:rPr>
        <w:t>四、主要环境影响和保护措施</w:t>
      </w:r>
      <w:bookmarkEnd w:id="7"/>
    </w:p>
    <w:tbl>
      <w:tblPr>
        <w:tblStyle w:val="30"/>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60"/>
        <w:gridCol w:w="8311"/>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19" w:hRule="atLeast"/>
          <w:jc w:val="center"/>
        </w:trPr>
        <w:tc>
          <w:tcPr>
            <w:tcW w:w="760" w:type="dxa"/>
            <w:noWrap w:val="0"/>
            <w:tcMar>
              <w:left w:w="28" w:type="dxa"/>
              <w:right w:w="28" w:type="dxa"/>
            </w:tcMar>
            <w:vAlign w:val="center"/>
          </w:tcPr>
          <w:p>
            <w:pPr>
              <w:pStyle w:val="26"/>
              <w:adjustRightInd w:val="0"/>
              <w:snapToGrid w:val="0"/>
              <w:spacing w:before="0" w:beforeAutospacing="0" w:after="0" w:afterAutospacing="0"/>
              <w:jc w:val="center"/>
              <w:rPr>
                <w:rFonts w:ascii="Times New Roman" w:hAnsi="Times New Roman"/>
                <w:color w:val="auto"/>
                <w:kern w:val="2"/>
                <w:sz w:val="21"/>
                <w:szCs w:val="21"/>
                <w:u w:val="none"/>
              </w:rPr>
            </w:pPr>
            <w:r>
              <w:rPr>
                <w:rFonts w:ascii="Times New Roman" w:hAnsi="Times New Roman"/>
                <w:color w:val="auto"/>
                <w:kern w:val="2"/>
                <w:sz w:val="21"/>
                <w:szCs w:val="21"/>
                <w:u w:val="none"/>
              </w:rPr>
              <w:t>施工</w:t>
            </w:r>
          </w:p>
          <w:p>
            <w:pPr>
              <w:pStyle w:val="26"/>
              <w:adjustRightInd w:val="0"/>
              <w:snapToGrid w:val="0"/>
              <w:spacing w:before="0" w:beforeAutospacing="0" w:after="0" w:afterAutospacing="0"/>
              <w:jc w:val="center"/>
              <w:rPr>
                <w:rFonts w:ascii="Times New Roman" w:hAnsi="Times New Roman"/>
                <w:color w:val="auto"/>
                <w:kern w:val="2"/>
                <w:sz w:val="21"/>
                <w:szCs w:val="21"/>
                <w:u w:val="none"/>
              </w:rPr>
            </w:pPr>
            <w:r>
              <w:rPr>
                <w:rFonts w:ascii="Times New Roman" w:hAnsi="Times New Roman"/>
                <w:color w:val="auto"/>
                <w:kern w:val="2"/>
                <w:sz w:val="21"/>
                <w:szCs w:val="21"/>
                <w:u w:val="none"/>
              </w:rPr>
              <w:t>期环</w:t>
            </w:r>
          </w:p>
          <w:p>
            <w:pPr>
              <w:pStyle w:val="26"/>
              <w:adjustRightInd w:val="0"/>
              <w:snapToGrid w:val="0"/>
              <w:spacing w:before="0" w:beforeAutospacing="0" w:after="0" w:afterAutospacing="0"/>
              <w:jc w:val="center"/>
              <w:rPr>
                <w:rFonts w:ascii="Times New Roman" w:hAnsi="Times New Roman"/>
                <w:color w:val="auto"/>
                <w:kern w:val="2"/>
                <w:sz w:val="21"/>
                <w:szCs w:val="21"/>
                <w:u w:val="none"/>
              </w:rPr>
            </w:pPr>
            <w:r>
              <w:rPr>
                <w:rFonts w:ascii="Times New Roman" w:hAnsi="Times New Roman"/>
                <w:color w:val="auto"/>
                <w:kern w:val="2"/>
                <w:sz w:val="21"/>
                <w:szCs w:val="21"/>
                <w:u w:val="none"/>
              </w:rPr>
              <w:t>境保</w:t>
            </w:r>
          </w:p>
          <w:p>
            <w:pPr>
              <w:pStyle w:val="26"/>
              <w:adjustRightInd w:val="0"/>
              <w:snapToGrid w:val="0"/>
              <w:spacing w:before="0" w:beforeAutospacing="0" w:after="0" w:afterAutospacing="0"/>
              <w:jc w:val="center"/>
              <w:rPr>
                <w:rFonts w:ascii="Times New Roman" w:hAnsi="Times New Roman"/>
                <w:color w:val="auto"/>
                <w:kern w:val="2"/>
                <w:sz w:val="21"/>
                <w:szCs w:val="21"/>
                <w:u w:val="none"/>
              </w:rPr>
            </w:pPr>
            <w:r>
              <w:rPr>
                <w:rFonts w:ascii="Times New Roman" w:hAnsi="Times New Roman"/>
                <w:color w:val="auto"/>
                <w:kern w:val="2"/>
                <w:sz w:val="21"/>
                <w:szCs w:val="21"/>
                <w:u w:val="none"/>
              </w:rPr>
              <w:t>护措</w:t>
            </w:r>
          </w:p>
          <w:p>
            <w:pPr>
              <w:pStyle w:val="26"/>
              <w:adjustRightInd w:val="0"/>
              <w:snapToGrid w:val="0"/>
              <w:spacing w:before="0" w:beforeAutospacing="0" w:after="0" w:afterAutospacing="0"/>
              <w:jc w:val="center"/>
              <w:rPr>
                <w:rFonts w:ascii="Times New Roman" w:hAnsi="Times New Roman"/>
                <w:bCs/>
                <w:color w:val="auto"/>
                <w:kern w:val="2"/>
                <w:sz w:val="21"/>
                <w:szCs w:val="21"/>
                <w:u w:val="none"/>
              </w:rPr>
            </w:pPr>
            <w:r>
              <w:rPr>
                <w:rFonts w:ascii="Times New Roman" w:hAnsi="Times New Roman"/>
                <w:color w:val="auto"/>
                <w:kern w:val="2"/>
                <w:sz w:val="21"/>
                <w:szCs w:val="21"/>
                <w:u w:val="none"/>
              </w:rPr>
              <w:t>施</w:t>
            </w:r>
          </w:p>
        </w:tc>
        <w:tc>
          <w:tcPr>
            <w:tcW w:w="8311" w:type="dxa"/>
            <w:noWrap w:val="0"/>
            <w:vAlign w:val="center"/>
          </w:tcPr>
          <w:p>
            <w:pPr>
              <w:spacing w:line="360" w:lineRule="auto"/>
              <w:ind w:firstLine="480" w:firstLineChars="200"/>
              <w:rPr>
                <w:color w:val="auto"/>
                <w:sz w:val="24"/>
                <w:u w:val="none"/>
              </w:rPr>
            </w:pPr>
            <w:r>
              <w:rPr>
                <w:color w:val="auto"/>
                <w:sz w:val="24"/>
                <w:u w:val="none"/>
              </w:rPr>
              <w:t>本项目施工期主要是</w:t>
            </w:r>
            <w:r>
              <w:rPr>
                <w:rFonts w:hint="eastAsia"/>
                <w:color w:val="auto"/>
                <w:sz w:val="24"/>
                <w:u w:val="none"/>
                <w:lang w:eastAsia="zh-CN"/>
              </w:rPr>
              <w:t>新建</w:t>
            </w:r>
            <w:r>
              <w:rPr>
                <w:rFonts w:hint="eastAsia"/>
                <w:color w:val="auto"/>
                <w:sz w:val="24"/>
                <w:u w:val="none"/>
                <w:lang w:val="en-US" w:eastAsia="zh-CN"/>
              </w:rPr>
              <w:t>燃煤堆棚、一般固废堆棚</w:t>
            </w:r>
            <w:r>
              <w:rPr>
                <w:rFonts w:hint="eastAsia"/>
                <w:color w:val="auto"/>
                <w:sz w:val="24"/>
                <w:u w:val="none"/>
                <w:lang w:eastAsia="zh-CN"/>
              </w:rPr>
              <w:t>以及环保设施改造</w:t>
            </w:r>
            <w:r>
              <w:rPr>
                <w:color w:val="auto"/>
                <w:sz w:val="24"/>
                <w:u w:val="none"/>
              </w:rPr>
              <w:t>等，将产生：废气、废水、噪声、固体废弃物。</w:t>
            </w:r>
          </w:p>
          <w:p>
            <w:pPr>
              <w:spacing w:line="360" w:lineRule="auto"/>
              <w:ind w:firstLine="482" w:firstLineChars="200"/>
              <w:rPr>
                <w:b/>
                <w:bCs/>
                <w:color w:val="auto"/>
                <w:sz w:val="24"/>
                <w:u w:val="none"/>
              </w:rPr>
            </w:pPr>
            <w:r>
              <w:rPr>
                <w:b/>
                <w:bCs/>
                <w:color w:val="auto"/>
                <w:sz w:val="24"/>
                <w:u w:val="none"/>
              </w:rPr>
              <w:t>1、施工期废气环境保护措施</w:t>
            </w:r>
          </w:p>
          <w:p>
            <w:pPr>
              <w:spacing w:line="360" w:lineRule="auto"/>
              <w:ind w:firstLine="482" w:firstLineChars="200"/>
              <w:rPr>
                <w:color w:val="auto"/>
                <w:sz w:val="24"/>
                <w:u w:val="none"/>
              </w:rPr>
            </w:pPr>
            <w:r>
              <w:rPr>
                <w:b/>
                <w:bCs/>
                <w:color w:val="auto"/>
                <w:sz w:val="24"/>
                <w:u w:val="none"/>
              </w:rPr>
              <w:t>（1）施工期施工扬尘环境保护措施</w:t>
            </w:r>
          </w:p>
          <w:p>
            <w:pPr>
              <w:spacing w:line="360" w:lineRule="auto"/>
              <w:ind w:firstLine="480" w:firstLineChars="200"/>
              <w:rPr>
                <w:color w:val="auto"/>
                <w:sz w:val="24"/>
                <w:u w:val="none"/>
              </w:rPr>
            </w:pPr>
            <w:r>
              <w:rPr>
                <w:color w:val="auto"/>
                <w:sz w:val="24"/>
                <w:u w:val="none"/>
              </w:rPr>
              <w:t>项目施工扬尘主要来源于场地临时堆放的土石方、裸露的表层浮土、易起尘的沙石建材，以及建筑材料运输和施工垃圾清理等过程。</w:t>
            </w:r>
          </w:p>
          <w:p>
            <w:pPr>
              <w:spacing w:line="360" w:lineRule="auto"/>
              <w:ind w:firstLine="480" w:firstLineChars="200"/>
              <w:rPr>
                <w:color w:val="auto"/>
                <w:sz w:val="24"/>
                <w:u w:val="none"/>
              </w:rPr>
            </w:pPr>
            <w:r>
              <w:rPr>
                <w:color w:val="auto"/>
                <w:sz w:val="24"/>
                <w:u w:val="none"/>
              </w:rPr>
              <w:t>在气候干燥有风的情况下，风力作用会产生扬尘，这类扬尘的特点是其起尘量与风速等气象条件有关，也与尘粒本身的沉降速度有关，主要影响范围在堆场扬尘点下风向近距离处，一般是在工地围栏外100m范围内。由于距离不同，其污染程度会随距离的增大呈现递减的现象：在扬尘点下风向0～50m范围内为重污染带，在50～100m为较重污染带，100～200m为轻污染带，在200m以外范围内施工扬尘对周边大气影响甚微。根据同类规模项目类比，在一般气象条件下，施工扬尘的主要影响范围为其150m内，被影响的地域TSP浓度平均值为0.49mg/</w:t>
            </w:r>
            <w:r>
              <w:rPr>
                <w:rFonts w:hint="eastAsia"/>
                <w:color w:val="auto"/>
                <w:sz w:val="24"/>
                <w:u w:val="none"/>
                <w:lang w:eastAsia="zh-CN"/>
              </w:rPr>
              <w:t>m³</w:t>
            </w:r>
            <w:r>
              <w:rPr>
                <w:color w:val="auto"/>
                <w:sz w:val="24"/>
                <w:u w:val="none"/>
              </w:rPr>
              <w:t>左右。</w:t>
            </w:r>
          </w:p>
          <w:p>
            <w:pPr>
              <w:spacing w:line="360" w:lineRule="auto"/>
              <w:ind w:firstLine="480" w:firstLineChars="200"/>
              <w:rPr>
                <w:color w:val="auto"/>
                <w:sz w:val="24"/>
                <w:u w:val="none"/>
              </w:rPr>
            </w:pPr>
            <w:r>
              <w:rPr>
                <w:color w:val="auto"/>
                <w:sz w:val="24"/>
                <w:u w:val="none"/>
              </w:rPr>
              <w:t>为尽可能降低项目建设施工期扬尘影响，建设方应当采取有效措施来尽量减少扬尘的产生，环评建议采取以下措施：</w:t>
            </w:r>
          </w:p>
          <w:p>
            <w:pPr>
              <w:spacing w:line="360" w:lineRule="auto"/>
              <w:ind w:firstLine="480" w:firstLineChars="200"/>
              <w:rPr>
                <w:color w:val="auto"/>
                <w:sz w:val="24"/>
                <w:u w:val="none"/>
              </w:rPr>
            </w:pPr>
            <w:r>
              <w:rPr>
                <w:color w:val="auto"/>
                <w:sz w:val="24"/>
                <w:u w:val="none"/>
              </w:rPr>
              <w:t>①对于建设施工阶段的车辆和机械扬尘，建议采取洒水湿法抑尘。利用洒水车对施工现场和进出道路洒水，同时在施工场地出口设置浅水池，以利于减少扬尘的产生量。</w:t>
            </w:r>
          </w:p>
          <w:p>
            <w:pPr>
              <w:spacing w:line="360" w:lineRule="auto"/>
              <w:ind w:firstLine="480" w:firstLineChars="200"/>
              <w:rPr>
                <w:color w:val="auto"/>
                <w:sz w:val="24"/>
                <w:u w:val="none"/>
              </w:rPr>
            </w:pPr>
            <w:r>
              <w:rPr>
                <w:color w:val="auto"/>
                <w:sz w:val="24"/>
                <w:u w:val="none"/>
              </w:rPr>
              <w:t>②利用道路清扫车对道路和施工区域进行清扫，洒水，保持路面湿度，减少施工粉尘和运输车辆产生的二次扬尘。当空气污染指数为80~100时，应每隔4小时保洁一次，清扫每4小时一次，洒水和清扫次数为交替进行。</w:t>
            </w:r>
          </w:p>
          <w:p>
            <w:pPr>
              <w:spacing w:line="360" w:lineRule="auto"/>
              <w:ind w:firstLine="480" w:firstLineChars="200"/>
              <w:rPr>
                <w:color w:val="auto"/>
                <w:sz w:val="24"/>
                <w:u w:val="none"/>
              </w:rPr>
            </w:pPr>
            <w:r>
              <w:rPr>
                <w:color w:val="auto"/>
                <w:sz w:val="24"/>
                <w:u w:val="none"/>
              </w:rPr>
              <w:t>③防止施工现场泥浆对周围环境影响，对出工地车辆进行全面清洗，严禁带泥上路，减缓施工粉尘对周边环境的影响。</w:t>
            </w:r>
          </w:p>
          <w:p>
            <w:pPr>
              <w:spacing w:line="360" w:lineRule="auto"/>
              <w:ind w:firstLine="480" w:firstLineChars="200"/>
              <w:rPr>
                <w:color w:val="auto"/>
                <w:sz w:val="24"/>
                <w:u w:val="none"/>
              </w:rPr>
            </w:pPr>
            <w:r>
              <w:rPr>
                <w:color w:val="auto"/>
                <w:sz w:val="24"/>
                <w:u w:val="none"/>
              </w:rPr>
              <w:t>④对于装运含尘物料的运输车辆应加盖篷布，严格控制和规范车辆运输量和方式，容易产生粉尘的物料不能够装得高过车辆两边和尾部的挡板，严格控制物料的洒落，以避免因为道路颠簸和大风天气起尘而对沿途的大气环境造成影响。</w:t>
            </w:r>
          </w:p>
          <w:p>
            <w:pPr>
              <w:spacing w:line="360" w:lineRule="auto"/>
              <w:ind w:firstLine="480" w:firstLineChars="200"/>
              <w:rPr>
                <w:color w:val="auto"/>
                <w:sz w:val="24"/>
                <w:u w:val="none"/>
              </w:rPr>
            </w:pPr>
            <w:r>
              <w:rPr>
                <w:color w:val="auto"/>
                <w:sz w:val="24"/>
                <w:u w:val="none"/>
              </w:rPr>
              <w:t>⑤在大风天气以及台风影响期因注意堆料的保护，加盖篷布密封保存，避免造成大范围的大气污染。</w:t>
            </w:r>
          </w:p>
          <w:p>
            <w:pPr>
              <w:spacing w:line="360" w:lineRule="auto"/>
              <w:ind w:firstLine="480" w:firstLineChars="200"/>
              <w:rPr>
                <w:color w:val="auto"/>
                <w:sz w:val="24"/>
                <w:u w:val="none"/>
              </w:rPr>
            </w:pPr>
            <w:r>
              <w:rPr>
                <w:color w:val="auto"/>
                <w:sz w:val="24"/>
                <w:u w:val="none"/>
              </w:rPr>
              <w:t>⑥原材料及土方运输过程中必须选择沿线敏感点少的路段，应尽量避开人口相对较稠密的地区，并且限制施工区内运输车辆的速度，将卡车在施工场地的车速减少到10km/h，其他周边区域较少至30km/h。石灰等容易飞散的物料，注意运输时必须压实，填装高度禁止超过车斗防护栏，避免洒落引起二次扬尘。砂和石灰等易洒落散装物料在装卸、使用、运输、转运和临时存放等全部过程中，必需采取防风遮盖措施，以减少扬尘。</w:t>
            </w:r>
          </w:p>
          <w:p>
            <w:pPr>
              <w:spacing w:line="360" w:lineRule="auto"/>
              <w:ind w:firstLine="480" w:firstLineChars="200"/>
              <w:rPr>
                <w:color w:val="auto"/>
                <w:sz w:val="24"/>
                <w:u w:val="none"/>
              </w:rPr>
            </w:pPr>
            <w:r>
              <w:rPr>
                <w:color w:val="auto"/>
                <w:sz w:val="24"/>
                <w:u w:val="none"/>
              </w:rPr>
              <w:t>⑦大风天气避免露天施工作业。加强施工人员的劳动保护工作，配发相应的防护装备。在施工期间，如遇四级以上的大风不得进行土方作业，对因故暂停施工的建设工程，应对施工区域裸土进行覆盖、临边洞口需有安全防护。</w:t>
            </w:r>
          </w:p>
          <w:p>
            <w:pPr>
              <w:spacing w:line="360" w:lineRule="auto"/>
              <w:ind w:firstLine="480" w:firstLineChars="200"/>
              <w:rPr>
                <w:color w:val="auto"/>
                <w:sz w:val="24"/>
                <w:u w:val="none"/>
              </w:rPr>
            </w:pPr>
            <w:r>
              <w:rPr>
                <w:color w:val="auto"/>
                <w:sz w:val="24"/>
                <w:u w:val="none"/>
              </w:rPr>
              <w:t>⑧超过2天的渣土堆、裸地以及施工场地内堆放的水泥、灰土、砂石等粉状粒状建筑材料应使用防尘布覆盖或喷涂凝固剂等方式防尘，覆盖面积为大于渣土、裸地边缘2m长为宜，所有的粉料建材必须覆盖或使用料仓密闭存放。</w:t>
            </w:r>
          </w:p>
          <w:p>
            <w:pPr>
              <w:spacing w:line="360" w:lineRule="auto"/>
              <w:ind w:firstLine="480" w:firstLineChars="200"/>
              <w:rPr>
                <w:color w:val="auto"/>
                <w:sz w:val="24"/>
                <w:u w:val="none"/>
              </w:rPr>
            </w:pPr>
            <w:r>
              <w:rPr>
                <w:color w:val="auto"/>
                <w:sz w:val="24"/>
                <w:u w:val="none"/>
              </w:rPr>
              <w:t>⑨建筑工程施工现场应当专门设置集中堆放建筑垃圾、工程渣土的场地，并在48小时内完成清运，不能按时完成清运的建筑垃圾，应采取围档、遮盖等防尘措施，不能按时完成清运的土方，应采取固化、覆盖或绿化等扬尘控制措施；生活垃圾按照环卫部门要求统一清运至指定的收集地点。</w:t>
            </w:r>
          </w:p>
          <w:p>
            <w:pPr>
              <w:pStyle w:val="11"/>
              <w:spacing w:line="360" w:lineRule="auto"/>
              <w:ind w:firstLine="480"/>
              <w:rPr>
                <w:color w:val="auto"/>
                <w:sz w:val="24"/>
                <w:u w:val="none"/>
              </w:rPr>
            </w:pPr>
            <w:r>
              <w:rPr>
                <w:color w:val="auto"/>
                <w:sz w:val="24"/>
                <w:u w:val="none"/>
              </w:rPr>
              <w:t>上述措施主要是围挡和洒水，围挡起直接阻挡扬尘飞扬的作用；洒水可降低施工扬尘的起尘量。这些防尘措施均是常用的，也是有效的。根据资料分析，洒水对控制施工扬尘很有效，特别是对施工近场（30m以内）降尘效果达60%以上，同时扬尘的影响范围也减少70%左右。严格按照上述措施治理后，拟建项目施工期扬尘污染可以减小到最低，对周边居民影响较小，措施可行。此外，该类污染具有局部性和暂时性，伴着施工期的结束也会随之消失，整体影响较小。</w:t>
            </w:r>
          </w:p>
          <w:p>
            <w:pPr>
              <w:pStyle w:val="11"/>
              <w:spacing w:line="360" w:lineRule="auto"/>
              <w:ind w:firstLine="482"/>
              <w:rPr>
                <w:b/>
                <w:bCs/>
                <w:color w:val="auto"/>
                <w:sz w:val="24"/>
                <w:u w:val="none"/>
              </w:rPr>
            </w:pPr>
            <w:r>
              <w:rPr>
                <w:b/>
                <w:bCs/>
                <w:color w:val="auto"/>
                <w:sz w:val="24"/>
                <w:u w:val="none"/>
              </w:rPr>
              <w:t>（2）施工期施工机械尾气环境保护措施</w:t>
            </w:r>
          </w:p>
          <w:p>
            <w:pPr>
              <w:pStyle w:val="11"/>
              <w:spacing w:line="360" w:lineRule="auto"/>
              <w:ind w:firstLine="480"/>
              <w:rPr>
                <w:color w:val="auto"/>
                <w:sz w:val="24"/>
                <w:u w:val="none"/>
              </w:rPr>
            </w:pPr>
            <w:r>
              <w:rPr>
                <w:color w:val="auto"/>
                <w:sz w:val="24"/>
                <w:u w:val="none"/>
              </w:rPr>
              <w:t>施工机械设备尾气主要含有CO、NOX、HC碳氢化合物等。一般大型车辆尾气污染物排放量为：CO：5.25g/辆·km，THC：20.8g/辆·km，NOx：10.44g/辆·km。</w:t>
            </w:r>
          </w:p>
          <w:p>
            <w:pPr>
              <w:pStyle w:val="11"/>
              <w:spacing w:line="360" w:lineRule="auto"/>
              <w:ind w:firstLine="480"/>
              <w:rPr>
                <w:color w:val="auto"/>
                <w:sz w:val="24"/>
                <w:u w:val="none"/>
              </w:rPr>
            </w:pPr>
            <w:r>
              <w:rPr>
                <w:color w:val="auto"/>
                <w:sz w:val="24"/>
                <w:u w:val="none"/>
              </w:rPr>
              <w:t>施工机械设备在运行时会产生一定量的燃油废气，其主要污染物为SO</w:t>
            </w:r>
            <w:r>
              <w:rPr>
                <w:color w:val="auto"/>
                <w:sz w:val="24"/>
                <w:u w:val="none"/>
                <w:vertAlign w:val="subscript"/>
              </w:rPr>
              <w:t>2</w:t>
            </w:r>
            <w:r>
              <w:rPr>
                <w:color w:val="auto"/>
                <w:sz w:val="24"/>
                <w:u w:val="none"/>
              </w:rPr>
              <w:t>、NO</w:t>
            </w:r>
            <w:r>
              <w:rPr>
                <w:color w:val="auto"/>
                <w:sz w:val="24"/>
                <w:u w:val="none"/>
                <w:vertAlign w:val="subscript"/>
              </w:rPr>
              <w:t>2</w:t>
            </w:r>
            <w:r>
              <w:rPr>
                <w:color w:val="auto"/>
                <w:sz w:val="24"/>
                <w:u w:val="none"/>
              </w:rPr>
              <w:t>、CO等物质，但由于施工工序不同，设备安放位置不一，所以该类污染源较为分散，且污染物排放量较少，在自然扩散基础上，对周边大气环境影响较小。此外，随着施工期的结束，该类污染也将随之消失。施工单位须使用污染物排放符合国家标准的施工机械设备和运输车辆，并加强操作管理和日常养护，保证施工机械设备和运输车辆处于良好的工作状态，严禁使用不合格设备和报废车辆。</w:t>
            </w:r>
          </w:p>
          <w:p>
            <w:pPr>
              <w:pStyle w:val="11"/>
              <w:spacing w:line="360" w:lineRule="auto"/>
              <w:ind w:firstLine="480"/>
              <w:rPr>
                <w:b/>
                <w:bCs/>
                <w:color w:val="auto"/>
                <w:sz w:val="24"/>
                <w:u w:val="none"/>
              </w:rPr>
            </w:pPr>
            <w:r>
              <w:rPr>
                <w:color w:val="auto"/>
                <w:sz w:val="24"/>
                <w:u w:val="none"/>
              </w:rPr>
              <w:t>综上所述，项目施工期产生的所有废气通过合理的防治措施和科学的管理后，均能得到有效的控制，对周边环境大气质量以及敏感点产生的影响较小。</w:t>
            </w:r>
          </w:p>
          <w:p>
            <w:pPr>
              <w:pStyle w:val="11"/>
              <w:spacing w:line="360" w:lineRule="auto"/>
              <w:ind w:firstLine="482"/>
              <w:rPr>
                <w:b/>
                <w:bCs/>
                <w:color w:val="auto"/>
                <w:sz w:val="24"/>
                <w:u w:val="none"/>
              </w:rPr>
            </w:pPr>
            <w:r>
              <w:rPr>
                <w:b/>
                <w:bCs/>
                <w:color w:val="auto"/>
                <w:sz w:val="24"/>
                <w:u w:val="none"/>
              </w:rPr>
              <w:t>2、施工期废水环境保护措施</w:t>
            </w:r>
          </w:p>
          <w:p>
            <w:pPr>
              <w:pStyle w:val="11"/>
              <w:spacing w:line="360" w:lineRule="auto"/>
              <w:ind w:firstLine="480"/>
              <w:rPr>
                <w:color w:val="auto"/>
                <w:sz w:val="24"/>
                <w:u w:val="none"/>
              </w:rPr>
            </w:pPr>
            <w:r>
              <w:rPr>
                <w:color w:val="auto"/>
                <w:sz w:val="24"/>
                <w:u w:val="none"/>
              </w:rPr>
              <w:t>施工废水包括结构阶段混凝土养护水、砂石料冲洗废水，以及雨水冲刷施工场地内裸露表土产生的含泥沙废水，主要污染因子为SS。施工期产生的各类施工废水应收集至沉淀池内进行沉淀，之后回用于施工及洒水抑尘使用，不外排。</w:t>
            </w:r>
          </w:p>
          <w:p>
            <w:pPr>
              <w:pStyle w:val="11"/>
              <w:spacing w:line="360" w:lineRule="auto"/>
              <w:ind w:firstLine="480"/>
              <w:rPr>
                <w:color w:val="auto"/>
                <w:sz w:val="24"/>
                <w:u w:val="none"/>
              </w:rPr>
            </w:pPr>
            <w:r>
              <w:rPr>
                <w:color w:val="auto"/>
                <w:sz w:val="24"/>
                <w:u w:val="none"/>
              </w:rPr>
              <w:t>此外，项目应尽量避免在雨季进行施工，须在施工场内开挖临时导流排水沟，需保证下雨时施工场地内的泥浆雨水得到处理；如有工程需要，可在排水口处设置格栅，截留较大的块状物。施工单位应及时做好裸露地表的硬化、绿化工作。</w:t>
            </w:r>
          </w:p>
          <w:p>
            <w:pPr>
              <w:pStyle w:val="11"/>
              <w:spacing w:line="360" w:lineRule="auto"/>
              <w:ind w:firstLine="480"/>
              <w:rPr>
                <w:color w:val="auto"/>
                <w:sz w:val="24"/>
                <w:u w:val="none"/>
              </w:rPr>
            </w:pPr>
            <w:r>
              <w:rPr>
                <w:color w:val="auto"/>
                <w:sz w:val="24"/>
                <w:u w:val="none"/>
              </w:rPr>
              <w:t>施工期生活污水经化粪池预处理后用作农肥，不外排。</w:t>
            </w:r>
          </w:p>
          <w:p>
            <w:pPr>
              <w:pStyle w:val="11"/>
              <w:spacing w:line="360" w:lineRule="auto"/>
              <w:ind w:firstLine="480"/>
              <w:rPr>
                <w:color w:val="auto"/>
                <w:sz w:val="24"/>
                <w:u w:val="none"/>
              </w:rPr>
            </w:pPr>
            <w:r>
              <w:rPr>
                <w:color w:val="auto"/>
                <w:sz w:val="24"/>
                <w:u w:val="none"/>
              </w:rPr>
              <w:t>采取如上防治措施后，项目施工期产生的施工废水及车辆冲洗废均能得到有序的处理，不会对周边水环境造成太大的影响。</w:t>
            </w:r>
          </w:p>
          <w:p>
            <w:pPr>
              <w:pStyle w:val="11"/>
              <w:spacing w:line="360" w:lineRule="auto"/>
              <w:ind w:firstLine="482"/>
              <w:rPr>
                <w:b/>
                <w:bCs/>
                <w:color w:val="auto"/>
                <w:sz w:val="24"/>
                <w:u w:val="none"/>
              </w:rPr>
            </w:pPr>
            <w:r>
              <w:rPr>
                <w:b/>
                <w:bCs/>
                <w:color w:val="auto"/>
                <w:sz w:val="24"/>
                <w:u w:val="none"/>
              </w:rPr>
              <w:t>3、施工期噪声环境保护措施</w:t>
            </w:r>
          </w:p>
          <w:p>
            <w:pPr>
              <w:pStyle w:val="11"/>
              <w:spacing w:line="360" w:lineRule="auto"/>
              <w:ind w:firstLine="480"/>
              <w:rPr>
                <w:color w:val="auto"/>
                <w:sz w:val="24"/>
                <w:u w:val="none"/>
              </w:rPr>
            </w:pPr>
            <w:r>
              <w:rPr>
                <w:color w:val="auto"/>
                <w:sz w:val="24"/>
                <w:u w:val="none"/>
              </w:rPr>
              <w:t>施工场地噪声主要是施工机场设备噪声、运输车辆噪声、物料装卸碰撞噪声。由于施工阶段一般为露天作业，无隔声与减震措施，故噪声传播范围较远，影响面较大。由于施工场地高噪声施工机械较多，各施工阶段均有较多的机械设备于现场运行，单体设备声源声级一般为90dB(A)左右。</w:t>
            </w:r>
            <w:r>
              <w:rPr>
                <w:color w:val="auto"/>
                <w:kern w:val="0"/>
                <w:sz w:val="24"/>
                <w:u w:val="none"/>
              </w:rPr>
              <w:t>施工期噪声影响具有一定的暂时性和间歇性，随着施工期的结束，相应的噪声问题也会随之消失。</w:t>
            </w:r>
          </w:p>
          <w:p>
            <w:pPr>
              <w:pStyle w:val="11"/>
              <w:spacing w:line="360" w:lineRule="auto"/>
              <w:ind w:firstLine="480"/>
              <w:rPr>
                <w:color w:val="auto"/>
                <w:sz w:val="24"/>
                <w:u w:val="none"/>
              </w:rPr>
            </w:pPr>
            <w:r>
              <w:rPr>
                <w:color w:val="auto"/>
                <w:sz w:val="24"/>
                <w:u w:val="none"/>
              </w:rPr>
              <w:t>本环评要求建设单位采取以下防治措施降低施工噪声对周边环境的影响：</w:t>
            </w:r>
          </w:p>
          <w:p>
            <w:pPr>
              <w:adjustRightInd w:val="0"/>
              <w:spacing w:line="360" w:lineRule="auto"/>
              <w:ind w:firstLine="480" w:firstLineChars="200"/>
              <w:rPr>
                <w:color w:val="auto"/>
                <w:kern w:val="0"/>
                <w:sz w:val="24"/>
                <w:u w:val="none"/>
              </w:rPr>
            </w:pPr>
            <w:r>
              <w:rPr>
                <w:color w:val="auto"/>
                <w:kern w:val="0"/>
                <w:sz w:val="24"/>
                <w:u w:val="none"/>
              </w:rPr>
              <w:t>（1）严格遵守</w:t>
            </w:r>
            <w:r>
              <w:rPr>
                <w:color w:val="auto"/>
                <w:kern w:val="0"/>
                <w:sz w:val="24"/>
                <w:u w:val="none"/>
                <w:lang w:val="zh-CN"/>
              </w:rPr>
              <w:t>工程所在地环境保护行政主管部门</w:t>
            </w:r>
            <w:r>
              <w:rPr>
                <w:color w:val="auto"/>
                <w:kern w:val="0"/>
                <w:sz w:val="24"/>
                <w:u w:val="none"/>
              </w:rPr>
              <w:t>对建筑施工的有关规定和《建筑施工场界环境噪声排放标准》(GB12523-2011)中的有关要求。合理安排施工时间和加强对一线操作人员的环境保护意识教育来控制。并且必须在</w:t>
            </w:r>
            <w:r>
              <w:rPr>
                <w:color w:val="auto"/>
                <w:kern w:val="0"/>
                <w:sz w:val="24"/>
                <w:u w:val="none"/>
                <w:lang w:val="zh-CN"/>
              </w:rPr>
              <w:t>工程所在地环境保护行政主管部门</w:t>
            </w:r>
            <w:r>
              <w:rPr>
                <w:color w:val="auto"/>
                <w:kern w:val="0"/>
                <w:sz w:val="24"/>
                <w:u w:val="none"/>
              </w:rPr>
              <w:t>登记备案，要求施工单位必须预先申请获批准后方可按申请要求施工，不得擅自更改。</w:t>
            </w:r>
          </w:p>
          <w:p>
            <w:pPr>
              <w:adjustRightInd w:val="0"/>
              <w:spacing w:line="360" w:lineRule="auto"/>
              <w:ind w:firstLine="480" w:firstLineChars="200"/>
              <w:rPr>
                <w:color w:val="auto"/>
                <w:kern w:val="0"/>
                <w:sz w:val="24"/>
                <w:u w:val="none"/>
              </w:rPr>
            </w:pPr>
            <w:r>
              <w:rPr>
                <w:color w:val="auto"/>
                <w:kern w:val="0"/>
                <w:sz w:val="24"/>
                <w:u w:val="none"/>
              </w:rPr>
              <w:t>（2）施工过程要注意对该居民点的保护，合理布局高噪声施工设备，高噪声施工设备尽量远离居民点，在不影响居民休息的时间段进行高噪声设备的使用。</w:t>
            </w:r>
          </w:p>
          <w:p>
            <w:pPr>
              <w:adjustRightInd w:val="0"/>
              <w:spacing w:line="360" w:lineRule="auto"/>
              <w:ind w:firstLine="480" w:firstLineChars="200"/>
              <w:rPr>
                <w:color w:val="auto"/>
                <w:kern w:val="0"/>
                <w:sz w:val="24"/>
                <w:u w:val="none"/>
              </w:rPr>
            </w:pPr>
            <w:r>
              <w:rPr>
                <w:color w:val="auto"/>
                <w:kern w:val="0"/>
                <w:sz w:val="24"/>
                <w:u w:val="none"/>
              </w:rPr>
              <w:t>（3）对产生高噪声的设备，建议在其外加盖简易棚。</w:t>
            </w:r>
          </w:p>
          <w:p>
            <w:pPr>
              <w:adjustRightInd w:val="0"/>
              <w:spacing w:line="360" w:lineRule="auto"/>
              <w:ind w:firstLine="480" w:firstLineChars="200"/>
              <w:rPr>
                <w:color w:val="auto"/>
                <w:kern w:val="0"/>
                <w:sz w:val="24"/>
                <w:u w:val="none"/>
              </w:rPr>
            </w:pPr>
            <w:r>
              <w:rPr>
                <w:color w:val="auto"/>
                <w:kern w:val="0"/>
                <w:sz w:val="24"/>
                <w:u w:val="none"/>
              </w:rPr>
              <w:t>（4）合理设计施工总平面布置图，将高噪声设备尽量布置在项目区中间远离厂界的位置。</w:t>
            </w:r>
          </w:p>
          <w:p>
            <w:pPr>
              <w:adjustRightInd w:val="0"/>
              <w:spacing w:line="360" w:lineRule="auto"/>
              <w:ind w:firstLine="480" w:firstLineChars="200"/>
              <w:rPr>
                <w:color w:val="auto"/>
                <w:kern w:val="0"/>
                <w:sz w:val="24"/>
                <w:u w:val="none"/>
              </w:rPr>
            </w:pPr>
            <w:r>
              <w:rPr>
                <w:color w:val="auto"/>
                <w:kern w:val="0"/>
                <w:sz w:val="24"/>
                <w:u w:val="none"/>
              </w:rPr>
              <w:t>（5）对钢管、摸板等构件装卸、搬运应该轻拿轻放，严禁抛掷，并辅以一定的减缓措施，如铺设草包等。</w:t>
            </w:r>
          </w:p>
          <w:p>
            <w:pPr>
              <w:adjustRightInd w:val="0"/>
              <w:spacing w:line="360" w:lineRule="auto"/>
              <w:ind w:firstLine="480" w:firstLineChars="200"/>
              <w:rPr>
                <w:color w:val="auto"/>
                <w:kern w:val="0"/>
                <w:sz w:val="24"/>
                <w:u w:val="none"/>
              </w:rPr>
            </w:pPr>
            <w:r>
              <w:rPr>
                <w:color w:val="auto"/>
                <w:kern w:val="0"/>
                <w:sz w:val="24"/>
                <w:u w:val="none"/>
              </w:rPr>
              <w:t>（6）对动力机械设备定期进行维修和养护，避免因松动部件振动或减震器损坏而增大设备工作时的声级。</w:t>
            </w:r>
          </w:p>
          <w:p>
            <w:pPr>
              <w:adjustRightInd w:val="0"/>
              <w:spacing w:line="360" w:lineRule="auto"/>
              <w:ind w:firstLine="480" w:firstLineChars="200"/>
              <w:rPr>
                <w:color w:val="auto"/>
                <w:kern w:val="0"/>
                <w:sz w:val="24"/>
                <w:u w:val="none"/>
              </w:rPr>
            </w:pPr>
            <w:r>
              <w:rPr>
                <w:color w:val="auto"/>
                <w:kern w:val="0"/>
                <w:sz w:val="24"/>
                <w:u w:val="none"/>
              </w:rPr>
              <w:t>（7）运输车辆在进入施工区附近区域后，要适当降低车速，禁止鸣笛。</w:t>
            </w:r>
          </w:p>
          <w:p>
            <w:pPr>
              <w:adjustRightInd w:val="0"/>
              <w:spacing w:line="360" w:lineRule="auto"/>
              <w:ind w:firstLine="480" w:firstLineChars="200"/>
              <w:rPr>
                <w:color w:val="auto"/>
                <w:kern w:val="0"/>
                <w:sz w:val="24"/>
                <w:u w:val="none"/>
              </w:rPr>
            </w:pPr>
            <w:r>
              <w:rPr>
                <w:color w:val="auto"/>
                <w:kern w:val="0"/>
                <w:sz w:val="24"/>
                <w:u w:val="none"/>
              </w:rPr>
              <w:t>（8）为保证施工现场附近居民的夜间休息，噪声大的施工机械在夜间22∶00~06∶00时停止施工，如因工艺需要夜间连续施工，必须与周边居民协商。应设禁鸣和限速标志，车辆夜间通过时速度应小于30km/h。</w:t>
            </w:r>
          </w:p>
          <w:p>
            <w:pPr>
              <w:pStyle w:val="11"/>
              <w:spacing w:line="360" w:lineRule="auto"/>
              <w:ind w:firstLine="480"/>
              <w:rPr>
                <w:color w:val="auto"/>
                <w:sz w:val="24"/>
                <w:u w:val="none"/>
              </w:rPr>
            </w:pPr>
            <w:r>
              <w:rPr>
                <w:color w:val="auto"/>
                <w:kern w:val="0"/>
                <w:sz w:val="24"/>
                <w:u w:val="none"/>
              </w:rPr>
              <w:t>通过采取以上噪声防治措施后，施工期产生的噪声影响将会的得到有效的控制和缓减。同时，</w:t>
            </w:r>
            <w:r>
              <w:rPr>
                <w:color w:val="auto"/>
                <w:sz w:val="24"/>
                <w:u w:val="none"/>
              </w:rPr>
              <w:t>由于噪声具有阶段性、临时性和不固定性，随着工作阶段的不同，其影响也不同。由于施工期噪声是阶段性的，随着施工期的结束，噪声的影响也将结束。故业主方应抓紧开展施工，在符合工程质量要求的前提下，尽量缩短将影响周期。随着施工的结束，施工噪声也会自行结束。由于本项目设备安装施工时间不长，对周围环境影响较小。</w:t>
            </w:r>
          </w:p>
          <w:p>
            <w:pPr>
              <w:pStyle w:val="11"/>
              <w:spacing w:line="360" w:lineRule="auto"/>
              <w:ind w:firstLine="482"/>
              <w:rPr>
                <w:b/>
                <w:bCs/>
                <w:color w:val="auto"/>
                <w:sz w:val="24"/>
                <w:u w:val="none"/>
              </w:rPr>
            </w:pPr>
            <w:r>
              <w:rPr>
                <w:b/>
                <w:bCs/>
                <w:color w:val="auto"/>
                <w:sz w:val="24"/>
                <w:u w:val="none"/>
              </w:rPr>
              <w:t>4、施工期固体废物环境保护措施</w:t>
            </w:r>
          </w:p>
          <w:p>
            <w:pPr>
              <w:pStyle w:val="11"/>
              <w:spacing w:line="360" w:lineRule="auto"/>
              <w:ind w:firstLine="480"/>
              <w:rPr>
                <w:color w:val="auto"/>
                <w:sz w:val="24"/>
                <w:highlight w:val="none"/>
                <w:u w:val="none"/>
              </w:rPr>
            </w:pPr>
            <w:r>
              <w:rPr>
                <w:color w:val="auto"/>
                <w:sz w:val="24"/>
                <w:highlight w:val="none"/>
                <w:u w:val="none"/>
              </w:rPr>
              <w:t>施工期产生的固体废物主要为建筑垃圾和生活垃圾。建筑垃圾主要</w:t>
            </w:r>
            <w:r>
              <w:rPr>
                <w:rFonts w:hint="eastAsia"/>
                <w:color w:val="auto"/>
                <w:sz w:val="24"/>
                <w:highlight w:val="none"/>
                <w:u w:val="none"/>
                <w:lang w:eastAsia="zh-CN"/>
              </w:rPr>
              <w:t>来自施工过程中产生的</w:t>
            </w:r>
            <w:r>
              <w:rPr>
                <w:color w:val="auto"/>
                <w:sz w:val="24"/>
                <w:highlight w:val="none"/>
                <w:u w:val="none"/>
              </w:rPr>
              <w:t>弃料、余泥等。</w:t>
            </w:r>
            <w:r>
              <w:rPr>
                <w:rFonts w:hint="eastAsia"/>
                <w:color w:val="auto"/>
                <w:sz w:val="24"/>
                <w:highlight w:val="none"/>
                <w:u w:val="none"/>
                <w:lang w:eastAsia="zh-CN"/>
              </w:rPr>
              <w:t>施工过程中产生的</w:t>
            </w:r>
            <w:r>
              <w:rPr>
                <w:color w:val="auto"/>
                <w:sz w:val="24"/>
                <w:highlight w:val="none"/>
                <w:u w:val="none"/>
              </w:rPr>
              <w:t>弃料、余泥等</w:t>
            </w:r>
            <w:r>
              <w:rPr>
                <w:rFonts w:hint="eastAsia"/>
                <w:color w:val="auto"/>
                <w:sz w:val="24"/>
                <w:highlight w:val="none"/>
                <w:u w:val="none"/>
                <w:lang w:eastAsia="zh-CN"/>
              </w:rPr>
              <w:t>可以回用于砖厂做砖</w:t>
            </w:r>
            <w:r>
              <w:rPr>
                <w:rFonts w:hint="eastAsia"/>
                <w:color w:val="auto"/>
                <w:sz w:val="24"/>
                <w:highlight w:val="none"/>
                <w:u w:val="none"/>
                <w:lang w:val="en-US" w:eastAsia="zh-CN"/>
              </w:rPr>
              <w:t>。</w:t>
            </w:r>
            <w:r>
              <w:rPr>
                <w:color w:val="auto"/>
                <w:sz w:val="24"/>
                <w:highlight w:val="none"/>
                <w:u w:val="none"/>
              </w:rPr>
              <w:t>施工人员生活垃圾产生量约为5kg/d，不得随意丢弃，应集中存放，由环卫部门定期清理。</w:t>
            </w:r>
          </w:p>
          <w:p>
            <w:pPr>
              <w:pStyle w:val="11"/>
              <w:spacing w:line="360" w:lineRule="auto"/>
              <w:ind w:firstLine="480"/>
              <w:rPr>
                <w:color w:val="auto"/>
                <w:sz w:val="24"/>
                <w:highlight w:val="none"/>
                <w:u w:val="none"/>
              </w:rPr>
            </w:pPr>
            <w:r>
              <w:rPr>
                <w:color w:val="auto"/>
                <w:sz w:val="24"/>
                <w:highlight w:val="none"/>
                <w:u w:val="none"/>
              </w:rPr>
              <w:t>为了防止施工期固体废物造成的污染，环评建议采取如下措施：</w:t>
            </w:r>
          </w:p>
          <w:p>
            <w:pPr>
              <w:pStyle w:val="11"/>
              <w:spacing w:line="360" w:lineRule="auto"/>
              <w:ind w:firstLine="480"/>
              <w:rPr>
                <w:color w:val="auto"/>
                <w:sz w:val="24"/>
                <w:highlight w:val="none"/>
                <w:u w:val="none"/>
              </w:rPr>
            </w:pPr>
            <w:r>
              <w:rPr>
                <w:color w:val="auto"/>
                <w:sz w:val="24"/>
                <w:highlight w:val="none"/>
                <w:u w:val="none"/>
              </w:rPr>
              <w:t>（1）根据《城市建筑垃圾管理规定》（建设部令第139号）有关规定，建设单位和施工单位要重视建筑垃圾的管理，采取积极措施防止其对环境的污染。</w:t>
            </w:r>
          </w:p>
          <w:p>
            <w:pPr>
              <w:pStyle w:val="11"/>
              <w:spacing w:line="360" w:lineRule="auto"/>
              <w:ind w:firstLine="480"/>
              <w:rPr>
                <w:color w:val="auto"/>
                <w:sz w:val="24"/>
                <w:highlight w:val="none"/>
                <w:u w:val="none"/>
              </w:rPr>
            </w:pPr>
            <w:r>
              <w:rPr>
                <w:color w:val="auto"/>
                <w:sz w:val="24"/>
                <w:highlight w:val="none"/>
                <w:u w:val="none"/>
              </w:rPr>
              <w:t>（2）对施工期间产生的建筑垃圾进行分类收集、分类暂存，能够回收利用的尽量回收综合利用，以节约宝贵的资源。</w:t>
            </w:r>
          </w:p>
          <w:p>
            <w:pPr>
              <w:pStyle w:val="11"/>
              <w:spacing w:line="360" w:lineRule="auto"/>
              <w:ind w:firstLine="480"/>
              <w:rPr>
                <w:color w:val="auto"/>
                <w:sz w:val="24"/>
                <w:highlight w:val="none"/>
                <w:u w:val="none"/>
              </w:rPr>
            </w:pPr>
            <w:r>
              <w:rPr>
                <w:color w:val="auto"/>
                <w:sz w:val="24"/>
                <w:highlight w:val="none"/>
                <w:u w:val="none"/>
              </w:rPr>
              <w:t>（3）对建筑垃圾进行收集并固定地点集中暂存，尽量缩短暂存的时间，争取日产日清。同时要做好建筑垃圾暂存点的防护工作，及时进行覆盖，避免风吹、雨淋散失或流失。</w:t>
            </w:r>
          </w:p>
          <w:p>
            <w:pPr>
              <w:pStyle w:val="11"/>
              <w:spacing w:line="360" w:lineRule="auto"/>
              <w:ind w:firstLine="480"/>
              <w:rPr>
                <w:color w:val="auto"/>
                <w:sz w:val="24"/>
                <w:highlight w:val="none"/>
                <w:u w:val="none"/>
              </w:rPr>
            </w:pPr>
            <w:r>
              <w:rPr>
                <w:color w:val="auto"/>
                <w:sz w:val="24"/>
                <w:highlight w:val="none"/>
                <w:u w:val="none"/>
              </w:rPr>
              <w:t>（4）施工人员生活垃圾收集后由环卫部门统一收集处理，采用</w:t>
            </w:r>
            <w:r>
              <w:rPr>
                <w:rFonts w:hint="eastAsia" w:ascii="宋体" w:hAnsi="宋体" w:cs="宋体"/>
                <w:color w:val="auto"/>
                <w:sz w:val="24"/>
                <w:highlight w:val="none"/>
                <w:u w:val="none"/>
              </w:rPr>
              <w:t>“村收集、镇转运、县处置”</w:t>
            </w:r>
            <w:r>
              <w:rPr>
                <w:color w:val="auto"/>
                <w:sz w:val="24"/>
                <w:highlight w:val="none"/>
                <w:u w:val="none"/>
              </w:rPr>
              <w:t>的原则进行处理。</w:t>
            </w:r>
          </w:p>
          <w:p>
            <w:pPr>
              <w:pStyle w:val="11"/>
              <w:spacing w:line="360" w:lineRule="auto"/>
              <w:ind w:firstLine="480"/>
              <w:rPr>
                <w:color w:val="auto"/>
                <w:sz w:val="24"/>
                <w:highlight w:val="none"/>
                <w:u w:val="none"/>
              </w:rPr>
            </w:pPr>
            <w:r>
              <w:rPr>
                <w:color w:val="auto"/>
                <w:sz w:val="24"/>
                <w:highlight w:val="none"/>
                <w:u w:val="none"/>
              </w:rPr>
              <w:t>（5）施工单位不准将各种固体废物随意丢弃和随意排放。</w:t>
            </w:r>
          </w:p>
          <w:p>
            <w:pPr>
              <w:pStyle w:val="11"/>
              <w:spacing w:line="360" w:lineRule="auto"/>
              <w:ind w:firstLine="480"/>
              <w:rPr>
                <w:color w:val="auto"/>
                <w:sz w:val="24"/>
                <w:highlight w:val="none"/>
                <w:u w:val="none"/>
              </w:rPr>
            </w:pPr>
            <w:r>
              <w:rPr>
                <w:color w:val="auto"/>
                <w:sz w:val="24"/>
                <w:highlight w:val="none"/>
                <w:u w:val="none"/>
              </w:rPr>
              <w:t>（6）车辆运输散体物和废弃物时，必须密封、覆盖，不得沿途撒漏；运载土方的车辆必须在规定的时间内，按指定路段行驶。</w:t>
            </w:r>
          </w:p>
          <w:p>
            <w:pPr>
              <w:pStyle w:val="11"/>
              <w:spacing w:line="360" w:lineRule="auto"/>
              <w:ind w:firstLine="480"/>
              <w:rPr>
                <w:color w:val="auto"/>
                <w:sz w:val="24"/>
                <w:highlight w:val="none"/>
                <w:u w:val="none"/>
              </w:rPr>
            </w:pPr>
            <w:r>
              <w:rPr>
                <w:color w:val="auto"/>
                <w:sz w:val="24"/>
                <w:highlight w:val="none"/>
                <w:u w:val="none"/>
              </w:rPr>
              <w:t>（7）对场地挖掘产生的土方应切实按照规划要求用于场地回填及绿地铺设，并尽快利用以减少堆存时间，以免因长期堆积而产生二次污染。</w:t>
            </w:r>
          </w:p>
          <w:p>
            <w:pPr>
              <w:pStyle w:val="11"/>
              <w:spacing w:line="360" w:lineRule="auto"/>
              <w:ind w:firstLine="480"/>
              <w:rPr>
                <w:color w:val="auto"/>
                <w:sz w:val="24"/>
                <w:highlight w:val="none"/>
                <w:u w:val="none"/>
              </w:rPr>
            </w:pPr>
            <w:r>
              <w:rPr>
                <w:color w:val="auto"/>
                <w:sz w:val="24"/>
                <w:highlight w:val="none"/>
                <w:u w:val="none"/>
              </w:rPr>
              <w:t>通过以上措施处理，固体废物污染可得到有效控制，并避免二次污染的产生，措施可行。</w:t>
            </w:r>
          </w:p>
          <w:p>
            <w:pPr>
              <w:pStyle w:val="11"/>
              <w:spacing w:line="360" w:lineRule="auto"/>
              <w:ind w:firstLine="482"/>
              <w:rPr>
                <w:b/>
                <w:bCs/>
                <w:color w:val="auto"/>
                <w:sz w:val="24"/>
                <w:u w:val="none"/>
              </w:rPr>
            </w:pPr>
            <w:r>
              <w:rPr>
                <w:b/>
                <w:bCs/>
                <w:color w:val="auto"/>
                <w:sz w:val="24"/>
                <w:u w:val="none"/>
              </w:rPr>
              <w:t>5、水土流失环境保护措施</w:t>
            </w:r>
          </w:p>
          <w:p>
            <w:pPr>
              <w:pStyle w:val="11"/>
              <w:spacing w:line="360" w:lineRule="auto"/>
              <w:ind w:firstLine="480"/>
              <w:rPr>
                <w:color w:val="auto"/>
                <w:sz w:val="24"/>
                <w:u w:val="none"/>
              </w:rPr>
            </w:pPr>
            <w:r>
              <w:rPr>
                <w:color w:val="auto"/>
                <w:sz w:val="24"/>
                <w:u w:val="none"/>
              </w:rPr>
              <w:t>随着施工场地开挖、填方、平整、取土弃土等行为，均会造成土壤剥离、破坏原有硬化地面和地表植被。如果施工过程中大量的土石方随意堆放，无防洪措施，遇有暴雨冲刷，易产生雨水冲蚀流失。</w:t>
            </w:r>
          </w:p>
          <w:p>
            <w:pPr>
              <w:pStyle w:val="11"/>
              <w:spacing w:line="360" w:lineRule="auto"/>
              <w:ind w:firstLine="480"/>
              <w:rPr>
                <w:color w:val="auto"/>
                <w:sz w:val="24"/>
                <w:u w:val="none"/>
              </w:rPr>
            </w:pPr>
            <w:r>
              <w:rPr>
                <w:color w:val="auto"/>
                <w:sz w:val="24"/>
                <w:u w:val="none"/>
              </w:rPr>
              <w:t>为避免水土流失对项目区及周边环境的影响，施工期需采取必要水土保持措施，具体如下：</w:t>
            </w:r>
          </w:p>
          <w:p>
            <w:pPr>
              <w:pStyle w:val="11"/>
              <w:spacing w:line="360" w:lineRule="auto"/>
              <w:ind w:firstLine="480"/>
              <w:rPr>
                <w:color w:val="auto"/>
                <w:sz w:val="24"/>
                <w:u w:val="none"/>
              </w:rPr>
            </w:pPr>
            <w:r>
              <w:rPr>
                <w:color w:val="auto"/>
                <w:sz w:val="24"/>
                <w:u w:val="none"/>
              </w:rPr>
              <w:t>（1）充分利用少雨季节施工，降雨量少，可大幅度减少水土流失量；</w:t>
            </w:r>
          </w:p>
          <w:p>
            <w:pPr>
              <w:pStyle w:val="11"/>
              <w:spacing w:line="360" w:lineRule="auto"/>
              <w:ind w:firstLine="480"/>
              <w:rPr>
                <w:color w:val="auto"/>
                <w:sz w:val="24"/>
                <w:u w:val="none"/>
              </w:rPr>
            </w:pPr>
            <w:r>
              <w:rPr>
                <w:color w:val="auto"/>
                <w:sz w:val="24"/>
                <w:u w:val="none"/>
              </w:rPr>
              <w:t>（2）施工开挖中裸露地面，在雨水冲蚀下，极易产生水土流失，因此，在开挖前应做好施工围堰；做好分级开挖，分级防护；</w:t>
            </w:r>
          </w:p>
          <w:p>
            <w:pPr>
              <w:pStyle w:val="11"/>
              <w:spacing w:line="360" w:lineRule="auto"/>
              <w:ind w:firstLine="480"/>
              <w:rPr>
                <w:color w:val="auto"/>
                <w:sz w:val="24"/>
                <w:u w:val="none"/>
              </w:rPr>
            </w:pPr>
            <w:r>
              <w:rPr>
                <w:color w:val="auto"/>
                <w:sz w:val="24"/>
                <w:u w:val="none"/>
              </w:rPr>
              <w:t>（3）土方填筑时应边上料边碾压，不让疏松土料上堤后搁置，碾压密实的土壤在水流作用下流失量远小于疏松土；土方填筑完成后，应及时进行衬砌或草皮护坡，不让裸露面暴露久置；</w:t>
            </w:r>
          </w:p>
          <w:p>
            <w:pPr>
              <w:pStyle w:val="11"/>
              <w:spacing w:line="360" w:lineRule="auto"/>
              <w:ind w:firstLine="480"/>
              <w:rPr>
                <w:color w:val="auto"/>
                <w:sz w:val="24"/>
                <w:u w:val="none"/>
              </w:rPr>
            </w:pPr>
            <w:r>
              <w:rPr>
                <w:color w:val="auto"/>
                <w:sz w:val="24"/>
                <w:u w:val="none"/>
              </w:rPr>
              <w:t>（4）施工期临时土方堆场在雨季易造成水土流失，因此临时弃土堆场应做好防护工程，由专业清运部门及时清运至指定地点；</w:t>
            </w:r>
          </w:p>
          <w:p>
            <w:pPr>
              <w:pStyle w:val="11"/>
              <w:spacing w:line="360" w:lineRule="auto"/>
              <w:ind w:firstLine="480"/>
              <w:rPr>
                <w:color w:val="auto"/>
                <w:sz w:val="24"/>
                <w:u w:val="none"/>
              </w:rPr>
            </w:pPr>
            <w:r>
              <w:rPr>
                <w:color w:val="auto"/>
                <w:sz w:val="24"/>
                <w:u w:val="none"/>
              </w:rPr>
              <w:t>（5）进出施工场地的运输道路必须进行硬化，且在出入口处挖设浅沟，对来往的车辆车轮进行冲洗，避免将施工场地内的泥沙带出场外。施工完毕后项目区内裸露的空地应及时进行绿化，通过植树种草，美化环境，保持水土；</w:t>
            </w:r>
          </w:p>
          <w:p>
            <w:pPr>
              <w:pStyle w:val="11"/>
              <w:spacing w:line="360" w:lineRule="auto"/>
              <w:ind w:firstLine="480"/>
              <w:rPr>
                <w:color w:val="auto"/>
                <w:sz w:val="24"/>
                <w:u w:val="none"/>
              </w:rPr>
            </w:pPr>
            <w:r>
              <w:rPr>
                <w:color w:val="auto"/>
                <w:sz w:val="24"/>
                <w:u w:val="none"/>
              </w:rPr>
              <w:t>（6）合理安排施工进度，统筹规划，施工应分片分区进行，对暂时不进行施工的地块保护其原有植被，防止大片地表裸露，造成水土流失。</w:t>
            </w:r>
          </w:p>
          <w:p>
            <w:pPr>
              <w:pStyle w:val="11"/>
              <w:spacing w:line="360" w:lineRule="auto"/>
              <w:ind w:firstLine="480"/>
              <w:rPr>
                <w:color w:val="auto"/>
                <w:sz w:val="24"/>
                <w:u w:val="none"/>
              </w:rPr>
            </w:pPr>
            <w:r>
              <w:rPr>
                <w:color w:val="auto"/>
                <w:sz w:val="24"/>
                <w:u w:val="none"/>
              </w:rPr>
              <w:t>通过采取以上措施，施工期的水土流失影响将大大减小，且施工场的水土流失多发生在施工前期，随着施工期的进展，水土流失现象将大大减小，其影响也将逐渐减弱。</w:t>
            </w:r>
          </w:p>
          <w:p>
            <w:pPr>
              <w:pStyle w:val="11"/>
              <w:spacing w:line="360" w:lineRule="auto"/>
              <w:ind w:firstLine="482"/>
              <w:rPr>
                <w:rFonts w:hint="eastAsia" w:eastAsia="宋体"/>
                <w:b/>
                <w:bCs/>
                <w:color w:val="auto"/>
                <w:sz w:val="24"/>
                <w:u w:val="none"/>
                <w:lang w:eastAsia="zh-CN"/>
              </w:rPr>
            </w:pPr>
            <w:r>
              <w:rPr>
                <w:b/>
                <w:bCs/>
                <w:color w:val="auto"/>
                <w:sz w:val="24"/>
                <w:u w:val="none"/>
              </w:rPr>
              <w:t>6、施工期环境影响分析总结论</w:t>
            </w:r>
          </w:p>
          <w:p>
            <w:pPr>
              <w:pStyle w:val="11"/>
              <w:spacing w:line="360" w:lineRule="auto"/>
              <w:ind w:firstLine="480"/>
              <w:rPr>
                <w:color w:val="auto"/>
                <w:sz w:val="24"/>
                <w:u w:val="none"/>
              </w:rPr>
            </w:pPr>
            <w:r>
              <w:rPr>
                <w:color w:val="auto"/>
                <w:sz w:val="24"/>
                <w:u w:val="none"/>
              </w:rPr>
              <w:t>施工期污染源主要是扬尘、施工废水、施工噪声、建筑垃圾、施工人员产生的生活污染源及施工引起的水土流失。在落实本次环评提出的措施的前提下，项目施工扬尘可以得到有效控制能够达标排放，废水均能综合利用不外排，施工场地场界噪声能够达标排放，水土流失量可以大大降低。同时环评建议建设单位需加强与周边居民的沟通，并做好施工期现场公示工作，避免在周边居民不知情的情况进行开工建设，在落实以上要求的前提下，项目施工期对外环境的影响较小。</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760" w:type="dxa"/>
            <w:noWrap w:val="0"/>
            <w:tcMar>
              <w:left w:w="28" w:type="dxa"/>
              <w:right w:w="28" w:type="dxa"/>
            </w:tcMar>
            <w:vAlign w:val="center"/>
          </w:tcPr>
          <w:p>
            <w:pPr>
              <w:adjustRightInd w:val="0"/>
              <w:snapToGrid w:val="0"/>
              <w:jc w:val="center"/>
              <w:rPr>
                <w:bCs/>
                <w:color w:val="auto"/>
                <w:sz w:val="24"/>
                <w:u w:val="none"/>
              </w:rPr>
            </w:pPr>
            <w:r>
              <w:rPr>
                <w:bCs/>
                <w:color w:val="auto"/>
                <w:sz w:val="24"/>
                <w:u w:val="none"/>
              </w:rPr>
              <w:t>运营</w:t>
            </w:r>
          </w:p>
          <w:p>
            <w:pPr>
              <w:adjustRightInd w:val="0"/>
              <w:snapToGrid w:val="0"/>
              <w:jc w:val="center"/>
              <w:rPr>
                <w:bCs/>
                <w:color w:val="auto"/>
                <w:sz w:val="24"/>
                <w:u w:val="none"/>
              </w:rPr>
            </w:pPr>
            <w:r>
              <w:rPr>
                <w:bCs/>
                <w:color w:val="auto"/>
                <w:sz w:val="24"/>
                <w:u w:val="none"/>
              </w:rPr>
              <w:t>期环</w:t>
            </w:r>
          </w:p>
          <w:p>
            <w:pPr>
              <w:adjustRightInd w:val="0"/>
              <w:snapToGrid w:val="0"/>
              <w:jc w:val="center"/>
              <w:rPr>
                <w:bCs/>
                <w:color w:val="auto"/>
                <w:sz w:val="24"/>
                <w:u w:val="none"/>
              </w:rPr>
            </w:pPr>
            <w:r>
              <w:rPr>
                <w:bCs/>
                <w:color w:val="auto"/>
                <w:sz w:val="24"/>
                <w:u w:val="none"/>
              </w:rPr>
              <w:t>境影</w:t>
            </w:r>
          </w:p>
          <w:p>
            <w:pPr>
              <w:adjustRightInd w:val="0"/>
              <w:snapToGrid w:val="0"/>
              <w:jc w:val="center"/>
              <w:rPr>
                <w:bCs/>
                <w:color w:val="auto"/>
                <w:sz w:val="24"/>
                <w:u w:val="none"/>
              </w:rPr>
            </w:pPr>
            <w:r>
              <w:rPr>
                <w:bCs/>
                <w:color w:val="auto"/>
                <w:sz w:val="24"/>
                <w:u w:val="none"/>
              </w:rPr>
              <w:t>响和</w:t>
            </w:r>
          </w:p>
          <w:p>
            <w:pPr>
              <w:adjustRightInd w:val="0"/>
              <w:snapToGrid w:val="0"/>
              <w:jc w:val="center"/>
              <w:rPr>
                <w:bCs/>
                <w:color w:val="auto"/>
                <w:sz w:val="24"/>
                <w:u w:val="none"/>
              </w:rPr>
            </w:pPr>
            <w:r>
              <w:rPr>
                <w:bCs/>
                <w:color w:val="auto"/>
                <w:sz w:val="24"/>
                <w:u w:val="none"/>
              </w:rPr>
              <w:t>保护</w:t>
            </w:r>
          </w:p>
          <w:p>
            <w:pPr>
              <w:adjustRightInd w:val="0"/>
              <w:snapToGrid w:val="0"/>
              <w:jc w:val="center"/>
              <w:rPr>
                <w:bCs/>
                <w:color w:val="auto"/>
                <w:szCs w:val="21"/>
                <w:u w:val="none"/>
              </w:rPr>
            </w:pPr>
            <w:r>
              <w:rPr>
                <w:bCs/>
                <w:color w:val="auto"/>
                <w:sz w:val="24"/>
                <w:u w:val="none"/>
              </w:rPr>
              <w:t>措施</w:t>
            </w:r>
          </w:p>
        </w:tc>
        <w:tc>
          <w:tcPr>
            <w:tcW w:w="8311" w:type="dxa"/>
            <w:noWrap w:val="0"/>
            <w:vAlign w:val="center"/>
          </w:tcPr>
          <w:p>
            <w:pPr>
              <w:pStyle w:val="11"/>
              <w:spacing w:line="360" w:lineRule="auto"/>
              <w:ind w:firstLine="482"/>
              <w:rPr>
                <w:rFonts w:hint="default" w:ascii="Times New Roman" w:hAnsi="Times New Roman" w:eastAsia="宋体" w:cs="Times New Roman"/>
                <w:b/>
                <w:bCs/>
                <w:color w:val="auto"/>
                <w:sz w:val="24"/>
                <w:u w:val="none"/>
              </w:rPr>
            </w:pPr>
            <w:r>
              <w:rPr>
                <w:rFonts w:hint="default" w:ascii="Times New Roman" w:hAnsi="Times New Roman" w:eastAsia="宋体" w:cs="Times New Roman"/>
                <w:b/>
                <w:bCs/>
                <w:color w:val="auto"/>
                <w:sz w:val="24"/>
              </w:rPr>
              <w:t>一、大气环境影响和保护措施</w:t>
            </w:r>
          </w:p>
          <w:p>
            <w:pPr>
              <w:spacing w:line="360" w:lineRule="auto"/>
              <w:ind w:firstLine="482" w:firstLineChars="200"/>
              <w:rPr>
                <w:rFonts w:hint="default" w:ascii="Times New Roman" w:hAnsi="Times New Roman" w:eastAsia="宋体" w:cs="Times New Roman"/>
                <w:b/>
                <w:bCs/>
                <w:color w:val="auto"/>
                <w:sz w:val="24"/>
                <w:u w:val="none"/>
              </w:rPr>
            </w:pPr>
            <w:r>
              <w:rPr>
                <w:rFonts w:hint="default" w:ascii="Times New Roman" w:hAnsi="Times New Roman" w:eastAsia="宋体" w:cs="Times New Roman"/>
                <w:b/>
                <w:bCs/>
                <w:color w:val="auto"/>
                <w:sz w:val="24"/>
                <w:u w:val="none"/>
              </w:rPr>
              <w:t>1、废气污染源情况</w:t>
            </w:r>
          </w:p>
          <w:p>
            <w:pPr>
              <w:spacing w:line="360" w:lineRule="auto"/>
              <w:ind w:firstLine="480" w:firstLineChars="200"/>
              <w:rPr>
                <w:rFonts w:hint="default" w:ascii="Times New Roman" w:hAnsi="Times New Roman" w:eastAsia="宋体" w:cs="Times New Roman"/>
                <w:color w:val="auto"/>
                <w:sz w:val="24"/>
                <w:u w:val="none"/>
              </w:rPr>
            </w:pPr>
            <w:r>
              <w:rPr>
                <w:rFonts w:hint="default" w:ascii="Times New Roman" w:hAnsi="Times New Roman" w:eastAsia="宋体" w:cs="Times New Roman"/>
                <w:color w:val="auto"/>
                <w:sz w:val="24"/>
                <w:u w:val="none"/>
              </w:rPr>
              <w:t>本项目废气为一般固废装卸、贮存粉尘</w:t>
            </w:r>
            <w:r>
              <w:rPr>
                <w:rFonts w:hint="eastAsia" w:ascii="Times New Roman" w:hAnsi="Times New Roman" w:eastAsia="宋体" w:cs="Times New Roman"/>
                <w:color w:val="auto"/>
                <w:sz w:val="24"/>
                <w:u w:val="none"/>
                <w:lang w:eastAsia="zh-CN"/>
              </w:rPr>
              <w:t>。</w:t>
            </w:r>
            <w:r>
              <w:rPr>
                <w:rFonts w:hint="eastAsia" w:cs="Times New Roman"/>
                <w:color w:val="auto"/>
                <w:sz w:val="24"/>
                <w:u w:val="none"/>
                <w:lang w:val="en-US" w:eastAsia="zh-CN"/>
              </w:rPr>
              <w:t>页岩、煤矸石装卸、贮存粉尘、</w:t>
            </w:r>
            <w:r>
              <w:rPr>
                <w:rFonts w:hint="eastAsia" w:ascii="Times New Roman" w:hAnsi="Times New Roman" w:eastAsia="宋体" w:cs="Times New Roman"/>
                <w:color w:val="auto"/>
                <w:sz w:val="24"/>
                <w:u w:val="none"/>
                <w:lang w:eastAsia="zh-CN"/>
              </w:rPr>
              <w:t>制砖及隧道窑烟气污染物源强与</w:t>
            </w:r>
            <w:r>
              <w:rPr>
                <w:rFonts w:hint="eastAsia" w:cs="Times New Roman"/>
                <w:color w:val="auto"/>
                <w:sz w:val="24"/>
                <w:u w:val="none"/>
                <w:lang w:val="en-US" w:eastAsia="zh-CN"/>
              </w:rPr>
              <w:t>依托</w:t>
            </w:r>
            <w:r>
              <w:rPr>
                <w:rFonts w:hint="eastAsia" w:ascii="Times New Roman" w:hAnsi="Times New Roman" w:eastAsia="宋体" w:cs="Times New Roman"/>
                <w:color w:val="auto"/>
                <w:sz w:val="24"/>
                <w:u w:val="none"/>
                <w:lang w:eastAsia="zh-CN"/>
              </w:rPr>
              <w:t>项目相同，具体分析见“工程分析”章节，本次项目</w:t>
            </w:r>
            <w:r>
              <w:rPr>
                <w:rFonts w:hint="default" w:ascii="Times New Roman" w:hAnsi="Times New Roman" w:eastAsia="宋体" w:cs="Times New Roman"/>
                <w:color w:val="auto"/>
                <w:sz w:val="24"/>
                <w:u w:val="none"/>
              </w:rPr>
              <w:t>大气污染源见下表：</w:t>
            </w:r>
          </w:p>
          <w:p>
            <w:pPr>
              <w:jc w:val="center"/>
              <w:rPr>
                <w:rFonts w:hint="default" w:ascii="Times New Roman" w:hAnsi="Times New Roman" w:eastAsia="宋体" w:cs="Times New Roman"/>
                <w:b/>
                <w:color w:val="auto"/>
                <w:szCs w:val="21"/>
                <w:u w:val="none"/>
              </w:rPr>
            </w:pPr>
            <w:r>
              <w:rPr>
                <w:rFonts w:hint="default" w:ascii="Times New Roman" w:hAnsi="Times New Roman" w:eastAsia="宋体" w:cs="Times New Roman"/>
                <w:b/>
                <w:color w:val="auto"/>
                <w:szCs w:val="21"/>
                <w:u w:val="none"/>
              </w:rPr>
              <w:t>表4-1废气产排污节点、污染物及污染治理设施信息表</w:t>
            </w:r>
          </w:p>
          <w:tbl>
            <w:tblPr>
              <w:tblStyle w:val="30"/>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351"/>
              <w:gridCol w:w="975"/>
              <w:gridCol w:w="1074"/>
              <w:gridCol w:w="711"/>
              <w:gridCol w:w="678"/>
              <w:gridCol w:w="1651"/>
              <w:gridCol w:w="594"/>
              <w:gridCol w:w="543"/>
              <w:gridCol w:w="708"/>
              <w:gridCol w:w="76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1" w:type="dxa"/>
                  <w:vMerge w:val="restart"/>
                  <w:noWrap w:val="0"/>
                  <w:vAlign w:val="center"/>
                </w:tcPr>
                <w:p>
                  <w:pPr>
                    <w:ind w:left="-53" w:leftChars="-25" w:right="-53" w:rightChars="-25"/>
                    <w:jc w:val="center"/>
                    <w:rPr>
                      <w:rFonts w:hint="default" w:ascii="Times New Roman" w:hAnsi="Times New Roman" w:eastAsia="宋体" w:cs="Times New Roman"/>
                      <w:b/>
                      <w:color w:val="auto"/>
                      <w:sz w:val="18"/>
                      <w:szCs w:val="18"/>
                      <w:u w:val="none"/>
                    </w:rPr>
                  </w:pPr>
                  <w:r>
                    <w:rPr>
                      <w:rFonts w:hint="default" w:ascii="Times New Roman" w:hAnsi="Times New Roman" w:eastAsia="宋体" w:cs="Times New Roman"/>
                      <w:b/>
                      <w:color w:val="auto"/>
                      <w:sz w:val="18"/>
                      <w:szCs w:val="18"/>
                      <w:u w:val="none"/>
                    </w:rPr>
                    <w:t>序号</w:t>
                  </w:r>
                </w:p>
              </w:tc>
              <w:tc>
                <w:tcPr>
                  <w:tcW w:w="975" w:type="dxa"/>
                  <w:vMerge w:val="restart"/>
                  <w:noWrap w:val="0"/>
                  <w:vAlign w:val="center"/>
                </w:tcPr>
                <w:p>
                  <w:pPr>
                    <w:ind w:left="-53" w:leftChars="-25" w:right="-53" w:rightChars="-25"/>
                    <w:jc w:val="center"/>
                    <w:rPr>
                      <w:rFonts w:hint="default" w:ascii="Times New Roman" w:hAnsi="Times New Roman" w:eastAsia="宋体" w:cs="Times New Roman"/>
                      <w:b/>
                      <w:color w:val="auto"/>
                      <w:sz w:val="18"/>
                      <w:szCs w:val="18"/>
                      <w:u w:val="none"/>
                    </w:rPr>
                  </w:pPr>
                  <w:r>
                    <w:rPr>
                      <w:rFonts w:hint="default" w:ascii="Times New Roman" w:hAnsi="Times New Roman" w:eastAsia="宋体" w:cs="Times New Roman"/>
                      <w:b/>
                      <w:color w:val="auto"/>
                      <w:sz w:val="18"/>
                      <w:szCs w:val="18"/>
                      <w:u w:val="none"/>
                    </w:rPr>
                    <w:t>废气</w:t>
                  </w:r>
                </w:p>
                <w:p>
                  <w:pPr>
                    <w:ind w:left="-53" w:leftChars="-25" w:right="-53" w:rightChars="-25"/>
                    <w:jc w:val="center"/>
                    <w:rPr>
                      <w:rFonts w:hint="default" w:ascii="Times New Roman" w:hAnsi="Times New Roman" w:eastAsia="宋体" w:cs="Times New Roman"/>
                      <w:b/>
                      <w:color w:val="auto"/>
                      <w:sz w:val="18"/>
                      <w:szCs w:val="18"/>
                      <w:u w:val="none"/>
                    </w:rPr>
                  </w:pPr>
                  <w:r>
                    <w:rPr>
                      <w:rFonts w:hint="default" w:ascii="Times New Roman" w:hAnsi="Times New Roman" w:eastAsia="宋体" w:cs="Times New Roman"/>
                      <w:b/>
                      <w:color w:val="auto"/>
                      <w:sz w:val="18"/>
                      <w:szCs w:val="18"/>
                      <w:u w:val="none"/>
                    </w:rPr>
                    <w:t>类型</w:t>
                  </w:r>
                </w:p>
              </w:tc>
              <w:tc>
                <w:tcPr>
                  <w:tcW w:w="1074" w:type="dxa"/>
                  <w:vMerge w:val="restart"/>
                  <w:noWrap w:val="0"/>
                  <w:vAlign w:val="center"/>
                </w:tcPr>
                <w:p>
                  <w:pPr>
                    <w:ind w:left="-53" w:leftChars="-25" w:right="-53" w:rightChars="-25"/>
                    <w:jc w:val="center"/>
                    <w:rPr>
                      <w:rFonts w:hint="default" w:ascii="Times New Roman" w:hAnsi="Times New Roman" w:eastAsia="宋体" w:cs="Times New Roman"/>
                      <w:b/>
                      <w:color w:val="auto"/>
                      <w:sz w:val="18"/>
                      <w:szCs w:val="18"/>
                      <w:u w:val="none"/>
                    </w:rPr>
                  </w:pPr>
                  <w:r>
                    <w:rPr>
                      <w:rFonts w:hint="default" w:ascii="Times New Roman" w:hAnsi="Times New Roman" w:eastAsia="宋体" w:cs="Times New Roman"/>
                      <w:b/>
                      <w:color w:val="auto"/>
                      <w:sz w:val="18"/>
                      <w:szCs w:val="18"/>
                      <w:u w:val="none"/>
                    </w:rPr>
                    <w:t>产污环节名称</w:t>
                  </w:r>
                </w:p>
              </w:tc>
              <w:tc>
                <w:tcPr>
                  <w:tcW w:w="711" w:type="dxa"/>
                  <w:vMerge w:val="restart"/>
                  <w:noWrap w:val="0"/>
                  <w:vAlign w:val="center"/>
                </w:tcPr>
                <w:p>
                  <w:pPr>
                    <w:ind w:left="-53" w:leftChars="-25" w:right="-53" w:rightChars="-25"/>
                    <w:jc w:val="center"/>
                    <w:rPr>
                      <w:rFonts w:hint="default" w:ascii="Times New Roman" w:hAnsi="Times New Roman" w:eastAsia="宋体" w:cs="Times New Roman"/>
                      <w:b/>
                      <w:color w:val="auto"/>
                      <w:sz w:val="18"/>
                      <w:szCs w:val="18"/>
                      <w:u w:val="none"/>
                    </w:rPr>
                  </w:pPr>
                  <w:r>
                    <w:rPr>
                      <w:rFonts w:hint="default" w:ascii="Times New Roman" w:hAnsi="Times New Roman" w:eastAsia="宋体" w:cs="Times New Roman"/>
                      <w:b/>
                      <w:color w:val="auto"/>
                      <w:sz w:val="18"/>
                      <w:szCs w:val="18"/>
                      <w:u w:val="none"/>
                    </w:rPr>
                    <w:t>污染物种类</w:t>
                  </w:r>
                </w:p>
              </w:tc>
              <w:tc>
                <w:tcPr>
                  <w:tcW w:w="678" w:type="dxa"/>
                  <w:vMerge w:val="restart"/>
                  <w:noWrap w:val="0"/>
                  <w:vAlign w:val="center"/>
                </w:tcPr>
                <w:p>
                  <w:pPr>
                    <w:ind w:left="-53" w:leftChars="-25" w:right="-53" w:rightChars="-25"/>
                    <w:jc w:val="center"/>
                    <w:rPr>
                      <w:rFonts w:hint="default" w:ascii="Times New Roman" w:hAnsi="Times New Roman" w:eastAsia="宋体" w:cs="Times New Roman"/>
                      <w:b/>
                      <w:color w:val="auto"/>
                      <w:sz w:val="18"/>
                      <w:szCs w:val="18"/>
                      <w:u w:val="none"/>
                    </w:rPr>
                  </w:pPr>
                  <w:r>
                    <w:rPr>
                      <w:rFonts w:hint="default" w:ascii="Times New Roman" w:hAnsi="Times New Roman" w:eastAsia="宋体" w:cs="Times New Roman"/>
                      <w:b/>
                      <w:color w:val="auto"/>
                      <w:sz w:val="18"/>
                      <w:szCs w:val="18"/>
                      <w:u w:val="none"/>
                    </w:rPr>
                    <w:t>排放</w:t>
                  </w:r>
                </w:p>
                <w:p>
                  <w:pPr>
                    <w:ind w:left="-53" w:leftChars="-25" w:right="-53" w:rightChars="-25"/>
                    <w:jc w:val="center"/>
                    <w:rPr>
                      <w:rFonts w:hint="default" w:ascii="Times New Roman" w:hAnsi="Times New Roman" w:eastAsia="宋体" w:cs="Times New Roman"/>
                      <w:b/>
                      <w:color w:val="auto"/>
                      <w:sz w:val="18"/>
                      <w:szCs w:val="18"/>
                      <w:u w:val="none"/>
                    </w:rPr>
                  </w:pPr>
                  <w:r>
                    <w:rPr>
                      <w:rFonts w:hint="default" w:ascii="Times New Roman" w:hAnsi="Times New Roman" w:eastAsia="宋体" w:cs="Times New Roman"/>
                      <w:b/>
                      <w:color w:val="auto"/>
                      <w:sz w:val="18"/>
                      <w:szCs w:val="18"/>
                      <w:u w:val="none"/>
                    </w:rPr>
                    <w:t>形式</w:t>
                  </w:r>
                </w:p>
              </w:tc>
              <w:tc>
                <w:tcPr>
                  <w:tcW w:w="4257" w:type="dxa"/>
                  <w:gridSpan w:val="5"/>
                  <w:noWrap w:val="0"/>
                  <w:vAlign w:val="center"/>
                </w:tcPr>
                <w:p>
                  <w:pPr>
                    <w:ind w:left="-53" w:leftChars="-25" w:right="-53" w:rightChars="-25"/>
                    <w:jc w:val="center"/>
                    <w:rPr>
                      <w:rFonts w:hint="default" w:ascii="Times New Roman" w:hAnsi="Times New Roman" w:eastAsia="宋体" w:cs="Times New Roman"/>
                      <w:b/>
                      <w:color w:val="auto"/>
                      <w:sz w:val="18"/>
                      <w:szCs w:val="18"/>
                      <w:u w:val="none"/>
                    </w:rPr>
                  </w:pPr>
                  <w:r>
                    <w:rPr>
                      <w:rFonts w:hint="default" w:ascii="Times New Roman" w:hAnsi="Times New Roman" w:eastAsia="宋体" w:cs="Times New Roman"/>
                      <w:b/>
                      <w:color w:val="auto"/>
                      <w:sz w:val="18"/>
                      <w:szCs w:val="18"/>
                      <w:u w:val="none"/>
                    </w:rPr>
                    <w:t>污染治理设施</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1" w:type="dxa"/>
                  <w:vMerge w:val="continue"/>
                  <w:noWrap w:val="0"/>
                  <w:vAlign w:val="center"/>
                </w:tcPr>
                <w:p>
                  <w:pPr>
                    <w:ind w:left="-53" w:leftChars="-25" w:right="-53" w:rightChars="-25"/>
                    <w:jc w:val="center"/>
                    <w:rPr>
                      <w:rFonts w:hint="default" w:ascii="Times New Roman" w:hAnsi="Times New Roman" w:eastAsia="宋体" w:cs="Times New Roman"/>
                      <w:b/>
                      <w:color w:val="auto"/>
                      <w:sz w:val="18"/>
                      <w:szCs w:val="18"/>
                      <w:u w:val="none"/>
                    </w:rPr>
                  </w:pPr>
                </w:p>
              </w:tc>
              <w:tc>
                <w:tcPr>
                  <w:tcW w:w="975" w:type="dxa"/>
                  <w:vMerge w:val="continue"/>
                  <w:noWrap w:val="0"/>
                  <w:vAlign w:val="center"/>
                </w:tcPr>
                <w:p>
                  <w:pPr>
                    <w:ind w:left="-53" w:leftChars="-25" w:right="-53" w:rightChars="-25"/>
                    <w:jc w:val="center"/>
                    <w:rPr>
                      <w:rFonts w:hint="default" w:ascii="Times New Roman" w:hAnsi="Times New Roman" w:eastAsia="宋体" w:cs="Times New Roman"/>
                      <w:b/>
                      <w:color w:val="auto"/>
                      <w:sz w:val="18"/>
                      <w:szCs w:val="18"/>
                      <w:u w:val="none"/>
                    </w:rPr>
                  </w:pPr>
                </w:p>
              </w:tc>
              <w:tc>
                <w:tcPr>
                  <w:tcW w:w="1074" w:type="dxa"/>
                  <w:vMerge w:val="continue"/>
                  <w:noWrap w:val="0"/>
                  <w:vAlign w:val="center"/>
                </w:tcPr>
                <w:p>
                  <w:pPr>
                    <w:ind w:left="-53" w:leftChars="-25" w:right="-53" w:rightChars="-25"/>
                    <w:jc w:val="center"/>
                    <w:rPr>
                      <w:rFonts w:hint="default" w:ascii="Times New Roman" w:hAnsi="Times New Roman" w:eastAsia="宋体" w:cs="Times New Roman"/>
                      <w:b/>
                      <w:color w:val="auto"/>
                      <w:sz w:val="18"/>
                      <w:szCs w:val="18"/>
                      <w:u w:val="none"/>
                    </w:rPr>
                  </w:pPr>
                </w:p>
              </w:tc>
              <w:tc>
                <w:tcPr>
                  <w:tcW w:w="711" w:type="dxa"/>
                  <w:vMerge w:val="continue"/>
                  <w:noWrap w:val="0"/>
                  <w:vAlign w:val="center"/>
                </w:tcPr>
                <w:p>
                  <w:pPr>
                    <w:ind w:left="-53" w:leftChars="-25" w:right="-53" w:rightChars="-25"/>
                    <w:jc w:val="center"/>
                    <w:rPr>
                      <w:rFonts w:hint="default" w:ascii="Times New Roman" w:hAnsi="Times New Roman" w:eastAsia="宋体" w:cs="Times New Roman"/>
                      <w:b/>
                      <w:color w:val="auto"/>
                      <w:sz w:val="18"/>
                      <w:szCs w:val="18"/>
                      <w:u w:val="none"/>
                    </w:rPr>
                  </w:pPr>
                </w:p>
              </w:tc>
              <w:tc>
                <w:tcPr>
                  <w:tcW w:w="678" w:type="dxa"/>
                  <w:vMerge w:val="continue"/>
                  <w:noWrap w:val="0"/>
                  <w:vAlign w:val="center"/>
                </w:tcPr>
                <w:p>
                  <w:pPr>
                    <w:ind w:left="-53" w:leftChars="-25" w:right="-53" w:rightChars="-25"/>
                    <w:jc w:val="center"/>
                    <w:rPr>
                      <w:rFonts w:hint="default" w:ascii="Times New Roman" w:hAnsi="Times New Roman" w:eastAsia="宋体" w:cs="Times New Roman"/>
                      <w:b/>
                      <w:color w:val="auto"/>
                      <w:sz w:val="18"/>
                      <w:szCs w:val="18"/>
                      <w:u w:val="none"/>
                    </w:rPr>
                  </w:pPr>
                </w:p>
              </w:tc>
              <w:tc>
                <w:tcPr>
                  <w:tcW w:w="1651" w:type="dxa"/>
                  <w:noWrap w:val="0"/>
                  <w:vAlign w:val="center"/>
                </w:tcPr>
                <w:p>
                  <w:pPr>
                    <w:widowControl/>
                    <w:ind w:left="-53" w:leftChars="-25" w:right="-53" w:rightChars="-25"/>
                    <w:jc w:val="center"/>
                    <w:rPr>
                      <w:rFonts w:hint="default" w:ascii="Times New Roman" w:hAnsi="Times New Roman" w:eastAsia="宋体" w:cs="Times New Roman"/>
                      <w:b/>
                      <w:color w:val="auto"/>
                      <w:sz w:val="18"/>
                      <w:szCs w:val="18"/>
                      <w:u w:val="none"/>
                    </w:rPr>
                  </w:pPr>
                  <w:r>
                    <w:rPr>
                      <w:rFonts w:hint="default" w:ascii="Times New Roman" w:hAnsi="Times New Roman" w:eastAsia="宋体" w:cs="Times New Roman"/>
                      <w:b/>
                      <w:color w:val="auto"/>
                      <w:sz w:val="18"/>
                      <w:szCs w:val="18"/>
                      <w:u w:val="none"/>
                    </w:rPr>
                    <w:t>污染防治设施名称</w:t>
                  </w:r>
                </w:p>
              </w:tc>
              <w:tc>
                <w:tcPr>
                  <w:tcW w:w="594" w:type="dxa"/>
                  <w:noWrap w:val="0"/>
                  <w:vAlign w:val="center"/>
                </w:tcPr>
                <w:p>
                  <w:pPr>
                    <w:widowControl/>
                    <w:ind w:left="-53" w:leftChars="-25" w:right="-53" w:rightChars="-25"/>
                    <w:jc w:val="center"/>
                    <w:rPr>
                      <w:rFonts w:hint="default" w:ascii="Times New Roman" w:hAnsi="Times New Roman" w:eastAsia="宋体" w:cs="Times New Roman"/>
                      <w:b/>
                      <w:color w:val="auto"/>
                      <w:sz w:val="18"/>
                      <w:szCs w:val="18"/>
                      <w:u w:val="none"/>
                    </w:rPr>
                  </w:pPr>
                  <w:r>
                    <w:rPr>
                      <w:rFonts w:hint="default" w:ascii="Times New Roman" w:hAnsi="Times New Roman" w:eastAsia="宋体" w:cs="Times New Roman"/>
                      <w:b/>
                      <w:color w:val="auto"/>
                      <w:sz w:val="18"/>
                      <w:szCs w:val="18"/>
                      <w:u w:val="none"/>
                    </w:rPr>
                    <w:t>处理能力</w:t>
                  </w:r>
                </w:p>
              </w:tc>
              <w:tc>
                <w:tcPr>
                  <w:tcW w:w="543" w:type="dxa"/>
                  <w:noWrap w:val="0"/>
                  <w:vAlign w:val="center"/>
                </w:tcPr>
                <w:p>
                  <w:pPr>
                    <w:widowControl/>
                    <w:ind w:left="-53" w:leftChars="-25" w:right="-53" w:rightChars="-25"/>
                    <w:jc w:val="center"/>
                    <w:rPr>
                      <w:rFonts w:hint="default" w:ascii="Times New Roman" w:hAnsi="Times New Roman" w:eastAsia="宋体" w:cs="Times New Roman"/>
                      <w:b/>
                      <w:color w:val="auto"/>
                      <w:sz w:val="18"/>
                      <w:szCs w:val="18"/>
                      <w:u w:val="none"/>
                    </w:rPr>
                  </w:pPr>
                  <w:r>
                    <w:rPr>
                      <w:rFonts w:hint="default" w:ascii="Times New Roman" w:hAnsi="Times New Roman" w:eastAsia="宋体" w:cs="Times New Roman"/>
                      <w:b/>
                      <w:color w:val="auto"/>
                      <w:sz w:val="18"/>
                      <w:szCs w:val="18"/>
                      <w:u w:val="none"/>
                    </w:rPr>
                    <w:t>收集效率</w:t>
                  </w:r>
                </w:p>
              </w:tc>
              <w:tc>
                <w:tcPr>
                  <w:tcW w:w="708" w:type="dxa"/>
                  <w:noWrap w:val="0"/>
                  <w:vAlign w:val="center"/>
                </w:tcPr>
                <w:p>
                  <w:pPr>
                    <w:widowControl/>
                    <w:ind w:left="-53" w:leftChars="-25" w:right="-53" w:rightChars="-25"/>
                    <w:jc w:val="center"/>
                    <w:rPr>
                      <w:rFonts w:hint="default" w:ascii="Times New Roman" w:hAnsi="Times New Roman" w:eastAsia="宋体" w:cs="Times New Roman"/>
                      <w:b/>
                      <w:color w:val="auto"/>
                      <w:sz w:val="18"/>
                      <w:szCs w:val="18"/>
                      <w:u w:val="none"/>
                    </w:rPr>
                  </w:pPr>
                  <w:r>
                    <w:rPr>
                      <w:rFonts w:hint="default" w:ascii="Times New Roman" w:hAnsi="Times New Roman" w:eastAsia="宋体" w:cs="Times New Roman"/>
                      <w:b/>
                      <w:color w:val="auto"/>
                      <w:sz w:val="18"/>
                      <w:szCs w:val="18"/>
                      <w:u w:val="none"/>
                    </w:rPr>
                    <w:t>治理工艺去除率</w:t>
                  </w:r>
                </w:p>
              </w:tc>
              <w:tc>
                <w:tcPr>
                  <w:tcW w:w="761" w:type="dxa"/>
                  <w:noWrap w:val="0"/>
                  <w:vAlign w:val="center"/>
                </w:tcPr>
                <w:p>
                  <w:pPr>
                    <w:ind w:left="-53" w:leftChars="-25" w:right="-53" w:rightChars="-25"/>
                    <w:jc w:val="center"/>
                    <w:rPr>
                      <w:rFonts w:hint="default" w:ascii="Times New Roman" w:hAnsi="Times New Roman" w:eastAsia="宋体" w:cs="Times New Roman"/>
                      <w:b/>
                      <w:color w:val="auto"/>
                      <w:sz w:val="18"/>
                      <w:szCs w:val="18"/>
                      <w:u w:val="none"/>
                    </w:rPr>
                  </w:pPr>
                  <w:r>
                    <w:rPr>
                      <w:rFonts w:hint="default" w:ascii="Times New Roman" w:hAnsi="Times New Roman" w:eastAsia="宋体" w:cs="Times New Roman"/>
                      <w:b/>
                      <w:color w:val="auto"/>
                      <w:sz w:val="18"/>
                      <w:szCs w:val="18"/>
                      <w:u w:val="none"/>
                    </w:rPr>
                    <w:t>是否为可行技术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1" w:type="dxa"/>
                  <w:noWrap w:val="0"/>
                  <w:vAlign w:val="center"/>
                </w:tcPr>
                <w:p>
                  <w:pPr>
                    <w:ind w:left="-53" w:leftChars="-25" w:right="-53" w:rightChars="-25"/>
                    <w:jc w:val="center"/>
                    <w:rPr>
                      <w:rFonts w:hint="default" w:ascii="Times New Roman" w:hAnsi="Times New Roman" w:eastAsia="宋体" w:cs="Times New Roman"/>
                      <w:bCs/>
                      <w:color w:val="auto"/>
                      <w:sz w:val="18"/>
                      <w:szCs w:val="18"/>
                      <w:u w:val="none"/>
                    </w:rPr>
                  </w:pPr>
                  <w:r>
                    <w:rPr>
                      <w:rFonts w:hint="default" w:ascii="Times New Roman" w:hAnsi="Times New Roman" w:eastAsia="宋体" w:cs="Times New Roman"/>
                      <w:bCs/>
                      <w:color w:val="auto"/>
                      <w:sz w:val="18"/>
                      <w:szCs w:val="18"/>
                      <w:u w:val="none"/>
                    </w:rPr>
                    <w:t>1</w:t>
                  </w:r>
                </w:p>
              </w:tc>
              <w:tc>
                <w:tcPr>
                  <w:tcW w:w="975" w:type="dxa"/>
                  <w:noWrap w:val="0"/>
                  <w:vAlign w:val="center"/>
                </w:tcPr>
                <w:p>
                  <w:pPr>
                    <w:ind w:left="-53" w:leftChars="-25" w:right="-53" w:rightChars="-25"/>
                    <w:jc w:val="center"/>
                    <w:rPr>
                      <w:rFonts w:hint="eastAsia" w:ascii="Times New Roman" w:hAnsi="Times New Roman" w:eastAsia="宋体" w:cs="Times New Roman"/>
                      <w:bCs/>
                      <w:color w:val="auto"/>
                      <w:sz w:val="18"/>
                      <w:szCs w:val="18"/>
                      <w:u w:val="none"/>
                      <w:lang w:eastAsia="zh-CN"/>
                    </w:rPr>
                  </w:pPr>
                  <w:r>
                    <w:rPr>
                      <w:rFonts w:hint="eastAsia" w:ascii="Times New Roman" w:hAnsi="Times New Roman" w:eastAsia="宋体" w:cs="Times New Roman"/>
                      <w:bCs/>
                      <w:color w:val="auto"/>
                      <w:sz w:val="18"/>
                      <w:szCs w:val="18"/>
                      <w:u w:val="none"/>
                      <w:lang w:eastAsia="zh-CN"/>
                    </w:rPr>
                    <w:t>一般固废装卸、贮存粉尘</w:t>
                  </w:r>
                </w:p>
              </w:tc>
              <w:tc>
                <w:tcPr>
                  <w:tcW w:w="1074" w:type="dxa"/>
                  <w:noWrap w:val="0"/>
                  <w:vAlign w:val="center"/>
                </w:tcPr>
                <w:p>
                  <w:pPr>
                    <w:ind w:left="-53" w:leftChars="-25" w:right="-53" w:rightChars="-25"/>
                    <w:jc w:val="center"/>
                    <w:rPr>
                      <w:rFonts w:hint="eastAsia" w:ascii="Times New Roman" w:hAnsi="Times New Roman" w:eastAsia="宋体" w:cs="Times New Roman"/>
                      <w:bCs/>
                      <w:color w:val="auto"/>
                      <w:sz w:val="18"/>
                      <w:szCs w:val="18"/>
                      <w:u w:val="none"/>
                      <w:lang w:eastAsia="zh-CN"/>
                    </w:rPr>
                  </w:pPr>
                  <w:r>
                    <w:rPr>
                      <w:rFonts w:hint="eastAsia" w:ascii="Times New Roman" w:hAnsi="Times New Roman" w:eastAsia="宋体" w:cs="Times New Roman"/>
                      <w:bCs/>
                      <w:color w:val="auto"/>
                      <w:sz w:val="18"/>
                      <w:szCs w:val="18"/>
                      <w:u w:val="none"/>
                      <w:lang w:eastAsia="zh-CN"/>
                    </w:rPr>
                    <w:t>装卸、贮存</w:t>
                  </w:r>
                </w:p>
              </w:tc>
              <w:tc>
                <w:tcPr>
                  <w:tcW w:w="711" w:type="dxa"/>
                  <w:noWrap w:val="0"/>
                  <w:vAlign w:val="center"/>
                </w:tcPr>
                <w:p>
                  <w:pPr>
                    <w:ind w:left="-53" w:leftChars="-25" w:right="-53" w:rightChars="-25"/>
                    <w:jc w:val="center"/>
                    <w:rPr>
                      <w:rFonts w:hint="default" w:ascii="Times New Roman" w:hAnsi="Times New Roman" w:eastAsia="宋体" w:cs="Times New Roman"/>
                      <w:bCs/>
                      <w:color w:val="auto"/>
                      <w:sz w:val="18"/>
                      <w:szCs w:val="18"/>
                      <w:u w:val="none"/>
                    </w:rPr>
                  </w:pPr>
                  <w:r>
                    <w:rPr>
                      <w:rFonts w:hint="default" w:ascii="Times New Roman" w:hAnsi="Times New Roman" w:eastAsia="宋体" w:cs="Times New Roman"/>
                      <w:bCs/>
                      <w:color w:val="auto"/>
                      <w:sz w:val="18"/>
                      <w:szCs w:val="18"/>
                      <w:u w:val="none"/>
                    </w:rPr>
                    <w:t>粉尘</w:t>
                  </w:r>
                </w:p>
              </w:tc>
              <w:tc>
                <w:tcPr>
                  <w:tcW w:w="678" w:type="dxa"/>
                  <w:noWrap w:val="0"/>
                  <w:vAlign w:val="center"/>
                </w:tcPr>
                <w:p>
                  <w:pPr>
                    <w:ind w:left="-53" w:leftChars="-25" w:right="-53" w:rightChars="-25"/>
                    <w:jc w:val="center"/>
                    <w:rPr>
                      <w:rFonts w:hint="default" w:ascii="Times New Roman" w:hAnsi="Times New Roman" w:eastAsia="宋体" w:cs="Times New Roman"/>
                      <w:bCs/>
                      <w:color w:val="auto"/>
                      <w:sz w:val="18"/>
                      <w:szCs w:val="18"/>
                      <w:u w:val="none"/>
                    </w:rPr>
                  </w:pPr>
                  <w:r>
                    <w:rPr>
                      <w:rFonts w:hint="eastAsia" w:ascii="Times New Roman" w:hAnsi="Times New Roman" w:eastAsia="宋体" w:cs="Times New Roman"/>
                      <w:bCs/>
                      <w:color w:val="auto"/>
                      <w:kern w:val="0"/>
                      <w:sz w:val="18"/>
                      <w:szCs w:val="18"/>
                      <w:u w:val="none"/>
                      <w:lang w:eastAsia="zh-CN"/>
                    </w:rPr>
                    <w:t>无</w:t>
                  </w:r>
                  <w:r>
                    <w:rPr>
                      <w:rFonts w:hint="default" w:ascii="Times New Roman" w:hAnsi="Times New Roman" w:eastAsia="宋体" w:cs="Times New Roman"/>
                      <w:bCs/>
                      <w:color w:val="auto"/>
                      <w:kern w:val="0"/>
                      <w:sz w:val="18"/>
                      <w:szCs w:val="18"/>
                      <w:u w:val="none"/>
                    </w:rPr>
                    <w:t>组织</w:t>
                  </w:r>
                </w:p>
              </w:tc>
              <w:tc>
                <w:tcPr>
                  <w:tcW w:w="1651" w:type="dxa"/>
                  <w:noWrap w:val="0"/>
                  <w:vAlign w:val="center"/>
                </w:tcPr>
                <w:p>
                  <w:pPr>
                    <w:widowControl/>
                    <w:ind w:left="-53" w:leftChars="-25" w:right="-53" w:rightChars="-25"/>
                    <w:jc w:val="center"/>
                    <w:rPr>
                      <w:rFonts w:hint="eastAsia" w:ascii="Times New Roman" w:hAnsi="Times New Roman" w:eastAsia="宋体" w:cs="Times New Roman"/>
                      <w:bCs/>
                      <w:color w:val="auto"/>
                      <w:sz w:val="18"/>
                      <w:szCs w:val="18"/>
                      <w:u w:val="none"/>
                      <w:lang w:eastAsia="zh-CN"/>
                    </w:rPr>
                  </w:pPr>
                  <w:r>
                    <w:rPr>
                      <w:rFonts w:hint="eastAsia" w:ascii="Times New Roman" w:hAnsi="Times New Roman" w:eastAsia="宋体" w:cs="Times New Roman"/>
                      <w:bCs/>
                      <w:color w:val="auto"/>
                      <w:sz w:val="18"/>
                      <w:szCs w:val="18"/>
                      <w:u w:val="none"/>
                      <w:lang w:eastAsia="zh-CN"/>
                    </w:rPr>
                    <w:t>一般固废贮存场三面围挡，减少风蚀扬尘，并定期进行洒水抑尘</w:t>
                  </w:r>
                </w:p>
              </w:tc>
              <w:tc>
                <w:tcPr>
                  <w:tcW w:w="594" w:type="dxa"/>
                  <w:noWrap w:val="0"/>
                  <w:vAlign w:val="center"/>
                </w:tcPr>
                <w:p>
                  <w:pPr>
                    <w:widowControl/>
                    <w:ind w:left="-53" w:leftChars="-25" w:right="-53" w:rightChars="-25"/>
                    <w:jc w:val="center"/>
                    <w:rPr>
                      <w:rFonts w:hint="eastAsia" w:ascii="Times New Roman" w:hAnsi="Times New Roman" w:eastAsia="宋体" w:cs="Times New Roman"/>
                      <w:bCs/>
                      <w:color w:val="auto"/>
                      <w:sz w:val="18"/>
                      <w:szCs w:val="18"/>
                      <w:u w:val="none"/>
                      <w:lang w:val="en-US" w:eastAsia="zh-CN"/>
                    </w:rPr>
                  </w:pPr>
                  <w:r>
                    <w:rPr>
                      <w:rFonts w:hint="eastAsia" w:ascii="Times New Roman" w:hAnsi="Times New Roman" w:eastAsia="宋体" w:cs="Times New Roman"/>
                      <w:bCs/>
                      <w:color w:val="auto"/>
                      <w:sz w:val="18"/>
                      <w:szCs w:val="18"/>
                      <w:u w:val="none"/>
                      <w:lang w:val="en-US" w:eastAsia="zh-CN"/>
                    </w:rPr>
                    <w:t>/</w:t>
                  </w:r>
                </w:p>
              </w:tc>
              <w:tc>
                <w:tcPr>
                  <w:tcW w:w="543" w:type="dxa"/>
                  <w:noWrap w:val="0"/>
                  <w:vAlign w:val="center"/>
                </w:tcPr>
                <w:p>
                  <w:pPr>
                    <w:ind w:left="-53" w:leftChars="-25" w:right="-53" w:rightChars="-25"/>
                    <w:jc w:val="center"/>
                    <w:rPr>
                      <w:rFonts w:hint="eastAsia" w:ascii="Times New Roman" w:hAnsi="Times New Roman" w:eastAsia="宋体" w:cs="Times New Roman"/>
                      <w:bCs/>
                      <w:color w:val="auto"/>
                      <w:sz w:val="18"/>
                      <w:szCs w:val="18"/>
                      <w:u w:val="none"/>
                      <w:lang w:eastAsia="zh-CN"/>
                    </w:rPr>
                  </w:pPr>
                  <w:r>
                    <w:rPr>
                      <w:rFonts w:hint="eastAsia" w:ascii="Times New Roman" w:hAnsi="Times New Roman" w:eastAsia="宋体" w:cs="Times New Roman"/>
                      <w:bCs/>
                      <w:color w:val="auto"/>
                      <w:sz w:val="18"/>
                      <w:szCs w:val="18"/>
                      <w:u w:val="none"/>
                      <w:lang w:val="en-US" w:eastAsia="zh-CN"/>
                    </w:rPr>
                    <w:t>/</w:t>
                  </w:r>
                </w:p>
              </w:tc>
              <w:tc>
                <w:tcPr>
                  <w:tcW w:w="708" w:type="dxa"/>
                  <w:noWrap w:val="0"/>
                  <w:vAlign w:val="center"/>
                </w:tcPr>
                <w:p>
                  <w:pPr>
                    <w:ind w:left="-53" w:leftChars="-25" w:right="-53" w:rightChars="-25"/>
                    <w:jc w:val="center"/>
                    <w:rPr>
                      <w:rFonts w:hint="default" w:ascii="Times New Roman" w:hAnsi="Times New Roman" w:eastAsia="宋体" w:cs="Times New Roman"/>
                      <w:bCs/>
                      <w:color w:val="auto"/>
                      <w:sz w:val="18"/>
                      <w:szCs w:val="18"/>
                      <w:u w:val="none"/>
                    </w:rPr>
                  </w:pPr>
                  <w:r>
                    <w:rPr>
                      <w:rFonts w:hint="eastAsia" w:ascii="Times New Roman" w:hAnsi="Times New Roman" w:eastAsia="宋体" w:cs="Times New Roman"/>
                      <w:bCs/>
                      <w:color w:val="auto"/>
                      <w:sz w:val="18"/>
                      <w:szCs w:val="18"/>
                      <w:u w:val="none"/>
                      <w:lang w:val="en-US" w:eastAsia="zh-CN"/>
                    </w:rPr>
                    <w:t>74</w:t>
                  </w:r>
                  <w:r>
                    <w:rPr>
                      <w:rFonts w:hint="default" w:ascii="Times New Roman" w:hAnsi="Times New Roman" w:eastAsia="宋体" w:cs="Times New Roman"/>
                      <w:bCs/>
                      <w:color w:val="auto"/>
                      <w:sz w:val="18"/>
                      <w:szCs w:val="18"/>
                      <w:u w:val="none"/>
                    </w:rPr>
                    <w:t>%</w:t>
                  </w:r>
                </w:p>
              </w:tc>
              <w:tc>
                <w:tcPr>
                  <w:tcW w:w="761" w:type="dxa"/>
                  <w:noWrap w:val="0"/>
                  <w:vAlign w:val="center"/>
                </w:tcPr>
                <w:p>
                  <w:pPr>
                    <w:ind w:left="-53" w:leftChars="-25" w:right="-53" w:rightChars="-25"/>
                    <w:jc w:val="center"/>
                    <w:rPr>
                      <w:rFonts w:hint="default" w:ascii="Times New Roman" w:hAnsi="Times New Roman" w:eastAsia="宋体" w:cs="Times New Roman"/>
                      <w:bCs/>
                      <w:color w:val="auto"/>
                      <w:sz w:val="18"/>
                      <w:szCs w:val="18"/>
                      <w:u w:val="none"/>
                    </w:rPr>
                  </w:pPr>
                  <w:r>
                    <w:rPr>
                      <w:rFonts w:hint="default" w:ascii="Times New Roman" w:hAnsi="Times New Roman" w:eastAsia="宋体" w:cs="Times New Roman"/>
                      <w:bCs/>
                      <w:color w:val="auto"/>
                      <w:sz w:val="18"/>
                      <w:szCs w:val="18"/>
                      <w:u w:val="none"/>
                    </w:rPr>
                    <w:t>是</w:t>
                  </w:r>
                </w:p>
              </w:tc>
            </w:tr>
          </w:tbl>
          <w:p>
            <w:pPr>
              <w:spacing w:line="360" w:lineRule="auto"/>
              <w:ind w:firstLine="482" w:firstLineChars="200"/>
              <w:rPr>
                <w:rFonts w:hint="default" w:ascii="Times New Roman" w:hAnsi="Times New Roman" w:eastAsia="宋体" w:cs="Times New Roman"/>
                <w:b/>
                <w:bCs/>
                <w:color w:val="auto"/>
                <w:sz w:val="24"/>
                <w:u w:val="none"/>
              </w:rPr>
            </w:pPr>
            <w:r>
              <w:rPr>
                <w:rFonts w:hint="default" w:ascii="Times New Roman" w:hAnsi="Times New Roman" w:eastAsia="宋体" w:cs="Times New Roman"/>
                <w:b/>
                <w:bCs/>
                <w:color w:val="auto"/>
                <w:sz w:val="24"/>
                <w:u w:val="none"/>
              </w:rPr>
              <w:t>2、一般固废装卸、贮存粉尘污染源强核算</w:t>
            </w:r>
          </w:p>
          <w:p>
            <w:pPr>
              <w:spacing w:line="360" w:lineRule="auto"/>
              <w:ind w:firstLine="480" w:firstLineChars="200"/>
              <w:rPr>
                <w:rFonts w:hint="default" w:ascii="Times New Roman" w:hAnsi="Times New Roman" w:eastAsia="宋体" w:cs="Times New Roman"/>
                <w:color w:val="auto"/>
                <w:sz w:val="24"/>
                <w:u w:val="none"/>
              </w:rPr>
            </w:pPr>
            <w:r>
              <w:rPr>
                <w:rFonts w:hint="default" w:ascii="Times New Roman" w:hAnsi="Times New Roman" w:eastAsia="宋体" w:cs="Times New Roman"/>
                <w:color w:val="auto"/>
                <w:sz w:val="24"/>
                <w:u w:val="none"/>
              </w:rPr>
              <w:t>一般固废装卸、贮存粉尘扬尘源为是装卸、转运引起的扬尘与堆积存放期间风蚀扬尘。</w:t>
            </w:r>
          </w:p>
          <w:p>
            <w:pPr>
              <w:spacing w:line="360" w:lineRule="auto"/>
              <w:ind w:firstLine="480" w:firstLineChars="200"/>
              <w:rPr>
                <w:rFonts w:hint="default" w:ascii="Times New Roman" w:hAnsi="Times New Roman" w:eastAsia="宋体" w:cs="Times New Roman"/>
                <w:color w:val="auto"/>
                <w:sz w:val="24"/>
                <w:u w:val="none"/>
              </w:rPr>
            </w:pPr>
            <w:r>
              <w:rPr>
                <w:rFonts w:hint="default" w:ascii="Times New Roman" w:hAnsi="Times New Roman" w:eastAsia="宋体" w:cs="Times New Roman"/>
                <w:color w:val="auto"/>
                <w:sz w:val="24"/>
                <w:u w:val="none"/>
              </w:rPr>
              <w:t>项目采用铲运车进行转运及装卸。项目原料库棚布置在厂区</w:t>
            </w:r>
            <w:r>
              <w:rPr>
                <w:rFonts w:hint="eastAsia" w:cs="Times New Roman"/>
                <w:color w:val="auto"/>
                <w:sz w:val="24"/>
                <w:u w:val="none"/>
                <w:lang w:val="en-US" w:eastAsia="zh-CN"/>
              </w:rPr>
              <w:t>东侧</w:t>
            </w:r>
            <w:r>
              <w:rPr>
                <w:rFonts w:hint="default" w:ascii="Times New Roman" w:hAnsi="Times New Roman" w:eastAsia="宋体" w:cs="Times New Roman"/>
                <w:color w:val="auto"/>
                <w:sz w:val="24"/>
                <w:u w:val="none"/>
                <w:lang w:eastAsia="zh-CN"/>
              </w:rPr>
              <w:t>，</w:t>
            </w:r>
            <w:r>
              <w:rPr>
                <w:rFonts w:hint="default" w:ascii="Times New Roman" w:hAnsi="Times New Roman" w:eastAsia="宋体" w:cs="Times New Roman"/>
                <w:color w:val="auto"/>
                <w:sz w:val="24"/>
                <w:u w:val="none"/>
              </w:rPr>
              <w:t>作业区配备洒水除尘设施喷雾除尘设备。</w:t>
            </w:r>
          </w:p>
          <w:p>
            <w:pPr>
              <w:spacing w:line="360" w:lineRule="auto"/>
              <w:ind w:firstLine="480" w:firstLineChars="200"/>
              <w:rPr>
                <w:rFonts w:hint="default" w:ascii="Times New Roman" w:hAnsi="Times New Roman" w:eastAsia="宋体" w:cs="Times New Roman"/>
                <w:color w:val="auto"/>
                <w:sz w:val="24"/>
                <w:u w:val="none"/>
              </w:rPr>
            </w:pPr>
            <w:r>
              <w:rPr>
                <w:rFonts w:hint="default" w:ascii="Times New Roman" w:hAnsi="Times New Roman" w:eastAsia="宋体" w:cs="Times New Roman"/>
                <w:color w:val="auto"/>
                <w:sz w:val="24"/>
                <w:u w:val="none"/>
              </w:rPr>
              <w:t>a根据环保部公布《扬尘源颗粒物排放清单编制技术指南》（试行）可知，堆场扬尘计算公示如下：</w:t>
            </w:r>
          </w:p>
          <w:p>
            <w:pPr>
              <w:pStyle w:val="2"/>
              <w:jc w:val="center"/>
              <w:rPr>
                <w:rFonts w:hint="default" w:ascii="Times New Roman" w:hAnsi="Times New Roman" w:eastAsia="宋体" w:cs="Times New Roman"/>
                <w:color w:val="auto"/>
                <w:u w:val="none"/>
              </w:rPr>
            </w:pPr>
            <w:r>
              <w:rPr>
                <w:rFonts w:hint="default" w:ascii="Times New Roman" w:hAnsi="Times New Roman" w:eastAsia="宋体" w:cs="Times New Roman"/>
                <w:color w:val="auto"/>
                <w:u w:val="none"/>
              </w:rPr>
              <w:drawing>
                <wp:inline distT="0" distB="0" distL="114300" distR="114300">
                  <wp:extent cx="2711450" cy="508000"/>
                  <wp:effectExtent l="0" t="0" r="6350" b="0"/>
                  <wp:docPr id="94" name="图片 2" descr="15922991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2" descr="1592299130(1)"/>
                          <pic:cNvPicPr>
                            <a:picLocks noChangeAspect="1"/>
                          </pic:cNvPicPr>
                        </pic:nvPicPr>
                        <pic:blipFill>
                          <a:blip r:embed="rId24"/>
                          <a:stretch>
                            <a:fillRect/>
                          </a:stretch>
                        </pic:blipFill>
                        <pic:spPr>
                          <a:xfrm>
                            <a:off x="0" y="0"/>
                            <a:ext cx="2711450" cy="508000"/>
                          </a:xfrm>
                          <a:prstGeom prst="rect">
                            <a:avLst/>
                          </a:prstGeom>
                          <a:noFill/>
                          <a:ln>
                            <a:noFill/>
                          </a:ln>
                        </pic:spPr>
                      </pic:pic>
                    </a:graphicData>
                  </a:graphic>
                </wp:inline>
              </w:drawing>
            </w:r>
          </w:p>
          <w:p>
            <w:pPr>
              <w:spacing w:line="360" w:lineRule="auto"/>
              <w:ind w:firstLine="480" w:firstLineChars="200"/>
              <w:rPr>
                <w:rFonts w:hint="default" w:ascii="Times New Roman" w:hAnsi="Times New Roman" w:eastAsia="宋体" w:cs="Times New Roman"/>
                <w:color w:val="auto"/>
                <w:sz w:val="24"/>
                <w:u w:val="none"/>
              </w:rPr>
            </w:pPr>
            <w:r>
              <w:rPr>
                <w:rFonts w:hint="default" w:ascii="Times New Roman" w:hAnsi="Times New Roman" w:eastAsia="宋体" w:cs="Times New Roman"/>
                <w:color w:val="auto"/>
                <w:sz w:val="24"/>
                <w:u w:val="none"/>
              </w:rPr>
              <w:t>式中：Wy—堆场扬尘源中颗粒物总排放量，t/a；</w:t>
            </w:r>
          </w:p>
          <w:p>
            <w:pPr>
              <w:spacing w:line="360" w:lineRule="auto"/>
              <w:ind w:firstLine="480" w:firstLineChars="200"/>
              <w:rPr>
                <w:rFonts w:hint="default" w:ascii="Times New Roman" w:hAnsi="Times New Roman" w:eastAsia="宋体" w:cs="Times New Roman"/>
                <w:color w:val="auto"/>
                <w:sz w:val="24"/>
                <w:u w:val="none"/>
              </w:rPr>
            </w:pPr>
            <w:r>
              <w:rPr>
                <w:rFonts w:hint="default" w:ascii="Times New Roman" w:hAnsi="Times New Roman" w:eastAsia="宋体" w:cs="Times New Roman"/>
                <w:color w:val="auto"/>
                <w:sz w:val="24"/>
                <w:u w:val="none"/>
              </w:rPr>
              <w:t>Eh—堆场装卸、运输过程中的扬尘源颗粒物排放系数，kg/t；</w:t>
            </w:r>
          </w:p>
          <w:p>
            <w:pPr>
              <w:spacing w:line="360" w:lineRule="auto"/>
              <w:ind w:firstLine="480" w:firstLineChars="200"/>
              <w:rPr>
                <w:rFonts w:hint="default" w:ascii="Times New Roman" w:hAnsi="Times New Roman" w:eastAsia="宋体" w:cs="Times New Roman"/>
                <w:color w:val="auto"/>
                <w:sz w:val="24"/>
                <w:u w:val="none"/>
              </w:rPr>
            </w:pPr>
            <w:r>
              <w:rPr>
                <w:rFonts w:hint="default" w:ascii="Times New Roman" w:hAnsi="Times New Roman" w:eastAsia="宋体" w:cs="Times New Roman"/>
                <w:color w:val="auto"/>
                <w:sz w:val="24"/>
                <w:u w:val="none"/>
              </w:rPr>
              <w:t>m—每年物料装卸总次数；</w:t>
            </w:r>
          </w:p>
          <w:p>
            <w:pPr>
              <w:spacing w:line="360" w:lineRule="auto"/>
              <w:ind w:firstLine="480" w:firstLineChars="200"/>
              <w:rPr>
                <w:rFonts w:hint="default" w:ascii="Times New Roman" w:hAnsi="Times New Roman" w:eastAsia="宋体" w:cs="Times New Roman"/>
                <w:color w:val="auto"/>
                <w:sz w:val="24"/>
                <w:u w:val="none"/>
              </w:rPr>
            </w:pPr>
            <w:r>
              <w:rPr>
                <w:rFonts w:hint="default" w:ascii="Times New Roman" w:hAnsi="Times New Roman" w:eastAsia="宋体" w:cs="Times New Roman"/>
                <w:color w:val="auto"/>
                <w:sz w:val="24"/>
                <w:u w:val="none"/>
              </w:rPr>
              <w:t>GYi—第i次装卸过程中的物料装卸量，t；入厂物料采用一般载重20t的汽车运输，堆场铲运车载重0.5t。</w:t>
            </w:r>
          </w:p>
          <w:p>
            <w:pPr>
              <w:spacing w:line="360" w:lineRule="auto"/>
              <w:ind w:firstLine="480" w:firstLineChars="200"/>
              <w:rPr>
                <w:rFonts w:hint="default" w:ascii="Times New Roman" w:hAnsi="Times New Roman" w:eastAsia="宋体" w:cs="Times New Roman"/>
                <w:color w:val="auto"/>
                <w:sz w:val="24"/>
                <w:u w:val="none"/>
              </w:rPr>
            </w:pPr>
            <w:r>
              <w:rPr>
                <w:rFonts w:hint="default" w:ascii="Times New Roman" w:hAnsi="Times New Roman" w:eastAsia="宋体" w:cs="Times New Roman"/>
                <w:color w:val="auto"/>
                <w:sz w:val="24"/>
                <w:u w:val="none"/>
              </w:rPr>
              <w:t>Ew—受到风蚀作用的颗粒物排放系数，kg/m2；</w:t>
            </w:r>
          </w:p>
          <w:p>
            <w:pPr>
              <w:spacing w:line="360" w:lineRule="auto"/>
              <w:ind w:firstLine="480" w:firstLineChars="200"/>
              <w:rPr>
                <w:rFonts w:hint="default" w:ascii="Times New Roman" w:hAnsi="Times New Roman" w:eastAsia="宋体" w:cs="Times New Roman"/>
                <w:color w:val="auto"/>
                <w:sz w:val="24"/>
                <w:u w:val="none"/>
              </w:rPr>
            </w:pPr>
            <w:r>
              <w:rPr>
                <w:rFonts w:hint="default" w:ascii="Times New Roman" w:hAnsi="Times New Roman" w:eastAsia="宋体" w:cs="Times New Roman"/>
                <w:color w:val="auto"/>
                <w:sz w:val="24"/>
                <w:u w:val="none"/>
              </w:rPr>
              <w:t>Ay—料场面积；</w:t>
            </w:r>
          </w:p>
          <w:p>
            <w:pPr>
              <w:spacing w:line="360" w:lineRule="auto"/>
              <w:ind w:firstLine="480" w:firstLineChars="200"/>
              <w:rPr>
                <w:rFonts w:hint="default" w:ascii="Times New Roman" w:hAnsi="Times New Roman" w:eastAsia="宋体" w:cs="Times New Roman"/>
                <w:color w:val="auto"/>
                <w:sz w:val="24"/>
                <w:u w:val="none"/>
              </w:rPr>
            </w:pPr>
            <w:r>
              <w:rPr>
                <w:rFonts w:hint="default" w:ascii="Times New Roman" w:hAnsi="Times New Roman" w:eastAsia="宋体" w:cs="Times New Roman"/>
                <w:color w:val="auto"/>
                <w:sz w:val="24"/>
                <w:u w:val="none"/>
              </w:rPr>
              <w:t>bEh计算公示如下：</w:t>
            </w:r>
          </w:p>
          <w:p>
            <w:pPr>
              <w:pStyle w:val="2"/>
              <w:jc w:val="center"/>
              <w:rPr>
                <w:rFonts w:hint="default" w:ascii="Times New Roman" w:hAnsi="Times New Roman" w:eastAsia="宋体" w:cs="Times New Roman"/>
                <w:color w:val="auto"/>
                <w:u w:val="none"/>
              </w:rPr>
            </w:pPr>
            <w:r>
              <w:rPr>
                <w:rFonts w:hint="default" w:ascii="Times New Roman" w:hAnsi="Times New Roman" w:eastAsia="宋体" w:cs="Times New Roman"/>
                <w:color w:val="auto"/>
                <w:u w:val="none"/>
              </w:rPr>
              <w:drawing>
                <wp:inline distT="0" distB="0" distL="114300" distR="114300">
                  <wp:extent cx="2218690" cy="728345"/>
                  <wp:effectExtent l="0" t="0" r="3810" b="8255"/>
                  <wp:docPr id="92" name="图片 3" descr="15922992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3" descr="1592299253(1)"/>
                          <pic:cNvPicPr>
                            <a:picLocks noChangeAspect="1"/>
                          </pic:cNvPicPr>
                        </pic:nvPicPr>
                        <pic:blipFill>
                          <a:blip r:embed="rId25"/>
                          <a:stretch>
                            <a:fillRect/>
                          </a:stretch>
                        </pic:blipFill>
                        <pic:spPr>
                          <a:xfrm>
                            <a:off x="0" y="0"/>
                            <a:ext cx="2218690" cy="728345"/>
                          </a:xfrm>
                          <a:prstGeom prst="rect">
                            <a:avLst/>
                          </a:prstGeom>
                          <a:noFill/>
                          <a:ln>
                            <a:noFill/>
                          </a:ln>
                        </pic:spPr>
                      </pic:pic>
                    </a:graphicData>
                  </a:graphic>
                </wp:inline>
              </w:drawing>
            </w:r>
          </w:p>
          <w:p>
            <w:pPr>
              <w:spacing w:line="360" w:lineRule="auto"/>
              <w:ind w:firstLine="480" w:firstLineChars="200"/>
              <w:rPr>
                <w:rFonts w:hint="default" w:ascii="Times New Roman" w:hAnsi="Times New Roman" w:eastAsia="宋体" w:cs="Times New Roman"/>
                <w:color w:val="auto"/>
                <w:sz w:val="24"/>
                <w:u w:val="none"/>
              </w:rPr>
            </w:pPr>
            <w:r>
              <w:rPr>
                <w:rFonts w:hint="default" w:ascii="Times New Roman" w:hAnsi="Times New Roman" w:eastAsia="宋体" w:cs="Times New Roman"/>
                <w:color w:val="auto"/>
                <w:sz w:val="24"/>
                <w:u w:val="none"/>
              </w:rPr>
              <w:t>式中：ki—物料的粒度乘数，经查阅指南中表10，TSP的粒度乘取0.74；</w:t>
            </w:r>
          </w:p>
          <w:p>
            <w:pPr>
              <w:spacing w:line="360" w:lineRule="auto"/>
              <w:ind w:firstLine="480" w:firstLineChars="200"/>
              <w:rPr>
                <w:rFonts w:hint="default" w:ascii="Times New Roman" w:hAnsi="Times New Roman" w:eastAsia="宋体" w:cs="Times New Roman"/>
                <w:color w:val="auto"/>
                <w:sz w:val="24"/>
                <w:u w:val="none"/>
              </w:rPr>
            </w:pPr>
            <w:r>
              <w:rPr>
                <w:rFonts w:hint="default" w:ascii="Times New Roman" w:hAnsi="Times New Roman" w:eastAsia="宋体" w:cs="Times New Roman"/>
                <w:color w:val="auto"/>
                <w:sz w:val="24"/>
                <w:u w:val="none"/>
              </w:rPr>
              <w:t>u—地面平均风速，m/s，衡阳</w:t>
            </w:r>
            <w:r>
              <w:rPr>
                <w:rFonts w:hint="default" w:ascii="Times New Roman" w:hAnsi="Times New Roman" w:eastAsia="宋体" w:cs="Times New Roman"/>
                <w:color w:val="auto"/>
                <w:sz w:val="24"/>
                <w:u w:val="none"/>
                <w:lang w:eastAsia="zh-CN"/>
              </w:rPr>
              <w:t>市</w:t>
            </w:r>
            <w:r>
              <w:rPr>
                <w:rFonts w:hint="default" w:ascii="Times New Roman" w:hAnsi="Times New Roman" w:eastAsia="宋体" w:cs="Times New Roman"/>
                <w:color w:val="auto"/>
                <w:sz w:val="24"/>
                <w:u w:val="none"/>
              </w:rPr>
              <w:t>多年平均风速2.0m/s；</w:t>
            </w:r>
          </w:p>
          <w:p>
            <w:pPr>
              <w:spacing w:line="360" w:lineRule="auto"/>
              <w:ind w:firstLine="480" w:firstLineChars="200"/>
              <w:rPr>
                <w:rFonts w:hint="default" w:ascii="Times New Roman" w:hAnsi="Times New Roman" w:eastAsia="宋体" w:cs="Times New Roman"/>
                <w:color w:val="auto"/>
                <w:sz w:val="24"/>
                <w:u w:val="none"/>
              </w:rPr>
            </w:pPr>
            <w:r>
              <w:rPr>
                <w:rFonts w:hint="default" w:ascii="Times New Roman" w:hAnsi="Times New Roman" w:eastAsia="宋体" w:cs="Times New Roman"/>
                <w:color w:val="auto"/>
                <w:sz w:val="24"/>
                <w:u w:val="none"/>
              </w:rPr>
              <w:t>M—物料含水率，</w:t>
            </w:r>
            <w:r>
              <w:rPr>
                <w:rFonts w:hint="default" w:ascii="Times New Roman" w:hAnsi="Times New Roman" w:eastAsia="宋体" w:cs="Times New Roman"/>
                <w:color w:val="auto"/>
                <w:sz w:val="24"/>
                <w:u w:val="none"/>
                <w:lang w:val="en-US" w:eastAsia="zh-CN"/>
              </w:rPr>
              <w:t>%，本项目</w:t>
            </w:r>
            <w:r>
              <w:rPr>
                <w:rFonts w:hint="default" w:ascii="Times New Roman" w:hAnsi="Times New Roman" w:eastAsia="宋体" w:cs="Times New Roman"/>
                <w:color w:val="auto"/>
                <w:sz w:val="24"/>
                <w:u w:val="none"/>
                <w:lang w:eastAsia="zh-CN"/>
              </w:rPr>
              <w:t>取</w:t>
            </w:r>
            <w:r>
              <w:rPr>
                <w:rFonts w:hint="eastAsia" w:ascii="Times New Roman" w:hAnsi="Times New Roman" w:eastAsia="宋体" w:cs="Times New Roman"/>
                <w:color w:val="auto"/>
                <w:sz w:val="24"/>
                <w:u w:val="none"/>
                <w:lang w:val="en-US" w:eastAsia="zh-CN"/>
              </w:rPr>
              <w:t>45</w:t>
            </w:r>
            <w:r>
              <w:rPr>
                <w:rFonts w:hint="default" w:ascii="Times New Roman" w:hAnsi="Times New Roman" w:eastAsia="宋体" w:cs="Times New Roman"/>
                <w:color w:val="auto"/>
                <w:sz w:val="24"/>
                <w:u w:val="none"/>
              </w:rPr>
              <w:t>%；</w:t>
            </w:r>
          </w:p>
          <w:p>
            <w:pPr>
              <w:spacing w:line="360" w:lineRule="auto"/>
              <w:ind w:firstLine="480" w:firstLineChars="200"/>
              <w:rPr>
                <w:rFonts w:hint="default" w:ascii="Times New Roman" w:hAnsi="Times New Roman" w:eastAsia="宋体" w:cs="Times New Roman"/>
                <w:color w:val="auto"/>
                <w:sz w:val="24"/>
                <w:u w:val="none"/>
              </w:rPr>
            </w:pPr>
            <w:r>
              <w:rPr>
                <w:rFonts w:hint="default" w:ascii="Times New Roman" w:hAnsi="Times New Roman" w:eastAsia="宋体" w:cs="Times New Roman"/>
                <w:color w:val="auto"/>
                <w:sz w:val="24"/>
                <w:u w:val="none"/>
              </w:rPr>
              <w:t>η—污染控制措施对扬尘的处理效率，%，评价项目原料棚采用实体围挡遮围</w:t>
            </w:r>
            <w:r>
              <w:rPr>
                <w:rFonts w:hint="default" w:ascii="Times New Roman" w:hAnsi="Times New Roman" w:eastAsia="宋体" w:cs="Times New Roman"/>
                <w:color w:val="auto"/>
                <w:sz w:val="24"/>
                <w:u w:val="none"/>
                <w:lang w:eastAsia="zh-CN"/>
              </w:rPr>
              <w:t>及洒水措施</w:t>
            </w:r>
            <w:r>
              <w:rPr>
                <w:rFonts w:hint="default" w:ascii="Times New Roman" w:hAnsi="Times New Roman" w:eastAsia="宋体" w:cs="Times New Roman"/>
                <w:color w:val="auto"/>
                <w:sz w:val="24"/>
                <w:u w:val="none"/>
              </w:rPr>
              <w:t>，η=</w:t>
            </w:r>
            <w:r>
              <w:rPr>
                <w:rFonts w:hint="default" w:ascii="Times New Roman" w:hAnsi="Times New Roman" w:eastAsia="宋体" w:cs="Times New Roman"/>
                <w:color w:val="auto"/>
                <w:sz w:val="24"/>
                <w:u w:val="none"/>
                <w:lang w:val="en-US" w:eastAsia="zh-CN"/>
              </w:rPr>
              <w:t>74</w:t>
            </w:r>
            <w:r>
              <w:rPr>
                <w:rFonts w:hint="default" w:ascii="Times New Roman" w:hAnsi="Times New Roman" w:eastAsia="宋体" w:cs="Times New Roman"/>
                <w:color w:val="auto"/>
                <w:sz w:val="24"/>
                <w:u w:val="none"/>
              </w:rPr>
              <w:t>%。</w:t>
            </w:r>
          </w:p>
          <w:p>
            <w:pPr>
              <w:spacing w:line="360" w:lineRule="auto"/>
              <w:ind w:firstLine="480" w:firstLineChars="200"/>
              <w:rPr>
                <w:rFonts w:hint="default" w:ascii="Times New Roman" w:hAnsi="Times New Roman" w:eastAsia="宋体" w:cs="Times New Roman"/>
                <w:color w:val="auto"/>
                <w:sz w:val="24"/>
                <w:u w:val="none"/>
              </w:rPr>
            </w:pPr>
            <w:r>
              <w:rPr>
                <w:rFonts w:hint="default" w:ascii="Times New Roman" w:hAnsi="Times New Roman" w:eastAsia="宋体" w:cs="Times New Roman"/>
                <w:color w:val="auto"/>
                <w:sz w:val="24"/>
                <w:u w:val="none"/>
              </w:rPr>
              <w:t>经计算，本项目装卸、运输物料过程扬尘排放系数Eh=</w:t>
            </w:r>
            <w:r>
              <w:rPr>
                <w:rFonts w:hint="default" w:ascii="Times New Roman" w:hAnsi="Times New Roman" w:eastAsia="宋体" w:cs="Times New Roman"/>
                <w:color w:val="auto"/>
                <w:sz w:val="24"/>
                <w:u w:val="none"/>
                <w:lang w:val="en-US" w:eastAsia="zh-CN"/>
              </w:rPr>
              <w:t>0.00</w:t>
            </w:r>
            <w:r>
              <w:rPr>
                <w:rFonts w:hint="eastAsia" w:ascii="Times New Roman" w:hAnsi="Times New Roman" w:eastAsia="宋体" w:cs="Times New Roman"/>
                <w:color w:val="auto"/>
                <w:sz w:val="24"/>
                <w:u w:val="none"/>
                <w:lang w:val="en-US" w:eastAsia="zh-CN"/>
              </w:rPr>
              <w:t>22</w:t>
            </w:r>
            <w:r>
              <w:rPr>
                <w:rFonts w:hint="default" w:ascii="Times New Roman" w:hAnsi="Times New Roman" w:eastAsia="宋体" w:cs="Times New Roman"/>
                <w:color w:val="auto"/>
                <w:sz w:val="24"/>
                <w:u w:val="none"/>
              </w:rPr>
              <w:t>kg/t。</w:t>
            </w:r>
          </w:p>
          <w:p>
            <w:pPr>
              <w:spacing w:line="360" w:lineRule="auto"/>
              <w:ind w:firstLine="480" w:firstLineChars="200"/>
              <w:rPr>
                <w:rFonts w:hint="default" w:ascii="Times New Roman" w:hAnsi="Times New Roman" w:eastAsia="宋体" w:cs="Times New Roman"/>
                <w:color w:val="auto"/>
                <w:sz w:val="24"/>
                <w:u w:val="none"/>
                <w:lang w:eastAsia="zh-CN"/>
              </w:rPr>
            </w:pPr>
            <w:r>
              <w:rPr>
                <w:rFonts w:hint="default" w:ascii="Times New Roman" w:hAnsi="Times New Roman" w:eastAsia="宋体" w:cs="Times New Roman"/>
                <w:color w:val="auto"/>
                <w:sz w:val="24"/>
                <w:u w:val="none"/>
              </w:rPr>
              <w:t>cEw计算公示如下</w:t>
            </w:r>
            <w:r>
              <w:rPr>
                <w:rFonts w:hint="default" w:ascii="Times New Roman" w:hAnsi="Times New Roman" w:eastAsia="宋体" w:cs="Times New Roman"/>
                <w:color w:val="auto"/>
                <w:sz w:val="24"/>
                <w:u w:val="none"/>
                <w:lang w:eastAsia="zh-CN"/>
              </w:rPr>
              <w:t>：</w:t>
            </w:r>
          </w:p>
          <w:p>
            <w:pPr>
              <w:pStyle w:val="2"/>
              <w:jc w:val="center"/>
              <w:rPr>
                <w:rFonts w:hint="default" w:ascii="Times New Roman" w:hAnsi="Times New Roman" w:eastAsia="宋体" w:cs="Times New Roman"/>
                <w:color w:val="auto"/>
                <w:u w:val="none"/>
              </w:rPr>
            </w:pPr>
            <w:r>
              <w:rPr>
                <w:rFonts w:hint="default" w:ascii="Times New Roman" w:hAnsi="Times New Roman" w:eastAsia="宋体" w:cs="Times New Roman"/>
                <w:color w:val="auto"/>
                <w:u w:val="none"/>
              </w:rPr>
              <w:drawing>
                <wp:inline distT="0" distB="0" distL="114300" distR="114300">
                  <wp:extent cx="2018665" cy="538480"/>
                  <wp:effectExtent l="0" t="0" r="635" b="7620"/>
                  <wp:docPr id="93" name="图片 4" descr="15922993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4" descr="1592299397(1)"/>
                          <pic:cNvPicPr>
                            <a:picLocks noChangeAspect="1"/>
                          </pic:cNvPicPr>
                        </pic:nvPicPr>
                        <pic:blipFill>
                          <a:blip r:embed="rId26"/>
                          <a:stretch>
                            <a:fillRect/>
                          </a:stretch>
                        </pic:blipFill>
                        <pic:spPr>
                          <a:xfrm>
                            <a:off x="0" y="0"/>
                            <a:ext cx="2018665" cy="538480"/>
                          </a:xfrm>
                          <a:prstGeom prst="rect">
                            <a:avLst/>
                          </a:prstGeom>
                          <a:noFill/>
                          <a:ln>
                            <a:noFill/>
                          </a:ln>
                        </pic:spPr>
                      </pic:pic>
                    </a:graphicData>
                  </a:graphic>
                </wp:inline>
              </w:drawing>
            </w:r>
          </w:p>
          <w:p>
            <w:pPr>
              <w:pStyle w:val="4"/>
              <w:jc w:val="center"/>
              <w:rPr>
                <w:rFonts w:hint="default" w:ascii="Times New Roman" w:hAnsi="Times New Roman" w:eastAsia="宋体" w:cs="Times New Roman"/>
                <w:color w:val="auto"/>
                <w:u w:val="none"/>
              </w:rPr>
            </w:pPr>
            <w:r>
              <w:rPr>
                <w:rFonts w:hint="default" w:ascii="Times New Roman" w:hAnsi="Times New Roman" w:eastAsia="宋体" w:cs="Times New Roman"/>
                <w:color w:val="auto"/>
                <w:u w:val="none"/>
              </w:rPr>
              <w:drawing>
                <wp:inline distT="0" distB="0" distL="114300" distR="114300">
                  <wp:extent cx="3088005" cy="384810"/>
                  <wp:effectExtent l="0" t="0" r="10795" b="8890"/>
                  <wp:docPr id="91" name="图片 5" descr="15922994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5" descr="1592299443(1)"/>
                          <pic:cNvPicPr>
                            <a:picLocks noChangeAspect="1"/>
                          </pic:cNvPicPr>
                        </pic:nvPicPr>
                        <pic:blipFill>
                          <a:blip r:embed="rId27"/>
                          <a:stretch>
                            <a:fillRect/>
                          </a:stretch>
                        </pic:blipFill>
                        <pic:spPr>
                          <a:xfrm>
                            <a:off x="0" y="0"/>
                            <a:ext cx="3088005" cy="384810"/>
                          </a:xfrm>
                          <a:prstGeom prst="rect">
                            <a:avLst/>
                          </a:prstGeom>
                          <a:noFill/>
                          <a:ln>
                            <a:noFill/>
                          </a:ln>
                        </pic:spPr>
                      </pic:pic>
                    </a:graphicData>
                  </a:graphic>
                </wp:inline>
              </w:drawing>
            </w:r>
          </w:p>
          <w:p>
            <w:pPr>
              <w:spacing w:line="360" w:lineRule="auto"/>
              <w:ind w:firstLine="480" w:firstLineChars="200"/>
              <w:rPr>
                <w:rFonts w:hint="default" w:ascii="Times New Roman" w:hAnsi="Times New Roman" w:eastAsia="宋体" w:cs="Times New Roman"/>
                <w:color w:val="auto"/>
                <w:sz w:val="24"/>
                <w:u w:val="none"/>
                <w:lang w:eastAsia="zh-CN"/>
              </w:rPr>
            </w:pPr>
            <w:r>
              <w:rPr>
                <w:rFonts w:hint="default" w:ascii="Times New Roman" w:hAnsi="Times New Roman" w:eastAsia="宋体" w:cs="Times New Roman"/>
                <w:color w:val="auto"/>
                <w:sz w:val="24"/>
                <w:u w:val="none"/>
                <w:lang w:eastAsia="zh-CN"/>
              </w:rPr>
              <w:t>式中：1）ni—n为料堆每年受扰动的次数；</w:t>
            </w:r>
          </w:p>
          <w:p>
            <w:pPr>
              <w:spacing w:line="360" w:lineRule="auto"/>
              <w:ind w:firstLine="480" w:firstLineChars="200"/>
              <w:rPr>
                <w:rFonts w:hint="default" w:ascii="Times New Roman" w:hAnsi="Times New Roman" w:eastAsia="宋体" w:cs="Times New Roman"/>
                <w:color w:val="auto"/>
                <w:sz w:val="24"/>
                <w:u w:val="none"/>
                <w:lang w:eastAsia="zh-CN"/>
              </w:rPr>
            </w:pPr>
            <w:r>
              <w:rPr>
                <w:rFonts w:hint="default" w:ascii="Times New Roman" w:hAnsi="Times New Roman" w:eastAsia="宋体" w:cs="Times New Roman"/>
                <w:color w:val="auto"/>
                <w:sz w:val="24"/>
                <w:u w:val="none"/>
                <w:lang w:eastAsia="zh-CN"/>
              </w:rPr>
              <w:t>Pi为第i次扰动中观测的最大风速的风蚀潜势，g/m2；</w:t>
            </w:r>
          </w:p>
          <w:p>
            <w:pPr>
              <w:spacing w:line="360" w:lineRule="auto"/>
              <w:ind w:firstLine="480" w:firstLineChars="200"/>
              <w:rPr>
                <w:rFonts w:hint="default" w:ascii="Times New Roman" w:hAnsi="Times New Roman" w:eastAsia="宋体" w:cs="Times New Roman"/>
                <w:color w:val="auto"/>
                <w:sz w:val="24"/>
                <w:u w:val="none"/>
                <w:lang w:eastAsia="zh-CN"/>
              </w:rPr>
            </w:pPr>
            <w:r>
              <w:rPr>
                <w:rFonts w:hint="default" w:ascii="Times New Roman" w:hAnsi="Times New Roman" w:eastAsia="宋体" w:cs="Times New Roman"/>
                <w:color w:val="auto"/>
                <w:sz w:val="24"/>
                <w:u w:val="none"/>
                <w:lang w:eastAsia="zh-CN"/>
              </w:rPr>
              <w:t>u*为摩擦风速，m/s，计算公式如下：</w:t>
            </w:r>
          </w:p>
          <w:p>
            <w:pPr>
              <w:spacing w:line="360" w:lineRule="auto"/>
              <w:ind w:firstLine="420" w:firstLineChars="200"/>
              <w:jc w:val="center"/>
              <w:rPr>
                <w:rFonts w:hint="default" w:ascii="Times New Roman" w:hAnsi="Times New Roman" w:eastAsia="宋体" w:cs="Times New Roman"/>
                <w:color w:val="auto"/>
                <w:sz w:val="24"/>
                <w:u w:val="none"/>
                <w:lang w:eastAsia="zh-CN"/>
              </w:rPr>
            </w:pPr>
            <w:r>
              <w:rPr>
                <w:rFonts w:hint="default" w:ascii="Times New Roman" w:hAnsi="Times New Roman" w:eastAsia="宋体" w:cs="Times New Roman"/>
                <w:color w:val="auto"/>
                <w:u w:val="none"/>
              </w:rPr>
              <w:drawing>
                <wp:inline distT="0" distB="0" distL="114300" distR="114300">
                  <wp:extent cx="1699260" cy="368935"/>
                  <wp:effectExtent l="0" t="0" r="2540" b="12065"/>
                  <wp:docPr id="90" name="图片 6" descr="15922996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6" descr="1592299616(1)"/>
                          <pic:cNvPicPr>
                            <a:picLocks noChangeAspect="1"/>
                          </pic:cNvPicPr>
                        </pic:nvPicPr>
                        <pic:blipFill>
                          <a:blip r:embed="rId28"/>
                          <a:stretch>
                            <a:fillRect/>
                          </a:stretch>
                        </pic:blipFill>
                        <pic:spPr>
                          <a:xfrm>
                            <a:off x="0" y="0"/>
                            <a:ext cx="1699260" cy="368935"/>
                          </a:xfrm>
                          <a:prstGeom prst="rect">
                            <a:avLst/>
                          </a:prstGeom>
                          <a:noFill/>
                          <a:ln>
                            <a:noFill/>
                          </a:ln>
                        </pic:spPr>
                      </pic:pic>
                    </a:graphicData>
                  </a:graphic>
                </wp:inline>
              </w:drawing>
            </w:r>
          </w:p>
          <w:p>
            <w:pPr>
              <w:spacing w:line="360" w:lineRule="auto"/>
              <w:ind w:firstLine="480" w:firstLineChars="200"/>
              <w:rPr>
                <w:rFonts w:hint="default" w:ascii="Times New Roman" w:hAnsi="Times New Roman" w:eastAsia="宋体" w:cs="Times New Roman"/>
                <w:color w:val="auto"/>
                <w:sz w:val="24"/>
                <w:u w:val="none"/>
                <w:lang w:eastAsia="zh-CN"/>
              </w:rPr>
            </w:pPr>
            <w:r>
              <w:rPr>
                <w:rFonts w:hint="default" w:ascii="Times New Roman" w:hAnsi="Times New Roman" w:eastAsia="宋体" w:cs="Times New Roman"/>
                <w:color w:val="auto"/>
                <w:sz w:val="24"/>
                <w:u w:val="none"/>
                <w:lang w:eastAsia="zh-CN"/>
              </w:rPr>
              <w:t>式中：u（z）—地面风速，m/s；</w:t>
            </w:r>
          </w:p>
          <w:p>
            <w:pPr>
              <w:spacing w:line="360" w:lineRule="auto"/>
              <w:ind w:firstLine="480" w:firstLineChars="200"/>
              <w:rPr>
                <w:rFonts w:hint="default" w:ascii="Times New Roman" w:hAnsi="Times New Roman" w:eastAsia="宋体" w:cs="Times New Roman"/>
                <w:color w:val="auto"/>
                <w:sz w:val="24"/>
                <w:u w:val="none"/>
                <w:lang w:eastAsia="zh-CN"/>
              </w:rPr>
            </w:pPr>
            <w:r>
              <w:rPr>
                <w:rFonts w:hint="default" w:ascii="Times New Roman" w:hAnsi="Times New Roman" w:eastAsia="宋体" w:cs="Times New Roman"/>
                <w:color w:val="auto"/>
                <w:sz w:val="24"/>
                <w:u w:val="none"/>
                <w:lang w:eastAsia="zh-CN"/>
              </w:rPr>
              <w:t>z—地面风速检测高度，m，评价项目取10m；</w:t>
            </w:r>
          </w:p>
          <w:p>
            <w:pPr>
              <w:spacing w:line="360" w:lineRule="auto"/>
              <w:ind w:firstLine="480" w:firstLineChars="200"/>
              <w:rPr>
                <w:rFonts w:hint="default" w:ascii="Times New Roman" w:hAnsi="Times New Roman" w:eastAsia="宋体" w:cs="Times New Roman"/>
                <w:color w:val="auto"/>
                <w:sz w:val="24"/>
                <w:u w:val="none"/>
                <w:lang w:eastAsia="zh-CN"/>
              </w:rPr>
            </w:pPr>
            <w:r>
              <w:rPr>
                <w:rFonts w:hint="default" w:ascii="Times New Roman" w:hAnsi="Times New Roman" w:eastAsia="宋体" w:cs="Times New Roman"/>
                <w:color w:val="auto"/>
                <w:sz w:val="24"/>
                <w:u w:val="none"/>
                <w:lang w:eastAsia="zh-CN"/>
              </w:rPr>
              <w:t>z0—地面粗糙度，m，城市取0.6，郊区取0.2，评价项目取0.2；</w:t>
            </w:r>
          </w:p>
          <w:p>
            <w:pPr>
              <w:spacing w:line="360" w:lineRule="auto"/>
              <w:ind w:firstLine="480" w:firstLineChars="200"/>
              <w:rPr>
                <w:rFonts w:hint="default" w:ascii="Times New Roman" w:hAnsi="Times New Roman" w:eastAsia="宋体" w:cs="Times New Roman"/>
                <w:color w:val="auto"/>
                <w:sz w:val="24"/>
                <w:u w:val="none"/>
                <w:lang w:eastAsia="zh-CN"/>
              </w:rPr>
            </w:pPr>
            <w:r>
              <w:rPr>
                <w:rFonts w:hint="default" w:ascii="Times New Roman" w:hAnsi="Times New Roman" w:eastAsia="宋体" w:cs="Times New Roman"/>
                <w:color w:val="auto"/>
                <w:sz w:val="24"/>
                <w:u w:val="none"/>
                <w:lang w:eastAsia="zh-CN"/>
              </w:rPr>
              <w:t>0.4—冯卡门常数，无量纲；</w:t>
            </w:r>
          </w:p>
          <w:p>
            <w:pPr>
              <w:spacing w:line="360" w:lineRule="auto"/>
              <w:ind w:firstLine="480" w:firstLineChars="200"/>
              <w:rPr>
                <w:rFonts w:hint="default" w:ascii="Times New Roman" w:hAnsi="Times New Roman" w:eastAsia="宋体" w:cs="Times New Roman"/>
                <w:color w:val="auto"/>
                <w:sz w:val="24"/>
                <w:u w:val="none"/>
                <w:lang w:eastAsia="zh-CN"/>
              </w:rPr>
            </w:pPr>
            <w:r>
              <w:rPr>
                <w:rFonts w:hint="default" w:ascii="Times New Roman" w:hAnsi="Times New Roman" w:eastAsia="宋体" w:cs="Times New Roman"/>
                <w:color w:val="auto"/>
                <w:sz w:val="24"/>
                <w:u w:val="none"/>
                <w:lang w:eastAsia="zh-CN"/>
              </w:rPr>
              <w:t>由于评价项目堆场堆设置在厂棚内，四周有围挡可以起到挡风作用；因此可近似的认为：u（z）=0，则u*=0m/s；</w:t>
            </w:r>
          </w:p>
          <w:p>
            <w:pPr>
              <w:spacing w:line="360" w:lineRule="auto"/>
              <w:ind w:firstLine="480" w:firstLineChars="200"/>
              <w:rPr>
                <w:rFonts w:hint="default" w:ascii="Times New Roman" w:hAnsi="Times New Roman" w:eastAsia="宋体" w:cs="Times New Roman"/>
                <w:color w:val="auto"/>
                <w:sz w:val="24"/>
                <w:u w:val="none"/>
                <w:lang w:eastAsia="zh-CN"/>
              </w:rPr>
            </w:pPr>
            <w:r>
              <w:rPr>
                <w:rFonts w:hint="default" w:ascii="Times New Roman" w:hAnsi="Times New Roman" w:eastAsia="宋体" w:cs="Times New Roman"/>
                <w:color w:val="auto"/>
                <w:sz w:val="24"/>
                <w:u w:val="none"/>
                <w:lang w:eastAsia="zh-CN"/>
              </w:rPr>
              <w:t>ut*为阈值摩擦风速，即起尘的临界摩擦风速，m/s；工业废渣均参照指南中表15煤堆的阈值摩擦风速，即1.02m/s；</w:t>
            </w:r>
          </w:p>
          <w:p>
            <w:pPr>
              <w:spacing w:line="360" w:lineRule="auto"/>
              <w:ind w:firstLine="480" w:firstLineChars="200"/>
              <w:rPr>
                <w:rFonts w:hint="default" w:ascii="Times New Roman" w:hAnsi="Times New Roman" w:eastAsia="宋体" w:cs="Times New Roman"/>
                <w:color w:val="auto"/>
                <w:sz w:val="24"/>
                <w:u w:val="none"/>
                <w:lang w:eastAsia="zh-CN"/>
              </w:rPr>
            </w:pPr>
            <w:r>
              <w:rPr>
                <w:rFonts w:hint="default" w:ascii="Times New Roman" w:hAnsi="Times New Roman" w:eastAsia="宋体" w:cs="Times New Roman"/>
                <w:color w:val="auto"/>
                <w:sz w:val="24"/>
                <w:u w:val="none"/>
                <w:lang w:eastAsia="zh-CN"/>
              </w:rPr>
              <w:t>经计算可知u*＜ut*，故，Pi=0；则Ew=0；</w:t>
            </w:r>
          </w:p>
          <w:p>
            <w:pPr>
              <w:spacing w:line="360" w:lineRule="auto"/>
              <w:ind w:firstLine="480" w:firstLineChars="200"/>
              <w:rPr>
                <w:rFonts w:hint="default" w:ascii="Times New Roman" w:hAnsi="Times New Roman" w:eastAsia="宋体" w:cs="Times New Roman"/>
                <w:color w:val="auto"/>
                <w:sz w:val="24"/>
                <w:u w:val="none"/>
                <w:lang w:eastAsia="zh-CN"/>
              </w:rPr>
            </w:pPr>
            <w:r>
              <w:rPr>
                <w:rFonts w:hint="default" w:ascii="Times New Roman" w:hAnsi="Times New Roman" w:eastAsia="宋体" w:cs="Times New Roman"/>
                <w:color w:val="auto"/>
                <w:sz w:val="24"/>
                <w:u w:val="none"/>
                <w:lang w:eastAsia="zh-CN"/>
              </w:rPr>
              <w:t>根据上述公式及相关参数，计算项目营运期一般固废装卸、贮存粉尘粉尘排放为</w:t>
            </w:r>
            <w:r>
              <w:rPr>
                <w:rFonts w:hint="eastAsia" w:ascii="Times New Roman" w:hAnsi="Times New Roman" w:eastAsia="宋体" w:cs="Times New Roman"/>
                <w:color w:val="auto"/>
                <w:sz w:val="24"/>
                <w:u w:val="none"/>
                <w:lang w:val="en-US" w:eastAsia="zh-CN"/>
              </w:rPr>
              <w:t>0.0</w:t>
            </w:r>
            <w:r>
              <w:rPr>
                <w:rFonts w:hint="eastAsia" w:cs="Times New Roman"/>
                <w:color w:val="auto"/>
                <w:sz w:val="24"/>
                <w:u w:val="none"/>
                <w:lang w:val="en-US" w:eastAsia="zh-CN"/>
              </w:rPr>
              <w:t>165</w:t>
            </w:r>
            <w:r>
              <w:rPr>
                <w:rFonts w:hint="default" w:ascii="Times New Roman" w:hAnsi="Times New Roman" w:eastAsia="宋体" w:cs="Times New Roman"/>
                <w:color w:val="auto"/>
                <w:sz w:val="24"/>
                <w:u w:val="none"/>
                <w:lang w:eastAsia="zh-CN"/>
              </w:rPr>
              <w:t>t/a。</w:t>
            </w:r>
          </w:p>
          <w:p>
            <w:pPr>
              <w:spacing w:line="360" w:lineRule="auto"/>
              <w:ind w:firstLine="482" w:firstLineChars="200"/>
              <w:rPr>
                <w:rFonts w:hint="default" w:ascii="Times New Roman" w:hAnsi="Times New Roman" w:eastAsia="宋体" w:cs="Times New Roman"/>
                <w:color w:val="auto"/>
                <w:u w:val="none"/>
              </w:rPr>
            </w:pPr>
            <w:r>
              <w:rPr>
                <w:rFonts w:hint="default" w:ascii="Times New Roman" w:hAnsi="Times New Roman" w:eastAsia="宋体" w:cs="Times New Roman"/>
                <w:b/>
                <w:bCs/>
                <w:color w:val="auto"/>
                <w:sz w:val="24"/>
                <w:u w:val="none"/>
                <w:lang w:val="en-US" w:eastAsia="zh-CN"/>
              </w:rPr>
              <w:t>3</w:t>
            </w:r>
            <w:r>
              <w:rPr>
                <w:rFonts w:hint="default" w:ascii="Times New Roman" w:hAnsi="Times New Roman" w:eastAsia="宋体" w:cs="Times New Roman"/>
                <w:b/>
                <w:bCs/>
                <w:color w:val="auto"/>
                <w:sz w:val="24"/>
                <w:u w:val="none"/>
              </w:rPr>
              <w:t>、污染源</w:t>
            </w:r>
            <w:r>
              <w:rPr>
                <w:rFonts w:hint="default" w:ascii="Times New Roman" w:hAnsi="Times New Roman" w:eastAsia="宋体" w:cs="Times New Roman"/>
                <w:b/>
                <w:bCs/>
                <w:color w:val="auto"/>
                <w:sz w:val="24"/>
                <w:u w:val="none"/>
                <w:lang w:eastAsia="zh-CN"/>
              </w:rPr>
              <w:t>排放情况汇总</w:t>
            </w:r>
          </w:p>
          <w:p>
            <w:pPr>
              <w:spacing w:before="156" w:beforeLines="50"/>
              <w:jc w:val="center"/>
              <w:rPr>
                <w:rFonts w:hint="default" w:ascii="Times New Roman" w:hAnsi="Times New Roman" w:eastAsia="宋体" w:cs="Times New Roman"/>
                <w:b/>
                <w:color w:val="auto"/>
                <w:szCs w:val="21"/>
                <w:u w:val="none"/>
              </w:rPr>
            </w:pPr>
            <w:r>
              <w:rPr>
                <w:rFonts w:hint="default" w:ascii="Times New Roman" w:hAnsi="Times New Roman" w:eastAsia="宋体" w:cs="Times New Roman"/>
                <w:b/>
                <w:color w:val="auto"/>
                <w:szCs w:val="21"/>
                <w:u w:val="none"/>
              </w:rPr>
              <w:t>表4-</w:t>
            </w:r>
            <w:r>
              <w:rPr>
                <w:rFonts w:hint="eastAsia" w:cs="Times New Roman"/>
                <w:b/>
                <w:color w:val="auto"/>
                <w:szCs w:val="21"/>
                <w:u w:val="none"/>
                <w:lang w:val="en-US" w:eastAsia="zh-CN"/>
              </w:rPr>
              <w:t>2 一般固废装卸、贮存粉尘</w:t>
            </w:r>
            <w:r>
              <w:rPr>
                <w:rFonts w:hint="default" w:ascii="Times New Roman" w:hAnsi="Times New Roman" w:eastAsia="宋体" w:cs="Times New Roman"/>
                <w:b/>
                <w:color w:val="auto"/>
                <w:szCs w:val="21"/>
                <w:u w:val="none"/>
              </w:rPr>
              <w:t>排放情况一览表</w:t>
            </w:r>
          </w:p>
          <w:tbl>
            <w:tblPr>
              <w:tblStyle w:val="30"/>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822"/>
              <w:gridCol w:w="1474"/>
              <w:gridCol w:w="863"/>
              <w:gridCol w:w="900"/>
              <w:gridCol w:w="1050"/>
              <w:gridCol w:w="900"/>
              <w:gridCol w:w="975"/>
              <w:gridCol w:w="95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822" w:type="dxa"/>
                  <w:vMerge w:val="restart"/>
                  <w:noWrap w:val="0"/>
                  <w:vAlign w:val="center"/>
                </w:tcPr>
                <w:p>
                  <w:pPr>
                    <w:spacing w:line="240" w:lineRule="atLeast"/>
                    <w:jc w:val="center"/>
                    <w:rPr>
                      <w:rFonts w:hint="default" w:ascii="Times New Roman" w:hAnsi="Times New Roman" w:eastAsia="宋体" w:cs="Times New Roman"/>
                      <w:b/>
                      <w:color w:val="auto"/>
                      <w:kern w:val="0"/>
                      <w:sz w:val="18"/>
                      <w:szCs w:val="18"/>
                      <w:u w:val="none"/>
                    </w:rPr>
                  </w:pPr>
                  <w:r>
                    <w:rPr>
                      <w:rFonts w:hint="default" w:ascii="Times New Roman" w:hAnsi="Times New Roman" w:eastAsia="宋体" w:cs="Times New Roman"/>
                      <w:b/>
                      <w:color w:val="auto"/>
                      <w:kern w:val="0"/>
                      <w:sz w:val="18"/>
                      <w:szCs w:val="18"/>
                      <w:u w:val="none"/>
                    </w:rPr>
                    <w:t>序号</w:t>
                  </w:r>
                </w:p>
              </w:tc>
              <w:tc>
                <w:tcPr>
                  <w:tcW w:w="1474" w:type="dxa"/>
                  <w:vMerge w:val="restart"/>
                  <w:noWrap w:val="0"/>
                  <w:vAlign w:val="center"/>
                </w:tcPr>
                <w:p>
                  <w:pPr>
                    <w:spacing w:line="240" w:lineRule="atLeast"/>
                    <w:jc w:val="center"/>
                    <w:rPr>
                      <w:rFonts w:hint="default" w:ascii="Times New Roman" w:hAnsi="Times New Roman" w:eastAsia="宋体" w:cs="Times New Roman"/>
                      <w:b/>
                      <w:color w:val="auto"/>
                      <w:sz w:val="18"/>
                      <w:szCs w:val="18"/>
                      <w:u w:val="none"/>
                    </w:rPr>
                  </w:pPr>
                  <w:r>
                    <w:rPr>
                      <w:rFonts w:hint="default" w:ascii="Times New Roman" w:hAnsi="Times New Roman" w:eastAsia="宋体" w:cs="Times New Roman"/>
                      <w:b/>
                      <w:color w:val="auto"/>
                      <w:sz w:val="18"/>
                      <w:szCs w:val="18"/>
                      <w:u w:val="none"/>
                    </w:rPr>
                    <w:t>废气类型</w:t>
                  </w:r>
                </w:p>
              </w:tc>
              <w:tc>
                <w:tcPr>
                  <w:tcW w:w="4688" w:type="dxa"/>
                  <w:gridSpan w:val="5"/>
                  <w:noWrap w:val="0"/>
                  <w:vAlign w:val="center"/>
                </w:tcPr>
                <w:p>
                  <w:pPr>
                    <w:widowControl/>
                    <w:spacing w:line="240" w:lineRule="atLeast"/>
                    <w:jc w:val="center"/>
                    <w:rPr>
                      <w:rFonts w:hint="default" w:ascii="Times New Roman" w:hAnsi="Times New Roman" w:eastAsia="宋体" w:cs="Times New Roman"/>
                      <w:b/>
                      <w:color w:val="auto"/>
                      <w:kern w:val="0"/>
                      <w:sz w:val="18"/>
                      <w:szCs w:val="18"/>
                      <w:u w:val="none"/>
                    </w:rPr>
                  </w:pPr>
                  <w:r>
                    <w:rPr>
                      <w:rFonts w:hint="default" w:ascii="Times New Roman" w:hAnsi="Times New Roman" w:eastAsia="宋体" w:cs="Times New Roman"/>
                      <w:b/>
                      <w:color w:val="auto"/>
                      <w:sz w:val="18"/>
                      <w:szCs w:val="18"/>
                      <w:u w:val="none"/>
                    </w:rPr>
                    <w:t>有组织排放</w:t>
                  </w:r>
                </w:p>
              </w:tc>
              <w:tc>
                <w:tcPr>
                  <w:tcW w:w="953" w:type="dxa"/>
                  <w:vMerge w:val="restart"/>
                  <w:noWrap w:val="0"/>
                  <w:vAlign w:val="center"/>
                </w:tcPr>
                <w:p>
                  <w:pPr>
                    <w:spacing w:line="240" w:lineRule="atLeast"/>
                    <w:jc w:val="center"/>
                    <w:rPr>
                      <w:rFonts w:hint="default" w:ascii="Times New Roman" w:hAnsi="Times New Roman" w:eastAsia="宋体" w:cs="Times New Roman"/>
                      <w:b/>
                      <w:color w:val="auto"/>
                      <w:kern w:val="0"/>
                      <w:sz w:val="18"/>
                      <w:szCs w:val="18"/>
                      <w:u w:val="none"/>
                    </w:rPr>
                  </w:pPr>
                  <w:r>
                    <w:rPr>
                      <w:rFonts w:hint="default" w:ascii="Times New Roman" w:hAnsi="Times New Roman" w:eastAsia="宋体" w:cs="Times New Roman"/>
                      <w:b/>
                      <w:color w:val="auto"/>
                      <w:kern w:val="0"/>
                      <w:sz w:val="18"/>
                      <w:szCs w:val="18"/>
                      <w:u w:val="none"/>
                    </w:rPr>
                    <w:t>无组织排放量（t/a）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822" w:type="dxa"/>
                  <w:vMerge w:val="continue"/>
                  <w:noWrap w:val="0"/>
                  <w:vAlign w:val="center"/>
                </w:tcPr>
                <w:p>
                  <w:pPr>
                    <w:widowControl/>
                    <w:spacing w:line="240" w:lineRule="atLeast"/>
                    <w:jc w:val="center"/>
                    <w:rPr>
                      <w:rFonts w:hint="default" w:ascii="Times New Roman" w:hAnsi="Times New Roman" w:eastAsia="宋体" w:cs="Times New Roman"/>
                      <w:b/>
                      <w:color w:val="auto"/>
                      <w:sz w:val="18"/>
                      <w:szCs w:val="18"/>
                      <w:u w:val="none"/>
                    </w:rPr>
                  </w:pPr>
                </w:p>
              </w:tc>
              <w:tc>
                <w:tcPr>
                  <w:tcW w:w="1474" w:type="dxa"/>
                  <w:vMerge w:val="continue"/>
                  <w:noWrap w:val="0"/>
                  <w:vAlign w:val="center"/>
                </w:tcPr>
                <w:p>
                  <w:pPr>
                    <w:spacing w:line="240" w:lineRule="atLeast"/>
                    <w:jc w:val="center"/>
                    <w:rPr>
                      <w:rFonts w:hint="default" w:ascii="Times New Roman" w:hAnsi="Times New Roman" w:eastAsia="宋体" w:cs="Times New Roman"/>
                      <w:b/>
                      <w:color w:val="auto"/>
                      <w:sz w:val="18"/>
                      <w:szCs w:val="18"/>
                      <w:u w:val="none"/>
                    </w:rPr>
                  </w:pPr>
                </w:p>
              </w:tc>
              <w:tc>
                <w:tcPr>
                  <w:tcW w:w="863" w:type="dxa"/>
                  <w:noWrap w:val="0"/>
                  <w:vAlign w:val="center"/>
                </w:tcPr>
                <w:p>
                  <w:pPr>
                    <w:spacing w:line="240" w:lineRule="atLeast"/>
                    <w:jc w:val="center"/>
                    <w:rPr>
                      <w:rFonts w:hint="default" w:ascii="Times New Roman" w:hAnsi="Times New Roman" w:eastAsia="宋体" w:cs="Times New Roman"/>
                      <w:b/>
                      <w:color w:val="auto"/>
                      <w:sz w:val="18"/>
                      <w:szCs w:val="18"/>
                      <w:u w:val="none"/>
                    </w:rPr>
                  </w:pPr>
                  <w:r>
                    <w:rPr>
                      <w:rFonts w:hint="default" w:ascii="Times New Roman" w:hAnsi="Times New Roman" w:eastAsia="宋体" w:cs="Times New Roman"/>
                      <w:b/>
                      <w:color w:val="auto"/>
                      <w:sz w:val="18"/>
                      <w:szCs w:val="18"/>
                      <w:u w:val="none"/>
                    </w:rPr>
                    <w:t>污染物</w:t>
                  </w:r>
                </w:p>
              </w:tc>
              <w:tc>
                <w:tcPr>
                  <w:tcW w:w="900" w:type="dxa"/>
                  <w:noWrap w:val="0"/>
                  <w:vAlign w:val="center"/>
                </w:tcPr>
                <w:p>
                  <w:pPr>
                    <w:widowControl/>
                    <w:spacing w:line="240" w:lineRule="atLeast"/>
                    <w:jc w:val="center"/>
                    <w:rPr>
                      <w:rFonts w:hint="default" w:ascii="Times New Roman" w:hAnsi="Times New Roman" w:eastAsia="宋体" w:cs="Times New Roman"/>
                      <w:b/>
                      <w:color w:val="auto"/>
                      <w:kern w:val="0"/>
                      <w:sz w:val="18"/>
                      <w:szCs w:val="18"/>
                      <w:u w:val="none"/>
                    </w:rPr>
                  </w:pPr>
                  <w:r>
                    <w:rPr>
                      <w:rFonts w:hint="default" w:ascii="Times New Roman" w:hAnsi="Times New Roman" w:eastAsia="宋体" w:cs="Times New Roman"/>
                      <w:b/>
                      <w:color w:val="auto"/>
                      <w:kern w:val="0"/>
                      <w:sz w:val="18"/>
                      <w:szCs w:val="18"/>
                      <w:u w:val="none"/>
                    </w:rPr>
                    <w:t>风量</w:t>
                  </w:r>
                </w:p>
                <w:p>
                  <w:pPr>
                    <w:spacing w:line="240" w:lineRule="atLeast"/>
                    <w:jc w:val="center"/>
                    <w:rPr>
                      <w:rFonts w:hint="default" w:ascii="Times New Roman" w:hAnsi="Times New Roman" w:eastAsia="宋体" w:cs="Times New Roman"/>
                      <w:b/>
                      <w:color w:val="auto"/>
                      <w:sz w:val="18"/>
                      <w:szCs w:val="18"/>
                      <w:u w:val="none"/>
                    </w:rPr>
                  </w:pPr>
                  <w:r>
                    <w:rPr>
                      <w:rFonts w:hint="default" w:ascii="Times New Roman" w:hAnsi="Times New Roman" w:eastAsia="宋体" w:cs="Times New Roman"/>
                      <w:b/>
                      <w:color w:val="auto"/>
                      <w:kern w:val="0"/>
                      <w:sz w:val="18"/>
                      <w:szCs w:val="18"/>
                      <w:u w:val="none"/>
                    </w:rPr>
                    <w:t>（</w:t>
                  </w:r>
                  <w:r>
                    <w:rPr>
                      <w:rFonts w:hint="eastAsia" w:cs="Times New Roman"/>
                      <w:b/>
                      <w:color w:val="auto"/>
                      <w:kern w:val="0"/>
                      <w:sz w:val="18"/>
                      <w:szCs w:val="18"/>
                      <w:u w:val="none"/>
                      <w:lang w:eastAsia="zh-CN"/>
                    </w:rPr>
                    <w:t>m³</w:t>
                  </w:r>
                  <w:r>
                    <w:rPr>
                      <w:rFonts w:hint="default" w:ascii="Times New Roman" w:hAnsi="Times New Roman" w:eastAsia="宋体" w:cs="Times New Roman"/>
                      <w:b/>
                      <w:color w:val="auto"/>
                      <w:kern w:val="0"/>
                      <w:sz w:val="18"/>
                      <w:szCs w:val="18"/>
                      <w:u w:val="none"/>
                    </w:rPr>
                    <w:t>/h）</w:t>
                  </w:r>
                </w:p>
              </w:tc>
              <w:tc>
                <w:tcPr>
                  <w:tcW w:w="1050" w:type="dxa"/>
                  <w:noWrap w:val="0"/>
                  <w:vAlign w:val="center"/>
                </w:tcPr>
                <w:p>
                  <w:pPr>
                    <w:widowControl/>
                    <w:spacing w:line="240" w:lineRule="atLeast"/>
                    <w:jc w:val="center"/>
                    <w:rPr>
                      <w:rFonts w:hint="default" w:ascii="Times New Roman" w:hAnsi="Times New Roman" w:eastAsia="宋体" w:cs="Times New Roman"/>
                      <w:b/>
                      <w:color w:val="auto"/>
                      <w:sz w:val="18"/>
                      <w:szCs w:val="18"/>
                      <w:u w:val="none"/>
                    </w:rPr>
                  </w:pPr>
                  <w:r>
                    <w:rPr>
                      <w:rFonts w:hint="default" w:ascii="Times New Roman" w:hAnsi="Times New Roman" w:eastAsia="宋体" w:cs="Times New Roman"/>
                      <w:b/>
                      <w:color w:val="auto"/>
                      <w:kern w:val="0"/>
                      <w:sz w:val="18"/>
                      <w:szCs w:val="18"/>
                      <w:u w:val="none"/>
                    </w:rPr>
                    <w:t>浓度（mg/</w:t>
                  </w:r>
                  <w:r>
                    <w:rPr>
                      <w:rFonts w:hint="eastAsia" w:cs="Times New Roman"/>
                      <w:b/>
                      <w:color w:val="auto"/>
                      <w:kern w:val="0"/>
                      <w:sz w:val="18"/>
                      <w:szCs w:val="18"/>
                      <w:u w:val="none"/>
                      <w:lang w:eastAsia="zh-CN"/>
                    </w:rPr>
                    <w:t>m³</w:t>
                  </w:r>
                  <w:r>
                    <w:rPr>
                      <w:rFonts w:hint="default" w:ascii="Times New Roman" w:hAnsi="Times New Roman" w:eastAsia="宋体" w:cs="Times New Roman"/>
                      <w:b/>
                      <w:color w:val="auto"/>
                      <w:kern w:val="0"/>
                      <w:sz w:val="18"/>
                      <w:szCs w:val="18"/>
                      <w:u w:val="none"/>
                    </w:rPr>
                    <w:t>）</w:t>
                  </w:r>
                </w:p>
              </w:tc>
              <w:tc>
                <w:tcPr>
                  <w:tcW w:w="900" w:type="dxa"/>
                  <w:noWrap w:val="0"/>
                  <w:vAlign w:val="center"/>
                </w:tcPr>
                <w:p>
                  <w:pPr>
                    <w:widowControl/>
                    <w:spacing w:line="240" w:lineRule="atLeast"/>
                    <w:jc w:val="center"/>
                    <w:rPr>
                      <w:rFonts w:hint="default" w:ascii="Times New Roman" w:hAnsi="Times New Roman" w:eastAsia="宋体" w:cs="Times New Roman"/>
                      <w:b/>
                      <w:color w:val="auto"/>
                      <w:kern w:val="0"/>
                      <w:sz w:val="18"/>
                      <w:szCs w:val="18"/>
                      <w:u w:val="none"/>
                    </w:rPr>
                  </w:pPr>
                  <w:r>
                    <w:rPr>
                      <w:rFonts w:hint="default" w:ascii="Times New Roman" w:hAnsi="Times New Roman" w:eastAsia="宋体" w:cs="Times New Roman"/>
                      <w:b/>
                      <w:color w:val="auto"/>
                      <w:kern w:val="0"/>
                      <w:sz w:val="18"/>
                      <w:szCs w:val="18"/>
                      <w:u w:val="none"/>
                    </w:rPr>
                    <w:t>速率</w:t>
                  </w:r>
                </w:p>
                <w:p>
                  <w:pPr>
                    <w:widowControl/>
                    <w:spacing w:line="240" w:lineRule="atLeast"/>
                    <w:jc w:val="center"/>
                    <w:rPr>
                      <w:rFonts w:hint="default" w:ascii="Times New Roman" w:hAnsi="Times New Roman" w:eastAsia="宋体" w:cs="Times New Roman"/>
                      <w:color w:val="auto"/>
                      <w:u w:val="none"/>
                    </w:rPr>
                  </w:pPr>
                  <w:r>
                    <w:rPr>
                      <w:rFonts w:hint="default" w:ascii="Times New Roman" w:hAnsi="Times New Roman" w:eastAsia="宋体" w:cs="Times New Roman"/>
                      <w:b/>
                      <w:color w:val="auto"/>
                      <w:kern w:val="0"/>
                      <w:sz w:val="18"/>
                      <w:szCs w:val="18"/>
                      <w:u w:val="none"/>
                    </w:rPr>
                    <w:t>（kg/h）</w:t>
                  </w:r>
                </w:p>
              </w:tc>
              <w:tc>
                <w:tcPr>
                  <w:tcW w:w="975" w:type="dxa"/>
                  <w:noWrap w:val="0"/>
                  <w:vAlign w:val="center"/>
                </w:tcPr>
                <w:p>
                  <w:pPr>
                    <w:widowControl/>
                    <w:spacing w:line="240" w:lineRule="atLeast"/>
                    <w:jc w:val="center"/>
                    <w:rPr>
                      <w:rFonts w:hint="default" w:ascii="Times New Roman" w:hAnsi="Times New Roman" w:eastAsia="宋体" w:cs="Times New Roman"/>
                      <w:b/>
                      <w:color w:val="auto"/>
                      <w:sz w:val="18"/>
                      <w:szCs w:val="18"/>
                      <w:u w:val="none"/>
                    </w:rPr>
                  </w:pPr>
                  <w:r>
                    <w:rPr>
                      <w:rFonts w:hint="default" w:ascii="Times New Roman" w:hAnsi="Times New Roman" w:eastAsia="宋体" w:cs="Times New Roman"/>
                      <w:b/>
                      <w:color w:val="auto"/>
                      <w:kern w:val="0"/>
                      <w:sz w:val="18"/>
                      <w:szCs w:val="18"/>
                      <w:u w:val="none"/>
                    </w:rPr>
                    <w:t>排放量（t/a）</w:t>
                  </w:r>
                </w:p>
              </w:tc>
              <w:tc>
                <w:tcPr>
                  <w:tcW w:w="953" w:type="dxa"/>
                  <w:vMerge w:val="continue"/>
                  <w:noWrap w:val="0"/>
                  <w:vAlign w:val="center"/>
                </w:tcPr>
                <w:p>
                  <w:pPr>
                    <w:widowControl/>
                    <w:spacing w:line="240" w:lineRule="atLeast"/>
                    <w:jc w:val="center"/>
                    <w:rPr>
                      <w:rFonts w:hint="default" w:ascii="Times New Roman" w:hAnsi="Times New Roman" w:eastAsia="宋体" w:cs="Times New Roman"/>
                      <w:b/>
                      <w:color w:val="auto"/>
                      <w:sz w:val="18"/>
                      <w:szCs w:val="18"/>
                      <w:u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822" w:type="dxa"/>
                  <w:noWrap w:val="0"/>
                  <w:vAlign w:val="center"/>
                </w:tcPr>
                <w:p>
                  <w:pPr>
                    <w:spacing w:line="240" w:lineRule="atLeast"/>
                    <w:jc w:val="center"/>
                    <w:rPr>
                      <w:rFonts w:hint="eastAsia" w:ascii="Times New Roman" w:hAnsi="Times New Roman" w:eastAsia="宋体" w:cs="Times New Roman"/>
                      <w:color w:val="auto"/>
                      <w:sz w:val="18"/>
                      <w:szCs w:val="18"/>
                      <w:u w:val="none"/>
                      <w:lang w:eastAsia="zh-CN"/>
                    </w:rPr>
                  </w:pPr>
                  <w:r>
                    <w:rPr>
                      <w:rFonts w:hint="eastAsia" w:ascii="Times New Roman" w:hAnsi="Times New Roman" w:eastAsia="宋体" w:cs="Times New Roman"/>
                      <w:color w:val="auto"/>
                      <w:sz w:val="18"/>
                      <w:szCs w:val="18"/>
                      <w:u w:val="none"/>
                      <w:lang w:val="en-US" w:eastAsia="zh-CN"/>
                    </w:rPr>
                    <w:t>1</w:t>
                  </w:r>
                </w:p>
              </w:tc>
              <w:tc>
                <w:tcPr>
                  <w:tcW w:w="1474" w:type="dxa"/>
                  <w:noWrap w:val="0"/>
                  <w:vAlign w:val="center"/>
                </w:tcPr>
                <w:p>
                  <w:pPr>
                    <w:spacing w:line="240" w:lineRule="atLeast"/>
                    <w:jc w:val="center"/>
                    <w:rPr>
                      <w:rFonts w:hint="default" w:ascii="Times New Roman" w:hAnsi="Times New Roman" w:eastAsia="宋体" w:cs="Times New Roman"/>
                      <w:color w:val="auto"/>
                      <w:sz w:val="18"/>
                      <w:szCs w:val="18"/>
                      <w:u w:val="none"/>
                    </w:rPr>
                  </w:pPr>
                  <w:r>
                    <w:rPr>
                      <w:rFonts w:hint="eastAsia" w:ascii="Times New Roman" w:hAnsi="Times New Roman" w:eastAsia="宋体" w:cs="Times New Roman"/>
                      <w:bCs/>
                      <w:color w:val="auto"/>
                      <w:sz w:val="18"/>
                      <w:szCs w:val="18"/>
                      <w:u w:val="none"/>
                      <w:lang w:eastAsia="zh-CN"/>
                    </w:rPr>
                    <w:t>一般固废装卸、贮存粉尘</w:t>
                  </w:r>
                </w:p>
              </w:tc>
              <w:tc>
                <w:tcPr>
                  <w:tcW w:w="863" w:type="dxa"/>
                  <w:noWrap w:val="0"/>
                  <w:vAlign w:val="center"/>
                </w:tcPr>
                <w:p>
                  <w:pPr>
                    <w:ind w:left="-31" w:leftChars="-15" w:right="-31" w:rightChars="-15"/>
                    <w:jc w:val="center"/>
                    <w:rPr>
                      <w:rFonts w:hint="default" w:ascii="Times New Roman" w:hAnsi="Times New Roman" w:eastAsia="宋体" w:cs="Times New Roman"/>
                      <w:color w:val="auto"/>
                      <w:sz w:val="18"/>
                      <w:szCs w:val="18"/>
                      <w:u w:val="none"/>
                    </w:rPr>
                  </w:pPr>
                  <w:r>
                    <w:rPr>
                      <w:rFonts w:hint="default" w:ascii="Times New Roman" w:hAnsi="Times New Roman" w:eastAsia="宋体" w:cs="Times New Roman"/>
                      <w:color w:val="auto"/>
                      <w:sz w:val="18"/>
                      <w:szCs w:val="18"/>
                      <w:u w:val="none"/>
                    </w:rPr>
                    <w:t>粉尘</w:t>
                  </w:r>
                </w:p>
              </w:tc>
              <w:tc>
                <w:tcPr>
                  <w:tcW w:w="900" w:type="dxa"/>
                  <w:noWrap w:val="0"/>
                  <w:vAlign w:val="center"/>
                </w:tcPr>
                <w:p>
                  <w:pPr>
                    <w:spacing w:line="240" w:lineRule="atLeast"/>
                    <w:jc w:val="center"/>
                    <w:rPr>
                      <w:rFonts w:hint="default" w:ascii="Times New Roman" w:hAnsi="Times New Roman" w:eastAsia="宋体" w:cs="Times New Roman"/>
                      <w:color w:val="auto"/>
                      <w:sz w:val="18"/>
                      <w:szCs w:val="18"/>
                      <w:u w:val="none"/>
                    </w:rPr>
                  </w:pPr>
                  <w:r>
                    <w:rPr>
                      <w:rFonts w:hint="default" w:ascii="Times New Roman" w:hAnsi="Times New Roman" w:eastAsia="宋体" w:cs="Times New Roman"/>
                      <w:color w:val="auto"/>
                      <w:sz w:val="18"/>
                      <w:szCs w:val="18"/>
                      <w:u w:val="none"/>
                    </w:rPr>
                    <w:t>/</w:t>
                  </w:r>
                </w:p>
              </w:tc>
              <w:tc>
                <w:tcPr>
                  <w:tcW w:w="1050" w:type="dxa"/>
                  <w:noWrap w:val="0"/>
                  <w:vAlign w:val="center"/>
                </w:tcPr>
                <w:p>
                  <w:pPr>
                    <w:ind w:left="-31" w:leftChars="-15" w:right="-31" w:rightChars="-15"/>
                    <w:jc w:val="center"/>
                    <w:rPr>
                      <w:rFonts w:hint="default" w:ascii="Times New Roman" w:hAnsi="Times New Roman" w:eastAsia="宋体" w:cs="Times New Roman"/>
                      <w:bCs/>
                      <w:color w:val="auto"/>
                      <w:sz w:val="18"/>
                      <w:szCs w:val="18"/>
                      <w:u w:val="none"/>
                    </w:rPr>
                  </w:pPr>
                  <w:r>
                    <w:rPr>
                      <w:rFonts w:hint="default" w:ascii="Times New Roman" w:hAnsi="Times New Roman" w:eastAsia="宋体" w:cs="Times New Roman"/>
                      <w:bCs/>
                      <w:color w:val="auto"/>
                      <w:sz w:val="18"/>
                      <w:szCs w:val="18"/>
                      <w:u w:val="none"/>
                    </w:rPr>
                    <w:t>/</w:t>
                  </w:r>
                </w:p>
              </w:tc>
              <w:tc>
                <w:tcPr>
                  <w:tcW w:w="900" w:type="dxa"/>
                  <w:noWrap w:val="0"/>
                  <w:vAlign w:val="center"/>
                </w:tcPr>
                <w:p>
                  <w:pPr>
                    <w:pStyle w:val="2"/>
                    <w:ind w:left="-31" w:leftChars="-15" w:right="-31" w:rightChars="-15"/>
                    <w:jc w:val="center"/>
                    <w:rPr>
                      <w:rFonts w:hint="default" w:ascii="Times New Roman" w:hAnsi="Times New Roman" w:eastAsia="宋体" w:cs="Times New Roman"/>
                      <w:color w:val="auto"/>
                      <w:sz w:val="18"/>
                      <w:szCs w:val="18"/>
                      <w:u w:val="none"/>
                    </w:rPr>
                  </w:pPr>
                  <w:r>
                    <w:rPr>
                      <w:rFonts w:hint="default" w:ascii="Times New Roman" w:hAnsi="Times New Roman" w:eastAsia="宋体" w:cs="Times New Roman"/>
                      <w:color w:val="auto"/>
                      <w:sz w:val="18"/>
                      <w:szCs w:val="18"/>
                      <w:u w:val="none"/>
                    </w:rPr>
                    <w:t>/</w:t>
                  </w:r>
                </w:p>
              </w:tc>
              <w:tc>
                <w:tcPr>
                  <w:tcW w:w="975" w:type="dxa"/>
                  <w:noWrap w:val="0"/>
                  <w:vAlign w:val="center"/>
                </w:tcPr>
                <w:p>
                  <w:pPr>
                    <w:pStyle w:val="2"/>
                    <w:ind w:left="-31" w:leftChars="-15" w:right="-31" w:rightChars="-15"/>
                    <w:jc w:val="center"/>
                    <w:rPr>
                      <w:rFonts w:hint="default" w:ascii="Times New Roman" w:hAnsi="Times New Roman" w:eastAsia="宋体" w:cs="Times New Roman"/>
                      <w:color w:val="auto"/>
                      <w:sz w:val="18"/>
                      <w:szCs w:val="18"/>
                      <w:u w:val="none"/>
                    </w:rPr>
                  </w:pPr>
                  <w:r>
                    <w:rPr>
                      <w:rFonts w:hint="default" w:ascii="Times New Roman" w:hAnsi="Times New Roman" w:eastAsia="宋体" w:cs="Times New Roman"/>
                      <w:color w:val="auto"/>
                      <w:sz w:val="18"/>
                      <w:szCs w:val="18"/>
                      <w:u w:val="none"/>
                    </w:rPr>
                    <w:t>/</w:t>
                  </w:r>
                </w:p>
              </w:tc>
              <w:tc>
                <w:tcPr>
                  <w:tcW w:w="953" w:type="dxa"/>
                  <w:noWrap w:val="0"/>
                  <w:vAlign w:val="center"/>
                </w:tcPr>
                <w:p>
                  <w:pPr>
                    <w:spacing w:line="240" w:lineRule="atLeast"/>
                    <w:jc w:val="center"/>
                    <w:rPr>
                      <w:rFonts w:hint="default" w:ascii="Times New Roman" w:hAnsi="Times New Roman" w:eastAsia="宋体" w:cs="Times New Roman"/>
                      <w:color w:val="auto"/>
                      <w:sz w:val="18"/>
                      <w:szCs w:val="18"/>
                      <w:u w:val="none"/>
                      <w:lang w:val="en-US" w:eastAsia="zh-CN"/>
                    </w:rPr>
                  </w:pPr>
                  <w:r>
                    <w:rPr>
                      <w:rFonts w:hint="eastAsia" w:ascii="Times New Roman" w:hAnsi="Times New Roman" w:eastAsia="宋体" w:cs="Times New Roman"/>
                      <w:color w:val="auto"/>
                      <w:sz w:val="18"/>
                      <w:szCs w:val="18"/>
                      <w:u w:val="none"/>
                      <w:lang w:val="en-US" w:eastAsia="zh-CN"/>
                    </w:rPr>
                    <w:t>0.0</w:t>
                  </w:r>
                  <w:r>
                    <w:rPr>
                      <w:rFonts w:hint="eastAsia" w:cs="Times New Roman"/>
                      <w:color w:val="auto"/>
                      <w:sz w:val="18"/>
                      <w:szCs w:val="18"/>
                      <w:u w:val="none"/>
                      <w:lang w:val="en-US" w:eastAsia="zh-CN"/>
                    </w:rPr>
                    <w:t>165</w:t>
                  </w:r>
                </w:p>
              </w:tc>
            </w:tr>
          </w:tbl>
          <w:p>
            <w:pPr>
              <w:pStyle w:val="11"/>
              <w:numPr>
                <w:ilvl w:val="0"/>
                <w:numId w:val="0"/>
              </w:numPr>
              <w:spacing w:line="360" w:lineRule="auto"/>
              <w:ind w:firstLine="482" w:firstLineChars="200"/>
              <w:rPr>
                <w:rFonts w:hint="eastAsia" w:ascii="Times New Roman" w:hAnsi="Times New Roman" w:eastAsia="宋体" w:cs="Times New Roman"/>
                <w:b/>
                <w:bCs/>
                <w:color w:val="auto"/>
                <w:sz w:val="24"/>
                <w:highlight w:val="none"/>
                <w:u w:val="none"/>
                <w:lang w:val="en-US" w:eastAsia="zh-CN"/>
              </w:rPr>
            </w:pPr>
            <w:r>
              <w:rPr>
                <w:rFonts w:hint="eastAsia" w:ascii="Times New Roman" w:hAnsi="Times New Roman" w:eastAsia="宋体" w:cs="Times New Roman"/>
                <w:b/>
                <w:bCs/>
                <w:color w:val="auto"/>
                <w:kern w:val="2"/>
                <w:sz w:val="24"/>
                <w:szCs w:val="24"/>
                <w:lang w:val="en-US" w:eastAsia="zh-CN" w:bidi="ar-SA"/>
              </w:rPr>
              <w:t>4、</w:t>
            </w:r>
            <w:r>
              <w:rPr>
                <w:rFonts w:hint="eastAsia" w:cs="Times New Roman"/>
                <w:b/>
                <w:bCs/>
                <w:color w:val="auto"/>
                <w:sz w:val="24"/>
                <w:highlight w:val="none"/>
                <w:u w:val="none"/>
                <w:lang w:val="en-US" w:eastAsia="zh-CN"/>
              </w:rPr>
              <w:t>页岩装卸、贮存粉尘产生量变化情况</w:t>
            </w:r>
          </w:p>
          <w:p>
            <w:pPr>
              <w:pStyle w:val="11"/>
              <w:spacing w:line="360" w:lineRule="auto"/>
              <w:ind w:firstLine="48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本次项目新增0.75万t/a一般固废，相应减少0.75万t/a页岩用量，所以页岩装卸、贮存产生的粉尘量会相应减少。根据原环评，原料装卸、贮存粉尘产生量为</w:t>
            </w:r>
            <w:r>
              <w:rPr>
                <w:rFonts w:hint="eastAsia" w:ascii="Times New Roman" w:hAnsi="Times New Roman" w:eastAsia="宋体" w:cs="Times New Roman"/>
                <w:color w:val="auto"/>
                <w:sz w:val="24"/>
                <w:highlight w:val="none"/>
                <w:lang w:val="en-US" w:eastAsia="zh-CN"/>
              </w:rPr>
              <w:t>0.</w:t>
            </w:r>
            <w:r>
              <w:rPr>
                <w:rFonts w:hint="eastAsia" w:cs="Times New Roman"/>
                <w:color w:val="auto"/>
                <w:sz w:val="24"/>
                <w:highlight w:val="none"/>
                <w:lang w:val="en-US" w:eastAsia="zh-CN"/>
              </w:rPr>
              <w:t>648</w:t>
            </w:r>
            <w:r>
              <w:rPr>
                <w:rFonts w:hint="eastAsia" w:ascii="Times New Roman" w:hAnsi="Times New Roman" w:eastAsia="宋体" w:cs="Times New Roman"/>
                <w:color w:val="auto"/>
                <w:sz w:val="24"/>
                <w:highlight w:val="none"/>
                <w:lang w:val="en-US" w:eastAsia="zh-CN"/>
              </w:rPr>
              <w:t>t/a</w:t>
            </w:r>
            <w:r>
              <w:rPr>
                <w:rFonts w:hint="eastAsia" w:ascii="Times New Roman" w:hAnsi="Times New Roman" w:eastAsia="宋体" w:cs="Times New Roman"/>
                <w:color w:val="auto"/>
                <w:sz w:val="24"/>
                <w:highlight w:val="none"/>
                <w:u w:val="none"/>
                <w:lang w:val="en-US" w:eastAsia="zh-CN"/>
              </w:rPr>
              <w:t>,</w:t>
            </w:r>
            <w:r>
              <w:rPr>
                <w:rFonts w:hint="eastAsia" w:cs="Times New Roman"/>
                <w:color w:val="auto"/>
                <w:sz w:val="24"/>
                <w:highlight w:val="none"/>
                <w:u w:val="none"/>
                <w:lang w:val="en-US" w:eastAsia="zh-CN"/>
              </w:rPr>
              <w:t>原项目页岩年用量为6万t/a，</w:t>
            </w:r>
            <w:r>
              <w:rPr>
                <w:rFonts w:hint="eastAsia" w:ascii="Times New Roman" w:hAnsi="Times New Roman" w:eastAsia="宋体" w:cs="Times New Roman"/>
                <w:color w:val="auto"/>
                <w:sz w:val="24"/>
                <w:highlight w:val="none"/>
                <w:u w:val="none"/>
                <w:lang w:val="en-US" w:eastAsia="zh-CN"/>
              </w:rPr>
              <w:t>经计算减少0.75万t/a页岩，相应减少0.</w:t>
            </w:r>
            <w:r>
              <w:rPr>
                <w:rFonts w:hint="eastAsia" w:cs="Times New Roman"/>
                <w:color w:val="auto"/>
                <w:sz w:val="24"/>
                <w:highlight w:val="none"/>
                <w:u w:val="none"/>
                <w:lang w:val="en-US" w:eastAsia="zh-CN"/>
              </w:rPr>
              <w:t>081</w:t>
            </w:r>
            <w:r>
              <w:rPr>
                <w:rFonts w:hint="eastAsia" w:ascii="Times New Roman" w:hAnsi="Times New Roman" w:eastAsia="宋体" w:cs="Times New Roman"/>
                <w:color w:val="auto"/>
                <w:sz w:val="24"/>
                <w:highlight w:val="none"/>
                <w:u w:val="none"/>
                <w:lang w:val="en-US" w:eastAsia="zh-CN"/>
              </w:rPr>
              <w:t>t/a粉尘</w:t>
            </w:r>
            <w:r>
              <w:rPr>
                <w:rFonts w:hint="eastAsia" w:cs="Times New Roman"/>
                <w:color w:val="auto"/>
                <w:sz w:val="24"/>
                <w:highlight w:val="none"/>
                <w:u w:val="none"/>
                <w:lang w:val="en-US" w:eastAsia="zh-CN"/>
              </w:rPr>
              <w:t>，添加一般固废后，同时采取洒水降尘措施，页岩原料装卸、贮存粉尘产生量为共计约为0.567t/a</w:t>
            </w:r>
            <w:r>
              <w:rPr>
                <w:rFonts w:hint="eastAsia" w:ascii="Times New Roman" w:hAnsi="Times New Roman" w:eastAsia="宋体" w:cs="Times New Roman"/>
                <w:color w:val="auto"/>
                <w:sz w:val="24"/>
                <w:highlight w:val="none"/>
                <w:u w:val="none"/>
                <w:lang w:val="en-US" w:eastAsia="zh-CN"/>
              </w:rPr>
              <w:t>。</w:t>
            </w:r>
          </w:p>
          <w:p>
            <w:pPr>
              <w:pStyle w:val="11"/>
              <w:numPr>
                <w:ilvl w:val="0"/>
                <w:numId w:val="0"/>
              </w:numPr>
              <w:spacing w:line="360" w:lineRule="auto"/>
              <w:ind w:firstLine="482" w:firstLineChars="200"/>
              <w:rPr>
                <w:rFonts w:hint="default" w:cs="Times New Roman"/>
                <w:b/>
                <w:bCs/>
                <w:color w:val="auto"/>
                <w:sz w:val="24"/>
                <w:highlight w:val="none"/>
                <w:u w:val="none"/>
                <w:lang w:val="en-US" w:eastAsia="zh-CN"/>
              </w:rPr>
            </w:pPr>
            <w:r>
              <w:rPr>
                <w:rFonts w:hint="eastAsia" w:cs="Times New Roman"/>
                <w:b/>
                <w:bCs/>
                <w:color w:val="auto"/>
                <w:kern w:val="2"/>
                <w:sz w:val="24"/>
                <w:szCs w:val="24"/>
                <w:lang w:val="en-US" w:eastAsia="zh-CN" w:bidi="ar-SA"/>
              </w:rPr>
              <w:t>5</w:t>
            </w:r>
            <w:r>
              <w:rPr>
                <w:rFonts w:hint="default" w:ascii="Times New Roman" w:hAnsi="Times New Roman" w:eastAsia="宋体" w:cs="Times New Roman"/>
                <w:b/>
                <w:bCs/>
                <w:color w:val="auto"/>
                <w:kern w:val="2"/>
                <w:sz w:val="24"/>
                <w:szCs w:val="24"/>
                <w:lang w:val="en-US" w:eastAsia="zh-CN" w:bidi="ar-SA"/>
              </w:rPr>
              <w:t>、</w:t>
            </w:r>
            <w:r>
              <w:rPr>
                <w:rFonts w:hint="eastAsia" w:cs="Times New Roman"/>
                <w:b/>
                <w:bCs/>
                <w:color w:val="auto"/>
                <w:sz w:val="24"/>
                <w:highlight w:val="none"/>
                <w:u w:val="none"/>
                <w:lang w:val="en-US" w:eastAsia="zh-CN"/>
              </w:rPr>
              <w:t>项目筛分破碎粉尘、烧结烟气污染源强核算</w:t>
            </w:r>
          </w:p>
          <w:p>
            <w:pPr>
              <w:pStyle w:val="11"/>
              <w:numPr>
                <w:ilvl w:val="0"/>
                <w:numId w:val="7"/>
              </w:numPr>
              <w:spacing w:line="360" w:lineRule="auto"/>
              <w:ind w:firstLine="482" w:firstLineChars="200"/>
              <w:rPr>
                <w:rFonts w:hint="eastAsia" w:cs="Times New Roman"/>
                <w:b/>
                <w:bCs/>
                <w:color w:val="auto"/>
                <w:sz w:val="24"/>
                <w:highlight w:val="none"/>
                <w:u w:val="none"/>
                <w:lang w:val="en-US" w:eastAsia="zh-CN"/>
              </w:rPr>
            </w:pPr>
            <w:r>
              <w:rPr>
                <w:rFonts w:hint="eastAsia" w:cs="Times New Roman"/>
                <w:b/>
                <w:bCs/>
                <w:color w:val="auto"/>
                <w:sz w:val="24"/>
                <w:highlight w:val="none"/>
                <w:u w:val="none"/>
                <w:lang w:val="en-US" w:eastAsia="zh-CN"/>
              </w:rPr>
              <w:t>生产粉尘</w:t>
            </w:r>
          </w:p>
          <w:p>
            <w:pPr>
              <w:spacing w:line="360" w:lineRule="auto"/>
              <w:ind w:firstLine="436" w:firstLineChars="200"/>
              <w:rPr>
                <w:rFonts w:hint="default"/>
                <w:lang w:val="en-US" w:eastAsia="zh-CN"/>
              </w:rPr>
            </w:pPr>
            <w:r>
              <w:rPr>
                <w:rFonts w:hint="default" w:ascii="宋体" w:hAnsi="宋体" w:cs="宋体"/>
                <w:color w:val="auto"/>
                <w:spacing w:val="-11"/>
                <w:kern w:val="2"/>
                <w:sz w:val="24"/>
                <w:szCs w:val="24"/>
                <w:lang w:val="en-US" w:eastAsia="zh-CN" w:bidi="ar-SA"/>
              </w:rPr>
              <w:t>参考《第二次全国污染源普查工业污染源产排污系数手册》（3031黏土砖瓦及建筑砌块制造），破碎及筛分工段的颗粒物的产污系数为1.23千克/万块标砖，根据实际生产</w:t>
            </w:r>
            <w:r>
              <w:rPr>
                <w:rFonts w:hint="eastAsia" w:ascii="宋体" w:hAnsi="宋体" w:cs="宋体"/>
                <w:color w:val="auto"/>
                <w:spacing w:val="-11"/>
                <w:kern w:val="2"/>
                <w:sz w:val="24"/>
                <w:szCs w:val="24"/>
                <w:lang w:val="en-US" w:eastAsia="zh-CN" w:bidi="ar-SA"/>
              </w:rPr>
              <w:t>，本项目年产3000万块标砖，因此本项目生产工序产生的颗粒物产生量为3.69t/a，</w:t>
            </w:r>
            <w:r>
              <w:rPr>
                <w:rFonts w:hint="default" w:ascii="Times New Roman" w:hAnsi="Times New Roman" w:cs="Times New Roman"/>
                <w:color w:val="000000"/>
                <w:sz w:val="24"/>
              </w:rPr>
              <w:t>本项目破碎筛分设置封闭间内，采用集气罩收集，收集效率可达</w:t>
            </w:r>
            <w:r>
              <w:rPr>
                <w:rFonts w:hint="eastAsia" w:ascii="Times New Roman" w:hAnsi="Times New Roman" w:cs="Times New Roman"/>
                <w:color w:val="000000"/>
                <w:sz w:val="24"/>
                <w:lang w:val="en-US" w:eastAsia="zh-CN"/>
              </w:rPr>
              <w:t>90</w:t>
            </w:r>
            <w:r>
              <w:rPr>
                <w:rFonts w:hint="default" w:ascii="Times New Roman" w:hAnsi="Times New Roman" w:cs="Times New Roman"/>
                <w:color w:val="000000"/>
                <w:sz w:val="24"/>
              </w:rPr>
              <w:t>%，收集的粉尘经引风机通过管道分别与袋式除尘器相连，由</w:t>
            </w:r>
            <w:r>
              <w:rPr>
                <w:rFonts w:hint="eastAsia" w:ascii="Times New Roman" w:hAnsi="Times New Roman" w:cs="Times New Roman"/>
                <w:color w:val="000000"/>
                <w:sz w:val="24"/>
                <w:lang w:val="en-US" w:eastAsia="zh-CN"/>
              </w:rPr>
              <w:t>2</w:t>
            </w:r>
            <w:r>
              <w:rPr>
                <w:rFonts w:hint="default" w:ascii="Times New Roman" w:hAnsi="Times New Roman" w:cs="Times New Roman"/>
                <w:color w:val="000000"/>
                <w:sz w:val="24"/>
              </w:rPr>
              <w:t>根15m高排气筒</w:t>
            </w:r>
            <w:r>
              <w:rPr>
                <w:rFonts w:hint="default" w:ascii="Times New Roman" w:hAnsi="Times New Roman" w:cs="Times New Roman"/>
                <w:color w:val="000000"/>
                <w:sz w:val="24"/>
                <w:lang w:eastAsia="zh-CN"/>
              </w:rPr>
              <w:t>（</w:t>
            </w:r>
            <w:r>
              <w:rPr>
                <w:rFonts w:hint="default" w:ascii="Times New Roman" w:hAnsi="Times New Roman" w:cs="Times New Roman"/>
                <w:color w:val="000000"/>
                <w:sz w:val="24"/>
                <w:lang w:val="en-US" w:eastAsia="zh-CN"/>
              </w:rPr>
              <w:t>1#</w:t>
            </w:r>
            <w:r>
              <w:rPr>
                <w:rFonts w:hint="eastAsia" w:ascii="Times New Roman" w:hAnsi="Times New Roman" w:cs="Times New Roman"/>
                <w:color w:val="000000"/>
                <w:sz w:val="24"/>
                <w:lang w:val="en-US" w:eastAsia="zh-CN"/>
              </w:rPr>
              <w:t>、2#</w:t>
            </w:r>
            <w:r>
              <w:rPr>
                <w:rFonts w:hint="default" w:ascii="Times New Roman" w:hAnsi="Times New Roman" w:cs="Times New Roman"/>
                <w:color w:val="000000"/>
                <w:sz w:val="24"/>
                <w:lang w:val="en-US" w:eastAsia="zh-CN"/>
              </w:rPr>
              <w:t>）</w:t>
            </w:r>
            <w:r>
              <w:rPr>
                <w:rFonts w:hint="default" w:ascii="Times New Roman" w:hAnsi="Times New Roman" w:cs="Times New Roman"/>
                <w:color w:val="000000"/>
                <w:sz w:val="24"/>
              </w:rPr>
              <w:t>排放，除尘效率根据二污普参考值为98%。</w:t>
            </w:r>
          </w:p>
          <w:p>
            <w:pPr>
              <w:spacing w:before="156" w:beforeLines="50"/>
              <w:jc w:val="center"/>
              <w:rPr>
                <w:rFonts w:hint="default" w:ascii="Times New Roman" w:hAnsi="Times New Roman" w:eastAsia="宋体" w:cs="Times New Roman"/>
                <w:b/>
                <w:color w:val="auto"/>
                <w:szCs w:val="21"/>
                <w:u w:val="none"/>
                <w:lang w:val="en-US" w:eastAsia="zh-CN"/>
              </w:rPr>
            </w:pPr>
            <w:r>
              <w:rPr>
                <w:rFonts w:hint="eastAsia" w:ascii="Times New Roman" w:hAnsi="Times New Roman" w:eastAsia="宋体" w:cs="Times New Roman"/>
                <w:b/>
                <w:color w:val="auto"/>
                <w:szCs w:val="21"/>
                <w:u w:val="none"/>
                <w:lang w:val="en-US" w:eastAsia="zh-CN"/>
              </w:rPr>
              <w:t>表4-</w:t>
            </w:r>
            <w:r>
              <w:rPr>
                <w:rFonts w:hint="eastAsia" w:cs="Times New Roman"/>
                <w:b/>
                <w:color w:val="auto"/>
                <w:szCs w:val="21"/>
                <w:u w:val="none"/>
                <w:lang w:val="en-US" w:eastAsia="zh-CN"/>
              </w:rPr>
              <w:t>3</w:t>
            </w:r>
            <w:r>
              <w:rPr>
                <w:rFonts w:hint="eastAsia" w:ascii="Times New Roman" w:hAnsi="Times New Roman" w:eastAsia="宋体" w:cs="Times New Roman"/>
                <w:b/>
                <w:color w:val="auto"/>
                <w:szCs w:val="21"/>
                <w:u w:val="none"/>
                <w:lang w:val="en-US" w:eastAsia="zh-CN"/>
              </w:rPr>
              <w:t xml:space="preserve"> </w:t>
            </w:r>
            <w:r>
              <w:rPr>
                <w:rFonts w:hint="eastAsia" w:cs="Times New Roman"/>
                <w:b/>
                <w:color w:val="auto"/>
                <w:szCs w:val="21"/>
                <w:u w:val="none"/>
                <w:lang w:val="en-US" w:eastAsia="zh-CN"/>
              </w:rPr>
              <w:t>生产工艺的产污系数及产污情况</w:t>
            </w:r>
          </w:p>
          <w:tbl>
            <w:tblPr>
              <w:tblStyle w:val="30"/>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126"/>
              <w:gridCol w:w="1377"/>
              <w:gridCol w:w="1113"/>
              <w:gridCol w:w="1253"/>
              <w:gridCol w:w="1164"/>
              <w:gridCol w:w="203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26" w:type="dxa"/>
                  <w:noWrap w:val="0"/>
                  <w:vAlign w:val="center"/>
                </w:tcPr>
                <w:p>
                  <w:pPr>
                    <w:jc w:val="center"/>
                    <w:rPr>
                      <w:color w:val="000000"/>
                      <w:sz w:val="18"/>
                      <w:szCs w:val="21"/>
                    </w:rPr>
                  </w:pPr>
                  <w:r>
                    <w:rPr>
                      <w:color w:val="000000"/>
                      <w:sz w:val="18"/>
                      <w:szCs w:val="21"/>
                    </w:rPr>
                    <w:t>工艺名称</w:t>
                  </w:r>
                </w:p>
              </w:tc>
              <w:tc>
                <w:tcPr>
                  <w:tcW w:w="1377" w:type="dxa"/>
                  <w:noWrap w:val="0"/>
                  <w:vAlign w:val="center"/>
                </w:tcPr>
                <w:p>
                  <w:pPr>
                    <w:jc w:val="center"/>
                    <w:rPr>
                      <w:color w:val="000000"/>
                      <w:sz w:val="18"/>
                      <w:szCs w:val="21"/>
                    </w:rPr>
                  </w:pPr>
                  <w:r>
                    <w:rPr>
                      <w:color w:val="000000"/>
                      <w:sz w:val="18"/>
                      <w:szCs w:val="21"/>
                    </w:rPr>
                    <w:t>污染物指标</w:t>
                  </w:r>
                </w:p>
              </w:tc>
              <w:tc>
                <w:tcPr>
                  <w:tcW w:w="1113" w:type="dxa"/>
                  <w:noWrap w:val="0"/>
                  <w:vAlign w:val="center"/>
                </w:tcPr>
                <w:p>
                  <w:pPr>
                    <w:jc w:val="center"/>
                    <w:rPr>
                      <w:color w:val="000000"/>
                      <w:sz w:val="18"/>
                      <w:szCs w:val="21"/>
                    </w:rPr>
                  </w:pPr>
                  <w:r>
                    <w:rPr>
                      <w:color w:val="000000"/>
                      <w:sz w:val="18"/>
                      <w:szCs w:val="21"/>
                    </w:rPr>
                    <w:t>产污系数及单位</w:t>
                  </w:r>
                </w:p>
              </w:tc>
              <w:tc>
                <w:tcPr>
                  <w:tcW w:w="1253" w:type="dxa"/>
                  <w:noWrap w:val="0"/>
                  <w:vAlign w:val="center"/>
                </w:tcPr>
                <w:p>
                  <w:pPr>
                    <w:jc w:val="center"/>
                    <w:rPr>
                      <w:color w:val="000000"/>
                      <w:sz w:val="18"/>
                      <w:szCs w:val="21"/>
                    </w:rPr>
                  </w:pPr>
                  <w:r>
                    <w:rPr>
                      <w:color w:val="000000"/>
                      <w:sz w:val="18"/>
                      <w:szCs w:val="21"/>
                    </w:rPr>
                    <w:t>产生量及产生浓度</w:t>
                  </w:r>
                </w:p>
              </w:tc>
              <w:tc>
                <w:tcPr>
                  <w:tcW w:w="1164" w:type="dxa"/>
                  <w:noWrap w:val="0"/>
                  <w:vAlign w:val="center"/>
                </w:tcPr>
                <w:p>
                  <w:pPr>
                    <w:jc w:val="center"/>
                    <w:rPr>
                      <w:color w:val="000000"/>
                      <w:sz w:val="18"/>
                      <w:szCs w:val="21"/>
                    </w:rPr>
                  </w:pPr>
                  <w:r>
                    <w:rPr>
                      <w:color w:val="000000"/>
                      <w:sz w:val="18"/>
                      <w:szCs w:val="21"/>
                    </w:rPr>
                    <w:t>末端治理技术效率（%）</w:t>
                  </w:r>
                </w:p>
              </w:tc>
              <w:tc>
                <w:tcPr>
                  <w:tcW w:w="2032" w:type="dxa"/>
                  <w:noWrap w:val="0"/>
                  <w:vAlign w:val="center"/>
                </w:tcPr>
                <w:p>
                  <w:pPr>
                    <w:jc w:val="center"/>
                    <w:rPr>
                      <w:color w:val="000000"/>
                      <w:sz w:val="18"/>
                      <w:szCs w:val="21"/>
                    </w:rPr>
                  </w:pPr>
                  <w:r>
                    <w:rPr>
                      <w:color w:val="000000"/>
                      <w:sz w:val="18"/>
                      <w:szCs w:val="21"/>
                    </w:rPr>
                    <w:t>排放量及排放浓度</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26" w:type="dxa"/>
                  <w:vMerge w:val="restart"/>
                  <w:noWrap w:val="0"/>
                  <w:vAlign w:val="center"/>
                </w:tcPr>
                <w:p>
                  <w:pPr>
                    <w:jc w:val="center"/>
                    <w:rPr>
                      <w:color w:val="000000"/>
                      <w:sz w:val="18"/>
                      <w:szCs w:val="21"/>
                    </w:rPr>
                  </w:pPr>
                  <w:r>
                    <w:rPr>
                      <w:color w:val="000000"/>
                      <w:sz w:val="18"/>
                      <w:szCs w:val="21"/>
                    </w:rPr>
                    <w:t>破碎、筛分等</w:t>
                  </w:r>
                </w:p>
              </w:tc>
              <w:tc>
                <w:tcPr>
                  <w:tcW w:w="1377" w:type="dxa"/>
                  <w:noWrap w:val="0"/>
                  <w:vAlign w:val="center"/>
                </w:tcPr>
                <w:p>
                  <w:pPr>
                    <w:jc w:val="center"/>
                    <w:rPr>
                      <w:bCs/>
                      <w:color w:val="000000"/>
                      <w:sz w:val="18"/>
                      <w:szCs w:val="21"/>
                    </w:rPr>
                  </w:pPr>
                  <w:r>
                    <w:rPr>
                      <w:bCs/>
                      <w:color w:val="000000"/>
                      <w:sz w:val="18"/>
                      <w:szCs w:val="21"/>
                    </w:rPr>
                    <w:t>工业废气量（除炉窑外工艺废气）</w:t>
                  </w:r>
                </w:p>
              </w:tc>
              <w:tc>
                <w:tcPr>
                  <w:tcW w:w="1113" w:type="dxa"/>
                  <w:noWrap w:val="0"/>
                  <w:vAlign w:val="center"/>
                </w:tcPr>
                <w:p>
                  <w:pPr>
                    <w:jc w:val="center"/>
                    <w:rPr>
                      <w:bCs/>
                      <w:color w:val="000000"/>
                      <w:sz w:val="18"/>
                      <w:szCs w:val="21"/>
                    </w:rPr>
                  </w:pPr>
                  <w:r>
                    <w:rPr>
                      <w:bCs/>
                      <w:color w:val="000000"/>
                      <w:sz w:val="18"/>
                      <w:szCs w:val="21"/>
                    </w:rPr>
                    <w:t>8290标立方米/万块标砖</w:t>
                  </w:r>
                </w:p>
              </w:tc>
              <w:tc>
                <w:tcPr>
                  <w:tcW w:w="1253" w:type="dxa"/>
                  <w:noWrap w:val="0"/>
                  <w:vAlign w:val="center"/>
                </w:tcPr>
                <w:p>
                  <w:pPr>
                    <w:jc w:val="center"/>
                    <w:rPr>
                      <w:bCs/>
                      <w:color w:val="000000"/>
                      <w:sz w:val="18"/>
                      <w:szCs w:val="21"/>
                    </w:rPr>
                  </w:pPr>
                  <w:r>
                    <w:rPr>
                      <w:rFonts w:hint="eastAsia"/>
                      <w:bCs/>
                      <w:color w:val="000000"/>
                      <w:sz w:val="18"/>
                      <w:szCs w:val="21"/>
                      <w:lang w:val="en-US" w:eastAsia="zh-CN"/>
                    </w:rPr>
                    <w:t>2487</w:t>
                  </w:r>
                  <w:r>
                    <w:rPr>
                      <w:bCs/>
                      <w:color w:val="000000"/>
                      <w:sz w:val="18"/>
                      <w:szCs w:val="21"/>
                    </w:rPr>
                    <w:t>万m</w:t>
                  </w:r>
                  <w:r>
                    <w:rPr>
                      <w:bCs/>
                      <w:color w:val="000000"/>
                      <w:sz w:val="18"/>
                      <w:szCs w:val="21"/>
                      <w:vertAlign w:val="superscript"/>
                    </w:rPr>
                    <w:t>3</w:t>
                  </w:r>
                  <w:r>
                    <w:rPr>
                      <w:bCs/>
                      <w:color w:val="000000"/>
                      <w:sz w:val="18"/>
                      <w:szCs w:val="21"/>
                    </w:rPr>
                    <w:t>/a</w:t>
                  </w:r>
                </w:p>
              </w:tc>
              <w:tc>
                <w:tcPr>
                  <w:tcW w:w="1164" w:type="dxa"/>
                  <w:noWrap w:val="0"/>
                  <w:vAlign w:val="center"/>
                </w:tcPr>
                <w:p>
                  <w:pPr>
                    <w:jc w:val="center"/>
                    <w:rPr>
                      <w:bCs/>
                      <w:color w:val="000000"/>
                      <w:sz w:val="18"/>
                      <w:szCs w:val="21"/>
                    </w:rPr>
                  </w:pPr>
                  <w:r>
                    <w:rPr>
                      <w:bCs/>
                      <w:color w:val="000000"/>
                      <w:sz w:val="18"/>
                      <w:szCs w:val="21"/>
                    </w:rPr>
                    <w:t>/</w:t>
                  </w:r>
                </w:p>
              </w:tc>
              <w:tc>
                <w:tcPr>
                  <w:tcW w:w="2032" w:type="dxa"/>
                  <w:noWrap w:val="0"/>
                  <w:vAlign w:val="center"/>
                </w:tcPr>
                <w:p>
                  <w:pPr>
                    <w:jc w:val="center"/>
                    <w:rPr>
                      <w:rFonts w:hint="default" w:ascii="Times New Roman" w:hAnsi="Times New Roman"/>
                    </w:rPr>
                  </w:pPr>
                  <w:r>
                    <w:rPr>
                      <w:rFonts w:hint="eastAsia"/>
                      <w:color w:val="000000"/>
                      <w:sz w:val="18"/>
                      <w:szCs w:val="18"/>
                      <w:lang w:val="en-US" w:eastAsia="zh-CN"/>
                    </w:rPr>
                    <w:t>2487</w:t>
                  </w:r>
                  <w:r>
                    <w:rPr>
                      <w:color w:val="000000"/>
                      <w:sz w:val="18"/>
                      <w:szCs w:val="18"/>
                    </w:rPr>
                    <w:t>万m</w:t>
                  </w:r>
                  <w:r>
                    <w:rPr>
                      <w:color w:val="000000"/>
                      <w:sz w:val="18"/>
                      <w:szCs w:val="18"/>
                      <w:vertAlign w:val="superscript"/>
                    </w:rPr>
                    <w:t>3</w:t>
                  </w:r>
                  <w:r>
                    <w:rPr>
                      <w:color w:val="000000"/>
                      <w:sz w:val="18"/>
                      <w:szCs w:val="18"/>
                    </w:rPr>
                    <w:t>/a</w:t>
                  </w:r>
                  <w:r>
                    <w:rPr>
                      <w:rFonts w:hint="eastAsia"/>
                      <w:color w:val="000000"/>
                      <w:sz w:val="18"/>
                      <w:szCs w:val="18"/>
                      <w:lang w:eastAsia="zh-CN"/>
                    </w:rPr>
                    <w:t>，</w:t>
                  </w:r>
                  <w:r>
                    <w:rPr>
                      <w:rFonts w:hint="eastAsia"/>
                      <w:color w:val="000000"/>
                      <w:sz w:val="18"/>
                      <w:szCs w:val="18"/>
                      <w:lang w:val="en-US" w:eastAsia="zh-CN"/>
                    </w:rPr>
                    <w:t>10362.5</w:t>
                  </w:r>
                  <w:r>
                    <w:rPr>
                      <w:rFonts w:hint="default" w:ascii="Times New Roman" w:hAnsi="Times New Roman"/>
                      <w:bCs/>
                      <w:sz w:val="18"/>
                      <w:szCs w:val="18"/>
                    </w:rPr>
                    <w:t>m</w:t>
                  </w:r>
                  <w:r>
                    <w:rPr>
                      <w:rFonts w:hint="default" w:ascii="Times New Roman" w:hAnsi="Times New Roman"/>
                      <w:bCs/>
                      <w:sz w:val="18"/>
                      <w:szCs w:val="18"/>
                      <w:vertAlign w:val="superscript"/>
                    </w:rPr>
                    <w:t>3</w:t>
                  </w:r>
                  <w:r>
                    <w:rPr>
                      <w:rFonts w:hint="default" w:ascii="Times New Roman" w:hAnsi="Times New Roman"/>
                      <w:bCs/>
                      <w:sz w:val="18"/>
                      <w:szCs w:val="18"/>
                    </w:rPr>
                    <w:t>/h</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26" w:type="dxa"/>
                  <w:vMerge w:val="continue"/>
                  <w:noWrap w:val="0"/>
                  <w:vAlign w:val="center"/>
                </w:tcPr>
                <w:p>
                  <w:pPr>
                    <w:jc w:val="center"/>
                    <w:rPr>
                      <w:color w:val="000000"/>
                      <w:sz w:val="18"/>
                      <w:szCs w:val="21"/>
                    </w:rPr>
                  </w:pPr>
                </w:p>
              </w:tc>
              <w:tc>
                <w:tcPr>
                  <w:tcW w:w="1377" w:type="dxa"/>
                  <w:vMerge w:val="restart"/>
                  <w:noWrap w:val="0"/>
                  <w:vAlign w:val="center"/>
                </w:tcPr>
                <w:p>
                  <w:pPr>
                    <w:jc w:val="center"/>
                    <w:rPr>
                      <w:bCs/>
                      <w:color w:val="000000"/>
                      <w:sz w:val="18"/>
                      <w:szCs w:val="21"/>
                    </w:rPr>
                  </w:pPr>
                  <w:r>
                    <w:rPr>
                      <w:bCs/>
                      <w:color w:val="000000"/>
                      <w:sz w:val="18"/>
                      <w:szCs w:val="21"/>
                    </w:rPr>
                    <w:t>颗粒物（除窑炉外工艺废气）</w:t>
                  </w:r>
                </w:p>
              </w:tc>
              <w:tc>
                <w:tcPr>
                  <w:tcW w:w="1113" w:type="dxa"/>
                  <w:vMerge w:val="restart"/>
                  <w:noWrap w:val="0"/>
                  <w:vAlign w:val="center"/>
                </w:tcPr>
                <w:p>
                  <w:pPr>
                    <w:jc w:val="center"/>
                    <w:rPr>
                      <w:bCs/>
                      <w:color w:val="000000"/>
                      <w:sz w:val="18"/>
                      <w:szCs w:val="21"/>
                    </w:rPr>
                  </w:pPr>
                  <w:r>
                    <w:rPr>
                      <w:bCs/>
                      <w:color w:val="000000"/>
                      <w:sz w:val="18"/>
                      <w:szCs w:val="21"/>
                    </w:rPr>
                    <w:t>1.23千克/万块标砖</w:t>
                  </w:r>
                </w:p>
              </w:tc>
              <w:tc>
                <w:tcPr>
                  <w:tcW w:w="1253" w:type="dxa"/>
                  <w:vMerge w:val="restart"/>
                  <w:noWrap w:val="0"/>
                  <w:vAlign w:val="center"/>
                </w:tcPr>
                <w:p>
                  <w:pPr>
                    <w:jc w:val="center"/>
                    <w:rPr>
                      <w:bCs/>
                      <w:color w:val="000000"/>
                      <w:sz w:val="18"/>
                      <w:szCs w:val="21"/>
                    </w:rPr>
                  </w:pPr>
                  <w:r>
                    <w:rPr>
                      <w:rFonts w:hint="eastAsia"/>
                      <w:bCs/>
                      <w:color w:val="000000"/>
                      <w:sz w:val="18"/>
                      <w:szCs w:val="21"/>
                      <w:lang w:val="en-US" w:eastAsia="zh-CN"/>
                    </w:rPr>
                    <w:t>3.69</w:t>
                  </w:r>
                  <w:r>
                    <w:rPr>
                      <w:bCs/>
                      <w:color w:val="000000"/>
                      <w:sz w:val="18"/>
                      <w:szCs w:val="21"/>
                    </w:rPr>
                    <w:t>t/a，</w:t>
                  </w:r>
                  <w:r>
                    <w:rPr>
                      <w:rFonts w:hint="eastAsia"/>
                      <w:bCs/>
                      <w:color w:val="000000"/>
                      <w:sz w:val="18"/>
                      <w:szCs w:val="21"/>
                      <w:lang w:val="en-US" w:eastAsia="zh-CN"/>
                    </w:rPr>
                    <w:t>1.54</w:t>
                  </w:r>
                  <w:r>
                    <w:rPr>
                      <w:bCs/>
                      <w:color w:val="000000"/>
                      <w:sz w:val="18"/>
                      <w:szCs w:val="21"/>
                    </w:rPr>
                    <w:t>kg/h，148.</w:t>
                  </w:r>
                  <w:r>
                    <w:rPr>
                      <w:rFonts w:hint="eastAsia"/>
                      <w:bCs/>
                      <w:color w:val="000000"/>
                      <w:sz w:val="18"/>
                      <w:szCs w:val="21"/>
                      <w:lang w:val="en-US" w:eastAsia="zh-CN"/>
                    </w:rPr>
                    <w:t>61</w:t>
                  </w:r>
                  <w:r>
                    <w:rPr>
                      <w:color w:val="000000"/>
                      <w:sz w:val="18"/>
                      <w:szCs w:val="21"/>
                    </w:rPr>
                    <w:t>mg/m</w:t>
                  </w:r>
                  <w:r>
                    <w:rPr>
                      <w:color w:val="000000"/>
                      <w:sz w:val="18"/>
                      <w:szCs w:val="21"/>
                      <w:vertAlign w:val="superscript"/>
                    </w:rPr>
                    <w:t>3</w:t>
                  </w:r>
                </w:p>
              </w:tc>
              <w:tc>
                <w:tcPr>
                  <w:tcW w:w="1164" w:type="dxa"/>
                  <w:noWrap w:val="0"/>
                  <w:vAlign w:val="center"/>
                </w:tcPr>
                <w:p>
                  <w:pPr>
                    <w:jc w:val="center"/>
                    <w:rPr>
                      <w:bCs/>
                      <w:color w:val="000000"/>
                      <w:sz w:val="18"/>
                      <w:szCs w:val="21"/>
                    </w:rPr>
                  </w:pPr>
                  <w:r>
                    <w:rPr>
                      <w:bCs/>
                      <w:color w:val="000000"/>
                      <w:sz w:val="18"/>
                      <w:szCs w:val="21"/>
                    </w:rPr>
                    <w:t>去除效率98%</w:t>
                  </w:r>
                </w:p>
              </w:tc>
              <w:tc>
                <w:tcPr>
                  <w:tcW w:w="2032" w:type="dxa"/>
                  <w:noWrap w:val="0"/>
                  <w:vAlign w:val="center"/>
                </w:tcPr>
                <w:p>
                  <w:pPr>
                    <w:jc w:val="center"/>
                    <w:rPr>
                      <w:bCs/>
                      <w:color w:val="000000"/>
                      <w:sz w:val="18"/>
                      <w:szCs w:val="21"/>
                    </w:rPr>
                  </w:pPr>
                  <w:r>
                    <w:rPr>
                      <w:bCs/>
                      <w:color w:val="000000"/>
                      <w:sz w:val="18"/>
                      <w:szCs w:val="21"/>
                    </w:rPr>
                    <w:t>有组织：0.</w:t>
                  </w:r>
                  <w:r>
                    <w:rPr>
                      <w:rFonts w:hint="eastAsia"/>
                      <w:bCs/>
                      <w:color w:val="000000"/>
                      <w:sz w:val="18"/>
                      <w:szCs w:val="21"/>
                      <w:lang w:val="en-US" w:eastAsia="zh-CN"/>
                    </w:rPr>
                    <w:t>065</w:t>
                  </w:r>
                  <w:r>
                    <w:rPr>
                      <w:bCs/>
                      <w:color w:val="000000"/>
                      <w:sz w:val="18"/>
                      <w:szCs w:val="21"/>
                    </w:rPr>
                    <w:t>t/a，0.0</w:t>
                  </w:r>
                  <w:r>
                    <w:rPr>
                      <w:rFonts w:hint="eastAsia"/>
                      <w:bCs/>
                      <w:color w:val="000000"/>
                      <w:sz w:val="18"/>
                      <w:szCs w:val="21"/>
                      <w:lang w:val="en-US" w:eastAsia="zh-CN"/>
                    </w:rPr>
                    <w:t>27</w:t>
                  </w:r>
                  <w:r>
                    <w:rPr>
                      <w:bCs/>
                      <w:color w:val="000000"/>
                      <w:sz w:val="18"/>
                      <w:szCs w:val="21"/>
                    </w:rPr>
                    <w:t>kg/h</w:t>
                  </w:r>
                  <w:r>
                    <w:rPr>
                      <w:color w:val="000000"/>
                      <w:sz w:val="18"/>
                      <w:szCs w:val="21"/>
                    </w:rPr>
                    <w:t>，</w:t>
                  </w:r>
                  <w:r>
                    <w:rPr>
                      <w:rFonts w:hint="eastAsia"/>
                      <w:color w:val="000000"/>
                      <w:sz w:val="18"/>
                      <w:szCs w:val="21"/>
                      <w:lang w:val="en-US" w:eastAsia="zh-CN"/>
                    </w:rPr>
                    <w:t>2.61</w:t>
                  </w:r>
                  <w:r>
                    <w:rPr>
                      <w:color w:val="000000"/>
                      <w:sz w:val="18"/>
                      <w:szCs w:val="21"/>
                    </w:rPr>
                    <w:t>mg/m</w:t>
                  </w:r>
                  <w:r>
                    <w:rPr>
                      <w:color w:val="000000"/>
                      <w:sz w:val="18"/>
                      <w:szCs w:val="21"/>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26" w:type="dxa"/>
                  <w:vMerge w:val="continue"/>
                  <w:noWrap w:val="0"/>
                  <w:vAlign w:val="center"/>
                </w:tcPr>
                <w:p>
                  <w:pPr>
                    <w:jc w:val="center"/>
                    <w:rPr>
                      <w:color w:val="000000"/>
                      <w:sz w:val="18"/>
                      <w:szCs w:val="21"/>
                    </w:rPr>
                  </w:pPr>
                </w:p>
              </w:tc>
              <w:tc>
                <w:tcPr>
                  <w:tcW w:w="1377" w:type="dxa"/>
                  <w:vMerge w:val="continue"/>
                  <w:noWrap w:val="0"/>
                  <w:vAlign w:val="center"/>
                </w:tcPr>
                <w:p>
                  <w:pPr>
                    <w:jc w:val="center"/>
                    <w:rPr>
                      <w:color w:val="000000"/>
                      <w:sz w:val="18"/>
                      <w:szCs w:val="21"/>
                    </w:rPr>
                  </w:pPr>
                </w:p>
              </w:tc>
              <w:tc>
                <w:tcPr>
                  <w:tcW w:w="1113" w:type="dxa"/>
                  <w:vMerge w:val="continue"/>
                  <w:noWrap w:val="0"/>
                  <w:vAlign w:val="center"/>
                </w:tcPr>
                <w:p>
                  <w:pPr>
                    <w:jc w:val="center"/>
                    <w:rPr>
                      <w:color w:val="000000"/>
                      <w:sz w:val="18"/>
                      <w:szCs w:val="21"/>
                    </w:rPr>
                  </w:pPr>
                </w:p>
              </w:tc>
              <w:tc>
                <w:tcPr>
                  <w:tcW w:w="1253" w:type="dxa"/>
                  <w:vMerge w:val="continue"/>
                  <w:noWrap w:val="0"/>
                  <w:vAlign w:val="center"/>
                </w:tcPr>
                <w:p>
                  <w:pPr>
                    <w:jc w:val="center"/>
                    <w:rPr>
                      <w:color w:val="000000"/>
                      <w:sz w:val="18"/>
                      <w:szCs w:val="21"/>
                    </w:rPr>
                  </w:pPr>
                </w:p>
              </w:tc>
              <w:tc>
                <w:tcPr>
                  <w:tcW w:w="1164" w:type="dxa"/>
                  <w:noWrap w:val="0"/>
                  <w:vAlign w:val="center"/>
                </w:tcPr>
                <w:p>
                  <w:pPr>
                    <w:jc w:val="center"/>
                    <w:rPr>
                      <w:color w:val="000000"/>
                      <w:sz w:val="18"/>
                      <w:szCs w:val="21"/>
                    </w:rPr>
                  </w:pPr>
                  <w:r>
                    <w:rPr>
                      <w:color w:val="000000"/>
                      <w:sz w:val="18"/>
                      <w:szCs w:val="21"/>
                    </w:rPr>
                    <w:t>收集效率90%</w:t>
                  </w:r>
                </w:p>
              </w:tc>
              <w:tc>
                <w:tcPr>
                  <w:tcW w:w="2032" w:type="dxa"/>
                  <w:noWrap w:val="0"/>
                  <w:vAlign w:val="center"/>
                </w:tcPr>
                <w:p>
                  <w:pPr>
                    <w:jc w:val="center"/>
                    <w:rPr>
                      <w:color w:val="000000"/>
                      <w:sz w:val="18"/>
                      <w:szCs w:val="21"/>
                    </w:rPr>
                  </w:pPr>
                  <w:r>
                    <w:rPr>
                      <w:color w:val="000000"/>
                      <w:sz w:val="18"/>
                      <w:szCs w:val="21"/>
                    </w:rPr>
                    <w:t>无组织：</w:t>
                  </w:r>
                  <w:r>
                    <w:rPr>
                      <w:bCs/>
                      <w:color w:val="000000"/>
                      <w:sz w:val="18"/>
                      <w:szCs w:val="21"/>
                    </w:rPr>
                    <w:t>0.</w:t>
                  </w:r>
                  <w:r>
                    <w:rPr>
                      <w:rFonts w:hint="eastAsia"/>
                      <w:bCs/>
                      <w:color w:val="000000"/>
                      <w:sz w:val="18"/>
                      <w:szCs w:val="21"/>
                      <w:lang w:val="en-US" w:eastAsia="zh-CN"/>
                    </w:rPr>
                    <w:t>369</w:t>
                  </w:r>
                  <w:r>
                    <w:rPr>
                      <w:bCs/>
                      <w:color w:val="000000"/>
                      <w:sz w:val="18"/>
                      <w:szCs w:val="21"/>
                    </w:rPr>
                    <w:t>t/a，0.</w:t>
                  </w:r>
                  <w:r>
                    <w:rPr>
                      <w:rFonts w:hint="eastAsia"/>
                      <w:bCs/>
                      <w:color w:val="000000"/>
                      <w:sz w:val="18"/>
                      <w:szCs w:val="21"/>
                      <w:lang w:val="en-US" w:eastAsia="zh-CN"/>
                    </w:rPr>
                    <w:t>154</w:t>
                  </w:r>
                  <w:r>
                    <w:rPr>
                      <w:bCs/>
                      <w:color w:val="000000"/>
                      <w:sz w:val="18"/>
                      <w:szCs w:val="21"/>
                    </w:rPr>
                    <w:t>kg/h</w:t>
                  </w:r>
                </w:p>
              </w:tc>
            </w:tr>
          </w:tbl>
          <w:p>
            <w:pPr>
              <w:spacing w:line="360" w:lineRule="auto"/>
              <w:ind w:firstLine="480" w:firstLineChars="200"/>
              <w:rPr>
                <w:color w:val="FF0000"/>
                <w:sz w:val="24"/>
              </w:rPr>
            </w:pPr>
            <w:r>
              <w:rPr>
                <w:rStyle w:val="47"/>
                <w:rFonts w:ascii="Times New Roman" w:hAnsi="Times New Roman" w:cs="Times New Roman"/>
              </w:rPr>
              <w:t>由上表可知，生产粉尘颗粒物排放满足《砖瓦工业大气污染物排放标准及修改单》（GB 29620-2013）表2中新建企业大气污染物排放限值（颗粒物：30mg/m</w:t>
            </w:r>
            <w:r>
              <w:rPr>
                <w:rStyle w:val="47"/>
                <w:rFonts w:ascii="Times New Roman" w:hAnsi="Times New Roman" w:cs="Times New Roman"/>
                <w:vertAlign w:val="superscript"/>
              </w:rPr>
              <w:t>3</w:t>
            </w:r>
            <w:r>
              <w:rPr>
                <w:rStyle w:val="47"/>
                <w:rFonts w:ascii="Times New Roman" w:hAnsi="Times New Roman" w:cs="Times New Roman"/>
              </w:rPr>
              <w:t>）。</w:t>
            </w:r>
          </w:p>
          <w:p>
            <w:pPr>
              <w:spacing w:line="360" w:lineRule="auto"/>
              <w:ind w:firstLine="480" w:firstLineChars="200"/>
              <w:rPr>
                <w:rFonts w:hint="eastAsia" w:ascii="Times New Roman" w:hAnsi="Times New Roman" w:cs="Times New Roman"/>
                <w:b/>
                <w:bCs/>
                <w:color w:val="auto"/>
                <w:sz w:val="24"/>
                <w:highlight w:val="none"/>
                <w:u w:val="none"/>
                <w:lang w:val="en-US" w:eastAsia="zh-CN"/>
              </w:rPr>
            </w:pPr>
            <w:r>
              <w:rPr>
                <w:color w:val="000000"/>
                <w:sz w:val="24"/>
              </w:rPr>
              <w:t>破碎、筛分工序无组织粉尘产生量为0.</w:t>
            </w:r>
            <w:r>
              <w:rPr>
                <w:rFonts w:hint="eastAsia"/>
                <w:color w:val="000000"/>
                <w:sz w:val="24"/>
                <w:lang w:val="en-US" w:eastAsia="zh-CN"/>
              </w:rPr>
              <w:t>369</w:t>
            </w:r>
            <w:r>
              <w:rPr>
                <w:color w:val="000000"/>
                <w:sz w:val="24"/>
              </w:rPr>
              <w:t>t/a，经车间密闭及洒水措施治理后可降尘80%，破碎筛粉工序产生的无组织粉尘排放量为0.</w:t>
            </w:r>
            <w:r>
              <w:rPr>
                <w:rFonts w:hint="eastAsia"/>
                <w:color w:val="000000"/>
                <w:sz w:val="24"/>
                <w:lang w:val="en-US" w:eastAsia="zh-CN"/>
              </w:rPr>
              <w:t>074</w:t>
            </w:r>
            <w:r>
              <w:rPr>
                <w:color w:val="000000"/>
                <w:sz w:val="24"/>
              </w:rPr>
              <w:t>t/a，排放速率0.0</w:t>
            </w:r>
            <w:r>
              <w:rPr>
                <w:rFonts w:hint="eastAsia"/>
                <w:color w:val="000000"/>
                <w:sz w:val="24"/>
                <w:lang w:val="en-US" w:eastAsia="zh-CN"/>
              </w:rPr>
              <w:t>31</w:t>
            </w:r>
            <w:r>
              <w:rPr>
                <w:color w:val="000000"/>
                <w:sz w:val="24"/>
              </w:rPr>
              <w:t>kg/h。</w:t>
            </w:r>
          </w:p>
          <w:p>
            <w:pPr>
              <w:pStyle w:val="11"/>
              <w:numPr>
                <w:ilvl w:val="0"/>
                <w:numId w:val="7"/>
              </w:numPr>
              <w:spacing w:line="360" w:lineRule="auto"/>
              <w:ind w:firstLine="482" w:firstLineChars="200"/>
              <w:rPr>
                <w:rFonts w:hint="default" w:ascii="Times New Roman" w:hAnsi="Times New Roman" w:cs="Times New Roman"/>
                <w:b/>
                <w:bCs/>
                <w:color w:val="auto"/>
                <w:sz w:val="24"/>
                <w:highlight w:val="none"/>
                <w:u w:val="none"/>
                <w:lang w:val="en-US" w:eastAsia="zh-CN"/>
              </w:rPr>
            </w:pPr>
            <w:r>
              <w:rPr>
                <w:rFonts w:hint="eastAsia" w:ascii="Times New Roman" w:hAnsi="Times New Roman" w:cs="Times New Roman"/>
                <w:b/>
                <w:bCs/>
                <w:color w:val="auto"/>
                <w:sz w:val="24"/>
                <w:highlight w:val="none"/>
                <w:u w:val="none"/>
                <w:lang w:val="en-US" w:eastAsia="zh-CN"/>
              </w:rPr>
              <w:t>隧道窑烧结烟气</w:t>
            </w:r>
          </w:p>
          <w:p>
            <w:pPr>
              <w:spacing w:line="360" w:lineRule="auto"/>
              <w:ind w:firstLine="480" w:firstLineChars="200"/>
              <w:rPr>
                <w:rFonts w:hint="eastAsia" w:ascii="Times New Roman" w:hAnsi="Times New Roman" w:cs="Times New Roman"/>
                <w:color w:val="000000"/>
                <w:sz w:val="24"/>
                <w:lang w:val="en-US" w:eastAsia="zh-CN"/>
              </w:rPr>
            </w:pPr>
            <w:r>
              <w:rPr>
                <w:rFonts w:hint="eastAsia" w:ascii="Times New Roman" w:hAnsi="Times New Roman" w:cs="Times New Roman"/>
                <w:color w:val="000000"/>
                <w:sz w:val="24"/>
                <w:lang w:val="en-US" w:eastAsia="zh-CN"/>
              </w:rPr>
              <w:t>项目年产3000万块标砖，在烧结过程中会产生炉窑废气，主要污染物为烟尘、SO2、NOx和氟化物，其中工业废气量、烟尘、SO2、NOx的产生量根据《第二次全国污染源普查工业污染源产排污系数手册》（3031黏土砖瓦及建筑砌块制造），规模≤5000万块标砖/年，工业废气量按48610m</w:t>
            </w:r>
            <w:r>
              <w:rPr>
                <w:rFonts w:hint="eastAsia" w:ascii="Times New Roman" w:hAnsi="Times New Roman" w:cs="Times New Roman"/>
                <w:color w:val="000000"/>
                <w:sz w:val="24"/>
                <w:vertAlign w:val="superscript"/>
                <w:lang w:val="en-US" w:eastAsia="zh-CN"/>
              </w:rPr>
              <w:t>3</w:t>
            </w:r>
            <w:r>
              <w:rPr>
                <w:rFonts w:hint="eastAsia" w:ascii="Times New Roman" w:hAnsi="Times New Roman" w:cs="Times New Roman"/>
                <w:color w:val="000000"/>
                <w:sz w:val="24"/>
                <w:lang w:val="en-US" w:eastAsia="zh-CN"/>
              </w:rPr>
              <w:t>/万标砖计算，计算年产生工业废气的量为1.458×l0</w:t>
            </w:r>
            <w:r>
              <w:rPr>
                <w:rFonts w:hint="eastAsia" w:ascii="Times New Roman" w:hAnsi="Times New Roman" w:cs="Times New Roman"/>
                <w:color w:val="000000"/>
                <w:sz w:val="24"/>
                <w:vertAlign w:val="superscript"/>
                <w:lang w:val="en-US" w:eastAsia="zh-CN"/>
              </w:rPr>
              <w:t>8</w:t>
            </w:r>
            <w:r>
              <w:rPr>
                <w:rFonts w:hint="eastAsia" w:ascii="Times New Roman" w:hAnsi="Times New Roman" w:cs="Times New Roman"/>
                <w:color w:val="000000"/>
                <w:sz w:val="24"/>
                <w:lang w:val="en-US" w:eastAsia="zh-CN"/>
              </w:rPr>
              <w:t>m</w:t>
            </w:r>
            <w:r>
              <w:rPr>
                <w:rFonts w:hint="eastAsia" w:ascii="Times New Roman" w:hAnsi="Times New Roman" w:cs="Times New Roman"/>
                <w:color w:val="000000"/>
                <w:sz w:val="24"/>
                <w:vertAlign w:val="superscript"/>
                <w:lang w:val="en-US" w:eastAsia="zh-CN"/>
              </w:rPr>
              <w:t>3</w:t>
            </w:r>
            <w:r>
              <w:rPr>
                <w:rFonts w:hint="eastAsia" w:ascii="Times New Roman" w:hAnsi="Times New Roman" w:cs="Times New Roman"/>
                <w:color w:val="000000"/>
                <w:sz w:val="24"/>
                <w:lang w:val="en-US" w:eastAsia="zh-CN"/>
              </w:rPr>
              <w:t>/a；烟尘产生量按6.08kg/万标砖计算，计算年产生烟尘的量为18.24t/a，产生浓度约为57.55mg/m</w:t>
            </w:r>
            <w:r>
              <w:rPr>
                <w:rFonts w:hint="eastAsia" w:ascii="Times New Roman" w:hAnsi="Times New Roman" w:cs="Times New Roman"/>
                <w:color w:val="000000"/>
                <w:sz w:val="24"/>
                <w:vertAlign w:val="superscript"/>
                <w:lang w:val="en-US" w:eastAsia="zh-CN"/>
              </w:rPr>
              <w:t>3</w:t>
            </w:r>
            <w:r>
              <w:rPr>
                <w:rFonts w:hint="eastAsia" w:ascii="Times New Roman" w:hAnsi="Times New Roman" w:cs="Times New Roman"/>
                <w:color w:val="000000"/>
                <w:sz w:val="24"/>
                <w:lang w:val="en-US" w:eastAsia="zh-CN"/>
              </w:rPr>
              <w:t>；SO</w:t>
            </w:r>
            <w:r>
              <w:rPr>
                <w:rFonts w:hint="eastAsia" w:ascii="Times New Roman" w:hAnsi="Times New Roman" w:cs="Times New Roman"/>
                <w:color w:val="000000"/>
                <w:sz w:val="24"/>
                <w:vertAlign w:val="subscript"/>
                <w:lang w:val="en-US" w:eastAsia="zh-CN"/>
              </w:rPr>
              <w:t>2</w:t>
            </w:r>
            <w:r>
              <w:rPr>
                <w:rFonts w:hint="eastAsia" w:ascii="Times New Roman" w:hAnsi="Times New Roman" w:cs="Times New Roman"/>
                <w:color w:val="000000"/>
                <w:sz w:val="24"/>
                <w:lang w:val="en-US" w:eastAsia="zh-CN"/>
              </w:rPr>
              <w:t>产生量按16.8kg/万标砖计算，计算年产生SO</w:t>
            </w:r>
            <w:r>
              <w:rPr>
                <w:rFonts w:hint="eastAsia" w:ascii="Times New Roman" w:hAnsi="Times New Roman" w:cs="Times New Roman"/>
                <w:color w:val="000000"/>
                <w:sz w:val="24"/>
                <w:vertAlign w:val="subscript"/>
                <w:lang w:val="en-US" w:eastAsia="zh-CN"/>
              </w:rPr>
              <w:t>2</w:t>
            </w:r>
            <w:r>
              <w:rPr>
                <w:rFonts w:hint="eastAsia" w:ascii="Times New Roman" w:hAnsi="Times New Roman" w:cs="Times New Roman"/>
                <w:color w:val="000000"/>
                <w:sz w:val="24"/>
                <w:lang w:val="en-US" w:eastAsia="zh-CN"/>
              </w:rPr>
              <w:t>的量为50.4t/a，产生浓度约为345.68mg/m</w:t>
            </w:r>
            <w:r>
              <w:rPr>
                <w:rFonts w:hint="eastAsia" w:ascii="Times New Roman" w:hAnsi="Times New Roman" w:cs="Times New Roman"/>
                <w:color w:val="000000"/>
                <w:sz w:val="24"/>
                <w:vertAlign w:val="superscript"/>
                <w:lang w:val="en-US" w:eastAsia="zh-CN"/>
              </w:rPr>
              <w:t>3</w:t>
            </w:r>
            <w:r>
              <w:rPr>
                <w:rFonts w:hint="eastAsia" w:ascii="Times New Roman" w:hAnsi="Times New Roman" w:cs="Times New Roman"/>
                <w:color w:val="000000"/>
                <w:sz w:val="24"/>
                <w:lang w:val="en-US" w:eastAsia="zh-CN"/>
              </w:rPr>
              <w:t>；氮氧化物产生量按3.26kg/万标砖计算，计算年产生氮氧化物的量为9.78t/a，产生浓度约为67.08mg/m</w:t>
            </w:r>
            <w:r>
              <w:rPr>
                <w:rFonts w:hint="eastAsia" w:ascii="Times New Roman" w:hAnsi="Times New Roman" w:cs="Times New Roman"/>
                <w:color w:val="000000"/>
                <w:sz w:val="24"/>
                <w:vertAlign w:val="superscript"/>
                <w:lang w:val="en-US" w:eastAsia="zh-CN"/>
              </w:rPr>
              <w:t>3</w:t>
            </w:r>
            <w:r>
              <w:rPr>
                <w:rFonts w:hint="eastAsia" w:ascii="Times New Roman" w:hAnsi="Times New Roman" w:cs="Times New Roman"/>
                <w:color w:val="000000"/>
                <w:sz w:val="24"/>
                <w:lang w:val="en-US" w:eastAsia="zh-CN"/>
              </w:rPr>
              <w:t>。</w:t>
            </w:r>
          </w:p>
          <w:p>
            <w:pPr>
              <w:spacing w:line="360" w:lineRule="auto"/>
              <w:ind w:firstLine="480" w:firstLineChars="200"/>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氟化物产排情况：页岩和煤矸石中的氟元素在高温烧结的情况下易转化为气态氟化物，主要以HF气体为主</w:t>
            </w:r>
            <w:r>
              <w:rPr>
                <w:rFonts w:hint="eastAsia" w:ascii="Times New Roman" w:hAnsi="Times New Roman" w:cs="Times New Roman"/>
                <w:color w:val="auto"/>
                <w:sz w:val="24"/>
                <w:lang w:val="en-US" w:eastAsia="zh-CN"/>
              </w:rPr>
              <w:t>。据业主提供资料</w:t>
            </w:r>
            <w:r>
              <w:rPr>
                <w:rFonts w:hint="default" w:ascii="Times New Roman" w:hAnsi="Times New Roman" w:cs="Times New Roman"/>
                <w:color w:val="auto"/>
                <w:sz w:val="24"/>
                <w:lang w:val="en-US" w:eastAsia="zh-CN"/>
              </w:rPr>
              <w:t>本项目所使用的页岩中氟平均含量为0.002%，煤矸石中氟平均含量为0.003%。页岩和煤矸石的使用量分别为</w:t>
            </w:r>
            <w:r>
              <w:rPr>
                <w:rFonts w:hint="eastAsia" w:ascii="Times New Roman" w:hAnsi="Times New Roman" w:cs="Times New Roman"/>
                <w:color w:val="auto"/>
                <w:sz w:val="24"/>
                <w:lang w:val="en-US" w:eastAsia="zh-CN"/>
              </w:rPr>
              <w:t>5.25万</w:t>
            </w:r>
            <w:r>
              <w:rPr>
                <w:rFonts w:hint="default" w:ascii="Times New Roman" w:hAnsi="Times New Roman" w:cs="Times New Roman"/>
                <w:color w:val="auto"/>
                <w:sz w:val="24"/>
                <w:lang w:val="en-US" w:eastAsia="zh-CN"/>
              </w:rPr>
              <w:t>t/a和</w:t>
            </w:r>
            <w:r>
              <w:rPr>
                <w:rFonts w:hint="eastAsia" w:ascii="Times New Roman" w:hAnsi="Times New Roman" w:cs="Times New Roman"/>
                <w:color w:val="auto"/>
                <w:sz w:val="24"/>
                <w:lang w:val="en-US" w:eastAsia="zh-CN"/>
              </w:rPr>
              <w:t>1.5万</w:t>
            </w:r>
            <w:r>
              <w:rPr>
                <w:rFonts w:hint="default" w:ascii="Times New Roman" w:hAnsi="Times New Roman" w:cs="Times New Roman"/>
                <w:color w:val="auto"/>
                <w:sz w:val="24"/>
                <w:lang w:val="en-US" w:eastAsia="zh-CN"/>
              </w:rPr>
              <w:t>t/a。原料中的F含量为</w:t>
            </w:r>
            <w:r>
              <w:rPr>
                <w:rFonts w:hint="eastAsia" w:ascii="Times New Roman" w:hAnsi="Times New Roman" w:cs="Times New Roman"/>
                <w:color w:val="auto"/>
                <w:sz w:val="24"/>
                <w:lang w:val="en-US" w:eastAsia="zh-CN"/>
              </w:rPr>
              <w:t>1.5</w:t>
            </w:r>
            <w:r>
              <w:rPr>
                <w:rFonts w:hint="default" w:ascii="Times New Roman" w:hAnsi="Times New Roman" w:cs="Times New Roman"/>
                <w:color w:val="auto"/>
                <w:sz w:val="24"/>
                <w:lang w:val="en-US" w:eastAsia="zh-CN"/>
              </w:rPr>
              <w:t>t/a。氟转化为态氟化物的转化效率一般为60%，经计算年产生氟化物（以F计）为</w:t>
            </w:r>
            <w:r>
              <w:rPr>
                <w:rFonts w:hint="eastAsia" w:ascii="Times New Roman" w:hAnsi="Times New Roman" w:cs="Times New Roman"/>
                <w:color w:val="auto"/>
                <w:sz w:val="24"/>
                <w:lang w:val="en-US" w:eastAsia="zh-CN"/>
              </w:rPr>
              <w:t>0.9</w:t>
            </w:r>
            <w:r>
              <w:rPr>
                <w:rFonts w:hint="default" w:ascii="Times New Roman" w:hAnsi="Times New Roman" w:cs="Times New Roman"/>
                <w:color w:val="auto"/>
                <w:sz w:val="24"/>
                <w:lang w:val="en-US" w:eastAsia="zh-CN"/>
              </w:rPr>
              <w:t>t/a，产生速率为0.</w:t>
            </w:r>
            <w:r>
              <w:rPr>
                <w:rFonts w:hint="eastAsia" w:ascii="Times New Roman" w:hAnsi="Times New Roman" w:cs="Times New Roman"/>
                <w:color w:val="auto"/>
                <w:sz w:val="24"/>
                <w:lang w:val="en-US" w:eastAsia="zh-CN"/>
              </w:rPr>
              <w:t>125</w:t>
            </w:r>
            <w:r>
              <w:rPr>
                <w:rFonts w:hint="default" w:ascii="Times New Roman" w:hAnsi="Times New Roman" w:cs="Times New Roman"/>
                <w:color w:val="auto"/>
                <w:sz w:val="24"/>
                <w:lang w:val="en-US" w:eastAsia="zh-CN"/>
              </w:rPr>
              <w:t>kg/h，6.</w:t>
            </w:r>
            <w:r>
              <w:rPr>
                <w:rFonts w:hint="eastAsia" w:ascii="Times New Roman" w:hAnsi="Times New Roman" w:cs="Times New Roman"/>
                <w:color w:val="auto"/>
                <w:sz w:val="24"/>
                <w:lang w:val="en-US" w:eastAsia="zh-CN"/>
              </w:rPr>
              <w:t>1</w:t>
            </w:r>
            <w:r>
              <w:rPr>
                <w:rFonts w:hint="default" w:ascii="Times New Roman" w:hAnsi="Times New Roman" w:cs="Times New Roman"/>
                <w:color w:val="auto"/>
                <w:sz w:val="24"/>
                <w:lang w:val="en-US" w:eastAsia="zh-CN"/>
              </w:rPr>
              <w:t>7mg/m</w:t>
            </w:r>
            <w:r>
              <w:rPr>
                <w:rFonts w:hint="default" w:ascii="Times New Roman" w:hAnsi="Times New Roman" w:cs="Times New Roman"/>
                <w:color w:val="auto"/>
                <w:sz w:val="24"/>
                <w:vertAlign w:val="superscript"/>
                <w:lang w:val="en-US" w:eastAsia="zh-CN"/>
              </w:rPr>
              <w:t>3</w:t>
            </w:r>
            <w:r>
              <w:rPr>
                <w:rFonts w:hint="default" w:ascii="Times New Roman" w:hAnsi="Times New Roman" w:cs="Times New Roman"/>
                <w:color w:val="auto"/>
                <w:sz w:val="24"/>
                <w:lang w:val="en-US" w:eastAsia="zh-CN"/>
              </w:rPr>
              <w:t>。</w:t>
            </w:r>
          </w:p>
          <w:p>
            <w:pPr>
              <w:spacing w:line="360" w:lineRule="auto"/>
              <w:ind w:firstLine="480" w:firstLineChars="200"/>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建设单位拟采取相应措施对项目隧道窑焙烧烟气进行除尘脱硫处理，将项目隧道窑烟气收集后引入</w:t>
            </w:r>
            <w:r>
              <w:rPr>
                <w:rFonts w:hint="eastAsia" w:ascii="Times New Roman" w:hAnsi="Times New Roman" w:cs="Times New Roman"/>
                <w:color w:val="auto"/>
                <w:sz w:val="24"/>
                <w:lang w:val="en-US" w:eastAsia="zh-CN"/>
              </w:rPr>
              <w:t>双碱法</w:t>
            </w:r>
            <w:r>
              <w:rPr>
                <w:rFonts w:hint="default" w:ascii="Times New Roman" w:hAnsi="Times New Roman" w:cs="Times New Roman"/>
                <w:color w:val="auto"/>
                <w:sz w:val="24"/>
                <w:lang w:val="en-US" w:eastAsia="zh-CN"/>
              </w:rPr>
              <w:t>除尘脱硫设施中对废气进行处理，烟气经处理后由</w:t>
            </w:r>
            <w:r>
              <w:rPr>
                <w:rFonts w:hint="eastAsia" w:ascii="Times New Roman" w:hAnsi="Times New Roman" w:cs="Times New Roman"/>
                <w:color w:val="auto"/>
                <w:sz w:val="24"/>
                <w:lang w:val="en-US" w:eastAsia="zh-CN"/>
              </w:rPr>
              <w:t>2</w:t>
            </w:r>
            <w:r>
              <w:rPr>
                <w:rFonts w:hint="default" w:ascii="Times New Roman" w:hAnsi="Times New Roman" w:cs="Times New Roman"/>
                <w:color w:val="auto"/>
                <w:sz w:val="24"/>
                <w:lang w:val="en-US" w:eastAsia="zh-CN"/>
              </w:rPr>
              <w:t>5m排气筒排放。</w:t>
            </w:r>
          </w:p>
          <w:p>
            <w:pPr>
              <w:spacing w:line="360" w:lineRule="auto"/>
              <w:ind w:firstLine="480" w:firstLineChars="200"/>
              <w:rPr>
                <w:bCs/>
                <w:color w:val="000000"/>
                <w:sz w:val="24"/>
                <w:u w:val="none"/>
              </w:rPr>
            </w:pPr>
            <w:r>
              <w:rPr>
                <w:bCs/>
                <w:color w:val="000000"/>
                <w:sz w:val="24"/>
                <w:u w:val="none"/>
              </w:rPr>
              <w:t>①双碱法除尘脱硫工艺</w:t>
            </w:r>
          </w:p>
          <w:p>
            <w:pPr>
              <w:spacing w:line="360" w:lineRule="auto"/>
              <w:ind w:firstLine="480" w:firstLineChars="200"/>
              <w:rPr>
                <w:bCs/>
                <w:color w:val="000000"/>
                <w:sz w:val="24"/>
                <w:u w:val="none"/>
              </w:rPr>
            </w:pPr>
            <w:r>
              <w:rPr>
                <w:bCs/>
                <w:color w:val="000000"/>
                <w:sz w:val="24"/>
                <w:u w:val="none"/>
              </w:rPr>
              <w:t>干燥室内的烟气进入脱硫塔内，烟气与脱硫塔内的碱性脱硫剂在雾化区内充分接触反应，完成对烟气的脱硫和除尘，经处理后的烟气通过塔顶除雾装置除去水雾后由引风机引入烟囱。反应后的脱硫液进入沉淀再生池，在此将除下的飞灰沉淀下来，脱硫液与Ca(OH)</w:t>
            </w:r>
            <w:r>
              <w:rPr>
                <w:bCs/>
                <w:color w:val="000000"/>
                <w:sz w:val="24"/>
                <w:u w:val="none"/>
                <w:vertAlign w:val="subscript"/>
              </w:rPr>
              <w:t>2</w:t>
            </w:r>
            <w:r>
              <w:rPr>
                <w:bCs/>
                <w:color w:val="000000"/>
                <w:sz w:val="24"/>
                <w:u w:val="none"/>
              </w:rPr>
              <w:t>溶液充分混合再生，再生好的浆液经澄清除渣装置分离，除渣分离后的清液流入循环池循环利用。</w:t>
            </w:r>
            <w:r>
              <w:rPr>
                <w:color w:val="000000"/>
                <w:sz w:val="24"/>
                <w:u w:val="none"/>
              </w:rPr>
              <w:t>根据《第二次全国污染源普查工业污染源产排污系数手册》（3031黏土砖瓦及建筑砌块制造），湿法除尘</w:t>
            </w:r>
            <w:r>
              <w:rPr>
                <w:bCs/>
                <w:color w:val="000000"/>
                <w:sz w:val="24"/>
                <w:u w:val="none"/>
              </w:rPr>
              <w:t>可达85%以上（本次评价取85%），脱硫效率可达90%以上（本次评价取90%）；双碱法脱硫除尘系统能够协同削减氟化物，其去除率可达80%-95%（引至《建材工业氟污染控制技术》环境污染治理技术与设备，2002年3月，第3卷第3期），本项目按80%计。其反应机理及反应方程式如下：</w:t>
            </w:r>
          </w:p>
          <w:p>
            <w:pPr>
              <w:spacing w:line="360" w:lineRule="auto"/>
              <w:ind w:firstLine="480" w:firstLineChars="200"/>
              <w:rPr>
                <w:rFonts w:hint="default" w:ascii="Times New Roman" w:hAnsi="Times New Roman" w:cs="Times New Roman"/>
                <w:bCs/>
                <w:color w:val="000000"/>
                <w:sz w:val="24"/>
                <w:u w:val="none"/>
              </w:rPr>
            </w:pPr>
            <w:r>
              <w:rPr>
                <w:rFonts w:hint="default" w:ascii="Times New Roman" w:hAnsi="Times New Roman" w:cs="Times New Roman"/>
                <w:bCs/>
                <w:color w:val="000000"/>
                <w:sz w:val="24"/>
                <w:u w:val="none"/>
              </w:rPr>
              <w:t>A、脱硫反应：</w:t>
            </w:r>
          </w:p>
          <w:p>
            <w:pPr>
              <w:spacing w:line="360" w:lineRule="auto"/>
              <w:ind w:firstLine="480" w:firstLineChars="200"/>
              <w:jc w:val="center"/>
              <w:rPr>
                <w:rFonts w:hint="default" w:ascii="Times New Roman" w:hAnsi="Times New Roman" w:cs="Times New Roman"/>
                <w:bCs/>
                <w:color w:val="000000"/>
                <w:sz w:val="24"/>
                <w:u w:val="none"/>
              </w:rPr>
            </w:pPr>
            <w:r>
              <w:rPr>
                <w:rFonts w:hint="default" w:ascii="Times New Roman" w:hAnsi="Times New Roman" w:cs="Times New Roman"/>
                <w:bCs/>
                <w:color w:val="000000"/>
                <w:sz w:val="24"/>
                <w:u w:val="none"/>
              </w:rPr>
              <w:t>Na</w:t>
            </w:r>
            <w:r>
              <w:rPr>
                <w:rFonts w:hint="default" w:ascii="Times New Roman" w:hAnsi="Times New Roman" w:cs="Times New Roman"/>
                <w:bCs/>
                <w:color w:val="000000"/>
                <w:sz w:val="24"/>
                <w:u w:val="none"/>
                <w:vertAlign w:val="subscript"/>
              </w:rPr>
              <w:t>2</w:t>
            </w:r>
            <w:r>
              <w:rPr>
                <w:rFonts w:hint="default" w:ascii="Times New Roman" w:hAnsi="Times New Roman" w:cs="Times New Roman"/>
                <w:bCs/>
                <w:color w:val="000000"/>
                <w:sz w:val="24"/>
                <w:u w:val="none"/>
              </w:rPr>
              <w:t>CO</w:t>
            </w:r>
            <w:r>
              <w:rPr>
                <w:rFonts w:hint="default" w:ascii="Times New Roman" w:hAnsi="Times New Roman" w:cs="Times New Roman"/>
                <w:bCs/>
                <w:color w:val="000000"/>
                <w:sz w:val="24"/>
                <w:u w:val="none"/>
                <w:vertAlign w:val="subscript"/>
              </w:rPr>
              <w:t>3</w:t>
            </w:r>
            <w:r>
              <w:rPr>
                <w:rFonts w:hint="default" w:ascii="Times New Roman" w:hAnsi="Times New Roman" w:cs="Times New Roman"/>
                <w:bCs/>
                <w:color w:val="000000"/>
                <w:sz w:val="24"/>
                <w:u w:val="none"/>
              </w:rPr>
              <w:t xml:space="preserve"> + SO</w:t>
            </w:r>
            <w:r>
              <w:rPr>
                <w:rFonts w:hint="default" w:ascii="Times New Roman" w:hAnsi="Times New Roman" w:cs="Times New Roman"/>
                <w:bCs/>
                <w:color w:val="000000"/>
                <w:sz w:val="24"/>
                <w:u w:val="none"/>
                <w:vertAlign w:val="subscript"/>
              </w:rPr>
              <w:t>2</w:t>
            </w:r>
            <w:r>
              <w:rPr>
                <w:rFonts w:hint="default" w:ascii="Times New Roman" w:hAnsi="Times New Roman" w:cs="Times New Roman"/>
                <w:bCs/>
                <w:color w:val="000000"/>
                <w:sz w:val="24"/>
                <w:u w:val="none"/>
              </w:rPr>
              <w:t xml:space="preserve"> → Na</w:t>
            </w:r>
            <w:r>
              <w:rPr>
                <w:rFonts w:hint="default" w:ascii="Times New Roman" w:hAnsi="Times New Roman" w:cs="Times New Roman"/>
                <w:bCs/>
                <w:color w:val="000000"/>
                <w:sz w:val="24"/>
                <w:u w:val="none"/>
                <w:vertAlign w:val="subscript"/>
              </w:rPr>
              <w:t>2</w:t>
            </w:r>
            <w:r>
              <w:rPr>
                <w:rFonts w:hint="default" w:ascii="Times New Roman" w:hAnsi="Times New Roman" w:cs="Times New Roman"/>
                <w:bCs/>
                <w:color w:val="000000"/>
                <w:sz w:val="24"/>
                <w:u w:val="none"/>
              </w:rPr>
              <w:t>SO</w:t>
            </w:r>
            <w:r>
              <w:rPr>
                <w:rFonts w:hint="default" w:ascii="Times New Roman" w:hAnsi="Times New Roman" w:cs="Times New Roman"/>
                <w:bCs/>
                <w:color w:val="000000"/>
                <w:sz w:val="24"/>
                <w:u w:val="none"/>
                <w:vertAlign w:val="subscript"/>
              </w:rPr>
              <w:t>3</w:t>
            </w:r>
            <w:r>
              <w:rPr>
                <w:rFonts w:hint="default" w:ascii="Times New Roman" w:hAnsi="Times New Roman" w:cs="Times New Roman"/>
                <w:bCs/>
                <w:color w:val="000000"/>
                <w:sz w:val="24"/>
                <w:u w:val="none"/>
              </w:rPr>
              <w:t xml:space="preserve"> + CO</w:t>
            </w:r>
            <w:r>
              <w:rPr>
                <w:rFonts w:hint="default" w:ascii="Times New Roman" w:hAnsi="Times New Roman" w:cs="Times New Roman"/>
                <w:bCs/>
                <w:color w:val="000000"/>
                <w:sz w:val="24"/>
                <w:u w:val="none"/>
                <w:vertAlign w:val="subscript"/>
              </w:rPr>
              <w:t>2</w:t>
            </w:r>
            <w:r>
              <w:rPr>
                <w:rFonts w:hint="default" w:ascii="Times New Roman" w:hAnsi="Times New Roman" w:cs="Times New Roman"/>
                <w:bCs/>
                <w:color w:val="000000"/>
                <w:sz w:val="24"/>
                <w:u w:val="none"/>
              </w:rPr>
              <w:t>↑（1）</w:t>
            </w:r>
          </w:p>
          <w:p>
            <w:pPr>
              <w:spacing w:line="360" w:lineRule="auto"/>
              <w:ind w:firstLine="480" w:firstLineChars="200"/>
              <w:jc w:val="center"/>
              <w:rPr>
                <w:rFonts w:hint="default" w:ascii="Times New Roman" w:hAnsi="Times New Roman" w:cs="Times New Roman"/>
                <w:bCs/>
                <w:color w:val="000000"/>
                <w:sz w:val="24"/>
                <w:u w:val="none"/>
              </w:rPr>
            </w:pPr>
            <w:r>
              <w:rPr>
                <w:rFonts w:hint="default" w:ascii="Times New Roman" w:hAnsi="Times New Roman" w:cs="Times New Roman"/>
                <w:bCs/>
                <w:color w:val="000000"/>
                <w:sz w:val="24"/>
                <w:u w:val="none"/>
              </w:rPr>
              <w:t>2NaOH + SO</w:t>
            </w:r>
            <w:r>
              <w:rPr>
                <w:rFonts w:hint="default" w:ascii="Times New Roman" w:hAnsi="Times New Roman" w:cs="Times New Roman"/>
                <w:bCs/>
                <w:color w:val="000000"/>
                <w:sz w:val="24"/>
                <w:u w:val="none"/>
                <w:vertAlign w:val="subscript"/>
              </w:rPr>
              <w:t>2</w:t>
            </w:r>
            <w:r>
              <w:rPr>
                <w:rFonts w:hint="default" w:ascii="Times New Roman" w:hAnsi="Times New Roman" w:cs="Times New Roman"/>
                <w:bCs/>
                <w:color w:val="000000"/>
                <w:sz w:val="24"/>
                <w:u w:val="none"/>
              </w:rPr>
              <w:t xml:space="preserve"> → Na</w:t>
            </w:r>
            <w:r>
              <w:rPr>
                <w:rFonts w:hint="default" w:ascii="Times New Roman" w:hAnsi="Times New Roman" w:cs="Times New Roman"/>
                <w:bCs/>
                <w:color w:val="000000"/>
                <w:sz w:val="24"/>
                <w:u w:val="none"/>
                <w:vertAlign w:val="subscript"/>
              </w:rPr>
              <w:t>2</w:t>
            </w:r>
            <w:r>
              <w:rPr>
                <w:rFonts w:hint="default" w:ascii="Times New Roman" w:hAnsi="Times New Roman" w:cs="Times New Roman"/>
                <w:bCs/>
                <w:color w:val="000000"/>
                <w:sz w:val="24"/>
                <w:u w:val="none"/>
              </w:rPr>
              <w:t>SO</w:t>
            </w:r>
            <w:r>
              <w:rPr>
                <w:rFonts w:hint="default" w:ascii="Times New Roman" w:hAnsi="Times New Roman" w:cs="Times New Roman"/>
                <w:bCs/>
                <w:color w:val="000000"/>
                <w:sz w:val="24"/>
                <w:u w:val="none"/>
                <w:vertAlign w:val="subscript"/>
              </w:rPr>
              <w:t>3</w:t>
            </w:r>
            <w:r>
              <w:rPr>
                <w:rFonts w:hint="default" w:ascii="Times New Roman" w:hAnsi="Times New Roman" w:cs="Times New Roman"/>
                <w:bCs/>
                <w:color w:val="000000"/>
                <w:sz w:val="24"/>
                <w:u w:val="none"/>
              </w:rPr>
              <w:t xml:space="preserve"> + H</w:t>
            </w:r>
            <w:r>
              <w:rPr>
                <w:rFonts w:hint="default" w:ascii="Times New Roman" w:hAnsi="Times New Roman" w:cs="Times New Roman"/>
                <w:bCs/>
                <w:color w:val="000000"/>
                <w:sz w:val="24"/>
                <w:u w:val="none"/>
                <w:vertAlign w:val="subscript"/>
              </w:rPr>
              <w:t>2</w:t>
            </w:r>
            <w:r>
              <w:rPr>
                <w:rFonts w:hint="default" w:ascii="Times New Roman" w:hAnsi="Times New Roman" w:cs="Times New Roman"/>
                <w:bCs/>
                <w:color w:val="000000"/>
                <w:sz w:val="24"/>
                <w:u w:val="none"/>
              </w:rPr>
              <w:t>O （2）</w:t>
            </w:r>
          </w:p>
          <w:p>
            <w:pPr>
              <w:spacing w:line="360" w:lineRule="auto"/>
              <w:ind w:firstLine="480" w:firstLineChars="200"/>
              <w:jc w:val="center"/>
              <w:rPr>
                <w:rFonts w:hint="default" w:ascii="Times New Roman" w:hAnsi="Times New Roman" w:cs="Times New Roman"/>
                <w:bCs/>
                <w:color w:val="000000"/>
                <w:sz w:val="24"/>
                <w:u w:val="none"/>
              </w:rPr>
            </w:pPr>
            <w:r>
              <w:rPr>
                <w:rFonts w:hint="default" w:ascii="Times New Roman" w:hAnsi="Times New Roman" w:cs="Times New Roman"/>
                <w:bCs/>
                <w:color w:val="000000"/>
                <w:sz w:val="24"/>
                <w:u w:val="none"/>
              </w:rPr>
              <w:t>Na</w:t>
            </w:r>
            <w:r>
              <w:rPr>
                <w:rFonts w:hint="default" w:ascii="Times New Roman" w:hAnsi="Times New Roman" w:cs="Times New Roman"/>
                <w:bCs/>
                <w:color w:val="000000"/>
                <w:sz w:val="24"/>
                <w:u w:val="none"/>
                <w:vertAlign w:val="subscript"/>
              </w:rPr>
              <w:t>2</w:t>
            </w:r>
            <w:r>
              <w:rPr>
                <w:rFonts w:hint="default" w:ascii="Times New Roman" w:hAnsi="Times New Roman" w:cs="Times New Roman"/>
                <w:bCs/>
                <w:color w:val="000000"/>
                <w:sz w:val="24"/>
                <w:u w:val="none"/>
              </w:rPr>
              <w:t>SO</w:t>
            </w:r>
            <w:r>
              <w:rPr>
                <w:rFonts w:hint="default" w:ascii="Times New Roman" w:hAnsi="Times New Roman" w:cs="Times New Roman"/>
                <w:bCs/>
                <w:color w:val="000000"/>
                <w:sz w:val="24"/>
                <w:u w:val="none"/>
                <w:vertAlign w:val="subscript"/>
              </w:rPr>
              <w:t>3</w:t>
            </w:r>
            <w:r>
              <w:rPr>
                <w:rFonts w:hint="default" w:ascii="Times New Roman" w:hAnsi="Times New Roman" w:cs="Times New Roman"/>
                <w:bCs/>
                <w:color w:val="000000"/>
                <w:sz w:val="24"/>
                <w:u w:val="none"/>
              </w:rPr>
              <w:t>+ SO</w:t>
            </w:r>
            <w:r>
              <w:rPr>
                <w:rFonts w:hint="default" w:ascii="Times New Roman" w:hAnsi="Times New Roman" w:cs="Times New Roman"/>
                <w:bCs/>
                <w:color w:val="000000"/>
                <w:sz w:val="24"/>
                <w:u w:val="none"/>
                <w:vertAlign w:val="subscript"/>
              </w:rPr>
              <w:t>2</w:t>
            </w:r>
            <w:r>
              <w:rPr>
                <w:rFonts w:hint="default" w:ascii="Times New Roman" w:hAnsi="Times New Roman" w:cs="Times New Roman"/>
                <w:bCs/>
                <w:color w:val="000000"/>
                <w:sz w:val="24"/>
                <w:u w:val="none"/>
              </w:rPr>
              <w:t xml:space="preserve"> + H</w:t>
            </w:r>
            <w:r>
              <w:rPr>
                <w:rFonts w:hint="default" w:ascii="Times New Roman" w:hAnsi="Times New Roman" w:cs="Times New Roman"/>
                <w:bCs/>
                <w:color w:val="000000"/>
                <w:sz w:val="24"/>
                <w:u w:val="none"/>
                <w:vertAlign w:val="subscript"/>
              </w:rPr>
              <w:t>2</w:t>
            </w:r>
            <w:r>
              <w:rPr>
                <w:rFonts w:hint="default" w:ascii="Times New Roman" w:hAnsi="Times New Roman" w:cs="Times New Roman"/>
                <w:bCs/>
                <w:color w:val="000000"/>
                <w:sz w:val="24"/>
                <w:u w:val="none"/>
              </w:rPr>
              <w:t>O → 2NaHSO</w:t>
            </w:r>
            <w:r>
              <w:rPr>
                <w:rFonts w:hint="default" w:ascii="Times New Roman" w:hAnsi="Times New Roman" w:cs="Times New Roman"/>
                <w:bCs/>
                <w:color w:val="000000"/>
                <w:sz w:val="24"/>
                <w:u w:val="none"/>
                <w:vertAlign w:val="subscript"/>
              </w:rPr>
              <w:t>3</w:t>
            </w:r>
            <w:r>
              <w:rPr>
                <w:rFonts w:hint="default" w:ascii="Times New Roman" w:hAnsi="Times New Roman" w:cs="Times New Roman"/>
                <w:bCs/>
                <w:color w:val="000000"/>
                <w:sz w:val="24"/>
                <w:u w:val="none"/>
              </w:rPr>
              <w:t xml:space="preserve"> （3）</w:t>
            </w:r>
          </w:p>
          <w:p>
            <w:pPr>
              <w:spacing w:line="360" w:lineRule="auto"/>
              <w:ind w:firstLine="480" w:firstLineChars="200"/>
              <w:rPr>
                <w:rFonts w:hint="default" w:ascii="Times New Roman" w:hAnsi="Times New Roman" w:cs="Times New Roman"/>
                <w:bCs/>
                <w:color w:val="000000"/>
                <w:sz w:val="24"/>
                <w:u w:val="none"/>
              </w:rPr>
            </w:pPr>
            <w:r>
              <w:rPr>
                <w:rFonts w:hint="default" w:ascii="Times New Roman" w:hAnsi="Times New Roman" w:cs="Times New Roman"/>
                <w:bCs/>
                <w:color w:val="000000"/>
                <w:sz w:val="24"/>
                <w:u w:val="none"/>
              </w:rPr>
              <w:t xml:space="preserve">B、氧化过程（副反应） </w:t>
            </w:r>
          </w:p>
          <w:p>
            <w:pPr>
              <w:spacing w:line="360" w:lineRule="auto"/>
              <w:ind w:firstLine="480" w:firstLineChars="200"/>
              <w:jc w:val="center"/>
              <w:rPr>
                <w:rFonts w:hint="default" w:ascii="Times New Roman" w:hAnsi="Times New Roman" w:cs="Times New Roman"/>
                <w:bCs/>
                <w:color w:val="000000"/>
                <w:sz w:val="24"/>
                <w:u w:val="none"/>
              </w:rPr>
            </w:pPr>
            <w:r>
              <w:rPr>
                <w:rFonts w:hint="default" w:ascii="Times New Roman" w:hAnsi="Times New Roman" w:cs="Times New Roman"/>
                <w:bCs/>
                <w:color w:val="000000"/>
                <w:sz w:val="24"/>
                <w:u w:val="none"/>
              </w:rPr>
              <w:t>Na</w:t>
            </w:r>
            <w:r>
              <w:rPr>
                <w:rFonts w:hint="default" w:ascii="Times New Roman" w:hAnsi="Times New Roman" w:cs="Times New Roman"/>
                <w:bCs/>
                <w:color w:val="000000"/>
                <w:sz w:val="24"/>
                <w:u w:val="none"/>
                <w:vertAlign w:val="subscript"/>
              </w:rPr>
              <w:t>2</w:t>
            </w:r>
            <w:r>
              <w:rPr>
                <w:rFonts w:hint="default" w:ascii="Times New Roman" w:hAnsi="Times New Roman" w:cs="Times New Roman"/>
                <w:bCs/>
                <w:color w:val="000000"/>
                <w:sz w:val="24"/>
                <w:u w:val="none"/>
              </w:rPr>
              <w:t>SO</w:t>
            </w:r>
            <w:r>
              <w:rPr>
                <w:rFonts w:hint="default" w:ascii="Times New Roman" w:hAnsi="Times New Roman" w:cs="Times New Roman"/>
                <w:bCs/>
                <w:color w:val="000000"/>
                <w:sz w:val="24"/>
                <w:u w:val="none"/>
                <w:vertAlign w:val="subscript"/>
              </w:rPr>
              <w:t>3</w:t>
            </w:r>
            <w:r>
              <w:rPr>
                <w:rFonts w:hint="default" w:ascii="Times New Roman" w:hAnsi="Times New Roman" w:cs="Times New Roman"/>
                <w:bCs/>
                <w:color w:val="000000"/>
                <w:sz w:val="24"/>
                <w:u w:val="none"/>
              </w:rPr>
              <w:t xml:space="preserve"> + 1/2O</w:t>
            </w:r>
            <w:r>
              <w:rPr>
                <w:rFonts w:hint="default" w:ascii="Times New Roman" w:hAnsi="Times New Roman" w:cs="Times New Roman"/>
                <w:bCs/>
                <w:color w:val="000000"/>
                <w:sz w:val="24"/>
                <w:u w:val="none"/>
                <w:vertAlign w:val="subscript"/>
              </w:rPr>
              <w:t>2</w:t>
            </w:r>
            <w:r>
              <w:rPr>
                <w:rFonts w:hint="default" w:ascii="Times New Roman" w:hAnsi="Times New Roman" w:cs="Times New Roman"/>
                <w:bCs/>
                <w:color w:val="000000"/>
                <w:sz w:val="24"/>
                <w:u w:val="none"/>
              </w:rPr>
              <w:t xml:space="preserve"> → Na</w:t>
            </w:r>
            <w:r>
              <w:rPr>
                <w:rFonts w:hint="default" w:ascii="Times New Roman" w:hAnsi="Times New Roman" w:cs="Times New Roman"/>
                <w:bCs/>
                <w:color w:val="000000"/>
                <w:sz w:val="24"/>
                <w:u w:val="none"/>
                <w:vertAlign w:val="subscript"/>
              </w:rPr>
              <w:t>2</w:t>
            </w:r>
            <w:r>
              <w:rPr>
                <w:rFonts w:hint="default" w:ascii="Times New Roman" w:hAnsi="Times New Roman" w:cs="Times New Roman"/>
                <w:bCs/>
                <w:color w:val="000000"/>
                <w:sz w:val="24"/>
                <w:u w:val="none"/>
              </w:rPr>
              <w:t>SO</w:t>
            </w:r>
            <w:r>
              <w:rPr>
                <w:rFonts w:hint="default" w:ascii="Times New Roman" w:hAnsi="Times New Roman" w:cs="Times New Roman"/>
                <w:bCs/>
                <w:color w:val="000000"/>
                <w:sz w:val="24"/>
                <w:u w:val="none"/>
                <w:vertAlign w:val="subscript"/>
              </w:rPr>
              <w:t>4</w:t>
            </w:r>
            <w:r>
              <w:rPr>
                <w:rFonts w:hint="default" w:ascii="Times New Roman" w:hAnsi="Times New Roman" w:cs="Times New Roman"/>
                <w:bCs/>
                <w:color w:val="000000"/>
                <w:sz w:val="24"/>
                <w:u w:val="none"/>
              </w:rPr>
              <w:t xml:space="preserve"> （4）</w:t>
            </w:r>
          </w:p>
          <w:p>
            <w:pPr>
              <w:spacing w:line="360" w:lineRule="auto"/>
              <w:ind w:firstLine="480" w:firstLineChars="200"/>
              <w:jc w:val="center"/>
              <w:rPr>
                <w:rFonts w:hint="default" w:ascii="Times New Roman" w:hAnsi="Times New Roman" w:cs="Times New Roman"/>
                <w:bCs/>
                <w:color w:val="000000"/>
                <w:sz w:val="24"/>
                <w:u w:val="none"/>
              </w:rPr>
            </w:pPr>
            <w:r>
              <w:rPr>
                <w:rFonts w:hint="default" w:ascii="Times New Roman" w:hAnsi="Times New Roman" w:cs="Times New Roman"/>
                <w:bCs/>
                <w:color w:val="000000"/>
                <w:sz w:val="24"/>
                <w:u w:val="none"/>
              </w:rPr>
              <w:t>NaHSO</w:t>
            </w:r>
            <w:r>
              <w:rPr>
                <w:rFonts w:hint="default" w:ascii="Times New Roman" w:hAnsi="Times New Roman" w:cs="Times New Roman"/>
                <w:bCs/>
                <w:color w:val="000000"/>
                <w:sz w:val="24"/>
                <w:u w:val="none"/>
                <w:vertAlign w:val="subscript"/>
              </w:rPr>
              <w:t>3</w:t>
            </w:r>
            <w:r>
              <w:rPr>
                <w:rFonts w:hint="default" w:ascii="Times New Roman" w:hAnsi="Times New Roman" w:cs="Times New Roman"/>
                <w:bCs/>
                <w:color w:val="000000"/>
                <w:sz w:val="24"/>
                <w:u w:val="none"/>
              </w:rPr>
              <w:t xml:space="preserve"> + 1/2O</w:t>
            </w:r>
            <w:r>
              <w:rPr>
                <w:rFonts w:hint="default" w:ascii="Times New Roman" w:hAnsi="Times New Roman" w:cs="Times New Roman"/>
                <w:bCs/>
                <w:color w:val="000000"/>
                <w:sz w:val="24"/>
                <w:u w:val="none"/>
                <w:vertAlign w:val="subscript"/>
              </w:rPr>
              <w:t>2</w:t>
            </w:r>
            <w:r>
              <w:rPr>
                <w:rFonts w:hint="default" w:ascii="Times New Roman" w:hAnsi="Times New Roman" w:cs="Times New Roman"/>
                <w:bCs/>
                <w:color w:val="000000"/>
                <w:sz w:val="24"/>
                <w:u w:val="none"/>
              </w:rPr>
              <w:t xml:space="preserve"> → NaHSO</w:t>
            </w:r>
            <w:r>
              <w:rPr>
                <w:rFonts w:hint="default" w:ascii="Times New Roman" w:hAnsi="Times New Roman" w:cs="Times New Roman"/>
                <w:bCs/>
                <w:color w:val="000000"/>
                <w:sz w:val="24"/>
                <w:u w:val="none"/>
                <w:vertAlign w:val="subscript"/>
              </w:rPr>
              <w:t>4</w:t>
            </w:r>
            <w:r>
              <w:rPr>
                <w:rFonts w:hint="default" w:ascii="Times New Roman" w:hAnsi="Times New Roman" w:cs="Times New Roman"/>
                <w:bCs/>
                <w:color w:val="000000"/>
                <w:sz w:val="24"/>
                <w:u w:val="none"/>
              </w:rPr>
              <w:t xml:space="preserve"> （5）</w:t>
            </w:r>
          </w:p>
          <w:p>
            <w:pPr>
              <w:spacing w:line="360" w:lineRule="auto"/>
              <w:ind w:firstLine="480" w:firstLineChars="200"/>
              <w:rPr>
                <w:rFonts w:hint="default" w:ascii="Times New Roman" w:hAnsi="Times New Roman" w:cs="Times New Roman"/>
                <w:bCs/>
                <w:color w:val="000000"/>
                <w:sz w:val="24"/>
                <w:u w:val="none"/>
              </w:rPr>
            </w:pPr>
            <w:r>
              <w:rPr>
                <w:rFonts w:hint="default" w:ascii="Times New Roman" w:hAnsi="Times New Roman" w:cs="Times New Roman"/>
                <w:bCs/>
                <w:color w:val="000000"/>
                <w:sz w:val="24"/>
                <w:u w:val="none"/>
              </w:rPr>
              <w:t>C、再生过程</w:t>
            </w:r>
          </w:p>
          <w:p>
            <w:pPr>
              <w:spacing w:line="360" w:lineRule="auto"/>
              <w:ind w:firstLine="480" w:firstLineChars="200"/>
              <w:jc w:val="center"/>
              <w:rPr>
                <w:rFonts w:hint="eastAsia" w:ascii="Times New Roman" w:hAnsi="Times New Roman" w:eastAsia="宋体" w:cs="Times New Roman"/>
                <w:bCs/>
                <w:color w:val="000000"/>
                <w:sz w:val="24"/>
                <w:highlight w:val="none"/>
                <w:u w:val="none"/>
                <w:lang w:val="en-US" w:eastAsia="zh-CN"/>
              </w:rPr>
            </w:pPr>
            <w:r>
              <w:rPr>
                <w:rFonts w:hint="eastAsia" w:ascii="Times New Roman" w:hAnsi="Times New Roman" w:cs="Times New Roman"/>
                <w:bCs/>
                <w:color w:val="000000"/>
                <w:sz w:val="24"/>
                <w:highlight w:val="none"/>
                <w:u w:val="none"/>
                <w:lang w:val="en-US" w:eastAsia="zh-CN"/>
              </w:rPr>
              <w:t>CaO+H</w:t>
            </w:r>
            <w:r>
              <w:rPr>
                <w:rFonts w:hint="eastAsia" w:ascii="Times New Roman" w:hAnsi="Times New Roman" w:cs="Times New Roman"/>
                <w:bCs/>
                <w:color w:val="000000"/>
                <w:sz w:val="24"/>
                <w:highlight w:val="none"/>
                <w:u w:val="none"/>
                <w:vertAlign w:val="subscript"/>
                <w:lang w:val="en-US" w:eastAsia="zh-CN"/>
              </w:rPr>
              <w:t>2</w:t>
            </w:r>
            <w:r>
              <w:rPr>
                <w:rFonts w:hint="eastAsia" w:ascii="Times New Roman" w:hAnsi="Times New Roman" w:cs="Times New Roman"/>
                <w:bCs/>
                <w:color w:val="000000"/>
                <w:sz w:val="24"/>
                <w:highlight w:val="none"/>
                <w:u w:val="none"/>
                <w:lang w:val="en-US" w:eastAsia="zh-CN"/>
              </w:rPr>
              <w:t>O</w:t>
            </w:r>
            <w:r>
              <w:rPr>
                <w:rFonts w:hint="default" w:ascii="Times New Roman" w:hAnsi="Times New Roman" w:cs="Times New Roman"/>
                <w:bCs/>
                <w:color w:val="000000"/>
                <w:sz w:val="24"/>
                <w:highlight w:val="none"/>
                <w:u w:val="none"/>
              </w:rPr>
              <w:t>→ Ca(OH)</w:t>
            </w:r>
            <w:r>
              <w:rPr>
                <w:rFonts w:hint="default" w:ascii="Times New Roman" w:hAnsi="Times New Roman" w:cs="Times New Roman"/>
                <w:bCs/>
                <w:color w:val="000000"/>
                <w:sz w:val="24"/>
                <w:highlight w:val="none"/>
                <w:u w:val="none"/>
                <w:vertAlign w:val="subscript"/>
              </w:rPr>
              <w:t>2</w:t>
            </w:r>
            <w:r>
              <w:rPr>
                <w:rFonts w:hint="default" w:ascii="Times New Roman" w:hAnsi="Times New Roman" w:cs="Times New Roman"/>
                <w:bCs/>
                <w:color w:val="000000"/>
                <w:sz w:val="24"/>
                <w:highlight w:val="none"/>
                <w:u w:val="none"/>
              </w:rPr>
              <w:t xml:space="preserve"> （6）</w:t>
            </w:r>
          </w:p>
          <w:p>
            <w:pPr>
              <w:spacing w:line="360" w:lineRule="auto"/>
              <w:ind w:firstLine="480" w:firstLineChars="200"/>
              <w:jc w:val="center"/>
              <w:rPr>
                <w:rFonts w:hint="default" w:ascii="Times New Roman" w:hAnsi="Times New Roman" w:cs="Times New Roman"/>
                <w:bCs/>
                <w:color w:val="000000"/>
                <w:sz w:val="24"/>
                <w:u w:val="none"/>
              </w:rPr>
            </w:pPr>
            <w:r>
              <w:rPr>
                <w:rFonts w:hint="default" w:ascii="Times New Roman" w:hAnsi="Times New Roman" w:cs="Times New Roman"/>
                <w:bCs/>
                <w:color w:val="000000"/>
                <w:sz w:val="24"/>
                <w:u w:val="none"/>
              </w:rPr>
              <w:t>Ca(OH)</w:t>
            </w:r>
            <w:r>
              <w:rPr>
                <w:rFonts w:hint="default" w:ascii="Times New Roman" w:hAnsi="Times New Roman" w:cs="Times New Roman"/>
                <w:bCs/>
                <w:color w:val="000000"/>
                <w:sz w:val="24"/>
                <w:u w:val="none"/>
                <w:vertAlign w:val="subscript"/>
              </w:rPr>
              <w:t>2</w:t>
            </w:r>
            <w:r>
              <w:rPr>
                <w:rFonts w:hint="default" w:ascii="Times New Roman" w:hAnsi="Times New Roman" w:cs="Times New Roman"/>
                <w:bCs/>
                <w:color w:val="000000"/>
                <w:sz w:val="24"/>
                <w:u w:val="none"/>
              </w:rPr>
              <w:t xml:space="preserve"> + Na</w:t>
            </w:r>
            <w:r>
              <w:rPr>
                <w:rFonts w:hint="default" w:ascii="Times New Roman" w:hAnsi="Times New Roman" w:cs="Times New Roman"/>
                <w:bCs/>
                <w:color w:val="000000"/>
                <w:sz w:val="24"/>
                <w:u w:val="none"/>
                <w:vertAlign w:val="subscript"/>
              </w:rPr>
              <w:t>2</w:t>
            </w:r>
            <w:r>
              <w:rPr>
                <w:rFonts w:hint="default" w:ascii="Times New Roman" w:hAnsi="Times New Roman" w:cs="Times New Roman"/>
                <w:bCs/>
                <w:color w:val="000000"/>
                <w:sz w:val="24"/>
                <w:u w:val="none"/>
              </w:rPr>
              <w:t>SO</w:t>
            </w:r>
            <w:r>
              <w:rPr>
                <w:rFonts w:hint="default" w:ascii="Times New Roman" w:hAnsi="Times New Roman" w:cs="Times New Roman"/>
                <w:bCs/>
                <w:color w:val="000000"/>
                <w:sz w:val="24"/>
                <w:u w:val="none"/>
                <w:vertAlign w:val="subscript"/>
              </w:rPr>
              <w:t>3</w:t>
            </w:r>
            <w:r>
              <w:rPr>
                <w:rFonts w:hint="default" w:ascii="Times New Roman" w:hAnsi="Times New Roman" w:cs="Times New Roman"/>
                <w:bCs/>
                <w:color w:val="000000"/>
                <w:sz w:val="24"/>
                <w:u w:val="none"/>
              </w:rPr>
              <w:t xml:space="preserve"> → 2 NaOH + CaSO</w:t>
            </w:r>
            <w:r>
              <w:rPr>
                <w:rFonts w:hint="default" w:ascii="Times New Roman" w:hAnsi="Times New Roman" w:cs="Times New Roman"/>
                <w:bCs/>
                <w:color w:val="000000"/>
                <w:sz w:val="24"/>
                <w:u w:val="none"/>
                <w:vertAlign w:val="subscript"/>
              </w:rPr>
              <w:t>3</w:t>
            </w:r>
            <w:r>
              <w:rPr>
                <w:rFonts w:hint="default" w:ascii="Times New Roman" w:hAnsi="Times New Roman" w:cs="Times New Roman"/>
                <w:bCs/>
                <w:color w:val="000000"/>
                <w:sz w:val="24"/>
                <w:u w:val="none"/>
              </w:rPr>
              <w:t xml:space="preserve"> （</w:t>
            </w:r>
            <w:r>
              <w:rPr>
                <w:rFonts w:hint="eastAsia" w:ascii="Times New Roman" w:hAnsi="Times New Roman" w:cs="Times New Roman"/>
                <w:bCs/>
                <w:color w:val="000000"/>
                <w:sz w:val="24"/>
                <w:u w:val="none"/>
                <w:lang w:val="en-US" w:eastAsia="zh-CN"/>
              </w:rPr>
              <w:t>7</w:t>
            </w:r>
            <w:r>
              <w:rPr>
                <w:rFonts w:hint="default" w:ascii="Times New Roman" w:hAnsi="Times New Roman" w:cs="Times New Roman"/>
                <w:bCs/>
                <w:color w:val="000000"/>
                <w:sz w:val="24"/>
                <w:u w:val="none"/>
              </w:rPr>
              <w:t>）</w:t>
            </w:r>
          </w:p>
          <w:p>
            <w:pPr>
              <w:spacing w:line="360" w:lineRule="auto"/>
              <w:ind w:firstLine="480" w:firstLineChars="200"/>
              <w:jc w:val="center"/>
              <w:rPr>
                <w:rFonts w:hint="default" w:ascii="Times New Roman" w:hAnsi="Times New Roman" w:cs="Times New Roman"/>
                <w:bCs/>
                <w:color w:val="000000"/>
                <w:sz w:val="24"/>
                <w:u w:val="none"/>
              </w:rPr>
            </w:pPr>
            <w:r>
              <w:rPr>
                <w:rFonts w:hint="default" w:ascii="Times New Roman" w:hAnsi="Times New Roman" w:cs="Times New Roman"/>
                <w:bCs/>
                <w:color w:val="000000"/>
                <w:sz w:val="24"/>
                <w:u w:val="none"/>
              </w:rPr>
              <w:t>Ca(OH)</w:t>
            </w:r>
            <w:r>
              <w:rPr>
                <w:rFonts w:hint="default" w:ascii="Times New Roman" w:hAnsi="Times New Roman" w:cs="Times New Roman"/>
                <w:bCs/>
                <w:color w:val="000000"/>
                <w:sz w:val="24"/>
                <w:u w:val="none"/>
                <w:vertAlign w:val="subscript"/>
              </w:rPr>
              <w:t xml:space="preserve">2 </w:t>
            </w:r>
            <w:r>
              <w:rPr>
                <w:rFonts w:hint="default" w:ascii="Times New Roman" w:hAnsi="Times New Roman" w:cs="Times New Roman"/>
                <w:bCs/>
                <w:color w:val="000000"/>
                <w:sz w:val="24"/>
                <w:u w:val="none"/>
              </w:rPr>
              <w:t>+ 2NaHSO</w:t>
            </w:r>
            <w:r>
              <w:rPr>
                <w:rFonts w:hint="default" w:ascii="Times New Roman" w:hAnsi="Times New Roman" w:cs="Times New Roman"/>
                <w:bCs/>
                <w:color w:val="000000"/>
                <w:sz w:val="24"/>
                <w:u w:val="none"/>
                <w:vertAlign w:val="subscript"/>
              </w:rPr>
              <w:t>3</w:t>
            </w:r>
            <w:r>
              <w:rPr>
                <w:rFonts w:hint="default" w:ascii="Times New Roman" w:hAnsi="Times New Roman" w:cs="Times New Roman"/>
                <w:bCs/>
                <w:color w:val="000000"/>
                <w:sz w:val="24"/>
                <w:u w:val="none"/>
              </w:rPr>
              <w:t xml:space="preserve"> → Na</w:t>
            </w:r>
            <w:r>
              <w:rPr>
                <w:rFonts w:hint="default" w:ascii="Times New Roman" w:hAnsi="Times New Roman" w:cs="Times New Roman"/>
                <w:bCs/>
                <w:color w:val="000000"/>
                <w:sz w:val="24"/>
                <w:u w:val="none"/>
                <w:vertAlign w:val="subscript"/>
              </w:rPr>
              <w:t>2</w:t>
            </w:r>
            <w:r>
              <w:rPr>
                <w:rFonts w:hint="default" w:ascii="Times New Roman" w:hAnsi="Times New Roman" w:cs="Times New Roman"/>
                <w:bCs/>
                <w:color w:val="000000"/>
                <w:sz w:val="24"/>
                <w:u w:val="none"/>
              </w:rPr>
              <w:t>SO</w:t>
            </w:r>
            <w:r>
              <w:rPr>
                <w:rFonts w:hint="default" w:ascii="Times New Roman" w:hAnsi="Times New Roman" w:cs="Times New Roman"/>
                <w:bCs/>
                <w:color w:val="000000"/>
                <w:sz w:val="24"/>
                <w:u w:val="none"/>
                <w:vertAlign w:val="subscript"/>
              </w:rPr>
              <w:t>3</w:t>
            </w:r>
            <w:r>
              <w:rPr>
                <w:rFonts w:hint="default" w:ascii="Times New Roman" w:hAnsi="Times New Roman" w:cs="Times New Roman"/>
                <w:bCs/>
                <w:color w:val="000000"/>
                <w:sz w:val="24"/>
                <w:u w:val="none"/>
              </w:rPr>
              <w:t xml:space="preserve"> + CaSO</w:t>
            </w:r>
            <w:r>
              <w:rPr>
                <w:rFonts w:hint="default" w:ascii="Times New Roman" w:hAnsi="Times New Roman" w:cs="Times New Roman"/>
                <w:bCs/>
                <w:color w:val="000000"/>
                <w:sz w:val="24"/>
                <w:u w:val="none"/>
                <w:vertAlign w:val="subscript"/>
              </w:rPr>
              <w:t>3</w:t>
            </w:r>
            <w:r>
              <w:rPr>
                <w:rFonts w:hint="default" w:ascii="Times New Roman" w:hAnsi="Times New Roman" w:cs="Times New Roman"/>
                <w:bCs/>
                <w:color w:val="000000"/>
                <w:sz w:val="24"/>
                <w:u w:val="none"/>
              </w:rPr>
              <w:t>·1/2H</w:t>
            </w:r>
            <w:r>
              <w:rPr>
                <w:rFonts w:hint="default" w:ascii="Times New Roman" w:hAnsi="Times New Roman" w:cs="Times New Roman"/>
                <w:bCs/>
                <w:color w:val="000000"/>
                <w:sz w:val="24"/>
                <w:u w:val="none"/>
                <w:vertAlign w:val="subscript"/>
              </w:rPr>
              <w:t>2</w:t>
            </w:r>
            <w:r>
              <w:rPr>
                <w:rFonts w:hint="default" w:ascii="Times New Roman" w:hAnsi="Times New Roman" w:cs="Times New Roman"/>
                <w:bCs/>
                <w:color w:val="000000"/>
                <w:sz w:val="24"/>
                <w:u w:val="none"/>
              </w:rPr>
              <w:t>O +3/2H</w:t>
            </w:r>
            <w:r>
              <w:rPr>
                <w:rFonts w:hint="default" w:ascii="Times New Roman" w:hAnsi="Times New Roman" w:cs="Times New Roman"/>
                <w:bCs/>
                <w:color w:val="000000"/>
                <w:sz w:val="24"/>
                <w:u w:val="none"/>
                <w:vertAlign w:val="subscript"/>
              </w:rPr>
              <w:t>2</w:t>
            </w:r>
            <w:r>
              <w:rPr>
                <w:rFonts w:hint="default" w:ascii="Times New Roman" w:hAnsi="Times New Roman" w:cs="Times New Roman"/>
                <w:bCs/>
                <w:color w:val="000000"/>
                <w:sz w:val="24"/>
                <w:u w:val="none"/>
              </w:rPr>
              <w:t>O （</w:t>
            </w:r>
            <w:r>
              <w:rPr>
                <w:rFonts w:hint="eastAsia" w:ascii="Times New Roman" w:hAnsi="Times New Roman" w:cs="Times New Roman"/>
                <w:bCs/>
                <w:color w:val="000000"/>
                <w:sz w:val="24"/>
                <w:u w:val="none"/>
                <w:lang w:val="en-US" w:eastAsia="zh-CN"/>
              </w:rPr>
              <w:t>8</w:t>
            </w:r>
            <w:r>
              <w:rPr>
                <w:rFonts w:hint="default" w:ascii="Times New Roman" w:hAnsi="Times New Roman" w:cs="Times New Roman"/>
                <w:bCs/>
                <w:color w:val="000000"/>
                <w:sz w:val="24"/>
                <w:u w:val="none"/>
              </w:rPr>
              <w:t>）</w:t>
            </w:r>
          </w:p>
          <w:p>
            <w:pPr>
              <w:jc w:val="center"/>
              <w:rPr>
                <w:b/>
                <w:color w:val="000000"/>
                <w:szCs w:val="21"/>
                <w:u w:val="none"/>
              </w:rPr>
            </w:pPr>
            <w:r>
              <w:rPr>
                <w:b/>
                <w:color w:val="000000"/>
                <w:szCs w:val="21"/>
                <w:u w:val="none"/>
              </w:rPr>
              <w:t>表4-3   隧道窑烟气污染物产排情况一览表</w:t>
            </w:r>
          </w:p>
          <w:tbl>
            <w:tblPr>
              <w:tblStyle w:val="30"/>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861"/>
              <w:gridCol w:w="675"/>
              <w:gridCol w:w="660"/>
              <w:gridCol w:w="1230"/>
              <w:gridCol w:w="945"/>
              <w:gridCol w:w="615"/>
              <w:gridCol w:w="705"/>
              <w:gridCol w:w="585"/>
              <w:gridCol w:w="1095"/>
              <w:gridCol w:w="67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61" w:type="dxa"/>
                  <w:vMerge w:val="restart"/>
                  <w:noWrap w:val="0"/>
                  <w:vAlign w:val="center"/>
                </w:tcPr>
                <w:p>
                  <w:pPr>
                    <w:ind w:left="-31" w:leftChars="-15" w:right="-31" w:rightChars="-15"/>
                    <w:jc w:val="center"/>
                    <w:rPr>
                      <w:color w:val="000000"/>
                      <w:sz w:val="18"/>
                      <w:szCs w:val="18"/>
                      <w:u w:val="none"/>
                    </w:rPr>
                  </w:pPr>
                  <w:r>
                    <w:rPr>
                      <w:color w:val="000000"/>
                      <w:sz w:val="18"/>
                      <w:szCs w:val="18"/>
                      <w:u w:val="none"/>
                    </w:rPr>
                    <w:t>污染物</w:t>
                  </w:r>
                </w:p>
              </w:tc>
              <w:tc>
                <w:tcPr>
                  <w:tcW w:w="2565" w:type="dxa"/>
                  <w:gridSpan w:val="3"/>
                  <w:noWrap w:val="0"/>
                  <w:vAlign w:val="center"/>
                </w:tcPr>
                <w:p>
                  <w:pPr>
                    <w:ind w:left="-31" w:leftChars="-15" w:right="-31" w:rightChars="-15"/>
                    <w:jc w:val="center"/>
                    <w:rPr>
                      <w:color w:val="000000"/>
                      <w:sz w:val="18"/>
                      <w:szCs w:val="18"/>
                      <w:u w:val="none"/>
                    </w:rPr>
                  </w:pPr>
                  <w:r>
                    <w:rPr>
                      <w:color w:val="000000"/>
                      <w:sz w:val="18"/>
                      <w:szCs w:val="18"/>
                      <w:u w:val="none"/>
                    </w:rPr>
                    <w:t>产生情况</w:t>
                  </w:r>
                </w:p>
              </w:tc>
              <w:tc>
                <w:tcPr>
                  <w:tcW w:w="945" w:type="dxa"/>
                  <w:vMerge w:val="restart"/>
                  <w:noWrap w:val="0"/>
                  <w:vAlign w:val="center"/>
                </w:tcPr>
                <w:p>
                  <w:pPr>
                    <w:ind w:left="-31" w:leftChars="-15" w:right="-31" w:rightChars="-15"/>
                    <w:jc w:val="center"/>
                    <w:rPr>
                      <w:color w:val="000000"/>
                      <w:sz w:val="18"/>
                      <w:szCs w:val="18"/>
                      <w:u w:val="none"/>
                    </w:rPr>
                  </w:pPr>
                  <w:r>
                    <w:rPr>
                      <w:color w:val="000000"/>
                      <w:sz w:val="18"/>
                      <w:szCs w:val="18"/>
                      <w:u w:val="none"/>
                    </w:rPr>
                    <w:t>环保措施</w:t>
                  </w:r>
                </w:p>
              </w:tc>
              <w:tc>
                <w:tcPr>
                  <w:tcW w:w="615" w:type="dxa"/>
                  <w:vMerge w:val="restart"/>
                  <w:noWrap w:val="0"/>
                  <w:vAlign w:val="center"/>
                </w:tcPr>
                <w:p>
                  <w:pPr>
                    <w:ind w:left="-31" w:leftChars="-15" w:right="-31" w:rightChars="-15"/>
                    <w:jc w:val="center"/>
                    <w:rPr>
                      <w:color w:val="000000"/>
                      <w:sz w:val="18"/>
                      <w:szCs w:val="18"/>
                      <w:u w:val="none"/>
                    </w:rPr>
                  </w:pPr>
                  <w:r>
                    <w:rPr>
                      <w:color w:val="000000"/>
                      <w:sz w:val="18"/>
                      <w:szCs w:val="18"/>
                      <w:u w:val="none"/>
                    </w:rPr>
                    <w:t>处理效率%</w:t>
                  </w:r>
                </w:p>
              </w:tc>
              <w:tc>
                <w:tcPr>
                  <w:tcW w:w="2385" w:type="dxa"/>
                  <w:gridSpan w:val="3"/>
                  <w:noWrap w:val="0"/>
                  <w:vAlign w:val="center"/>
                </w:tcPr>
                <w:p>
                  <w:pPr>
                    <w:ind w:left="-31" w:leftChars="-15" w:right="-31" w:rightChars="-15"/>
                    <w:jc w:val="center"/>
                    <w:rPr>
                      <w:color w:val="000000"/>
                      <w:sz w:val="18"/>
                      <w:szCs w:val="18"/>
                      <w:u w:val="none"/>
                    </w:rPr>
                  </w:pPr>
                  <w:r>
                    <w:rPr>
                      <w:color w:val="000000"/>
                      <w:sz w:val="18"/>
                      <w:szCs w:val="18"/>
                      <w:u w:val="none"/>
                    </w:rPr>
                    <w:t>排放情况</w:t>
                  </w:r>
                </w:p>
              </w:tc>
              <w:tc>
                <w:tcPr>
                  <w:tcW w:w="675" w:type="dxa"/>
                  <w:vMerge w:val="restart"/>
                  <w:noWrap w:val="0"/>
                  <w:vAlign w:val="center"/>
                </w:tcPr>
                <w:p>
                  <w:pPr>
                    <w:ind w:left="-31" w:leftChars="-15" w:right="-31" w:rightChars="-15"/>
                    <w:jc w:val="center"/>
                    <w:rPr>
                      <w:color w:val="000000"/>
                      <w:sz w:val="18"/>
                      <w:szCs w:val="18"/>
                      <w:u w:val="none"/>
                    </w:rPr>
                  </w:pPr>
                  <w:r>
                    <w:rPr>
                      <w:color w:val="000000"/>
                      <w:sz w:val="18"/>
                      <w:szCs w:val="18"/>
                      <w:u w:val="none"/>
                    </w:rPr>
                    <w:t>排放标准</w:t>
                  </w:r>
                </w:p>
                <w:p>
                  <w:pPr>
                    <w:ind w:left="-31" w:leftChars="-15" w:right="-31" w:rightChars="-15"/>
                    <w:jc w:val="center"/>
                    <w:rPr>
                      <w:color w:val="000000"/>
                      <w:sz w:val="18"/>
                      <w:szCs w:val="18"/>
                      <w:u w:val="none"/>
                    </w:rPr>
                  </w:pPr>
                  <w:r>
                    <w:rPr>
                      <w:color w:val="000000"/>
                      <w:sz w:val="18"/>
                      <w:szCs w:val="18"/>
                      <w:u w:val="none"/>
                    </w:rPr>
                    <w:t>mg/m</w:t>
                  </w:r>
                  <w:r>
                    <w:rPr>
                      <w:color w:val="000000"/>
                      <w:sz w:val="18"/>
                      <w:szCs w:val="18"/>
                      <w:u w:val="none"/>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61" w:type="dxa"/>
                  <w:vMerge w:val="continue"/>
                  <w:noWrap w:val="0"/>
                  <w:vAlign w:val="center"/>
                </w:tcPr>
                <w:p>
                  <w:pPr>
                    <w:ind w:left="-31" w:leftChars="-15" w:right="-31" w:rightChars="-15"/>
                    <w:jc w:val="center"/>
                    <w:rPr>
                      <w:color w:val="000000"/>
                      <w:sz w:val="18"/>
                      <w:szCs w:val="18"/>
                      <w:u w:val="none"/>
                    </w:rPr>
                  </w:pPr>
                </w:p>
              </w:tc>
              <w:tc>
                <w:tcPr>
                  <w:tcW w:w="675" w:type="dxa"/>
                  <w:noWrap w:val="0"/>
                  <w:vAlign w:val="center"/>
                </w:tcPr>
                <w:p>
                  <w:pPr>
                    <w:ind w:left="-31" w:leftChars="-15" w:right="-31" w:rightChars="-15"/>
                    <w:jc w:val="center"/>
                    <w:rPr>
                      <w:color w:val="000000"/>
                      <w:sz w:val="18"/>
                      <w:szCs w:val="18"/>
                      <w:u w:val="none"/>
                    </w:rPr>
                  </w:pPr>
                  <w:r>
                    <w:rPr>
                      <w:color w:val="000000"/>
                      <w:sz w:val="18"/>
                      <w:szCs w:val="18"/>
                      <w:u w:val="none"/>
                    </w:rPr>
                    <w:t>浓度</w:t>
                  </w:r>
                </w:p>
                <w:p>
                  <w:pPr>
                    <w:ind w:left="-31" w:leftChars="-15" w:right="-31" w:rightChars="-15"/>
                    <w:jc w:val="center"/>
                    <w:rPr>
                      <w:bCs/>
                      <w:color w:val="000000"/>
                      <w:sz w:val="18"/>
                      <w:szCs w:val="18"/>
                      <w:u w:val="none"/>
                    </w:rPr>
                  </w:pPr>
                  <w:r>
                    <w:rPr>
                      <w:color w:val="000000"/>
                      <w:sz w:val="18"/>
                      <w:szCs w:val="18"/>
                      <w:u w:val="none"/>
                    </w:rPr>
                    <w:t>mg/m</w:t>
                  </w:r>
                  <w:r>
                    <w:rPr>
                      <w:color w:val="000000"/>
                      <w:sz w:val="18"/>
                      <w:szCs w:val="18"/>
                      <w:u w:val="none"/>
                      <w:vertAlign w:val="superscript"/>
                    </w:rPr>
                    <w:t>3</w:t>
                  </w:r>
                </w:p>
              </w:tc>
              <w:tc>
                <w:tcPr>
                  <w:tcW w:w="660" w:type="dxa"/>
                  <w:noWrap w:val="0"/>
                  <w:vAlign w:val="center"/>
                </w:tcPr>
                <w:p>
                  <w:pPr>
                    <w:ind w:left="-31" w:leftChars="-15" w:right="-31" w:rightChars="-15"/>
                    <w:jc w:val="center"/>
                    <w:rPr>
                      <w:sz w:val="18"/>
                      <w:szCs w:val="18"/>
                      <w:u w:val="none"/>
                    </w:rPr>
                  </w:pPr>
                  <w:r>
                    <w:rPr>
                      <w:sz w:val="18"/>
                      <w:szCs w:val="18"/>
                      <w:u w:val="none"/>
                    </w:rPr>
                    <w:t>速率</w:t>
                  </w:r>
                </w:p>
                <w:p>
                  <w:pPr>
                    <w:pStyle w:val="2"/>
                    <w:ind w:left="-31" w:leftChars="-15" w:right="-31" w:rightChars="-15"/>
                    <w:jc w:val="center"/>
                    <w:rPr>
                      <w:rFonts w:hint="default" w:ascii="Times New Roman" w:hAnsi="Times New Roman"/>
                      <w:sz w:val="18"/>
                      <w:szCs w:val="18"/>
                      <w:u w:val="none"/>
                    </w:rPr>
                  </w:pPr>
                  <w:r>
                    <w:rPr>
                      <w:rFonts w:hint="default" w:ascii="Times New Roman" w:hAnsi="Times New Roman"/>
                      <w:sz w:val="18"/>
                      <w:szCs w:val="18"/>
                      <w:u w:val="none"/>
                    </w:rPr>
                    <w:t>kg/h</w:t>
                  </w:r>
                </w:p>
              </w:tc>
              <w:tc>
                <w:tcPr>
                  <w:tcW w:w="1230" w:type="dxa"/>
                  <w:noWrap w:val="0"/>
                  <w:vAlign w:val="center"/>
                </w:tcPr>
                <w:p>
                  <w:pPr>
                    <w:ind w:left="-31" w:leftChars="-15" w:right="-31" w:rightChars="-15"/>
                    <w:jc w:val="center"/>
                    <w:rPr>
                      <w:sz w:val="18"/>
                      <w:szCs w:val="18"/>
                      <w:u w:val="none"/>
                    </w:rPr>
                  </w:pPr>
                  <w:r>
                    <w:rPr>
                      <w:sz w:val="18"/>
                      <w:szCs w:val="18"/>
                      <w:u w:val="none"/>
                    </w:rPr>
                    <w:t>量</w:t>
                  </w:r>
                </w:p>
                <w:p>
                  <w:pPr>
                    <w:pStyle w:val="2"/>
                    <w:ind w:left="-31" w:leftChars="-15" w:right="-31" w:rightChars="-15"/>
                    <w:jc w:val="center"/>
                    <w:rPr>
                      <w:rFonts w:hint="default" w:ascii="Times New Roman" w:hAnsi="Times New Roman"/>
                      <w:sz w:val="18"/>
                      <w:szCs w:val="18"/>
                      <w:u w:val="none"/>
                    </w:rPr>
                  </w:pPr>
                  <w:r>
                    <w:rPr>
                      <w:rFonts w:hint="default" w:ascii="Times New Roman" w:hAnsi="Times New Roman"/>
                      <w:sz w:val="18"/>
                      <w:szCs w:val="18"/>
                      <w:u w:val="none"/>
                    </w:rPr>
                    <w:t>t/a</w:t>
                  </w:r>
                </w:p>
              </w:tc>
              <w:tc>
                <w:tcPr>
                  <w:tcW w:w="945" w:type="dxa"/>
                  <w:vMerge w:val="continue"/>
                  <w:noWrap w:val="0"/>
                  <w:vAlign w:val="center"/>
                </w:tcPr>
                <w:p>
                  <w:pPr>
                    <w:ind w:left="-31" w:leftChars="-15" w:right="-31" w:rightChars="-15"/>
                    <w:jc w:val="center"/>
                    <w:rPr>
                      <w:bCs/>
                      <w:color w:val="000000"/>
                      <w:sz w:val="18"/>
                      <w:szCs w:val="18"/>
                      <w:u w:val="none"/>
                    </w:rPr>
                  </w:pPr>
                </w:p>
              </w:tc>
              <w:tc>
                <w:tcPr>
                  <w:tcW w:w="615" w:type="dxa"/>
                  <w:vMerge w:val="continue"/>
                  <w:noWrap w:val="0"/>
                  <w:vAlign w:val="center"/>
                </w:tcPr>
                <w:p>
                  <w:pPr>
                    <w:ind w:left="-31" w:leftChars="-15" w:right="-31" w:rightChars="-15"/>
                    <w:jc w:val="center"/>
                    <w:rPr>
                      <w:bCs/>
                      <w:color w:val="000000"/>
                      <w:sz w:val="18"/>
                      <w:szCs w:val="18"/>
                      <w:u w:val="none"/>
                    </w:rPr>
                  </w:pPr>
                </w:p>
              </w:tc>
              <w:tc>
                <w:tcPr>
                  <w:tcW w:w="705" w:type="dxa"/>
                  <w:noWrap w:val="0"/>
                  <w:vAlign w:val="center"/>
                </w:tcPr>
                <w:p>
                  <w:pPr>
                    <w:ind w:left="-31" w:leftChars="-15" w:right="-31" w:rightChars="-15"/>
                    <w:jc w:val="center"/>
                    <w:rPr>
                      <w:color w:val="000000"/>
                      <w:sz w:val="18"/>
                      <w:szCs w:val="18"/>
                      <w:u w:val="none"/>
                    </w:rPr>
                  </w:pPr>
                  <w:r>
                    <w:rPr>
                      <w:color w:val="000000"/>
                      <w:sz w:val="18"/>
                      <w:szCs w:val="18"/>
                      <w:u w:val="none"/>
                    </w:rPr>
                    <w:t>浓度</w:t>
                  </w:r>
                </w:p>
                <w:p>
                  <w:pPr>
                    <w:ind w:left="-31" w:leftChars="-15" w:right="-31" w:rightChars="-15"/>
                    <w:jc w:val="center"/>
                    <w:rPr>
                      <w:bCs/>
                      <w:color w:val="000000"/>
                      <w:sz w:val="18"/>
                      <w:szCs w:val="18"/>
                      <w:u w:val="none"/>
                    </w:rPr>
                  </w:pPr>
                  <w:r>
                    <w:rPr>
                      <w:color w:val="000000"/>
                      <w:sz w:val="18"/>
                      <w:szCs w:val="18"/>
                      <w:u w:val="none"/>
                    </w:rPr>
                    <w:t>mg/m</w:t>
                  </w:r>
                  <w:r>
                    <w:rPr>
                      <w:color w:val="000000"/>
                      <w:sz w:val="18"/>
                      <w:szCs w:val="18"/>
                      <w:u w:val="none"/>
                      <w:vertAlign w:val="superscript"/>
                    </w:rPr>
                    <w:t>3</w:t>
                  </w:r>
                </w:p>
              </w:tc>
              <w:tc>
                <w:tcPr>
                  <w:tcW w:w="585" w:type="dxa"/>
                  <w:noWrap w:val="0"/>
                  <w:vAlign w:val="center"/>
                </w:tcPr>
                <w:p>
                  <w:pPr>
                    <w:ind w:left="-31" w:leftChars="-15" w:right="-31" w:rightChars="-15"/>
                    <w:jc w:val="center"/>
                    <w:rPr>
                      <w:sz w:val="18"/>
                      <w:szCs w:val="18"/>
                      <w:u w:val="none"/>
                    </w:rPr>
                  </w:pPr>
                  <w:r>
                    <w:rPr>
                      <w:sz w:val="18"/>
                      <w:szCs w:val="18"/>
                      <w:u w:val="none"/>
                    </w:rPr>
                    <w:t>速率</w:t>
                  </w:r>
                </w:p>
                <w:p>
                  <w:pPr>
                    <w:pStyle w:val="2"/>
                    <w:ind w:left="-31" w:leftChars="-15" w:right="-31" w:rightChars="-15"/>
                    <w:jc w:val="center"/>
                    <w:rPr>
                      <w:rFonts w:hint="default" w:ascii="Times New Roman" w:hAnsi="Times New Roman"/>
                      <w:sz w:val="18"/>
                      <w:szCs w:val="18"/>
                      <w:u w:val="none"/>
                    </w:rPr>
                  </w:pPr>
                  <w:r>
                    <w:rPr>
                      <w:rFonts w:hint="default" w:ascii="Times New Roman" w:hAnsi="Times New Roman"/>
                      <w:sz w:val="18"/>
                      <w:szCs w:val="18"/>
                      <w:u w:val="none"/>
                    </w:rPr>
                    <w:t>kg/h</w:t>
                  </w:r>
                </w:p>
              </w:tc>
              <w:tc>
                <w:tcPr>
                  <w:tcW w:w="1095" w:type="dxa"/>
                  <w:noWrap w:val="0"/>
                  <w:vAlign w:val="center"/>
                </w:tcPr>
                <w:p>
                  <w:pPr>
                    <w:ind w:left="-31" w:leftChars="-15" w:right="-31" w:rightChars="-15"/>
                    <w:jc w:val="center"/>
                    <w:rPr>
                      <w:sz w:val="18"/>
                      <w:szCs w:val="18"/>
                      <w:u w:val="none"/>
                    </w:rPr>
                  </w:pPr>
                  <w:r>
                    <w:rPr>
                      <w:sz w:val="18"/>
                      <w:szCs w:val="18"/>
                      <w:u w:val="none"/>
                    </w:rPr>
                    <w:t>量</w:t>
                  </w:r>
                </w:p>
                <w:p>
                  <w:pPr>
                    <w:pStyle w:val="2"/>
                    <w:ind w:left="-31" w:leftChars="-15" w:right="-31" w:rightChars="-15"/>
                    <w:jc w:val="center"/>
                    <w:rPr>
                      <w:rFonts w:hint="default" w:ascii="Times New Roman" w:hAnsi="Times New Roman"/>
                      <w:sz w:val="18"/>
                      <w:szCs w:val="18"/>
                      <w:u w:val="none"/>
                    </w:rPr>
                  </w:pPr>
                  <w:r>
                    <w:rPr>
                      <w:rFonts w:hint="default" w:ascii="Times New Roman" w:hAnsi="Times New Roman"/>
                      <w:sz w:val="18"/>
                      <w:szCs w:val="18"/>
                      <w:u w:val="none"/>
                    </w:rPr>
                    <w:t>t/a</w:t>
                  </w:r>
                </w:p>
              </w:tc>
              <w:tc>
                <w:tcPr>
                  <w:tcW w:w="675" w:type="dxa"/>
                  <w:vMerge w:val="continue"/>
                  <w:noWrap w:val="0"/>
                  <w:vAlign w:val="center"/>
                </w:tcPr>
                <w:p>
                  <w:pPr>
                    <w:pStyle w:val="2"/>
                    <w:ind w:left="-31" w:leftChars="-15" w:right="-31" w:rightChars="-15"/>
                    <w:jc w:val="center"/>
                    <w:rPr>
                      <w:rFonts w:hint="default" w:ascii="Times New Roman" w:hAnsi="Times New Roman"/>
                      <w:sz w:val="18"/>
                      <w:szCs w:val="18"/>
                      <w:u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61" w:type="dxa"/>
                  <w:noWrap w:val="0"/>
                  <w:vAlign w:val="center"/>
                </w:tcPr>
                <w:p>
                  <w:pPr>
                    <w:ind w:left="-31" w:leftChars="-15" w:right="-31" w:rightChars="-15"/>
                    <w:jc w:val="center"/>
                    <w:rPr>
                      <w:color w:val="000000"/>
                      <w:sz w:val="18"/>
                      <w:szCs w:val="18"/>
                      <w:u w:val="none"/>
                    </w:rPr>
                  </w:pPr>
                  <w:r>
                    <w:rPr>
                      <w:color w:val="000000"/>
                      <w:sz w:val="18"/>
                      <w:szCs w:val="18"/>
                      <w:u w:val="none"/>
                    </w:rPr>
                    <w:t>废气量</w:t>
                  </w:r>
                </w:p>
              </w:tc>
              <w:tc>
                <w:tcPr>
                  <w:tcW w:w="675" w:type="dxa"/>
                  <w:noWrap w:val="0"/>
                  <w:vAlign w:val="center"/>
                </w:tcPr>
                <w:p>
                  <w:pPr>
                    <w:ind w:left="-31" w:leftChars="-15" w:right="-31" w:rightChars="-15"/>
                    <w:jc w:val="center"/>
                    <w:rPr>
                      <w:color w:val="auto"/>
                      <w:sz w:val="18"/>
                      <w:szCs w:val="18"/>
                      <w:u w:val="none"/>
                    </w:rPr>
                  </w:pPr>
                  <w:r>
                    <w:rPr>
                      <w:color w:val="auto"/>
                      <w:sz w:val="18"/>
                      <w:szCs w:val="18"/>
                      <w:u w:val="none"/>
                    </w:rPr>
                    <w:t>/</w:t>
                  </w:r>
                </w:p>
              </w:tc>
              <w:tc>
                <w:tcPr>
                  <w:tcW w:w="660" w:type="dxa"/>
                  <w:noWrap w:val="0"/>
                  <w:vAlign w:val="center"/>
                </w:tcPr>
                <w:p>
                  <w:pPr>
                    <w:ind w:left="-31" w:leftChars="-15" w:right="-31" w:rightChars="-15"/>
                    <w:jc w:val="center"/>
                    <w:rPr>
                      <w:color w:val="auto"/>
                      <w:sz w:val="18"/>
                      <w:szCs w:val="18"/>
                      <w:u w:val="none"/>
                    </w:rPr>
                  </w:pPr>
                  <w:r>
                    <w:rPr>
                      <w:color w:val="auto"/>
                      <w:sz w:val="18"/>
                      <w:szCs w:val="18"/>
                      <w:u w:val="none"/>
                    </w:rPr>
                    <w:t>/</w:t>
                  </w:r>
                </w:p>
              </w:tc>
              <w:tc>
                <w:tcPr>
                  <w:tcW w:w="1230" w:type="dxa"/>
                  <w:noWrap w:val="0"/>
                  <w:vAlign w:val="center"/>
                </w:tcPr>
                <w:p>
                  <w:pPr>
                    <w:ind w:left="-31" w:leftChars="-15" w:right="-31" w:rightChars="-15"/>
                    <w:jc w:val="center"/>
                    <w:rPr>
                      <w:color w:val="auto"/>
                      <w:sz w:val="18"/>
                      <w:szCs w:val="18"/>
                      <w:u w:val="none"/>
                    </w:rPr>
                  </w:pPr>
                  <w:r>
                    <w:rPr>
                      <w:rFonts w:hint="eastAsia"/>
                      <w:color w:val="auto"/>
                      <w:sz w:val="18"/>
                      <w:szCs w:val="18"/>
                      <w:u w:val="none"/>
                      <w:lang w:val="en-US" w:eastAsia="zh-CN"/>
                    </w:rPr>
                    <w:t>1.458</w:t>
                  </w:r>
                  <w:r>
                    <w:rPr>
                      <w:color w:val="auto"/>
                      <w:sz w:val="18"/>
                      <w:szCs w:val="18"/>
                      <w:u w:val="none"/>
                    </w:rPr>
                    <w:t>×l0</w:t>
                  </w:r>
                  <w:r>
                    <w:rPr>
                      <w:color w:val="auto"/>
                      <w:sz w:val="18"/>
                      <w:szCs w:val="18"/>
                      <w:u w:val="none"/>
                      <w:vertAlign w:val="superscript"/>
                    </w:rPr>
                    <w:t>8</w:t>
                  </w:r>
                  <w:r>
                    <w:rPr>
                      <w:color w:val="auto"/>
                      <w:sz w:val="18"/>
                      <w:szCs w:val="18"/>
                      <w:u w:val="none"/>
                    </w:rPr>
                    <w:t>m</w:t>
                  </w:r>
                  <w:r>
                    <w:rPr>
                      <w:color w:val="auto"/>
                      <w:sz w:val="18"/>
                      <w:szCs w:val="18"/>
                      <w:u w:val="none"/>
                      <w:vertAlign w:val="superscript"/>
                    </w:rPr>
                    <w:t>3</w:t>
                  </w:r>
                  <w:r>
                    <w:rPr>
                      <w:color w:val="auto"/>
                      <w:sz w:val="18"/>
                      <w:szCs w:val="18"/>
                      <w:u w:val="none"/>
                    </w:rPr>
                    <w:t>/a</w:t>
                  </w:r>
                </w:p>
              </w:tc>
              <w:tc>
                <w:tcPr>
                  <w:tcW w:w="945" w:type="dxa"/>
                  <w:vMerge w:val="restart"/>
                  <w:noWrap w:val="0"/>
                  <w:vAlign w:val="center"/>
                </w:tcPr>
                <w:p>
                  <w:pPr>
                    <w:ind w:left="-31" w:leftChars="-15" w:right="-31" w:rightChars="-15"/>
                    <w:jc w:val="center"/>
                    <w:rPr>
                      <w:bCs/>
                      <w:color w:val="000000"/>
                      <w:sz w:val="18"/>
                      <w:szCs w:val="18"/>
                      <w:u w:val="none"/>
                    </w:rPr>
                  </w:pPr>
                  <w:r>
                    <w:rPr>
                      <w:bCs/>
                      <w:color w:val="000000"/>
                      <w:sz w:val="18"/>
                      <w:szCs w:val="18"/>
                      <w:u w:val="none"/>
                    </w:rPr>
                    <w:t>双碱脱硫除尘处理后</w:t>
                  </w:r>
                  <w:r>
                    <w:rPr>
                      <w:rFonts w:hint="eastAsia"/>
                      <w:bCs/>
                      <w:color w:val="000000"/>
                      <w:sz w:val="18"/>
                      <w:szCs w:val="18"/>
                      <w:u w:val="none"/>
                      <w:lang w:val="en-US" w:eastAsia="zh-CN"/>
                    </w:rPr>
                    <w:t>2</w:t>
                  </w:r>
                  <w:r>
                    <w:rPr>
                      <w:bCs/>
                      <w:color w:val="000000"/>
                      <w:sz w:val="18"/>
                      <w:szCs w:val="18"/>
                      <w:u w:val="none"/>
                    </w:rPr>
                    <w:t>5m排气筒排放</w:t>
                  </w:r>
                </w:p>
              </w:tc>
              <w:tc>
                <w:tcPr>
                  <w:tcW w:w="615" w:type="dxa"/>
                  <w:noWrap w:val="0"/>
                  <w:vAlign w:val="center"/>
                </w:tcPr>
                <w:p>
                  <w:pPr>
                    <w:ind w:left="-31" w:leftChars="-15" w:right="-31" w:rightChars="-15"/>
                    <w:jc w:val="center"/>
                    <w:rPr>
                      <w:bCs/>
                      <w:color w:val="auto"/>
                      <w:sz w:val="18"/>
                      <w:szCs w:val="18"/>
                      <w:u w:val="none"/>
                    </w:rPr>
                  </w:pPr>
                  <w:r>
                    <w:rPr>
                      <w:bCs/>
                      <w:color w:val="auto"/>
                      <w:sz w:val="18"/>
                      <w:szCs w:val="18"/>
                      <w:u w:val="none"/>
                    </w:rPr>
                    <w:t>/</w:t>
                  </w:r>
                </w:p>
              </w:tc>
              <w:tc>
                <w:tcPr>
                  <w:tcW w:w="705" w:type="dxa"/>
                  <w:noWrap w:val="0"/>
                  <w:vAlign w:val="center"/>
                </w:tcPr>
                <w:p>
                  <w:pPr>
                    <w:ind w:left="-31" w:leftChars="-15" w:right="-31" w:rightChars="-15"/>
                    <w:jc w:val="center"/>
                    <w:rPr>
                      <w:bCs/>
                      <w:color w:val="auto"/>
                      <w:sz w:val="18"/>
                      <w:szCs w:val="18"/>
                      <w:u w:val="none"/>
                    </w:rPr>
                  </w:pPr>
                  <w:r>
                    <w:rPr>
                      <w:bCs/>
                      <w:color w:val="auto"/>
                      <w:sz w:val="18"/>
                      <w:szCs w:val="18"/>
                      <w:u w:val="none"/>
                    </w:rPr>
                    <w:t>/</w:t>
                  </w:r>
                </w:p>
              </w:tc>
              <w:tc>
                <w:tcPr>
                  <w:tcW w:w="585" w:type="dxa"/>
                  <w:noWrap w:val="0"/>
                  <w:vAlign w:val="center"/>
                </w:tcPr>
                <w:p>
                  <w:pPr>
                    <w:pStyle w:val="2"/>
                    <w:ind w:left="-31" w:leftChars="-15" w:right="-31" w:rightChars="-15"/>
                    <w:jc w:val="center"/>
                    <w:rPr>
                      <w:rFonts w:hint="default" w:ascii="Times New Roman" w:hAnsi="Times New Roman"/>
                      <w:color w:val="auto"/>
                      <w:sz w:val="18"/>
                      <w:szCs w:val="18"/>
                      <w:u w:val="none"/>
                    </w:rPr>
                  </w:pPr>
                  <w:r>
                    <w:rPr>
                      <w:rFonts w:hint="default" w:ascii="Times New Roman" w:hAnsi="Times New Roman"/>
                      <w:color w:val="auto"/>
                      <w:sz w:val="18"/>
                      <w:szCs w:val="18"/>
                      <w:u w:val="none"/>
                    </w:rPr>
                    <w:t>/</w:t>
                  </w:r>
                </w:p>
              </w:tc>
              <w:tc>
                <w:tcPr>
                  <w:tcW w:w="1095" w:type="dxa"/>
                  <w:noWrap w:val="0"/>
                  <w:vAlign w:val="center"/>
                </w:tcPr>
                <w:p>
                  <w:pPr>
                    <w:ind w:left="-31" w:leftChars="-15" w:right="-31" w:rightChars="-15"/>
                    <w:jc w:val="center"/>
                    <w:rPr>
                      <w:color w:val="auto"/>
                      <w:sz w:val="18"/>
                      <w:szCs w:val="18"/>
                      <w:u w:val="none"/>
                    </w:rPr>
                  </w:pPr>
                  <w:r>
                    <w:rPr>
                      <w:rFonts w:hint="eastAsia"/>
                      <w:color w:val="auto"/>
                      <w:sz w:val="18"/>
                      <w:szCs w:val="18"/>
                      <w:u w:val="none"/>
                      <w:lang w:val="en-US" w:eastAsia="zh-CN"/>
                    </w:rPr>
                    <w:t>1.458</w:t>
                  </w:r>
                  <w:r>
                    <w:rPr>
                      <w:color w:val="auto"/>
                      <w:sz w:val="18"/>
                      <w:szCs w:val="18"/>
                      <w:u w:val="none"/>
                    </w:rPr>
                    <w:t>×l0</w:t>
                  </w:r>
                  <w:r>
                    <w:rPr>
                      <w:color w:val="auto"/>
                      <w:sz w:val="18"/>
                      <w:szCs w:val="18"/>
                      <w:u w:val="none"/>
                      <w:vertAlign w:val="superscript"/>
                    </w:rPr>
                    <w:t>8</w:t>
                  </w:r>
                  <w:r>
                    <w:rPr>
                      <w:color w:val="auto"/>
                      <w:sz w:val="18"/>
                      <w:szCs w:val="18"/>
                      <w:u w:val="none"/>
                    </w:rPr>
                    <w:t>m</w:t>
                  </w:r>
                  <w:r>
                    <w:rPr>
                      <w:color w:val="auto"/>
                      <w:sz w:val="18"/>
                      <w:szCs w:val="18"/>
                      <w:u w:val="none"/>
                      <w:vertAlign w:val="superscript"/>
                    </w:rPr>
                    <w:t>3</w:t>
                  </w:r>
                  <w:r>
                    <w:rPr>
                      <w:color w:val="auto"/>
                      <w:sz w:val="18"/>
                      <w:szCs w:val="18"/>
                      <w:u w:val="none"/>
                    </w:rPr>
                    <w:t>/a</w:t>
                  </w:r>
                </w:p>
              </w:tc>
              <w:tc>
                <w:tcPr>
                  <w:tcW w:w="675" w:type="dxa"/>
                  <w:noWrap w:val="0"/>
                  <w:vAlign w:val="center"/>
                </w:tcPr>
                <w:p>
                  <w:pPr>
                    <w:pStyle w:val="2"/>
                    <w:ind w:left="-31" w:leftChars="-15" w:right="-31" w:rightChars="-15"/>
                    <w:jc w:val="center"/>
                    <w:rPr>
                      <w:rFonts w:hint="default" w:ascii="Times New Roman" w:hAnsi="Times New Roman"/>
                      <w:color w:val="auto"/>
                      <w:sz w:val="18"/>
                      <w:szCs w:val="18"/>
                      <w:u w:val="none"/>
                    </w:rPr>
                  </w:pPr>
                  <w:r>
                    <w:rPr>
                      <w:rFonts w:hint="default" w:ascii="Times New Roman" w:hAnsi="Times New Roman"/>
                      <w:color w:val="auto"/>
                      <w:sz w:val="18"/>
                      <w:szCs w:val="18"/>
                      <w:u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61" w:type="dxa"/>
                  <w:noWrap w:val="0"/>
                  <w:vAlign w:val="center"/>
                </w:tcPr>
                <w:p>
                  <w:pPr>
                    <w:ind w:left="-31" w:leftChars="-15" w:right="-31" w:rightChars="-15"/>
                    <w:jc w:val="center"/>
                    <w:rPr>
                      <w:color w:val="000000"/>
                      <w:sz w:val="18"/>
                      <w:szCs w:val="18"/>
                      <w:u w:val="none"/>
                    </w:rPr>
                  </w:pPr>
                  <w:r>
                    <w:rPr>
                      <w:color w:val="000000"/>
                      <w:sz w:val="18"/>
                      <w:szCs w:val="18"/>
                      <w:u w:val="none"/>
                    </w:rPr>
                    <w:t>烟尘</w:t>
                  </w:r>
                </w:p>
              </w:tc>
              <w:tc>
                <w:tcPr>
                  <w:tcW w:w="675" w:type="dxa"/>
                  <w:noWrap w:val="0"/>
                  <w:vAlign w:val="center"/>
                </w:tcPr>
                <w:p>
                  <w:pPr>
                    <w:ind w:left="-31" w:leftChars="-15" w:right="-31" w:rightChars="-15"/>
                    <w:jc w:val="center"/>
                    <w:rPr>
                      <w:color w:val="auto"/>
                      <w:sz w:val="18"/>
                      <w:szCs w:val="18"/>
                      <w:u w:val="none"/>
                    </w:rPr>
                  </w:pPr>
                  <w:r>
                    <w:rPr>
                      <w:rFonts w:hint="eastAsia"/>
                      <w:color w:val="auto"/>
                      <w:sz w:val="18"/>
                      <w:szCs w:val="18"/>
                      <w:u w:val="none"/>
                      <w:lang w:val="en-US" w:eastAsia="zh-CN"/>
                    </w:rPr>
                    <w:t>57.55</w:t>
                  </w:r>
                  <w:r>
                    <w:rPr>
                      <w:color w:val="auto"/>
                      <w:sz w:val="18"/>
                      <w:szCs w:val="18"/>
                      <w:u w:val="none"/>
                    </w:rPr>
                    <w:t>.</w:t>
                  </w:r>
                </w:p>
              </w:tc>
              <w:tc>
                <w:tcPr>
                  <w:tcW w:w="660" w:type="dxa"/>
                  <w:noWrap w:val="0"/>
                  <w:vAlign w:val="center"/>
                </w:tcPr>
                <w:p>
                  <w:pPr>
                    <w:ind w:left="-31" w:leftChars="-15" w:right="-31" w:rightChars="-15"/>
                    <w:jc w:val="center"/>
                    <w:rPr>
                      <w:rFonts w:hint="default" w:eastAsia="宋体"/>
                      <w:color w:val="auto"/>
                      <w:sz w:val="18"/>
                      <w:szCs w:val="18"/>
                      <w:u w:val="none"/>
                      <w:lang w:val="en-US" w:eastAsia="zh-CN"/>
                    </w:rPr>
                  </w:pPr>
                  <w:r>
                    <w:rPr>
                      <w:rFonts w:hint="eastAsia"/>
                      <w:color w:val="auto"/>
                      <w:sz w:val="18"/>
                      <w:szCs w:val="18"/>
                      <w:u w:val="none"/>
                      <w:lang w:val="en-US" w:eastAsia="zh-CN"/>
                    </w:rPr>
                    <w:t>2.53</w:t>
                  </w:r>
                </w:p>
              </w:tc>
              <w:tc>
                <w:tcPr>
                  <w:tcW w:w="1230" w:type="dxa"/>
                  <w:noWrap w:val="0"/>
                  <w:vAlign w:val="center"/>
                </w:tcPr>
                <w:p>
                  <w:pPr>
                    <w:ind w:left="-31" w:leftChars="-15" w:right="-31" w:rightChars="-15"/>
                    <w:jc w:val="center"/>
                    <w:rPr>
                      <w:rFonts w:hint="default" w:eastAsia="宋体"/>
                      <w:color w:val="auto"/>
                      <w:sz w:val="18"/>
                      <w:szCs w:val="18"/>
                      <w:u w:val="none"/>
                      <w:lang w:val="en-US" w:eastAsia="zh-CN"/>
                    </w:rPr>
                  </w:pPr>
                  <w:r>
                    <w:rPr>
                      <w:rFonts w:hint="eastAsia"/>
                      <w:color w:val="auto"/>
                      <w:sz w:val="18"/>
                      <w:szCs w:val="18"/>
                      <w:u w:val="none"/>
                      <w:lang w:val="en-US" w:eastAsia="zh-CN"/>
                    </w:rPr>
                    <w:t>18.24</w:t>
                  </w:r>
                </w:p>
              </w:tc>
              <w:tc>
                <w:tcPr>
                  <w:tcW w:w="945" w:type="dxa"/>
                  <w:vMerge w:val="continue"/>
                  <w:noWrap w:val="0"/>
                  <w:vAlign w:val="center"/>
                </w:tcPr>
                <w:p>
                  <w:pPr>
                    <w:ind w:left="-31" w:leftChars="-15" w:right="-31" w:rightChars="-15"/>
                    <w:jc w:val="center"/>
                    <w:rPr>
                      <w:bCs/>
                      <w:color w:val="000000"/>
                      <w:sz w:val="18"/>
                      <w:szCs w:val="18"/>
                      <w:u w:val="none"/>
                    </w:rPr>
                  </w:pPr>
                </w:p>
              </w:tc>
              <w:tc>
                <w:tcPr>
                  <w:tcW w:w="615" w:type="dxa"/>
                  <w:noWrap w:val="0"/>
                  <w:vAlign w:val="center"/>
                </w:tcPr>
                <w:p>
                  <w:pPr>
                    <w:ind w:left="-31" w:leftChars="-15" w:right="-31" w:rightChars="-15"/>
                    <w:jc w:val="center"/>
                    <w:rPr>
                      <w:bCs/>
                      <w:color w:val="auto"/>
                      <w:sz w:val="18"/>
                      <w:szCs w:val="18"/>
                      <w:u w:val="none"/>
                    </w:rPr>
                  </w:pPr>
                  <w:r>
                    <w:rPr>
                      <w:bCs/>
                      <w:color w:val="auto"/>
                      <w:sz w:val="18"/>
                      <w:szCs w:val="18"/>
                      <w:u w:val="none"/>
                    </w:rPr>
                    <w:t>85</w:t>
                  </w:r>
                </w:p>
              </w:tc>
              <w:tc>
                <w:tcPr>
                  <w:tcW w:w="705" w:type="dxa"/>
                  <w:noWrap w:val="0"/>
                  <w:vAlign w:val="center"/>
                </w:tcPr>
                <w:p>
                  <w:pPr>
                    <w:ind w:left="-31" w:leftChars="-15" w:right="-31" w:rightChars="-15"/>
                    <w:jc w:val="center"/>
                    <w:rPr>
                      <w:rFonts w:hint="default" w:eastAsia="宋体"/>
                      <w:bCs/>
                      <w:color w:val="auto"/>
                      <w:sz w:val="18"/>
                      <w:szCs w:val="18"/>
                      <w:u w:val="none"/>
                      <w:lang w:val="en-US" w:eastAsia="zh-CN"/>
                    </w:rPr>
                  </w:pPr>
                  <w:r>
                    <w:rPr>
                      <w:rFonts w:hint="eastAsia"/>
                      <w:bCs/>
                      <w:color w:val="auto"/>
                      <w:sz w:val="18"/>
                      <w:szCs w:val="18"/>
                      <w:u w:val="none"/>
                      <w:lang w:val="en-US" w:eastAsia="zh-CN"/>
                    </w:rPr>
                    <w:t>18.76</w:t>
                  </w:r>
                </w:p>
              </w:tc>
              <w:tc>
                <w:tcPr>
                  <w:tcW w:w="585" w:type="dxa"/>
                  <w:noWrap w:val="0"/>
                  <w:vAlign w:val="center"/>
                </w:tcPr>
                <w:p>
                  <w:pPr>
                    <w:pStyle w:val="2"/>
                    <w:ind w:left="-31" w:leftChars="-15" w:right="-31" w:rightChars="-15"/>
                    <w:jc w:val="center"/>
                    <w:rPr>
                      <w:rFonts w:hint="default" w:ascii="Times New Roman" w:hAnsi="Times New Roman" w:eastAsia="宋体"/>
                      <w:color w:val="auto"/>
                      <w:sz w:val="18"/>
                      <w:szCs w:val="18"/>
                      <w:u w:val="none"/>
                      <w:lang w:val="en-US" w:eastAsia="zh-CN"/>
                    </w:rPr>
                  </w:pPr>
                  <w:r>
                    <w:rPr>
                      <w:rFonts w:hint="default" w:ascii="Times New Roman" w:hAnsi="Times New Roman"/>
                      <w:color w:val="auto"/>
                      <w:sz w:val="18"/>
                      <w:szCs w:val="18"/>
                      <w:u w:val="none"/>
                    </w:rPr>
                    <w:t>0.</w:t>
                  </w:r>
                  <w:r>
                    <w:rPr>
                      <w:rFonts w:hint="eastAsia" w:ascii="Times New Roman" w:hAnsi="Times New Roman"/>
                      <w:color w:val="auto"/>
                      <w:sz w:val="18"/>
                      <w:szCs w:val="18"/>
                      <w:u w:val="none"/>
                      <w:lang w:val="en-US" w:eastAsia="zh-CN"/>
                    </w:rPr>
                    <w:t>38</w:t>
                  </w:r>
                </w:p>
              </w:tc>
              <w:tc>
                <w:tcPr>
                  <w:tcW w:w="1095" w:type="dxa"/>
                  <w:noWrap w:val="0"/>
                  <w:vAlign w:val="center"/>
                </w:tcPr>
                <w:p>
                  <w:pPr>
                    <w:pStyle w:val="2"/>
                    <w:ind w:left="-31" w:leftChars="-15" w:right="-31" w:rightChars="-15"/>
                    <w:jc w:val="center"/>
                    <w:rPr>
                      <w:rFonts w:hint="default" w:ascii="Times New Roman" w:hAnsi="Times New Roman" w:eastAsia="宋体"/>
                      <w:color w:val="auto"/>
                      <w:sz w:val="18"/>
                      <w:szCs w:val="18"/>
                      <w:u w:val="none"/>
                      <w:lang w:val="en-US" w:eastAsia="zh-CN"/>
                    </w:rPr>
                  </w:pPr>
                  <w:r>
                    <w:rPr>
                      <w:rFonts w:hint="eastAsia" w:ascii="Times New Roman" w:hAnsi="Times New Roman"/>
                      <w:color w:val="auto"/>
                      <w:sz w:val="18"/>
                      <w:szCs w:val="18"/>
                      <w:u w:val="none"/>
                      <w:lang w:val="en-US" w:eastAsia="zh-CN"/>
                    </w:rPr>
                    <w:t>2.736</w:t>
                  </w:r>
                </w:p>
              </w:tc>
              <w:tc>
                <w:tcPr>
                  <w:tcW w:w="675" w:type="dxa"/>
                  <w:noWrap w:val="0"/>
                  <w:vAlign w:val="center"/>
                </w:tcPr>
                <w:p>
                  <w:pPr>
                    <w:pStyle w:val="2"/>
                    <w:ind w:left="-31" w:leftChars="-15" w:right="-31" w:rightChars="-15"/>
                    <w:jc w:val="center"/>
                    <w:rPr>
                      <w:rFonts w:hint="default" w:ascii="Times New Roman" w:hAnsi="Times New Roman" w:eastAsia="宋体"/>
                      <w:color w:val="auto"/>
                      <w:sz w:val="18"/>
                      <w:szCs w:val="18"/>
                      <w:u w:val="none"/>
                      <w:lang w:val="en-US" w:eastAsia="zh-CN"/>
                    </w:rPr>
                  </w:pPr>
                  <w:r>
                    <w:rPr>
                      <w:rFonts w:hint="eastAsia" w:ascii="Times New Roman" w:hAnsi="Times New Roman"/>
                      <w:color w:val="auto"/>
                      <w:sz w:val="18"/>
                      <w:szCs w:val="18"/>
                      <w:u w:val="none"/>
                      <w:lang w:val="en-US" w:eastAsia="zh-CN"/>
                    </w:rPr>
                    <w:t>20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61" w:type="dxa"/>
                  <w:noWrap w:val="0"/>
                  <w:vAlign w:val="center"/>
                </w:tcPr>
                <w:p>
                  <w:pPr>
                    <w:ind w:left="-31" w:leftChars="-15" w:right="-31" w:rightChars="-15"/>
                    <w:jc w:val="center"/>
                    <w:rPr>
                      <w:color w:val="000000"/>
                      <w:sz w:val="18"/>
                      <w:szCs w:val="18"/>
                      <w:u w:val="none"/>
                    </w:rPr>
                  </w:pPr>
                  <w:r>
                    <w:rPr>
                      <w:color w:val="000000"/>
                      <w:sz w:val="18"/>
                      <w:szCs w:val="18"/>
                      <w:u w:val="none"/>
                    </w:rPr>
                    <w:t>SO</w:t>
                  </w:r>
                  <w:r>
                    <w:rPr>
                      <w:color w:val="000000"/>
                      <w:sz w:val="18"/>
                      <w:szCs w:val="18"/>
                      <w:u w:val="none"/>
                      <w:vertAlign w:val="subscript"/>
                    </w:rPr>
                    <w:t>2</w:t>
                  </w:r>
                </w:p>
              </w:tc>
              <w:tc>
                <w:tcPr>
                  <w:tcW w:w="675" w:type="dxa"/>
                  <w:noWrap w:val="0"/>
                  <w:vAlign w:val="center"/>
                </w:tcPr>
                <w:p>
                  <w:pPr>
                    <w:ind w:left="-31" w:leftChars="-15" w:right="-31" w:rightChars="-15"/>
                    <w:jc w:val="center"/>
                    <w:rPr>
                      <w:rFonts w:hint="default" w:eastAsia="宋体"/>
                      <w:color w:val="auto"/>
                      <w:sz w:val="18"/>
                      <w:szCs w:val="18"/>
                      <w:u w:val="none"/>
                      <w:lang w:val="en-US" w:eastAsia="zh-CN"/>
                    </w:rPr>
                  </w:pPr>
                  <w:r>
                    <w:rPr>
                      <w:color w:val="auto"/>
                      <w:sz w:val="18"/>
                      <w:szCs w:val="18"/>
                      <w:u w:val="none"/>
                    </w:rPr>
                    <w:t>34</w:t>
                  </w:r>
                  <w:r>
                    <w:rPr>
                      <w:rFonts w:hint="eastAsia"/>
                      <w:color w:val="auto"/>
                      <w:sz w:val="18"/>
                      <w:szCs w:val="18"/>
                      <w:u w:val="none"/>
                      <w:lang w:val="en-US" w:eastAsia="zh-CN"/>
                    </w:rPr>
                    <w:t>5.68</w:t>
                  </w:r>
                </w:p>
              </w:tc>
              <w:tc>
                <w:tcPr>
                  <w:tcW w:w="660" w:type="dxa"/>
                  <w:noWrap w:val="0"/>
                  <w:vAlign w:val="center"/>
                </w:tcPr>
                <w:p>
                  <w:pPr>
                    <w:ind w:left="-31" w:leftChars="-15" w:right="-31" w:rightChars="-15"/>
                    <w:jc w:val="center"/>
                    <w:rPr>
                      <w:rFonts w:hint="eastAsia" w:eastAsia="宋体"/>
                      <w:color w:val="auto"/>
                      <w:sz w:val="18"/>
                      <w:szCs w:val="18"/>
                      <w:u w:val="none"/>
                      <w:lang w:eastAsia="zh-CN"/>
                    </w:rPr>
                  </w:pPr>
                  <w:r>
                    <w:rPr>
                      <w:rFonts w:hint="eastAsia"/>
                      <w:color w:val="auto"/>
                      <w:sz w:val="18"/>
                      <w:szCs w:val="18"/>
                      <w:u w:val="none"/>
                      <w:lang w:val="en-US" w:eastAsia="zh-CN"/>
                    </w:rPr>
                    <w:t>7</w:t>
                  </w:r>
                </w:p>
              </w:tc>
              <w:tc>
                <w:tcPr>
                  <w:tcW w:w="1230" w:type="dxa"/>
                  <w:noWrap w:val="0"/>
                  <w:vAlign w:val="center"/>
                </w:tcPr>
                <w:p>
                  <w:pPr>
                    <w:ind w:left="-31" w:leftChars="-15" w:right="-31" w:rightChars="-15"/>
                    <w:jc w:val="center"/>
                    <w:rPr>
                      <w:rFonts w:hint="default" w:eastAsia="宋体"/>
                      <w:color w:val="auto"/>
                      <w:sz w:val="18"/>
                      <w:szCs w:val="18"/>
                      <w:u w:val="none"/>
                      <w:lang w:val="en-US" w:eastAsia="zh-CN"/>
                    </w:rPr>
                  </w:pPr>
                  <w:r>
                    <w:rPr>
                      <w:rFonts w:hint="eastAsia"/>
                      <w:color w:val="auto"/>
                      <w:sz w:val="18"/>
                      <w:szCs w:val="18"/>
                      <w:u w:val="none"/>
                      <w:lang w:val="en-US" w:eastAsia="zh-CN"/>
                    </w:rPr>
                    <w:t>50.4</w:t>
                  </w:r>
                </w:p>
              </w:tc>
              <w:tc>
                <w:tcPr>
                  <w:tcW w:w="945" w:type="dxa"/>
                  <w:vMerge w:val="continue"/>
                  <w:noWrap w:val="0"/>
                  <w:vAlign w:val="center"/>
                </w:tcPr>
                <w:p>
                  <w:pPr>
                    <w:ind w:left="-31" w:leftChars="-15" w:right="-31" w:rightChars="-15"/>
                    <w:jc w:val="center"/>
                    <w:rPr>
                      <w:bCs/>
                      <w:color w:val="000000"/>
                      <w:sz w:val="18"/>
                      <w:szCs w:val="18"/>
                      <w:u w:val="none"/>
                    </w:rPr>
                  </w:pPr>
                </w:p>
              </w:tc>
              <w:tc>
                <w:tcPr>
                  <w:tcW w:w="615" w:type="dxa"/>
                  <w:noWrap w:val="0"/>
                  <w:vAlign w:val="center"/>
                </w:tcPr>
                <w:p>
                  <w:pPr>
                    <w:ind w:left="-31" w:leftChars="-15" w:right="-31" w:rightChars="-15"/>
                    <w:jc w:val="center"/>
                    <w:rPr>
                      <w:bCs/>
                      <w:color w:val="auto"/>
                      <w:sz w:val="18"/>
                      <w:szCs w:val="18"/>
                      <w:u w:val="none"/>
                    </w:rPr>
                  </w:pPr>
                  <w:r>
                    <w:rPr>
                      <w:bCs/>
                      <w:color w:val="auto"/>
                      <w:sz w:val="18"/>
                      <w:szCs w:val="18"/>
                      <w:u w:val="none"/>
                    </w:rPr>
                    <w:t>90</w:t>
                  </w:r>
                </w:p>
              </w:tc>
              <w:tc>
                <w:tcPr>
                  <w:tcW w:w="705" w:type="dxa"/>
                  <w:noWrap w:val="0"/>
                  <w:vAlign w:val="center"/>
                </w:tcPr>
                <w:p>
                  <w:pPr>
                    <w:ind w:left="-31" w:leftChars="-15" w:right="-31" w:rightChars="-15"/>
                    <w:jc w:val="center"/>
                    <w:rPr>
                      <w:rFonts w:hint="default" w:eastAsia="宋体"/>
                      <w:bCs/>
                      <w:color w:val="auto"/>
                      <w:sz w:val="18"/>
                      <w:szCs w:val="18"/>
                      <w:u w:val="none"/>
                      <w:lang w:val="en-US" w:eastAsia="zh-CN"/>
                    </w:rPr>
                  </w:pPr>
                  <w:r>
                    <w:rPr>
                      <w:rFonts w:hint="eastAsia"/>
                      <w:bCs/>
                      <w:color w:val="auto"/>
                      <w:sz w:val="18"/>
                      <w:szCs w:val="18"/>
                      <w:u w:val="none"/>
                      <w:lang w:val="en-US" w:eastAsia="zh-CN"/>
                    </w:rPr>
                    <w:t>34.56</w:t>
                  </w:r>
                </w:p>
              </w:tc>
              <w:tc>
                <w:tcPr>
                  <w:tcW w:w="585" w:type="dxa"/>
                  <w:noWrap w:val="0"/>
                  <w:vAlign w:val="center"/>
                </w:tcPr>
                <w:p>
                  <w:pPr>
                    <w:pStyle w:val="2"/>
                    <w:ind w:left="-31" w:leftChars="-15" w:right="-31" w:rightChars="-15"/>
                    <w:jc w:val="center"/>
                    <w:rPr>
                      <w:rFonts w:hint="default" w:ascii="Times New Roman" w:hAnsi="Times New Roman" w:eastAsia="宋体"/>
                      <w:color w:val="auto"/>
                      <w:sz w:val="18"/>
                      <w:szCs w:val="18"/>
                      <w:u w:val="none"/>
                      <w:lang w:val="en-US" w:eastAsia="zh-CN"/>
                    </w:rPr>
                  </w:pPr>
                  <w:r>
                    <w:rPr>
                      <w:rFonts w:hint="eastAsia" w:ascii="Times New Roman" w:hAnsi="Times New Roman"/>
                      <w:color w:val="auto"/>
                      <w:sz w:val="18"/>
                      <w:szCs w:val="18"/>
                      <w:u w:val="none"/>
                      <w:lang w:val="en-US" w:eastAsia="zh-CN"/>
                    </w:rPr>
                    <w:t>0.7</w:t>
                  </w:r>
                </w:p>
              </w:tc>
              <w:tc>
                <w:tcPr>
                  <w:tcW w:w="1095" w:type="dxa"/>
                  <w:noWrap w:val="0"/>
                  <w:vAlign w:val="center"/>
                </w:tcPr>
                <w:p>
                  <w:pPr>
                    <w:pStyle w:val="2"/>
                    <w:ind w:left="-31" w:leftChars="-15" w:right="-31" w:rightChars="-15"/>
                    <w:jc w:val="center"/>
                    <w:rPr>
                      <w:rFonts w:hint="default" w:ascii="Times New Roman" w:hAnsi="Times New Roman" w:eastAsia="宋体"/>
                      <w:color w:val="auto"/>
                      <w:sz w:val="18"/>
                      <w:szCs w:val="18"/>
                      <w:u w:val="none"/>
                      <w:lang w:val="en-US" w:eastAsia="zh-CN"/>
                    </w:rPr>
                  </w:pPr>
                  <w:r>
                    <w:rPr>
                      <w:rFonts w:hint="eastAsia" w:ascii="Times New Roman" w:hAnsi="Times New Roman"/>
                      <w:color w:val="auto"/>
                      <w:sz w:val="18"/>
                      <w:szCs w:val="18"/>
                      <w:u w:val="none"/>
                      <w:lang w:val="en-US" w:eastAsia="zh-CN"/>
                    </w:rPr>
                    <w:t>5.04</w:t>
                  </w:r>
                </w:p>
              </w:tc>
              <w:tc>
                <w:tcPr>
                  <w:tcW w:w="675" w:type="dxa"/>
                  <w:noWrap w:val="0"/>
                  <w:vAlign w:val="center"/>
                </w:tcPr>
                <w:p>
                  <w:pPr>
                    <w:pStyle w:val="2"/>
                    <w:ind w:left="-31" w:leftChars="-15" w:right="-31" w:rightChars="-15"/>
                    <w:jc w:val="center"/>
                    <w:rPr>
                      <w:rFonts w:hint="default" w:ascii="Times New Roman" w:hAnsi="Times New Roman" w:eastAsia="宋体"/>
                      <w:color w:val="auto"/>
                      <w:sz w:val="18"/>
                      <w:szCs w:val="18"/>
                      <w:u w:val="none"/>
                      <w:lang w:val="en-US" w:eastAsia="zh-CN"/>
                    </w:rPr>
                  </w:pPr>
                  <w:r>
                    <w:rPr>
                      <w:rFonts w:hint="eastAsia" w:ascii="Times New Roman" w:hAnsi="Times New Roman"/>
                      <w:color w:val="auto"/>
                      <w:sz w:val="18"/>
                      <w:szCs w:val="18"/>
                      <w:u w:val="none"/>
                      <w:lang w:val="en-US" w:eastAsia="zh-CN"/>
                    </w:rPr>
                    <w:t>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61" w:type="dxa"/>
                  <w:noWrap w:val="0"/>
                  <w:vAlign w:val="center"/>
                </w:tcPr>
                <w:p>
                  <w:pPr>
                    <w:ind w:left="-31" w:leftChars="-15" w:right="-31" w:rightChars="-15"/>
                    <w:jc w:val="center"/>
                    <w:rPr>
                      <w:color w:val="000000"/>
                      <w:sz w:val="18"/>
                      <w:szCs w:val="18"/>
                      <w:highlight w:val="none"/>
                      <w:u w:val="none"/>
                    </w:rPr>
                  </w:pPr>
                  <w:r>
                    <w:rPr>
                      <w:color w:val="000000"/>
                      <w:sz w:val="18"/>
                      <w:szCs w:val="18"/>
                      <w:highlight w:val="none"/>
                      <w:u w:val="none"/>
                    </w:rPr>
                    <w:t>NO</w:t>
                  </w:r>
                  <w:r>
                    <w:rPr>
                      <w:color w:val="000000"/>
                      <w:sz w:val="18"/>
                      <w:szCs w:val="18"/>
                      <w:highlight w:val="none"/>
                      <w:u w:val="none"/>
                      <w:vertAlign w:val="subscript"/>
                    </w:rPr>
                    <w:t>2</w:t>
                  </w:r>
                </w:p>
              </w:tc>
              <w:tc>
                <w:tcPr>
                  <w:tcW w:w="675" w:type="dxa"/>
                  <w:noWrap w:val="0"/>
                  <w:vAlign w:val="center"/>
                </w:tcPr>
                <w:p>
                  <w:pPr>
                    <w:ind w:left="-31" w:leftChars="-15" w:right="-31" w:rightChars="-15"/>
                    <w:jc w:val="center"/>
                    <w:rPr>
                      <w:rFonts w:hint="default" w:eastAsia="宋体"/>
                      <w:color w:val="auto"/>
                      <w:sz w:val="18"/>
                      <w:szCs w:val="18"/>
                      <w:highlight w:val="none"/>
                      <w:u w:val="none"/>
                      <w:lang w:val="en-US" w:eastAsia="zh-CN"/>
                    </w:rPr>
                  </w:pPr>
                  <w:r>
                    <w:rPr>
                      <w:rFonts w:hint="eastAsia"/>
                      <w:color w:val="auto"/>
                      <w:sz w:val="18"/>
                      <w:szCs w:val="18"/>
                      <w:highlight w:val="none"/>
                      <w:u w:val="none"/>
                      <w:lang w:val="en-US" w:eastAsia="zh-CN"/>
                    </w:rPr>
                    <w:t>67.08</w:t>
                  </w:r>
                </w:p>
              </w:tc>
              <w:tc>
                <w:tcPr>
                  <w:tcW w:w="660" w:type="dxa"/>
                  <w:noWrap w:val="0"/>
                  <w:vAlign w:val="center"/>
                </w:tcPr>
                <w:p>
                  <w:pPr>
                    <w:ind w:left="-31" w:leftChars="-15" w:right="-31" w:rightChars="-15"/>
                    <w:jc w:val="center"/>
                    <w:rPr>
                      <w:rFonts w:hint="default" w:eastAsia="宋体"/>
                      <w:color w:val="auto"/>
                      <w:sz w:val="18"/>
                      <w:szCs w:val="18"/>
                      <w:highlight w:val="none"/>
                      <w:u w:val="none"/>
                      <w:lang w:val="en-US" w:eastAsia="zh-CN"/>
                    </w:rPr>
                  </w:pPr>
                  <w:r>
                    <w:rPr>
                      <w:color w:val="auto"/>
                      <w:sz w:val="18"/>
                      <w:szCs w:val="18"/>
                      <w:highlight w:val="none"/>
                      <w:u w:val="none"/>
                    </w:rPr>
                    <w:t>1.</w:t>
                  </w:r>
                  <w:r>
                    <w:rPr>
                      <w:rFonts w:hint="eastAsia"/>
                      <w:color w:val="auto"/>
                      <w:sz w:val="18"/>
                      <w:szCs w:val="18"/>
                      <w:highlight w:val="none"/>
                      <w:u w:val="none"/>
                      <w:lang w:val="en-US" w:eastAsia="zh-CN"/>
                    </w:rPr>
                    <w:t>36</w:t>
                  </w:r>
                </w:p>
              </w:tc>
              <w:tc>
                <w:tcPr>
                  <w:tcW w:w="1230" w:type="dxa"/>
                  <w:noWrap w:val="0"/>
                  <w:vAlign w:val="center"/>
                </w:tcPr>
                <w:p>
                  <w:pPr>
                    <w:ind w:left="-31" w:leftChars="-15" w:right="-31" w:rightChars="-15"/>
                    <w:jc w:val="center"/>
                    <w:rPr>
                      <w:rFonts w:hint="default" w:eastAsia="宋体"/>
                      <w:color w:val="auto"/>
                      <w:sz w:val="18"/>
                      <w:szCs w:val="18"/>
                      <w:highlight w:val="none"/>
                      <w:u w:val="none"/>
                      <w:lang w:val="en-US" w:eastAsia="zh-CN"/>
                    </w:rPr>
                  </w:pPr>
                  <w:r>
                    <w:rPr>
                      <w:rFonts w:hint="eastAsia"/>
                      <w:color w:val="auto"/>
                      <w:sz w:val="18"/>
                      <w:szCs w:val="18"/>
                      <w:highlight w:val="none"/>
                      <w:u w:val="none"/>
                      <w:lang w:val="en-US" w:eastAsia="zh-CN"/>
                    </w:rPr>
                    <w:t>9.78</w:t>
                  </w:r>
                </w:p>
              </w:tc>
              <w:tc>
                <w:tcPr>
                  <w:tcW w:w="945" w:type="dxa"/>
                  <w:vMerge w:val="continue"/>
                  <w:noWrap w:val="0"/>
                  <w:vAlign w:val="center"/>
                </w:tcPr>
                <w:p>
                  <w:pPr>
                    <w:ind w:left="-31" w:leftChars="-15" w:right="-31" w:rightChars="-15"/>
                    <w:jc w:val="center"/>
                    <w:rPr>
                      <w:bCs/>
                      <w:color w:val="000000"/>
                      <w:sz w:val="18"/>
                      <w:szCs w:val="18"/>
                      <w:highlight w:val="none"/>
                      <w:u w:val="none"/>
                    </w:rPr>
                  </w:pPr>
                </w:p>
              </w:tc>
              <w:tc>
                <w:tcPr>
                  <w:tcW w:w="615" w:type="dxa"/>
                  <w:noWrap w:val="0"/>
                  <w:vAlign w:val="center"/>
                </w:tcPr>
                <w:p>
                  <w:pPr>
                    <w:ind w:left="-31" w:leftChars="-15" w:right="-31" w:rightChars="-15"/>
                    <w:jc w:val="center"/>
                    <w:rPr>
                      <w:rFonts w:hint="eastAsia" w:eastAsia="宋体"/>
                      <w:bCs/>
                      <w:color w:val="auto"/>
                      <w:sz w:val="18"/>
                      <w:szCs w:val="18"/>
                      <w:highlight w:val="none"/>
                      <w:u w:val="none"/>
                      <w:lang w:eastAsia="zh-CN"/>
                    </w:rPr>
                  </w:pPr>
                  <w:r>
                    <w:rPr>
                      <w:rFonts w:hint="eastAsia"/>
                      <w:bCs/>
                      <w:color w:val="auto"/>
                      <w:sz w:val="18"/>
                      <w:szCs w:val="18"/>
                      <w:highlight w:val="none"/>
                      <w:u w:val="none"/>
                      <w:lang w:val="en-US" w:eastAsia="zh-CN"/>
                    </w:rPr>
                    <w:t>/</w:t>
                  </w:r>
                </w:p>
              </w:tc>
              <w:tc>
                <w:tcPr>
                  <w:tcW w:w="705" w:type="dxa"/>
                  <w:noWrap w:val="0"/>
                  <w:vAlign w:val="center"/>
                </w:tcPr>
                <w:p>
                  <w:pPr>
                    <w:ind w:left="-31" w:leftChars="-15" w:right="-31" w:rightChars="-15"/>
                    <w:jc w:val="center"/>
                    <w:rPr>
                      <w:rFonts w:hint="default" w:eastAsia="宋体"/>
                      <w:bCs/>
                      <w:color w:val="auto"/>
                      <w:sz w:val="18"/>
                      <w:szCs w:val="18"/>
                      <w:highlight w:val="none"/>
                      <w:u w:val="none"/>
                      <w:lang w:val="en-US" w:eastAsia="zh-CN"/>
                    </w:rPr>
                  </w:pPr>
                  <w:r>
                    <w:rPr>
                      <w:rFonts w:hint="eastAsia"/>
                      <w:color w:val="auto"/>
                      <w:sz w:val="18"/>
                      <w:szCs w:val="18"/>
                      <w:highlight w:val="none"/>
                      <w:u w:val="none"/>
                      <w:lang w:val="en-US" w:eastAsia="zh-CN"/>
                    </w:rPr>
                    <w:t>67.08</w:t>
                  </w:r>
                </w:p>
              </w:tc>
              <w:tc>
                <w:tcPr>
                  <w:tcW w:w="585" w:type="dxa"/>
                  <w:noWrap w:val="0"/>
                  <w:vAlign w:val="center"/>
                </w:tcPr>
                <w:p>
                  <w:pPr>
                    <w:ind w:left="-31" w:leftChars="-15" w:right="-31" w:rightChars="-15"/>
                    <w:jc w:val="center"/>
                    <w:rPr>
                      <w:rFonts w:hint="default" w:ascii="Times New Roman" w:hAnsi="Times New Roman" w:eastAsia="宋体"/>
                      <w:color w:val="auto"/>
                      <w:sz w:val="18"/>
                      <w:szCs w:val="18"/>
                      <w:highlight w:val="none"/>
                      <w:u w:val="none"/>
                      <w:lang w:val="en-US" w:eastAsia="zh-CN"/>
                    </w:rPr>
                  </w:pPr>
                  <w:r>
                    <w:rPr>
                      <w:color w:val="auto"/>
                      <w:sz w:val="18"/>
                      <w:szCs w:val="18"/>
                      <w:highlight w:val="none"/>
                      <w:u w:val="none"/>
                    </w:rPr>
                    <w:t>1.</w:t>
                  </w:r>
                  <w:r>
                    <w:rPr>
                      <w:rFonts w:hint="eastAsia"/>
                      <w:color w:val="auto"/>
                      <w:sz w:val="18"/>
                      <w:szCs w:val="18"/>
                      <w:highlight w:val="none"/>
                      <w:u w:val="none"/>
                      <w:lang w:val="en-US" w:eastAsia="zh-CN"/>
                    </w:rPr>
                    <w:t>36</w:t>
                  </w:r>
                </w:p>
              </w:tc>
              <w:tc>
                <w:tcPr>
                  <w:tcW w:w="1095" w:type="dxa"/>
                  <w:noWrap w:val="0"/>
                  <w:vAlign w:val="center"/>
                </w:tcPr>
                <w:p>
                  <w:pPr>
                    <w:ind w:left="-31" w:leftChars="-15" w:right="-31" w:rightChars="-15"/>
                    <w:jc w:val="center"/>
                    <w:rPr>
                      <w:rFonts w:hint="default" w:ascii="Times New Roman" w:hAnsi="Times New Roman" w:eastAsia="宋体"/>
                      <w:color w:val="auto"/>
                      <w:sz w:val="18"/>
                      <w:szCs w:val="18"/>
                      <w:highlight w:val="none"/>
                      <w:u w:val="none"/>
                      <w:lang w:val="en-US" w:eastAsia="zh-CN"/>
                    </w:rPr>
                  </w:pPr>
                  <w:r>
                    <w:rPr>
                      <w:rFonts w:hint="eastAsia"/>
                      <w:color w:val="auto"/>
                      <w:sz w:val="18"/>
                      <w:szCs w:val="18"/>
                      <w:highlight w:val="none"/>
                      <w:u w:val="none"/>
                      <w:lang w:val="en-US" w:eastAsia="zh-CN"/>
                    </w:rPr>
                    <w:t>9.78</w:t>
                  </w:r>
                </w:p>
              </w:tc>
              <w:tc>
                <w:tcPr>
                  <w:tcW w:w="675" w:type="dxa"/>
                  <w:noWrap w:val="0"/>
                  <w:vAlign w:val="center"/>
                </w:tcPr>
                <w:p>
                  <w:pPr>
                    <w:pStyle w:val="2"/>
                    <w:ind w:left="-31" w:leftChars="-15" w:right="-31" w:rightChars="-15"/>
                    <w:jc w:val="center"/>
                    <w:rPr>
                      <w:rFonts w:hint="default" w:ascii="Times New Roman" w:hAnsi="Times New Roman" w:eastAsia="宋体"/>
                      <w:color w:val="auto"/>
                      <w:sz w:val="18"/>
                      <w:szCs w:val="18"/>
                      <w:u w:val="none"/>
                      <w:lang w:val="en-US" w:eastAsia="zh-CN"/>
                    </w:rPr>
                  </w:pPr>
                  <w:r>
                    <w:rPr>
                      <w:rFonts w:hint="eastAsia" w:ascii="Times New Roman" w:hAnsi="Times New Roman"/>
                      <w:color w:val="auto"/>
                      <w:sz w:val="18"/>
                      <w:szCs w:val="18"/>
                      <w:u w:val="none"/>
                      <w:lang w:val="en-US" w:eastAsia="zh-CN"/>
                    </w:rPr>
                    <w:t>100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61" w:type="dxa"/>
                  <w:noWrap w:val="0"/>
                  <w:vAlign w:val="center"/>
                </w:tcPr>
                <w:p>
                  <w:pPr>
                    <w:ind w:left="-31" w:leftChars="-15" w:right="-31" w:rightChars="-15"/>
                    <w:jc w:val="center"/>
                    <w:rPr>
                      <w:color w:val="000000"/>
                      <w:sz w:val="18"/>
                      <w:szCs w:val="18"/>
                      <w:u w:val="none"/>
                    </w:rPr>
                  </w:pPr>
                  <w:r>
                    <w:rPr>
                      <w:color w:val="000000"/>
                      <w:sz w:val="18"/>
                      <w:szCs w:val="18"/>
                      <w:u w:val="none"/>
                    </w:rPr>
                    <w:t>氟化物</w:t>
                  </w:r>
                </w:p>
              </w:tc>
              <w:tc>
                <w:tcPr>
                  <w:tcW w:w="675" w:type="dxa"/>
                  <w:noWrap w:val="0"/>
                  <w:vAlign w:val="center"/>
                </w:tcPr>
                <w:p>
                  <w:pPr>
                    <w:ind w:left="-31" w:leftChars="-15" w:right="-31" w:rightChars="-15"/>
                    <w:jc w:val="center"/>
                    <w:rPr>
                      <w:rFonts w:hint="default" w:eastAsia="宋体"/>
                      <w:color w:val="auto"/>
                      <w:sz w:val="18"/>
                      <w:szCs w:val="18"/>
                      <w:u w:val="none"/>
                      <w:lang w:val="en-US" w:eastAsia="zh-CN"/>
                    </w:rPr>
                  </w:pPr>
                  <w:r>
                    <w:rPr>
                      <w:rFonts w:hint="eastAsia"/>
                      <w:color w:val="auto"/>
                      <w:sz w:val="18"/>
                      <w:szCs w:val="18"/>
                      <w:u w:val="none"/>
                      <w:lang w:val="en-US" w:eastAsia="zh-CN"/>
                    </w:rPr>
                    <w:t>6.17</w:t>
                  </w:r>
                </w:p>
              </w:tc>
              <w:tc>
                <w:tcPr>
                  <w:tcW w:w="660" w:type="dxa"/>
                  <w:noWrap w:val="0"/>
                  <w:vAlign w:val="center"/>
                </w:tcPr>
                <w:p>
                  <w:pPr>
                    <w:ind w:left="-31" w:leftChars="-15" w:right="-31" w:rightChars="-15"/>
                    <w:jc w:val="center"/>
                    <w:rPr>
                      <w:rFonts w:hint="default" w:eastAsia="宋体"/>
                      <w:color w:val="auto"/>
                      <w:sz w:val="18"/>
                      <w:szCs w:val="18"/>
                      <w:u w:val="none"/>
                      <w:lang w:val="en-US" w:eastAsia="zh-CN"/>
                    </w:rPr>
                  </w:pPr>
                  <w:r>
                    <w:rPr>
                      <w:rFonts w:hint="eastAsia"/>
                      <w:color w:val="auto"/>
                      <w:sz w:val="18"/>
                      <w:szCs w:val="18"/>
                      <w:u w:val="none"/>
                      <w:lang w:val="en-US" w:eastAsia="zh-CN"/>
                    </w:rPr>
                    <w:t>0.125</w:t>
                  </w:r>
                </w:p>
              </w:tc>
              <w:tc>
                <w:tcPr>
                  <w:tcW w:w="1230" w:type="dxa"/>
                  <w:noWrap w:val="0"/>
                  <w:vAlign w:val="center"/>
                </w:tcPr>
                <w:p>
                  <w:pPr>
                    <w:ind w:left="-31" w:leftChars="-15" w:right="-31" w:rightChars="-15"/>
                    <w:jc w:val="center"/>
                    <w:rPr>
                      <w:rFonts w:hint="default" w:eastAsia="宋体"/>
                      <w:color w:val="auto"/>
                      <w:sz w:val="18"/>
                      <w:szCs w:val="18"/>
                      <w:u w:val="none"/>
                      <w:lang w:val="en-US" w:eastAsia="zh-CN"/>
                    </w:rPr>
                  </w:pPr>
                  <w:r>
                    <w:rPr>
                      <w:rFonts w:hint="eastAsia"/>
                      <w:color w:val="auto"/>
                      <w:sz w:val="18"/>
                      <w:szCs w:val="18"/>
                      <w:u w:val="none"/>
                      <w:lang w:val="en-US" w:eastAsia="zh-CN"/>
                    </w:rPr>
                    <w:t>0.9</w:t>
                  </w:r>
                </w:p>
              </w:tc>
              <w:tc>
                <w:tcPr>
                  <w:tcW w:w="945" w:type="dxa"/>
                  <w:vMerge w:val="continue"/>
                  <w:noWrap w:val="0"/>
                  <w:vAlign w:val="center"/>
                </w:tcPr>
                <w:p>
                  <w:pPr>
                    <w:ind w:left="-31" w:leftChars="-15" w:right="-31" w:rightChars="-15"/>
                    <w:jc w:val="center"/>
                    <w:rPr>
                      <w:bCs/>
                      <w:color w:val="000000"/>
                      <w:sz w:val="18"/>
                      <w:szCs w:val="18"/>
                      <w:u w:val="none"/>
                    </w:rPr>
                  </w:pPr>
                </w:p>
              </w:tc>
              <w:tc>
                <w:tcPr>
                  <w:tcW w:w="615" w:type="dxa"/>
                  <w:noWrap w:val="0"/>
                  <w:vAlign w:val="center"/>
                </w:tcPr>
                <w:p>
                  <w:pPr>
                    <w:ind w:left="-31" w:leftChars="-15" w:right="-31" w:rightChars="-15"/>
                    <w:jc w:val="center"/>
                    <w:rPr>
                      <w:bCs/>
                      <w:color w:val="auto"/>
                      <w:sz w:val="18"/>
                      <w:szCs w:val="18"/>
                      <w:u w:val="none"/>
                    </w:rPr>
                  </w:pPr>
                  <w:r>
                    <w:rPr>
                      <w:bCs/>
                      <w:color w:val="auto"/>
                      <w:sz w:val="18"/>
                      <w:szCs w:val="18"/>
                      <w:u w:val="none"/>
                    </w:rPr>
                    <w:t>80</w:t>
                  </w:r>
                </w:p>
              </w:tc>
              <w:tc>
                <w:tcPr>
                  <w:tcW w:w="705" w:type="dxa"/>
                  <w:noWrap w:val="0"/>
                  <w:vAlign w:val="center"/>
                </w:tcPr>
                <w:p>
                  <w:pPr>
                    <w:ind w:left="-31" w:leftChars="-15" w:right="-31" w:rightChars="-15"/>
                    <w:jc w:val="center"/>
                    <w:rPr>
                      <w:rFonts w:hint="default" w:eastAsia="宋体"/>
                      <w:bCs/>
                      <w:color w:val="auto"/>
                      <w:sz w:val="18"/>
                      <w:szCs w:val="18"/>
                      <w:u w:val="none"/>
                      <w:lang w:val="en-US" w:eastAsia="zh-CN"/>
                    </w:rPr>
                  </w:pPr>
                  <w:r>
                    <w:rPr>
                      <w:rFonts w:hint="eastAsia"/>
                      <w:bCs/>
                      <w:color w:val="auto"/>
                      <w:sz w:val="18"/>
                      <w:szCs w:val="18"/>
                      <w:u w:val="none"/>
                      <w:lang w:val="en-US" w:eastAsia="zh-CN"/>
                    </w:rPr>
                    <w:t>1.23</w:t>
                  </w:r>
                </w:p>
              </w:tc>
              <w:tc>
                <w:tcPr>
                  <w:tcW w:w="585" w:type="dxa"/>
                  <w:noWrap w:val="0"/>
                  <w:vAlign w:val="center"/>
                </w:tcPr>
                <w:p>
                  <w:pPr>
                    <w:pStyle w:val="2"/>
                    <w:ind w:left="-31" w:leftChars="-15" w:right="-31" w:rightChars="-15"/>
                    <w:jc w:val="center"/>
                    <w:rPr>
                      <w:rFonts w:hint="default" w:ascii="Times New Roman" w:hAnsi="Times New Roman"/>
                      <w:color w:val="auto"/>
                      <w:sz w:val="18"/>
                      <w:szCs w:val="18"/>
                      <w:u w:val="none"/>
                      <w:lang w:val="en-US"/>
                    </w:rPr>
                  </w:pPr>
                  <w:r>
                    <w:rPr>
                      <w:rFonts w:hint="default" w:ascii="Times New Roman" w:hAnsi="Times New Roman"/>
                      <w:color w:val="auto"/>
                      <w:sz w:val="18"/>
                      <w:szCs w:val="18"/>
                      <w:u w:val="none"/>
                    </w:rPr>
                    <w:t>0.0</w:t>
                  </w:r>
                  <w:r>
                    <w:rPr>
                      <w:rFonts w:hint="eastAsia" w:ascii="Times New Roman" w:hAnsi="Times New Roman"/>
                      <w:color w:val="auto"/>
                      <w:sz w:val="18"/>
                      <w:szCs w:val="18"/>
                      <w:u w:val="none"/>
                      <w:lang w:val="en-US" w:eastAsia="zh-CN"/>
                    </w:rPr>
                    <w:t>25</w:t>
                  </w:r>
                </w:p>
              </w:tc>
              <w:tc>
                <w:tcPr>
                  <w:tcW w:w="1095" w:type="dxa"/>
                  <w:noWrap w:val="0"/>
                  <w:vAlign w:val="center"/>
                </w:tcPr>
                <w:p>
                  <w:pPr>
                    <w:pStyle w:val="2"/>
                    <w:ind w:left="-31" w:leftChars="-15" w:right="-31" w:rightChars="-15"/>
                    <w:jc w:val="center"/>
                    <w:rPr>
                      <w:rFonts w:hint="default" w:ascii="Times New Roman" w:hAnsi="Times New Roman" w:eastAsia="宋体"/>
                      <w:color w:val="auto"/>
                      <w:sz w:val="18"/>
                      <w:szCs w:val="18"/>
                      <w:u w:val="none"/>
                      <w:lang w:val="en-US" w:eastAsia="zh-CN"/>
                    </w:rPr>
                  </w:pPr>
                  <w:r>
                    <w:rPr>
                      <w:rFonts w:hint="eastAsia" w:ascii="Times New Roman" w:hAnsi="Times New Roman"/>
                      <w:color w:val="auto"/>
                      <w:sz w:val="18"/>
                      <w:szCs w:val="18"/>
                      <w:u w:val="none"/>
                      <w:lang w:val="en-US" w:eastAsia="zh-CN"/>
                    </w:rPr>
                    <w:t>0.18</w:t>
                  </w:r>
                </w:p>
              </w:tc>
              <w:tc>
                <w:tcPr>
                  <w:tcW w:w="675" w:type="dxa"/>
                  <w:noWrap w:val="0"/>
                  <w:vAlign w:val="center"/>
                </w:tcPr>
                <w:p>
                  <w:pPr>
                    <w:pStyle w:val="2"/>
                    <w:ind w:left="-31" w:leftChars="-15" w:right="-31" w:rightChars="-15"/>
                    <w:jc w:val="center"/>
                    <w:rPr>
                      <w:rFonts w:hint="default" w:ascii="Times New Roman" w:hAnsi="Times New Roman"/>
                      <w:color w:val="auto"/>
                      <w:sz w:val="18"/>
                      <w:szCs w:val="18"/>
                      <w:u w:val="none"/>
                    </w:rPr>
                  </w:pPr>
                  <w:r>
                    <w:rPr>
                      <w:rFonts w:hint="default" w:ascii="Times New Roman" w:hAnsi="Times New Roman"/>
                      <w:color w:val="auto"/>
                      <w:sz w:val="18"/>
                      <w:szCs w:val="18"/>
                      <w:u w:val="none"/>
                    </w:rPr>
                    <w:t>3</w:t>
                  </w:r>
                </w:p>
              </w:tc>
            </w:tr>
          </w:tbl>
          <w:p>
            <w:pPr>
              <w:spacing w:line="360" w:lineRule="auto"/>
              <w:ind w:firstLine="480" w:firstLineChars="200"/>
              <w:rPr>
                <w:rFonts w:hint="default"/>
                <w:lang w:val="en-US" w:eastAsia="zh-CN"/>
              </w:rPr>
            </w:pPr>
            <w:r>
              <w:rPr>
                <w:rFonts w:hint="default" w:ascii="Times New Roman" w:hAnsi="Times New Roman" w:cs="Times New Roman"/>
                <w:bCs/>
                <w:color w:val="000000"/>
                <w:sz w:val="24"/>
                <w:u w:val="single"/>
              </w:rPr>
              <w:t>由上表可知，炉窑废气中各因子均可满足《砖瓦工业大气污染物排放标准及修改单》（GB 29620-2013）表2中新建企业大气污染物排放限值</w:t>
            </w:r>
            <w:r>
              <w:rPr>
                <w:rFonts w:hint="eastAsia" w:ascii="Times New Roman" w:hAnsi="Times New Roman" w:cs="Times New Roman"/>
                <w:bCs/>
                <w:color w:val="000000"/>
                <w:sz w:val="24"/>
                <w:u w:val="single"/>
                <w:lang w:val="en-US" w:eastAsia="zh-CN"/>
              </w:rPr>
              <w:t>及</w:t>
            </w:r>
            <w:r>
              <w:rPr>
                <w:rFonts w:hint="eastAsia" w:ascii="Times New Roman" w:hAnsi="Times New Roman" w:eastAsia="宋体" w:cs="Times New Roman"/>
                <w:color w:val="000000"/>
                <w:sz w:val="24"/>
                <w:highlight w:val="none"/>
                <w:u w:val="single" w:color="auto"/>
                <w:lang w:eastAsia="zh-CN"/>
              </w:rPr>
              <w:t>《</w:t>
            </w:r>
            <w:r>
              <w:rPr>
                <w:rFonts w:hint="eastAsia" w:ascii="Times New Roman" w:hAnsi="Times New Roman" w:eastAsia="宋体" w:cs="Times New Roman"/>
                <w:color w:val="000000"/>
                <w:sz w:val="24"/>
                <w:highlight w:val="none"/>
                <w:u w:val="single" w:color="auto"/>
                <w:lang w:val="en-US" w:eastAsia="zh-CN"/>
              </w:rPr>
              <w:t>工业炉窑主要大气污染物排放标准</w:t>
            </w:r>
            <w:r>
              <w:rPr>
                <w:rFonts w:hint="eastAsia" w:ascii="Times New Roman" w:hAnsi="Times New Roman" w:eastAsia="宋体" w:cs="Times New Roman"/>
                <w:color w:val="000000"/>
                <w:sz w:val="24"/>
                <w:highlight w:val="none"/>
                <w:u w:val="single" w:color="auto"/>
                <w:lang w:eastAsia="zh-CN"/>
              </w:rPr>
              <w:t>》（</w:t>
            </w:r>
            <w:r>
              <w:rPr>
                <w:rFonts w:hint="eastAsia" w:ascii="Times New Roman" w:hAnsi="Times New Roman" w:eastAsia="宋体" w:cs="Times New Roman"/>
                <w:color w:val="000000"/>
                <w:sz w:val="24"/>
                <w:highlight w:val="none"/>
                <w:u w:val="single" w:color="auto"/>
                <w:lang w:val="en-US" w:eastAsia="zh-CN"/>
              </w:rPr>
              <w:t>DB43/3082-2024</w:t>
            </w:r>
            <w:r>
              <w:rPr>
                <w:rFonts w:hint="eastAsia" w:ascii="Times New Roman" w:hAnsi="Times New Roman" w:eastAsia="宋体" w:cs="Times New Roman"/>
                <w:color w:val="000000"/>
                <w:sz w:val="24"/>
                <w:highlight w:val="none"/>
                <w:u w:val="single" w:color="auto"/>
                <w:lang w:eastAsia="zh-CN"/>
              </w:rPr>
              <w:t>）中砖瓦工业的排放浓度限值</w:t>
            </w:r>
            <w:r>
              <w:rPr>
                <w:rFonts w:hint="default" w:ascii="Times New Roman" w:hAnsi="Times New Roman" w:cs="Times New Roman"/>
                <w:bCs/>
                <w:color w:val="000000"/>
                <w:sz w:val="24"/>
                <w:u w:val="single" w:color="auto"/>
              </w:rPr>
              <w:t>。</w:t>
            </w:r>
          </w:p>
          <w:p>
            <w:pPr>
              <w:pStyle w:val="11"/>
              <w:numPr>
                <w:ilvl w:val="0"/>
                <w:numId w:val="0"/>
              </w:numPr>
              <w:spacing w:line="360" w:lineRule="auto"/>
              <w:ind w:firstLine="482" w:firstLineChars="200"/>
              <w:rPr>
                <w:rFonts w:hint="eastAsia" w:ascii="Times New Roman" w:hAnsi="Times New Roman" w:eastAsia="宋体" w:cs="Times New Roman"/>
                <w:b/>
                <w:bCs/>
                <w:color w:val="auto"/>
                <w:sz w:val="24"/>
                <w:u w:val="none"/>
                <w:lang w:val="en-US" w:eastAsia="zh-CN"/>
              </w:rPr>
            </w:pPr>
            <w:r>
              <w:rPr>
                <w:rFonts w:hint="eastAsia" w:cs="Times New Roman"/>
                <w:b/>
                <w:bCs/>
                <w:color w:val="auto"/>
                <w:kern w:val="2"/>
                <w:sz w:val="24"/>
                <w:szCs w:val="24"/>
                <w:lang w:val="en-US" w:eastAsia="zh-CN" w:bidi="ar-SA"/>
              </w:rPr>
              <w:t>6</w:t>
            </w:r>
            <w:r>
              <w:rPr>
                <w:rFonts w:hint="eastAsia" w:ascii="Times New Roman" w:hAnsi="Times New Roman" w:eastAsia="宋体" w:cs="Times New Roman"/>
                <w:b/>
                <w:bCs/>
                <w:color w:val="auto"/>
                <w:kern w:val="2"/>
                <w:sz w:val="24"/>
                <w:szCs w:val="24"/>
                <w:lang w:val="en-US" w:eastAsia="zh-CN" w:bidi="ar-SA"/>
              </w:rPr>
              <w:t>、</w:t>
            </w:r>
            <w:r>
              <w:rPr>
                <w:rFonts w:hint="eastAsia" w:ascii="Times New Roman" w:hAnsi="Times New Roman" w:eastAsia="宋体" w:cs="Times New Roman"/>
                <w:b/>
                <w:bCs/>
                <w:color w:val="auto"/>
                <w:sz w:val="24"/>
                <w:u w:val="none"/>
                <w:lang w:val="en-US" w:eastAsia="zh-CN"/>
              </w:rPr>
              <w:t>排气筒高度合理性分析</w:t>
            </w:r>
          </w:p>
          <w:p>
            <w:pPr>
              <w:pStyle w:val="75"/>
              <w:spacing w:before="158" w:line="364" w:lineRule="auto"/>
              <w:ind w:left="106" w:right="-29" w:firstLine="480"/>
              <w:rPr>
                <w:rFonts w:hint="default" w:ascii="Times New Roman" w:hAnsi="Times New Roman" w:eastAsia="宋体" w:cs="Times New Roman"/>
                <w:b/>
                <w:bCs/>
                <w:color w:val="auto"/>
                <w:sz w:val="24"/>
                <w:u w:val="none"/>
              </w:rPr>
            </w:pPr>
            <w:r>
              <w:rPr>
                <w:color w:val="auto"/>
                <w:spacing w:val="-11"/>
                <w:sz w:val="24"/>
              </w:rPr>
              <w:t>项目共设置</w:t>
            </w:r>
            <w:r>
              <w:rPr>
                <w:rFonts w:hint="eastAsia"/>
                <w:color w:val="auto"/>
                <w:spacing w:val="-11"/>
                <w:sz w:val="24"/>
                <w:lang w:val="en-US" w:eastAsia="zh-CN"/>
              </w:rPr>
              <w:t>3</w:t>
            </w:r>
            <w:r>
              <w:rPr>
                <w:color w:val="auto"/>
                <w:sz w:val="24"/>
              </w:rPr>
              <w:t>个排气筒，破碎筛分排气筒（</w:t>
            </w:r>
            <w:r>
              <w:rPr>
                <w:rFonts w:ascii="Times New Roman" w:eastAsia="Times New Roman"/>
                <w:color w:val="auto"/>
                <w:sz w:val="24"/>
              </w:rPr>
              <w:t>DA00</w:t>
            </w:r>
            <w:r>
              <w:rPr>
                <w:rFonts w:hint="eastAsia" w:ascii="Times New Roman" w:eastAsia="宋体"/>
                <w:color w:val="auto"/>
                <w:sz w:val="24"/>
                <w:lang w:val="en-US" w:eastAsia="zh-CN"/>
              </w:rPr>
              <w:t>1</w:t>
            </w:r>
            <w:r>
              <w:rPr>
                <w:rFonts w:hint="eastAsia" w:ascii="Times New Roman"/>
                <w:color w:val="auto"/>
                <w:sz w:val="24"/>
                <w:lang w:val="en-US" w:eastAsia="zh-CN"/>
              </w:rPr>
              <w:t>、DA002</w:t>
            </w:r>
            <w:r>
              <w:rPr>
                <w:color w:val="auto"/>
                <w:sz w:val="24"/>
              </w:rPr>
              <w:t>）</w:t>
            </w:r>
            <w:r>
              <w:rPr>
                <w:color w:val="auto"/>
                <w:spacing w:val="-16"/>
                <w:sz w:val="24"/>
              </w:rPr>
              <w:t>高度为</w:t>
            </w:r>
            <w:r>
              <w:rPr>
                <w:rFonts w:ascii="Times New Roman" w:eastAsia="Times New Roman"/>
                <w:color w:val="auto"/>
                <w:sz w:val="24"/>
              </w:rPr>
              <w:t>15m</w:t>
            </w:r>
            <w:r>
              <w:rPr>
                <w:color w:val="auto"/>
                <w:sz w:val="24"/>
              </w:rPr>
              <w:t>，高于生产车</w:t>
            </w:r>
            <w:r>
              <w:rPr>
                <w:color w:val="auto"/>
                <w:spacing w:val="-6"/>
                <w:sz w:val="24"/>
              </w:rPr>
              <w:t>间棚顶，满足《砖瓦工业大气污染物排放标准及修改单》</w:t>
            </w:r>
            <w:r>
              <w:rPr>
                <w:color w:val="auto"/>
                <w:sz w:val="24"/>
              </w:rPr>
              <w:t>（</w:t>
            </w:r>
            <w:r>
              <w:rPr>
                <w:rFonts w:ascii="Times New Roman" w:eastAsia="Times New Roman"/>
                <w:color w:val="auto"/>
                <w:sz w:val="24"/>
              </w:rPr>
              <w:t>GB29620-2013</w:t>
            </w:r>
            <w:r>
              <w:rPr>
                <w:color w:val="auto"/>
                <w:sz w:val="24"/>
              </w:rPr>
              <w:t>）中排气</w:t>
            </w:r>
            <w:r>
              <w:rPr>
                <w:color w:val="auto"/>
                <w:spacing w:val="-9"/>
                <w:sz w:val="24"/>
              </w:rPr>
              <w:t>筒高度不低于</w:t>
            </w:r>
            <w:r>
              <w:rPr>
                <w:rFonts w:ascii="Times New Roman" w:eastAsia="Times New Roman"/>
                <w:color w:val="auto"/>
                <w:sz w:val="24"/>
              </w:rPr>
              <w:t>15m</w:t>
            </w:r>
            <w:r>
              <w:rPr>
                <w:color w:val="auto"/>
                <w:spacing w:val="-4"/>
                <w:sz w:val="24"/>
              </w:rPr>
              <w:t>的要求，且项目地势较高，周边</w:t>
            </w:r>
            <w:r>
              <w:rPr>
                <w:rFonts w:ascii="Times New Roman" w:eastAsia="Times New Roman"/>
                <w:color w:val="auto"/>
                <w:sz w:val="24"/>
              </w:rPr>
              <w:t>200m</w:t>
            </w:r>
            <w:r>
              <w:rPr>
                <w:color w:val="auto"/>
                <w:sz w:val="24"/>
              </w:rPr>
              <w:t>范围内建筑物均低于项目</w:t>
            </w:r>
            <w:r>
              <w:rPr>
                <w:color w:val="auto"/>
                <w:spacing w:val="-4"/>
                <w:sz w:val="24"/>
              </w:rPr>
              <w:t>排气筒高度；隧道窑烟气排气筒</w:t>
            </w:r>
            <w:r>
              <w:rPr>
                <w:color w:val="auto"/>
                <w:sz w:val="24"/>
              </w:rPr>
              <w:t>（</w:t>
            </w:r>
            <w:r>
              <w:rPr>
                <w:rFonts w:ascii="Times New Roman" w:eastAsia="Times New Roman"/>
                <w:color w:val="auto"/>
                <w:sz w:val="24"/>
              </w:rPr>
              <w:t>DA00</w:t>
            </w:r>
            <w:r>
              <w:rPr>
                <w:rFonts w:hint="eastAsia" w:ascii="Times New Roman"/>
                <w:color w:val="auto"/>
                <w:sz w:val="24"/>
                <w:lang w:val="en-US" w:eastAsia="zh-CN"/>
              </w:rPr>
              <w:t>3</w:t>
            </w:r>
            <w:r>
              <w:rPr>
                <w:color w:val="auto"/>
                <w:sz w:val="24"/>
              </w:rPr>
              <w:t>）</w:t>
            </w:r>
            <w:r>
              <w:rPr>
                <w:color w:val="auto"/>
                <w:spacing w:val="-12"/>
                <w:sz w:val="24"/>
              </w:rPr>
              <w:t>高度设置为</w:t>
            </w:r>
            <w:r>
              <w:rPr>
                <w:rFonts w:hint="eastAsia" w:ascii="Times New Roman"/>
                <w:color w:val="auto"/>
                <w:spacing w:val="-4"/>
                <w:sz w:val="24"/>
                <w:lang w:val="en-US" w:eastAsia="zh-CN"/>
              </w:rPr>
              <w:t>25</w:t>
            </w:r>
            <w:r>
              <w:rPr>
                <w:rFonts w:ascii="Times New Roman" w:eastAsia="Times New Roman"/>
                <w:color w:val="auto"/>
                <w:spacing w:val="-4"/>
                <w:sz w:val="24"/>
              </w:rPr>
              <w:t>m</w:t>
            </w:r>
            <w:r>
              <w:rPr>
                <w:rFonts w:hint="eastAsia" w:ascii="Times New Roman" w:eastAsia="宋体"/>
                <w:color w:val="auto"/>
                <w:spacing w:val="-4"/>
                <w:sz w:val="24"/>
                <w:lang w:eastAsia="zh-CN"/>
              </w:rPr>
              <w:t>，</w:t>
            </w:r>
            <w:r>
              <w:rPr>
                <w:color w:val="auto"/>
                <w:spacing w:val="-11"/>
                <w:sz w:val="24"/>
              </w:rPr>
              <w:t>排气筒能够更有效的排放烟气，同时满足《砖</w:t>
            </w:r>
            <w:r>
              <w:rPr>
                <w:color w:val="auto"/>
                <w:spacing w:val="-13"/>
                <w:sz w:val="24"/>
              </w:rPr>
              <w:t>瓦工业大气污染物排放标准及修改单》</w:t>
            </w:r>
            <w:r>
              <w:rPr>
                <w:color w:val="auto"/>
                <w:sz w:val="24"/>
              </w:rPr>
              <w:t>（</w:t>
            </w:r>
            <w:r>
              <w:rPr>
                <w:rFonts w:ascii="Times New Roman" w:eastAsia="Times New Roman"/>
                <w:color w:val="auto"/>
                <w:sz w:val="24"/>
              </w:rPr>
              <w:t>GB29620-2013</w:t>
            </w:r>
            <w:r>
              <w:rPr>
                <w:color w:val="auto"/>
                <w:sz w:val="24"/>
              </w:rPr>
              <w:t>）</w:t>
            </w:r>
            <w:r>
              <w:rPr>
                <w:color w:val="auto"/>
                <w:spacing w:val="-7"/>
                <w:sz w:val="24"/>
              </w:rPr>
              <w:t>中排气筒高度不低于</w:t>
            </w:r>
            <w:r>
              <w:rPr>
                <w:rFonts w:ascii="Times New Roman" w:eastAsia="Times New Roman"/>
                <w:color w:val="auto"/>
                <w:sz w:val="24"/>
              </w:rPr>
              <w:t>15m</w:t>
            </w:r>
            <w:r>
              <w:rPr>
                <w:color w:val="auto"/>
                <w:spacing w:val="-7"/>
                <w:sz w:val="24"/>
              </w:rPr>
              <w:t>的要求及高于周边</w:t>
            </w:r>
            <w:r>
              <w:rPr>
                <w:rFonts w:ascii="Times New Roman" w:eastAsia="Times New Roman"/>
                <w:color w:val="auto"/>
                <w:sz w:val="24"/>
              </w:rPr>
              <w:t>200m</w:t>
            </w:r>
            <w:r>
              <w:rPr>
                <w:color w:val="auto"/>
                <w:spacing w:val="-9"/>
                <w:sz w:val="24"/>
              </w:rPr>
              <w:t>范围内建筑物</w:t>
            </w:r>
            <w:r>
              <w:rPr>
                <w:rFonts w:ascii="Times New Roman" w:eastAsia="Times New Roman"/>
                <w:color w:val="auto"/>
                <w:sz w:val="24"/>
              </w:rPr>
              <w:t>3m</w:t>
            </w:r>
            <w:r>
              <w:rPr>
                <w:color w:val="auto"/>
                <w:sz w:val="24"/>
              </w:rPr>
              <w:t>以上的要求。</w:t>
            </w:r>
          </w:p>
          <w:p>
            <w:pPr>
              <w:pStyle w:val="11"/>
              <w:spacing w:line="360" w:lineRule="auto"/>
              <w:ind w:firstLine="482"/>
              <w:rPr>
                <w:rFonts w:hint="default" w:ascii="Times New Roman" w:hAnsi="Times New Roman" w:eastAsia="宋体" w:cs="Times New Roman"/>
                <w:b/>
                <w:bCs/>
                <w:color w:val="auto"/>
                <w:sz w:val="24"/>
                <w:u w:val="single" w:color="auto"/>
              </w:rPr>
            </w:pPr>
            <w:r>
              <w:rPr>
                <w:rFonts w:hint="eastAsia" w:cs="Times New Roman"/>
                <w:b/>
                <w:bCs/>
                <w:color w:val="auto"/>
                <w:sz w:val="24"/>
                <w:u w:val="single" w:color="auto"/>
                <w:lang w:val="en-US" w:eastAsia="zh-CN"/>
              </w:rPr>
              <w:t>8</w:t>
            </w:r>
            <w:r>
              <w:rPr>
                <w:rFonts w:hint="default" w:ascii="Times New Roman" w:hAnsi="Times New Roman" w:eastAsia="宋体" w:cs="Times New Roman"/>
                <w:b/>
                <w:bCs/>
                <w:color w:val="auto"/>
                <w:sz w:val="24"/>
                <w:u w:val="single" w:color="auto"/>
              </w:rPr>
              <w:t>、项目营运期废气监测计划</w:t>
            </w:r>
          </w:p>
          <w:p>
            <w:pPr>
              <w:pStyle w:val="11"/>
              <w:spacing w:line="360" w:lineRule="auto"/>
              <w:ind w:firstLine="480"/>
              <w:rPr>
                <w:rFonts w:hint="default" w:ascii="Times New Roman" w:hAnsi="Times New Roman" w:eastAsia="宋体" w:cs="Times New Roman"/>
                <w:color w:val="auto"/>
                <w:sz w:val="24"/>
                <w:u w:val="single" w:color="auto"/>
              </w:rPr>
            </w:pPr>
            <w:r>
              <w:rPr>
                <w:rFonts w:hint="default" w:ascii="Times New Roman" w:hAnsi="Times New Roman" w:eastAsia="宋体" w:cs="Times New Roman"/>
                <w:color w:val="auto"/>
                <w:sz w:val="24"/>
                <w:u w:val="single" w:color="auto"/>
              </w:rPr>
              <w:t>根据《排污许可证申请与核发技术规范陶瓷砖瓦工业》及《排污单位自行监测技术指南总则》（HJ819-2017），项目运营期废气环境监测计划如下：</w:t>
            </w:r>
          </w:p>
          <w:p>
            <w:pPr>
              <w:ind w:firstLine="482"/>
              <w:jc w:val="center"/>
              <w:rPr>
                <w:rFonts w:hint="default" w:ascii="Times New Roman" w:hAnsi="Times New Roman" w:eastAsia="宋体" w:cs="Times New Roman"/>
                <w:b/>
                <w:bCs/>
                <w:color w:val="auto"/>
                <w:szCs w:val="21"/>
                <w:u w:val="single" w:color="auto"/>
              </w:rPr>
            </w:pPr>
            <w:r>
              <w:rPr>
                <w:rFonts w:hint="default" w:ascii="Times New Roman" w:hAnsi="Times New Roman" w:eastAsia="宋体" w:cs="Times New Roman"/>
                <w:b/>
                <w:bCs/>
                <w:color w:val="auto"/>
                <w:szCs w:val="21"/>
                <w:u w:val="single" w:color="auto"/>
              </w:rPr>
              <w:t>表4-</w:t>
            </w:r>
            <w:r>
              <w:rPr>
                <w:rFonts w:hint="eastAsia" w:cs="Times New Roman"/>
                <w:b/>
                <w:bCs/>
                <w:color w:val="auto"/>
                <w:szCs w:val="21"/>
                <w:u w:val="single" w:color="auto"/>
                <w:lang w:val="en-US" w:eastAsia="zh-CN"/>
              </w:rPr>
              <w:t>4</w:t>
            </w:r>
            <w:r>
              <w:rPr>
                <w:rFonts w:hint="default" w:ascii="Times New Roman" w:hAnsi="Times New Roman" w:eastAsia="宋体" w:cs="Times New Roman"/>
                <w:b/>
                <w:bCs/>
                <w:color w:val="auto"/>
                <w:szCs w:val="21"/>
                <w:u w:val="single" w:color="auto"/>
              </w:rPr>
              <w:t>项目营运期废气环境监测计划一览表</w:t>
            </w:r>
          </w:p>
          <w:tbl>
            <w:tblPr>
              <w:tblStyle w:val="30"/>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77"/>
              <w:gridCol w:w="1457"/>
              <w:gridCol w:w="1627"/>
              <w:gridCol w:w="1129"/>
              <w:gridCol w:w="304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7" w:type="dxa"/>
                  <w:noWrap w:val="0"/>
                  <w:vAlign w:val="center"/>
                </w:tcPr>
                <w:p>
                  <w:pPr>
                    <w:adjustRightInd w:val="0"/>
                    <w:snapToGrid w:val="0"/>
                    <w:jc w:val="center"/>
                    <w:rPr>
                      <w:rFonts w:hint="default" w:ascii="Times New Roman" w:hAnsi="Times New Roman" w:eastAsia="宋体" w:cs="Times New Roman"/>
                      <w:color w:val="auto"/>
                      <w:sz w:val="18"/>
                      <w:szCs w:val="21"/>
                      <w:u w:val="single" w:color="auto"/>
                    </w:rPr>
                  </w:pPr>
                  <w:r>
                    <w:rPr>
                      <w:rFonts w:hint="default" w:ascii="Times New Roman" w:hAnsi="Times New Roman" w:eastAsia="宋体" w:cs="Times New Roman"/>
                      <w:color w:val="auto"/>
                      <w:sz w:val="18"/>
                      <w:szCs w:val="21"/>
                      <w:u w:val="single" w:color="auto"/>
                    </w:rPr>
                    <w:t>内容</w:t>
                  </w:r>
                </w:p>
              </w:tc>
              <w:tc>
                <w:tcPr>
                  <w:tcW w:w="1457" w:type="dxa"/>
                  <w:noWrap w:val="0"/>
                  <w:vAlign w:val="center"/>
                </w:tcPr>
                <w:p>
                  <w:pPr>
                    <w:adjustRightInd w:val="0"/>
                    <w:snapToGrid w:val="0"/>
                    <w:jc w:val="center"/>
                    <w:rPr>
                      <w:rFonts w:hint="default" w:ascii="Times New Roman" w:hAnsi="Times New Roman" w:eastAsia="宋体" w:cs="Times New Roman"/>
                      <w:color w:val="auto"/>
                      <w:sz w:val="18"/>
                      <w:szCs w:val="21"/>
                      <w:u w:val="single" w:color="auto"/>
                    </w:rPr>
                  </w:pPr>
                  <w:r>
                    <w:rPr>
                      <w:rFonts w:hint="default" w:ascii="Times New Roman" w:hAnsi="Times New Roman" w:eastAsia="宋体" w:cs="Times New Roman"/>
                      <w:color w:val="auto"/>
                      <w:sz w:val="18"/>
                      <w:szCs w:val="21"/>
                      <w:u w:val="single" w:color="auto"/>
                    </w:rPr>
                    <w:t>监测点位</w:t>
                  </w:r>
                </w:p>
              </w:tc>
              <w:tc>
                <w:tcPr>
                  <w:tcW w:w="1627" w:type="dxa"/>
                  <w:noWrap w:val="0"/>
                  <w:vAlign w:val="center"/>
                </w:tcPr>
                <w:p>
                  <w:pPr>
                    <w:adjustRightInd w:val="0"/>
                    <w:snapToGrid w:val="0"/>
                    <w:jc w:val="center"/>
                    <w:rPr>
                      <w:rFonts w:hint="default" w:ascii="Times New Roman" w:hAnsi="Times New Roman" w:eastAsia="宋体" w:cs="Times New Roman"/>
                      <w:color w:val="auto"/>
                      <w:sz w:val="18"/>
                      <w:szCs w:val="21"/>
                      <w:u w:val="single" w:color="auto"/>
                    </w:rPr>
                  </w:pPr>
                  <w:r>
                    <w:rPr>
                      <w:rFonts w:hint="default" w:ascii="Times New Roman" w:hAnsi="Times New Roman" w:eastAsia="宋体" w:cs="Times New Roman"/>
                      <w:color w:val="auto"/>
                      <w:sz w:val="18"/>
                      <w:szCs w:val="21"/>
                      <w:u w:val="single" w:color="auto"/>
                    </w:rPr>
                    <w:t>监测因子</w:t>
                  </w:r>
                </w:p>
              </w:tc>
              <w:tc>
                <w:tcPr>
                  <w:tcW w:w="1129" w:type="dxa"/>
                  <w:noWrap w:val="0"/>
                  <w:vAlign w:val="center"/>
                </w:tcPr>
                <w:p>
                  <w:pPr>
                    <w:adjustRightInd w:val="0"/>
                    <w:snapToGrid w:val="0"/>
                    <w:jc w:val="center"/>
                    <w:rPr>
                      <w:rFonts w:hint="default" w:ascii="Times New Roman" w:hAnsi="Times New Roman" w:eastAsia="宋体" w:cs="Times New Roman"/>
                      <w:color w:val="auto"/>
                      <w:sz w:val="18"/>
                      <w:szCs w:val="21"/>
                      <w:u w:val="single" w:color="auto"/>
                    </w:rPr>
                  </w:pPr>
                  <w:r>
                    <w:rPr>
                      <w:rFonts w:hint="default" w:ascii="Times New Roman" w:hAnsi="Times New Roman" w:eastAsia="宋体" w:cs="Times New Roman"/>
                      <w:color w:val="auto"/>
                      <w:sz w:val="18"/>
                      <w:szCs w:val="21"/>
                      <w:u w:val="single" w:color="auto"/>
                    </w:rPr>
                    <w:t>监测频次</w:t>
                  </w:r>
                </w:p>
              </w:tc>
              <w:tc>
                <w:tcPr>
                  <w:tcW w:w="3047" w:type="dxa"/>
                  <w:noWrap w:val="0"/>
                  <w:vAlign w:val="center"/>
                </w:tcPr>
                <w:p>
                  <w:pPr>
                    <w:adjustRightInd w:val="0"/>
                    <w:snapToGrid w:val="0"/>
                    <w:jc w:val="center"/>
                    <w:rPr>
                      <w:rFonts w:hint="default" w:ascii="Times New Roman" w:hAnsi="Times New Roman" w:eastAsia="宋体" w:cs="Times New Roman"/>
                      <w:color w:val="auto"/>
                      <w:sz w:val="18"/>
                      <w:szCs w:val="21"/>
                      <w:u w:val="single" w:color="auto"/>
                    </w:rPr>
                  </w:pPr>
                  <w:r>
                    <w:rPr>
                      <w:rFonts w:hint="default" w:ascii="Times New Roman" w:hAnsi="Times New Roman" w:eastAsia="宋体" w:cs="Times New Roman"/>
                      <w:color w:val="auto"/>
                      <w:sz w:val="18"/>
                      <w:szCs w:val="21"/>
                      <w:u w:val="single" w:color="auto"/>
                    </w:rPr>
                    <w:t>执行标准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7" w:type="dxa"/>
                  <w:vMerge w:val="restart"/>
                  <w:noWrap w:val="0"/>
                  <w:vAlign w:val="center"/>
                </w:tcPr>
                <w:p>
                  <w:pPr>
                    <w:adjustRightInd w:val="0"/>
                    <w:snapToGrid w:val="0"/>
                    <w:jc w:val="center"/>
                    <w:rPr>
                      <w:rFonts w:hint="default" w:ascii="Times New Roman" w:hAnsi="Times New Roman" w:eastAsia="宋体" w:cs="Times New Roman"/>
                      <w:color w:val="auto"/>
                      <w:sz w:val="18"/>
                      <w:szCs w:val="21"/>
                      <w:u w:val="single" w:color="auto"/>
                    </w:rPr>
                  </w:pPr>
                  <w:r>
                    <w:rPr>
                      <w:rFonts w:hint="default" w:ascii="Times New Roman" w:hAnsi="Times New Roman" w:eastAsia="宋体" w:cs="Times New Roman"/>
                      <w:color w:val="auto"/>
                      <w:sz w:val="18"/>
                      <w:szCs w:val="21"/>
                      <w:u w:val="single" w:color="auto"/>
                    </w:rPr>
                    <w:t>有组织废气</w:t>
                  </w:r>
                </w:p>
              </w:tc>
              <w:tc>
                <w:tcPr>
                  <w:tcW w:w="1457" w:type="dxa"/>
                  <w:noWrap w:val="0"/>
                  <w:vAlign w:val="center"/>
                </w:tcPr>
                <w:p>
                  <w:pPr>
                    <w:adjustRightInd w:val="0"/>
                    <w:snapToGrid w:val="0"/>
                    <w:jc w:val="center"/>
                    <w:rPr>
                      <w:rFonts w:hint="default" w:ascii="Times New Roman" w:hAnsi="Times New Roman" w:eastAsia="宋体" w:cs="Times New Roman"/>
                      <w:color w:val="auto"/>
                      <w:sz w:val="18"/>
                      <w:szCs w:val="21"/>
                      <w:u w:val="single" w:color="auto"/>
                      <w:lang w:val="en-US" w:eastAsia="zh-CN"/>
                    </w:rPr>
                  </w:pPr>
                  <w:r>
                    <w:rPr>
                      <w:rFonts w:hint="default" w:ascii="Times New Roman" w:hAnsi="Times New Roman" w:eastAsia="宋体" w:cs="Times New Roman"/>
                      <w:color w:val="auto"/>
                      <w:sz w:val="18"/>
                      <w:szCs w:val="21"/>
                      <w:u w:val="single" w:color="auto"/>
                    </w:rPr>
                    <w:t>DA001</w:t>
                  </w:r>
                  <w:r>
                    <w:rPr>
                      <w:rFonts w:hint="eastAsia" w:cs="Times New Roman"/>
                      <w:color w:val="auto"/>
                      <w:sz w:val="18"/>
                      <w:szCs w:val="21"/>
                      <w:u w:val="single" w:color="auto"/>
                      <w:lang w:eastAsia="zh-CN"/>
                    </w:rPr>
                    <w:t>、</w:t>
                  </w:r>
                  <w:r>
                    <w:rPr>
                      <w:rFonts w:hint="eastAsia" w:cs="Times New Roman"/>
                      <w:color w:val="auto"/>
                      <w:sz w:val="18"/>
                      <w:szCs w:val="21"/>
                      <w:u w:val="single" w:color="auto"/>
                      <w:lang w:val="en-US" w:eastAsia="zh-CN"/>
                    </w:rPr>
                    <w:t>DA002</w:t>
                  </w:r>
                </w:p>
              </w:tc>
              <w:tc>
                <w:tcPr>
                  <w:tcW w:w="1627" w:type="dxa"/>
                  <w:noWrap w:val="0"/>
                  <w:vAlign w:val="center"/>
                </w:tcPr>
                <w:p>
                  <w:pPr>
                    <w:adjustRightInd w:val="0"/>
                    <w:snapToGrid w:val="0"/>
                    <w:jc w:val="center"/>
                    <w:rPr>
                      <w:rFonts w:hint="default" w:ascii="Times New Roman" w:hAnsi="Times New Roman" w:eastAsia="宋体" w:cs="Times New Roman"/>
                      <w:color w:val="auto"/>
                      <w:sz w:val="18"/>
                      <w:szCs w:val="21"/>
                      <w:u w:val="single" w:color="auto"/>
                    </w:rPr>
                  </w:pPr>
                  <w:r>
                    <w:rPr>
                      <w:rFonts w:hint="default" w:ascii="Times New Roman" w:hAnsi="Times New Roman" w:eastAsia="宋体" w:cs="Times New Roman"/>
                      <w:color w:val="auto"/>
                      <w:sz w:val="18"/>
                      <w:szCs w:val="21"/>
                      <w:u w:val="single" w:color="auto"/>
                    </w:rPr>
                    <w:t>颗粒物</w:t>
                  </w:r>
                </w:p>
              </w:tc>
              <w:tc>
                <w:tcPr>
                  <w:tcW w:w="1129" w:type="dxa"/>
                  <w:noWrap w:val="0"/>
                  <w:vAlign w:val="center"/>
                </w:tcPr>
                <w:p>
                  <w:pPr>
                    <w:adjustRightInd w:val="0"/>
                    <w:snapToGrid w:val="0"/>
                    <w:jc w:val="center"/>
                    <w:rPr>
                      <w:rFonts w:hint="default" w:ascii="Times New Roman" w:hAnsi="Times New Roman" w:eastAsia="宋体" w:cs="Times New Roman"/>
                      <w:color w:val="auto"/>
                      <w:sz w:val="18"/>
                      <w:szCs w:val="21"/>
                      <w:u w:val="single" w:color="auto"/>
                    </w:rPr>
                  </w:pPr>
                  <w:r>
                    <w:rPr>
                      <w:rFonts w:hint="eastAsia" w:cs="Times New Roman"/>
                      <w:color w:val="auto"/>
                      <w:sz w:val="18"/>
                      <w:szCs w:val="21"/>
                      <w:u w:val="single" w:color="auto"/>
                      <w:lang w:val="en-US" w:eastAsia="zh-CN"/>
                    </w:rPr>
                    <w:t>每</w:t>
                  </w:r>
                  <w:r>
                    <w:rPr>
                      <w:rFonts w:hint="default" w:ascii="Times New Roman" w:hAnsi="Times New Roman" w:eastAsia="宋体" w:cs="Times New Roman"/>
                      <w:color w:val="auto"/>
                      <w:sz w:val="18"/>
                      <w:szCs w:val="21"/>
                      <w:u w:val="single" w:color="auto"/>
                    </w:rPr>
                    <w:t>年</w:t>
                  </w:r>
                </w:p>
              </w:tc>
              <w:tc>
                <w:tcPr>
                  <w:tcW w:w="3047" w:type="dxa"/>
                  <w:vMerge w:val="restart"/>
                  <w:noWrap w:val="0"/>
                  <w:vAlign w:val="center"/>
                </w:tcPr>
                <w:p>
                  <w:pPr>
                    <w:adjustRightInd w:val="0"/>
                    <w:snapToGrid w:val="0"/>
                    <w:jc w:val="center"/>
                    <w:rPr>
                      <w:rFonts w:hint="eastAsia" w:ascii="Times New Roman" w:hAnsi="Times New Roman" w:eastAsia="宋体" w:cs="Times New Roman"/>
                      <w:color w:val="auto"/>
                      <w:sz w:val="18"/>
                      <w:szCs w:val="18"/>
                      <w:highlight w:val="none"/>
                      <w:u w:val="single" w:color="auto"/>
                      <w:lang w:eastAsia="zh-CN"/>
                    </w:rPr>
                  </w:pPr>
                  <w:r>
                    <w:rPr>
                      <w:rFonts w:hint="eastAsia" w:ascii="Times New Roman" w:hAnsi="Times New Roman" w:eastAsia="宋体" w:cs="Times New Roman"/>
                      <w:color w:val="auto"/>
                      <w:sz w:val="18"/>
                      <w:szCs w:val="18"/>
                      <w:highlight w:val="none"/>
                      <w:u w:val="single" w:color="auto"/>
                      <w:lang w:eastAsia="zh-CN"/>
                    </w:rPr>
                    <w:t>颗粒物</w:t>
                  </w:r>
                  <w:r>
                    <w:rPr>
                      <w:rFonts w:hint="default" w:ascii="Times New Roman" w:hAnsi="Times New Roman" w:eastAsia="宋体" w:cs="Times New Roman"/>
                      <w:color w:val="auto"/>
                      <w:sz w:val="18"/>
                      <w:szCs w:val="18"/>
                      <w:highlight w:val="none"/>
                      <w:u w:val="single" w:color="auto"/>
                    </w:rPr>
                    <w:t>、SO</w:t>
                  </w:r>
                  <w:r>
                    <w:rPr>
                      <w:rFonts w:hint="default" w:ascii="Times New Roman" w:hAnsi="Times New Roman" w:eastAsia="宋体" w:cs="Times New Roman"/>
                      <w:color w:val="auto"/>
                      <w:sz w:val="18"/>
                      <w:szCs w:val="18"/>
                      <w:highlight w:val="none"/>
                      <w:u w:val="single" w:color="auto"/>
                      <w:vertAlign w:val="subscript"/>
                    </w:rPr>
                    <w:t>2</w:t>
                  </w:r>
                  <w:r>
                    <w:rPr>
                      <w:rFonts w:hint="default" w:ascii="Times New Roman" w:hAnsi="Times New Roman" w:eastAsia="宋体" w:cs="Times New Roman"/>
                      <w:color w:val="auto"/>
                      <w:sz w:val="18"/>
                      <w:szCs w:val="18"/>
                      <w:highlight w:val="none"/>
                      <w:u w:val="single" w:color="auto"/>
                    </w:rPr>
                    <w:t>、NO</w:t>
                  </w:r>
                  <w:r>
                    <w:rPr>
                      <w:rFonts w:hint="default" w:ascii="Times New Roman" w:hAnsi="Times New Roman" w:eastAsia="宋体" w:cs="Times New Roman"/>
                      <w:color w:val="auto"/>
                      <w:sz w:val="18"/>
                      <w:szCs w:val="18"/>
                      <w:highlight w:val="none"/>
                      <w:u w:val="single" w:color="auto"/>
                      <w:vertAlign w:val="subscript"/>
                    </w:rPr>
                    <w:t>x</w:t>
                  </w:r>
                  <w:r>
                    <w:rPr>
                      <w:rFonts w:hint="eastAsia" w:ascii="Times New Roman" w:hAnsi="Times New Roman" w:eastAsia="宋体" w:cs="Times New Roman"/>
                      <w:color w:val="auto"/>
                      <w:sz w:val="18"/>
                      <w:szCs w:val="18"/>
                      <w:highlight w:val="none"/>
                      <w:u w:val="single" w:color="auto"/>
                      <w:vertAlign w:val="baseline"/>
                      <w:lang w:eastAsia="zh-CN"/>
                    </w:rPr>
                    <w:t>执行</w:t>
                  </w:r>
                  <w:r>
                    <w:rPr>
                      <w:rFonts w:hint="default" w:ascii="Times New Roman" w:hAnsi="Times New Roman" w:eastAsia="宋体" w:cs="Times New Roman"/>
                      <w:color w:val="auto"/>
                      <w:sz w:val="18"/>
                      <w:szCs w:val="18"/>
                      <w:highlight w:val="none"/>
                      <w:u w:val="single" w:color="auto"/>
                    </w:rPr>
                    <w:t>《工业炉窑主要大气污染物排放标准》（DB43/3082-2024）</w:t>
                  </w:r>
                  <w:r>
                    <w:rPr>
                      <w:rFonts w:hint="eastAsia" w:ascii="Times New Roman" w:hAnsi="Times New Roman" w:eastAsia="宋体" w:cs="Times New Roman"/>
                      <w:color w:val="auto"/>
                      <w:sz w:val="18"/>
                      <w:szCs w:val="18"/>
                      <w:highlight w:val="none"/>
                      <w:u w:val="single" w:color="auto"/>
                      <w:lang w:eastAsia="zh-CN"/>
                    </w:rPr>
                    <w:t>；</w:t>
                  </w:r>
                </w:p>
                <w:p>
                  <w:pPr>
                    <w:adjustRightInd w:val="0"/>
                    <w:snapToGrid w:val="0"/>
                    <w:jc w:val="center"/>
                    <w:rPr>
                      <w:rFonts w:hint="default" w:ascii="Times New Roman" w:hAnsi="Times New Roman" w:eastAsia="宋体" w:cs="Times New Roman"/>
                      <w:color w:val="auto"/>
                      <w:sz w:val="18"/>
                      <w:szCs w:val="21"/>
                      <w:u w:val="single" w:color="auto"/>
                    </w:rPr>
                  </w:pPr>
                  <w:r>
                    <w:rPr>
                      <w:rFonts w:hint="eastAsia" w:ascii="Times New Roman" w:hAnsi="Times New Roman" w:eastAsia="宋体" w:cs="Times New Roman"/>
                      <w:color w:val="auto"/>
                      <w:sz w:val="18"/>
                      <w:szCs w:val="18"/>
                      <w:highlight w:val="none"/>
                      <w:u w:val="single" w:color="auto"/>
                      <w:lang w:eastAsia="zh-CN"/>
                    </w:rPr>
                    <w:t>氟化物执行</w:t>
                  </w:r>
                  <w:r>
                    <w:rPr>
                      <w:rFonts w:hint="default" w:ascii="Times New Roman" w:hAnsi="Times New Roman" w:eastAsia="宋体" w:cs="Times New Roman"/>
                      <w:color w:val="auto"/>
                      <w:sz w:val="18"/>
                      <w:szCs w:val="18"/>
                      <w:highlight w:val="none"/>
                      <w:u w:val="single" w:color="auto"/>
                    </w:rPr>
                    <w:t>《砖瓦工业大气污染物排放标准》（GB29620-2013）表2中排放限值要求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7" w:type="dxa"/>
                  <w:vMerge w:val="continue"/>
                  <w:noWrap w:val="0"/>
                  <w:vAlign w:val="center"/>
                </w:tcPr>
                <w:p>
                  <w:pPr>
                    <w:adjustRightInd w:val="0"/>
                    <w:snapToGrid w:val="0"/>
                    <w:jc w:val="center"/>
                    <w:rPr>
                      <w:rFonts w:hint="default" w:ascii="Times New Roman" w:hAnsi="Times New Roman" w:eastAsia="宋体" w:cs="Times New Roman"/>
                      <w:color w:val="auto"/>
                      <w:sz w:val="18"/>
                      <w:szCs w:val="21"/>
                      <w:u w:val="single" w:color="auto"/>
                    </w:rPr>
                  </w:pPr>
                </w:p>
              </w:tc>
              <w:tc>
                <w:tcPr>
                  <w:tcW w:w="1457" w:type="dxa"/>
                  <w:vMerge w:val="restart"/>
                  <w:noWrap w:val="0"/>
                  <w:vAlign w:val="center"/>
                </w:tcPr>
                <w:p>
                  <w:pPr>
                    <w:adjustRightInd w:val="0"/>
                    <w:snapToGrid w:val="0"/>
                    <w:jc w:val="center"/>
                    <w:rPr>
                      <w:rFonts w:hint="eastAsia" w:ascii="Times New Roman" w:hAnsi="Times New Roman" w:eastAsia="宋体" w:cs="Times New Roman"/>
                      <w:color w:val="auto"/>
                      <w:sz w:val="18"/>
                      <w:szCs w:val="21"/>
                      <w:u w:val="single" w:color="auto"/>
                      <w:lang w:eastAsia="zh-CN"/>
                    </w:rPr>
                  </w:pPr>
                  <w:r>
                    <w:rPr>
                      <w:rFonts w:hint="default" w:ascii="Times New Roman" w:hAnsi="Times New Roman" w:eastAsia="宋体" w:cs="Times New Roman"/>
                      <w:color w:val="auto"/>
                      <w:sz w:val="18"/>
                      <w:szCs w:val="21"/>
                      <w:u w:val="single" w:color="auto"/>
                    </w:rPr>
                    <w:t>DA00</w:t>
                  </w:r>
                  <w:r>
                    <w:rPr>
                      <w:rFonts w:hint="eastAsia" w:cs="Times New Roman"/>
                      <w:color w:val="auto"/>
                      <w:sz w:val="18"/>
                      <w:szCs w:val="21"/>
                      <w:u w:val="single" w:color="auto"/>
                      <w:lang w:val="en-US" w:eastAsia="zh-CN"/>
                    </w:rPr>
                    <w:t>3</w:t>
                  </w:r>
                </w:p>
              </w:tc>
              <w:tc>
                <w:tcPr>
                  <w:tcW w:w="1627" w:type="dxa"/>
                  <w:noWrap w:val="0"/>
                  <w:vAlign w:val="center"/>
                </w:tcPr>
                <w:p>
                  <w:pPr>
                    <w:adjustRightInd w:val="0"/>
                    <w:snapToGrid w:val="0"/>
                    <w:jc w:val="center"/>
                    <w:rPr>
                      <w:rFonts w:hint="default" w:ascii="Times New Roman" w:hAnsi="Times New Roman" w:eastAsia="宋体" w:cs="Times New Roman"/>
                      <w:color w:val="auto"/>
                      <w:sz w:val="18"/>
                      <w:szCs w:val="21"/>
                      <w:u w:val="single" w:color="auto"/>
                    </w:rPr>
                  </w:pPr>
                  <w:r>
                    <w:rPr>
                      <w:rFonts w:hint="default" w:ascii="Times New Roman" w:hAnsi="Times New Roman" w:eastAsia="宋体" w:cs="Times New Roman"/>
                      <w:color w:val="auto"/>
                      <w:sz w:val="18"/>
                      <w:szCs w:val="21"/>
                      <w:u w:val="single" w:color="auto"/>
                    </w:rPr>
                    <w:t>烟尘、SO</w:t>
                  </w:r>
                  <w:r>
                    <w:rPr>
                      <w:rFonts w:hint="default" w:ascii="Times New Roman" w:hAnsi="Times New Roman" w:eastAsia="宋体" w:cs="Times New Roman"/>
                      <w:color w:val="auto"/>
                      <w:sz w:val="18"/>
                      <w:szCs w:val="21"/>
                      <w:u w:val="single" w:color="auto"/>
                      <w:vertAlign w:val="subscript"/>
                    </w:rPr>
                    <w:t>2</w:t>
                  </w:r>
                  <w:r>
                    <w:rPr>
                      <w:rFonts w:hint="default" w:ascii="Times New Roman" w:hAnsi="Times New Roman" w:eastAsia="宋体" w:cs="Times New Roman"/>
                      <w:color w:val="auto"/>
                      <w:sz w:val="18"/>
                      <w:szCs w:val="21"/>
                      <w:u w:val="single" w:color="auto"/>
                    </w:rPr>
                    <w:t>、NO</w:t>
                  </w:r>
                  <w:r>
                    <w:rPr>
                      <w:rFonts w:hint="default" w:ascii="Times New Roman" w:hAnsi="Times New Roman" w:eastAsia="宋体" w:cs="Times New Roman"/>
                      <w:color w:val="auto"/>
                      <w:sz w:val="18"/>
                      <w:szCs w:val="21"/>
                      <w:u w:val="single" w:color="auto"/>
                      <w:vertAlign w:val="subscript"/>
                    </w:rPr>
                    <w:t>X</w:t>
                  </w:r>
                </w:p>
              </w:tc>
              <w:tc>
                <w:tcPr>
                  <w:tcW w:w="1129" w:type="dxa"/>
                  <w:noWrap w:val="0"/>
                  <w:vAlign w:val="center"/>
                </w:tcPr>
                <w:p>
                  <w:pPr>
                    <w:adjustRightInd w:val="0"/>
                    <w:snapToGrid w:val="0"/>
                    <w:jc w:val="center"/>
                    <w:rPr>
                      <w:rFonts w:hint="default" w:ascii="Times New Roman" w:hAnsi="Times New Roman" w:eastAsia="宋体" w:cs="Times New Roman"/>
                      <w:color w:val="auto"/>
                      <w:sz w:val="18"/>
                      <w:szCs w:val="21"/>
                      <w:u w:val="single" w:color="auto"/>
                    </w:rPr>
                  </w:pPr>
                  <w:r>
                    <w:rPr>
                      <w:rFonts w:hint="default" w:ascii="Times New Roman" w:hAnsi="Times New Roman" w:eastAsia="宋体" w:cs="Times New Roman"/>
                      <w:color w:val="auto"/>
                      <w:sz w:val="18"/>
                      <w:szCs w:val="21"/>
                      <w:u w:val="single" w:color="auto"/>
                    </w:rPr>
                    <w:t>在线监测</w:t>
                  </w:r>
                </w:p>
              </w:tc>
              <w:tc>
                <w:tcPr>
                  <w:tcW w:w="3047" w:type="dxa"/>
                  <w:vMerge w:val="continue"/>
                  <w:noWrap w:val="0"/>
                  <w:vAlign w:val="center"/>
                </w:tcPr>
                <w:p>
                  <w:pPr>
                    <w:adjustRightInd w:val="0"/>
                    <w:snapToGrid w:val="0"/>
                    <w:jc w:val="center"/>
                    <w:rPr>
                      <w:rFonts w:hint="default" w:ascii="Times New Roman" w:hAnsi="Times New Roman" w:eastAsia="宋体" w:cs="Times New Roman"/>
                      <w:color w:val="auto"/>
                      <w:sz w:val="18"/>
                      <w:szCs w:val="21"/>
                      <w:u w:val="single" w:color="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7" w:type="dxa"/>
                  <w:vMerge w:val="continue"/>
                  <w:noWrap w:val="0"/>
                  <w:vAlign w:val="center"/>
                </w:tcPr>
                <w:p>
                  <w:pPr>
                    <w:adjustRightInd w:val="0"/>
                    <w:snapToGrid w:val="0"/>
                    <w:jc w:val="center"/>
                    <w:rPr>
                      <w:rFonts w:hint="default" w:ascii="Times New Roman" w:hAnsi="Times New Roman" w:eastAsia="宋体" w:cs="Times New Roman"/>
                      <w:color w:val="auto"/>
                      <w:sz w:val="18"/>
                      <w:szCs w:val="21"/>
                      <w:u w:val="single" w:color="auto"/>
                    </w:rPr>
                  </w:pPr>
                </w:p>
              </w:tc>
              <w:tc>
                <w:tcPr>
                  <w:tcW w:w="1457" w:type="dxa"/>
                  <w:vMerge w:val="continue"/>
                  <w:noWrap w:val="0"/>
                  <w:vAlign w:val="center"/>
                </w:tcPr>
                <w:p>
                  <w:pPr>
                    <w:adjustRightInd w:val="0"/>
                    <w:snapToGrid w:val="0"/>
                    <w:jc w:val="center"/>
                    <w:rPr>
                      <w:rFonts w:hint="default" w:ascii="Times New Roman" w:hAnsi="Times New Roman" w:eastAsia="宋体" w:cs="Times New Roman"/>
                      <w:color w:val="auto"/>
                      <w:sz w:val="18"/>
                      <w:szCs w:val="21"/>
                      <w:u w:val="single" w:color="auto"/>
                    </w:rPr>
                  </w:pPr>
                </w:p>
              </w:tc>
              <w:tc>
                <w:tcPr>
                  <w:tcW w:w="1627" w:type="dxa"/>
                  <w:noWrap w:val="0"/>
                  <w:vAlign w:val="center"/>
                </w:tcPr>
                <w:p>
                  <w:pPr>
                    <w:adjustRightInd w:val="0"/>
                    <w:snapToGrid w:val="0"/>
                    <w:jc w:val="center"/>
                    <w:rPr>
                      <w:rFonts w:hint="default" w:ascii="Times New Roman" w:hAnsi="Times New Roman" w:eastAsia="宋体" w:cs="Times New Roman"/>
                      <w:color w:val="auto"/>
                      <w:sz w:val="18"/>
                      <w:szCs w:val="21"/>
                      <w:u w:val="single" w:color="auto"/>
                    </w:rPr>
                  </w:pPr>
                  <w:r>
                    <w:rPr>
                      <w:rFonts w:hint="default" w:ascii="Times New Roman" w:hAnsi="Times New Roman" w:eastAsia="宋体" w:cs="Times New Roman"/>
                      <w:color w:val="auto"/>
                      <w:sz w:val="18"/>
                      <w:szCs w:val="21"/>
                      <w:u w:val="single" w:color="auto"/>
                    </w:rPr>
                    <w:t>氟化物</w:t>
                  </w:r>
                </w:p>
              </w:tc>
              <w:tc>
                <w:tcPr>
                  <w:tcW w:w="1129" w:type="dxa"/>
                  <w:noWrap w:val="0"/>
                  <w:vAlign w:val="center"/>
                </w:tcPr>
                <w:p>
                  <w:pPr>
                    <w:adjustRightInd w:val="0"/>
                    <w:snapToGrid w:val="0"/>
                    <w:jc w:val="center"/>
                    <w:rPr>
                      <w:rFonts w:hint="default" w:ascii="Times New Roman" w:hAnsi="Times New Roman" w:eastAsia="宋体" w:cs="Times New Roman"/>
                      <w:color w:val="auto"/>
                      <w:sz w:val="18"/>
                      <w:szCs w:val="21"/>
                      <w:u w:val="single" w:color="auto"/>
                    </w:rPr>
                  </w:pPr>
                  <w:r>
                    <w:rPr>
                      <w:rFonts w:hint="default" w:ascii="Times New Roman" w:hAnsi="Times New Roman" w:eastAsia="宋体" w:cs="Times New Roman"/>
                      <w:color w:val="auto"/>
                      <w:sz w:val="18"/>
                      <w:szCs w:val="21"/>
                      <w:u w:val="single" w:color="auto"/>
                    </w:rPr>
                    <w:t>半年</w:t>
                  </w:r>
                </w:p>
              </w:tc>
              <w:tc>
                <w:tcPr>
                  <w:tcW w:w="3047" w:type="dxa"/>
                  <w:vMerge w:val="continue"/>
                  <w:noWrap w:val="0"/>
                  <w:vAlign w:val="center"/>
                </w:tcPr>
                <w:p>
                  <w:pPr>
                    <w:adjustRightInd w:val="0"/>
                    <w:snapToGrid w:val="0"/>
                    <w:jc w:val="center"/>
                    <w:rPr>
                      <w:rFonts w:hint="default" w:ascii="Times New Roman" w:hAnsi="Times New Roman" w:eastAsia="宋体" w:cs="Times New Roman"/>
                      <w:color w:val="auto"/>
                      <w:sz w:val="18"/>
                      <w:szCs w:val="21"/>
                      <w:u w:val="single" w:color="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7" w:type="dxa"/>
                  <w:vMerge w:val="restart"/>
                  <w:noWrap w:val="0"/>
                  <w:vAlign w:val="center"/>
                </w:tcPr>
                <w:p>
                  <w:pPr>
                    <w:adjustRightInd w:val="0"/>
                    <w:snapToGrid w:val="0"/>
                    <w:jc w:val="center"/>
                    <w:rPr>
                      <w:rFonts w:hint="default" w:ascii="Times New Roman" w:hAnsi="Times New Roman" w:eastAsia="宋体" w:cs="Times New Roman"/>
                      <w:color w:val="auto"/>
                      <w:sz w:val="18"/>
                      <w:szCs w:val="21"/>
                      <w:u w:val="single" w:color="auto"/>
                    </w:rPr>
                  </w:pPr>
                  <w:r>
                    <w:rPr>
                      <w:rFonts w:hint="default" w:ascii="Times New Roman" w:hAnsi="Times New Roman" w:eastAsia="宋体" w:cs="Times New Roman"/>
                      <w:color w:val="auto"/>
                      <w:sz w:val="18"/>
                      <w:szCs w:val="21"/>
                      <w:u w:val="single" w:color="auto"/>
                    </w:rPr>
                    <w:t>无组织废气</w:t>
                  </w:r>
                </w:p>
              </w:tc>
              <w:tc>
                <w:tcPr>
                  <w:tcW w:w="1457" w:type="dxa"/>
                  <w:vMerge w:val="restart"/>
                  <w:noWrap w:val="0"/>
                  <w:vAlign w:val="center"/>
                </w:tcPr>
                <w:p>
                  <w:pPr>
                    <w:adjustRightInd w:val="0"/>
                    <w:snapToGrid w:val="0"/>
                    <w:jc w:val="center"/>
                    <w:rPr>
                      <w:rFonts w:hint="default" w:ascii="Times New Roman" w:hAnsi="Times New Roman" w:eastAsia="宋体" w:cs="Times New Roman"/>
                      <w:color w:val="auto"/>
                      <w:sz w:val="18"/>
                      <w:szCs w:val="21"/>
                      <w:u w:val="single" w:color="auto"/>
                    </w:rPr>
                  </w:pPr>
                  <w:r>
                    <w:rPr>
                      <w:rFonts w:hint="default" w:ascii="Times New Roman" w:hAnsi="Times New Roman" w:eastAsia="宋体" w:cs="Times New Roman"/>
                      <w:color w:val="auto"/>
                      <w:sz w:val="18"/>
                      <w:szCs w:val="21"/>
                      <w:u w:val="single" w:color="auto"/>
                    </w:rPr>
                    <w:t>厂界上风向20m处、下风向20m处</w:t>
                  </w:r>
                </w:p>
              </w:tc>
              <w:tc>
                <w:tcPr>
                  <w:tcW w:w="1627" w:type="dxa"/>
                  <w:noWrap w:val="0"/>
                  <w:vAlign w:val="center"/>
                </w:tcPr>
                <w:p>
                  <w:pPr>
                    <w:adjustRightInd w:val="0"/>
                    <w:snapToGrid w:val="0"/>
                    <w:jc w:val="center"/>
                    <w:rPr>
                      <w:rFonts w:hint="default" w:ascii="Times New Roman" w:hAnsi="Times New Roman" w:eastAsia="宋体" w:cs="Times New Roman"/>
                      <w:color w:val="auto"/>
                      <w:sz w:val="18"/>
                      <w:szCs w:val="21"/>
                      <w:u w:val="single" w:color="auto"/>
                    </w:rPr>
                  </w:pPr>
                  <w:r>
                    <w:rPr>
                      <w:rFonts w:hint="default" w:ascii="Times New Roman" w:hAnsi="Times New Roman" w:eastAsia="宋体" w:cs="Times New Roman"/>
                      <w:color w:val="auto"/>
                      <w:sz w:val="18"/>
                      <w:szCs w:val="21"/>
                      <w:u w:val="single" w:color="auto"/>
                    </w:rPr>
                    <w:t>颗粒物</w:t>
                  </w:r>
                </w:p>
              </w:tc>
              <w:tc>
                <w:tcPr>
                  <w:tcW w:w="1129" w:type="dxa"/>
                  <w:noWrap w:val="0"/>
                  <w:vAlign w:val="center"/>
                </w:tcPr>
                <w:p>
                  <w:pPr>
                    <w:adjustRightInd w:val="0"/>
                    <w:snapToGrid w:val="0"/>
                    <w:jc w:val="center"/>
                    <w:rPr>
                      <w:rFonts w:hint="default" w:ascii="Times New Roman" w:hAnsi="Times New Roman" w:eastAsia="宋体" w:cs="Times New Roman"/>
                      <w:color w:val="auto"/>
                      <w:sz w:val="18"/>
                      <w:szCs w:val="21"/>
                      <w:u w:val="single" w:color="auto"/>
                    </w:rPr>
                  </w:pPr>
                  <w:r>
                    <w:rPr>
                      <w:rFonts w:hint="default" w:ascii="Times New Roman" w:hAnsi="Times New Roman" w:eastAsia="宋体" w:cs="Times New Roman"/>
                      <w:color w:val="auto"/>
                      <w:sz w:val="18"/>
                      <w:szCs w:val="21"/>
                      <w:u w:val="single" w:color="auto"/>
                    </w:rPr>
                    <w:t>每年</w:t>
                  </w:r>
                </w:p>
              </w:tc>
              <w:tc>
                <w:tcPr>
                  <w:tcW w:w="3047" w:type="dxa"/>
                  <w:vMerge w:val="restart"/>
                  <w:noWrap w:val="0"/>
                  <w:vAlign w:val="center"/>
                </w:tcPr>
                <w:p>
                  <w:pPr>
                    <w:pStyle w:val="15"/>
                    <w:adjustRightInd w:val="0"/>
                    <w:spacing w:line="240" w:lineRule="auto"/>
                    <w:jc w:val="center"/>
                    <w:rPr>
                      <w:rFonts w:hint="default" w:ascii="Times New Roman" w:hAnsi="Times New Roman" w:eastAsia="宋体" w:cs="Times New Roman"/>
                      <w:color w:val="auto"/>
                      <w:szCs w:val="21"/>
                      <w:u w:val="single" w:color="auto"/>
                    </w:rPr>
                  </w:pPr>
                  <w:r>
                    <w:rPr>
                      <w:rFonts w:hint="default" w:ascii="Times New Roman" w:hAnsi="Times New Roman" w:eastAsia="宋体" w:cs="Times New Roman"/>
                      <w:color w:val="auto"/>
                      <w:szCs w:val="21"/>
                      <w:u w:val="single" w:color="auto"/>
                    </w:rPr>
                    <w:t>执行《砖瓦工业大气污染物排放标准及修改单》（GB29620-2013）表3中现有和新建企业边界大气污染物浓度限制</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7" w:type="dxa"/>
                  <w:vMerge w:val="continue"/>
                  <w:noWrap w:val="0"/>
                  <w:vAlign w:val="center"/>
                </w:tcPr>
                <w:p>
                  <w:pPr>
                    <w:adjustRightInd w:val="0"/>
                    <w:snapToGrid w:val="0"/>
                    <w:jc w:val="center"/>
                    <w:rPr>
                      <w:rFonts w:hint="default" w:ascii="Times New Roman" w:hAnsi="Times New Roman" w:eastAsia="宋体" w:cs="Times New Roman"/>
                      <w:color w:val="auto"/>
                      <w:sz w:val="18"/>
                      <w:szCs w:val="21"/>
                      <w:u w:val="single" w:color="auto"/>
                    </w:rPr>
                  </w:pPr>
                </w:p>
              </w:tc>
              <w:tc>
                <w:tcPr>
                  <w:tcW w:w="1457" w:type="dxa"/>
                  <w:vMerge w:val="continue"/>
                  <w:noWrap w:val="0"/>
                  <w:vAlign w:val="center"/>
                </w:tcPr>
                <w:p>
                  <w:pPr>
                    <w:adjustRightInd w:val="0"/>
                    <w:snapToGrid w:val="0"/>
                    <w:jc w:val="center"/>
                    <w:rPr>
                      <w:rFonts w:hint="default" w:ascii="Times New Roman" w:hAnsi="Times New Roman" w:eastAsia="宋体" w:cs="Times New Roman"/>
                      <w:color w:val="auto"/>
                      <w:sz w:val="18"/>
                      <w:szCs w:val="21"/>
                      <w:u w:val="single" w:color="auto"/>
                    </w:rPr>
                  </w:pPr>
                </w:p>
              </w:tc>
              <w:tc>
                <w:tcPr>
                  <w:tcW w:w="1627" w:type="dxa"/>
                  <w:noWrap w:val="0"/>
                  <w:vAlign w:val="center"/>
                </w:tcPr>
                <w:p>
                  <w:pPr>
                    <w:adjustRightInd w:val="0"/>
                    <w:snapToGrid w:val="0"/>
                    <w:jc w:val="center"/>
                    <w:rPr>
                      <w:rFonts w:hint="default" w:ascii="Times New Roman" w:hAnsi="Times New Roman" w:eastAsia="宋体" w:cs="Times New Roman"/>
                      <w:color w:val="auto"/>
                      <w:sz w:val="18"/>
                      <w:szCs w:val="21"/>
                      <w:u w:val="single" w:color="auto"/>
                    </w:rPr>
                  </w:pPr>
                  <w:r>
                    <w:rPr>
                      <w:rFonts w:hint="default" w:ascii="Times New Roman" w:hAnsi="Times New Roman" w:eastAsia="宋体" w:cs="Times New Roman"/>
                      <w:color w:val="auto"/>
                      <w:sz w:val="18"/>
                      <w:szCs w:val="21"/>
                      <w:u w:val="single" w:color="auto"/>
                    </w:rPr>
                    <w:t>二氧化硫、氟化物</w:t>
                  </w:r>
                </w:p>
              </w:tc>
              <w:tc>
                <w:tcPr>
                  <w:tcW w:w="1129" w:type="dxa"/>
                  <w:noWrap w:val="0"/>
                  <w:vAlign w:val="center"/>
                </w:tcPr>
                <w:p>
                  <w:pPr>
                    <w:adjustRightInd w:val="0"/>
                    <w:snapToGrid w:val="0"/>
                    <w:jc w:val="center"/>
                    <w:rPr>
                      <w:rFonts w:hint="default" w:ascii="Times New Roman" w:hAnsi="Times New Roman" w:eastAsia="宋体" w:cs="Times New Roman"/>
                      <w:color w:val="auto"/>
                      <w:sz w:val="18"/>
                      <w:szCs w:val="21"/>
                      <w:u w:val="single" w:color="auto"/>
                    </w:rPr>
                  </w:pPr>
                  <w:r>
                    <w:rPr>
                      <w:rFonts w:hint="default" w:ascii="Times New Roman" w:hAnsi="Times New Roman" w:eastAsia="宋体" w:cs="Times New Roman"/>
                      <w:color w:val="auto"/>
                      <w:sz w:val="18"/>
                      <w:szCs w:val="21"/>
                      <w:u w:val="single" w:color="auto"/>
                    </w:rPr>
                    <w:t>每年</w:t>
                  </w:r>
                </w:p>
              </w:tc>
              <w:tc>
                <w:tcPr>
                  <w:tcW w:w="3047" w:type="dxa"/>
                  <w:vMerge w:val="continue"/>
                  <w:noWrap w:val="0"/>
                  <w:vAlign w:val="center"/>
                </w:tcPr>
                <w:p>
                  <w:pPr>
                    <w:pStyle w:val="15"/>
                    <w:adjustRightInd w:val="0"/>
                    <w:spacing w:line="240" w:lineRule="auto"/>
                    <w:jc w:val="center"/>
                    <w:rPr>
                      <w:rFonts w:hint="default" w:ascii="Times New Roman" w:hAnsi="Times New Roman" w:eastAsia="宋体" w:cs="Times New Roman"/>
                      <w:color w:val="auto"/>
                      <w:szCs w:val="21"/>
                      <w:u w:val="single" w:color="auto"/>
                    </w:rPr>
                  </w:pPr>
                </w:p>
              </w:tc>
            </w:tr>
          </w:tbl>
          <w:p>
            <w:pPr>
              <w:pStyle w:val="11"/>
              <w:numPr>
                <w:ilvl w:val="0"/>
                <w:numId w:val="8"/>
              </w:numPr>
              <w:spacing w:line="360" w:lineRule="auto"/>
              <w:ind w:firstLine="482"/>
              <w:rPr>
                <w:rFonts w:hint="default" w:cs="Times New Roman"/>
                <w:b/>
                <w:bCs/>
                <w:color w:val="auto"/>
                <w:sz w:val="24"/>
                <w:highlight w:val="none"/>
                <w:u w:val="none"/>
                <w:lang w:val="en-US" w:eastAsia="zh-CN"/>
              </w:rPr>
            </w:pPr>
            <w:r>
              <w:rPr>
                <w:rFonts w:hint="eastAsia" w:cs="Times New Roman"/>
                <w:b/>
                <w:bCs/>
                <w:color w:val="auto"/>
                <w:sz w:val="24"/>
                <w:highlight w:val="none"/>
                <w:u w:val="none"/>
                <w:lang w:val="en-US" w:eastAsia="zh-CN"/>
              </w:rPr>
              <w:t>水环境影响和保护措施</w:t>
            </w:r>
          </w:p>
          <w:p>
            <w:pPr>
              <w:numPr>
                <w:ilvl w:val="0"/>
                <w:numId w:val="9"/>
              </w:numPr>
              <w:spacing w:line="360" w:lineRule="auto"/>
              <w:ind w:firstLine="480" w:firstLineChars="200"/>
              <w:rPr>
                <w:rFonts w:hint="eastAsia" w:cs="Times New Roman"/>
                <w:color w:val="auto"/>
                <w:sz w:val="24"/>
                <w:u w:val="single"/>
                <w:lang w:val="en-US" w:eastAsia="zh-CN"/>
              </w:rPr>
            </w:pPr>
            <w:r>
              <w:rPr>
                <w:rFonts w:hint="eastAsia" w:cs="Times New Roman"/>
                <w:color w:val="auto"/>
                <w:sz w:val="24"/>
                <w:u w:val="single"/>
                <w:lang w:val="en-US" w:eastAsia="zh-CN"/>
              </w:rPr>
              <w:t>生活污水</w:t>
            </w:r>
          </w:p>
          <w:p>
            <w:pPr>
              <w:spacing w:line="360" w:lineRule="auto"/>
              <w:ind w:firstLine="480" w:firstLineChars="200"/>
              <w:rPr>
                <w:rFonts w:hint="eastAsia" w:ascii="Times New Roman" w:hAnsi="Times New Roman" w:cs="Times New Roman"/>
                <w:b w:val="0"/>
                <w:bCs w:val="0"/>
                <w:color w:val="000000"/>
                <w:sz w:val="24"/>
                <w:u w:val="single"/>
                <w:lang w:val="en-US" w:eastAsia="zh-CN"/>
              </w:rPr>
            </w:pPr>
            <w:r>
              <w:rPr>
                <w:rFonts w:hint="default" w:ascii="Times New Roman" w:hAnsi="Times New Roman" w:eastAsia="宋体" w:cs="Times New Roman"/>
                <w:color w:val="auto"/>
                <w:sz w:val="24"/>
                <w:u w:val="single"/>
                <w:lang w:val="en-US" w:eastAsia="zh-CN"/>
              </w:rPr>
              <w:t>本项目不新增人员，依托原产线工作人员，只为常驻员工提供住宿，不设置食堂，其中常驻职工即在厂内住宿人员为20人。用水根据《湖南省用水定额（DB43T388-2020》，在厂内住宿人员用水量按照150L/人•d计算，则本项目生活用水总量为3.0m³/d（900m³/a）</w:t>
            </w:r>
            <w:r>
              <w:rPr>
                <w:rFonts w:hint="eastAsia" w:cs="Times New Roman"/>
                <w:color w:val="auto"/>
                <w:sz w:val="24"/>
                <w:u w:val="single"/>
                <w:lang w:val="en-US" w:eastAsia="zh-CN"/>
              </w:rPr>
              <w:t>，排污系数为0.8，则生活污水产生量为</w:t>
            </w:r>
            <w:r>
              <w:rPr>
                <w:rFonts w:hint="eastAsia" w:ascii="Times New Roman" w:hAnsi="Times New Roman" w:eastAsia="宋体" w:cs="Times New Roman"/>
                <w:color w:val="auto"/>
                <w:sz w:val="24"/>
                <w:u w:val="single"/>
                <w:lang w:val="en-US" w:eastAsia="zh-CN"/>
              </w:rPr>
              <w:t>720m³</w:t>
            </w:r>
            <w:r>
              <w:rPr>
                <w:rFonts w:hint="default" w:ascii="Times New Roman" w:hAnsi="Times New Roman" w:eastAsia="宋体" w:cs="Times New Roman"/>
                <w:color w:val="auto"/>
                <w:sz w:val="24"/>
                <w:u w:val="single"/>
                <w:lang w:val="en-US" w:eastAsia="zh-CN"/>
              </w:rPr>
              <w:t>/a</w:t>
            </w:r>
            <w:r>
              <w:rPr>
                <w:rFonts w:hint="eastAsia" w:cs="Times New Roman"/>
                <w:color w:val="auto"/>
                <w:sz w:val="24"/>
                <w:u w:val="single"/>
                <w:lang w:val="en-US" w:eastAsia="zh-CN"/>
              </w:rPr>
              <w:t>，污水中主要</w:t>
            </w:r>
            <w:r>
              <w:rPr>
                <w:rFonts w:hint="default" w:ascii="Times New Roman" w:hAnsi="Times New Roman" w:cs="Times New Roman"/>
                <w:b w:val="0"/>
                <w:bCs w:val="0"/>
                <w:color w:val="000000"/>
                <w:sz w:val="24"/>
                <w:u w:val="single"/>
              </w:rPr>
              <w:t>污染因子为COD、BOD</w:t>
            </w:r>
            <w:r>
              <w:rPr>
                <w:rFonts w:hint="default" w:ascii="Times New Roman" w:hAnsi="Times New Roman" w:cs="Times New Roman"/>
                <w:b w:val="0"/>
                <w:bCs w:val="0"/>
                <w:color w:val="000000"/>
                <w:sz w:val="24"/>
                <w:u w:val="single"/>
                <w:vertAlign w:val="subscript"/>
              </w:rPr>
              <w:t>5</w:t>
            </w:r>
            <w:r>
              <w:rPr>
                <w:rFonts w:hint="default" w:ascii="Times New Roman" w:hAnsi="Times New Roman" w:cs="Times New Roman"/>
                <w:b w:val="0"/>
                <w:bCs w:val="0"/>
                <w:color w:val="000000"/>
                <w:sz w:val="24"/>
                <w:u w:val="single"/>
              </w:rPr>
              <w:t>、SS、NH</w:t>
            </w:r>
            <w:r>
              <w:rPr>
                <w:rFonts w:hint="default" w:ascii="Times New Roman" w:hAnsi="Times New Roman" w:cs="Times New Roman"/>
                <w:b w:val="0"/>
                <w:bCs w:val="0"/>
                <w:color w:val="000000"/>
                <w:sz w:val="24"/>
                <w:u w:val="single"/>
                <w:vertAlign w:val="subscript"/>
              </w:rPr>
              <w:t>3</w:t>
            </w:r>
            <w:r>
              <w:rPr>
                <w:rFonts w:hint="default" w:ascii="Times New Roman" w:hAnsi="Times New Roman" w:cs="Times New Roman"/>
                <w:b w:val="0"/>
                <w:bCs w:val="0"/>
                <w:color w:val="000000"/>
                <w:sz w:val="24"/>
                <w:u w:val="single"/>
              </w:rPr>
              <w:t>-N和动植物油，类比一般生活污水水质，即 COD的浓度为250mg/L，BOD</w:t>
            </w:r>
            <w:r>
              <w:rPr>
                <w:rFonts w:hint="default" w:ascii="Times New Roman" w:hAnsi="Times New Roman" w:cs="Times New Roman"/>
                <w:b w:val="0"/>
                <w:bCs w:val="0"/>
                <w:color w:val="000000"/>
                <w:sz w:val="24"/>
                <w:u w:val="single"/>
                <w:vertAlign w:val="subscript"/>
              </w:rPr>
              <w:t>5</w:t>
            </w:r>
            <w:r>
              <w:rPr>
                <w:rFonts w:hint="default" w:ascii="Times New Roman" w:hAnsi="Times New Roman" w:cs="Times New Roman"/>
                <w:b w:val="0"/>
                <w:bCs w:val="0"/>
                <w:color w:val="000000"/>
                <w:sz w:val="24"/>
                <w:u w:val="single"/>
              </w:rPr>
              <w:t>的浓度为150mg/L，SS的浓度为100mg/L，NH</w:t>
            </w:r>
            <w:r>
              <w:rPr>
                <w:rFonts w:hint="default" w:ascii="Times New Roman" w:hAnsi="Times New Roman" w:cs="Times New Roman"/>
                <w:b w:val="0"/>
                <w:bCs w:val="0"/>
                <w:color w:val="000000"/>
                <w:sz w:val="24"/>
                <w:u w:val="single"/>
                <w:vertAlign w:val="subscript"/>
              </w:rPr>
              <w:t>3</w:t>
            </w:r>
            <w:r>
              <w:rPr>
                <w:rFonts w:hint="default" w:ascii="Times New Roman" w:hAnsi="Times New Roman" w:cs="Times New Roman"/>
                <w:b w:val="0"/>
                <w:bCs w:val="0"/>
                <w:color w:val="000000"/>
                <w:sz w:val="24"/>
                <w:u w:val="single"/>
              </w:rPr>
              <w:t>-N的浓度为25mg/L，动植物油40mg/L。生活污水一起进入化粪池，经化粪池处理后用作</w:t>
            </w:r>
            <w:r>
              <w:rPr>
                <w:rFonts w:hint="default" w:ascii="Times New Roman" w:hAnsi="Times New Roman" w:cs="Times New Roman"/>
                <w:b w:val="0"/>
                <w:bCs w:val="0"/>
                <w:color w:val="000000"/>
                <w:sz w:val="24"/>
                <w:u w:val="single"/>
                <w:lang w:val="en-US" w:eastAsia="zh-CN"/>
              </w:rPr>
              <w:t>农肥</w:t>
            </w:r>
            <w:r>
              <w:rPr>
                <w:rFonts w:hint="default" w:ascii="Times New Roman" w:hAnsi="Times New Roman" w:cs="Times New Roman"/>
                <w:b w:val="0"/>
                <w:bCs w:val="0"/>
                <w:color w:val="000000"/>
                <w:sz w:val="24"/>
                <w:u w:val="single"/>
              </w:rPr>
              <w:t>。项目生活污水产生情况详见表</w:t>
            </w:r>
            <w:r>
              <w:rPr>
                <w:rFonts w:hint="eastAsia" w:ascii="Times New Roman" w:hAnsi="Times New Roman" w:cs="Times New Roman"/>
                <w:b w:val="0"/>
                <w:bCs w:val="0"/>
                <w:color w:val="000000"/>
                <w:sz w:val="24"/>
                <w:u w:val="single"/>
                <w:lang w:val="en-US" w:eastAsia="zh-CN"/>
              </w:rPr>
              <w:t>4-5。</w:t>
            </w:r>
          </w:p>
          <w:p>
            <w:pPr>
              <w:jc w:val="center"/>
              <w:rPr>
                <w:b/>
                <w:color w:val="000000"/>
                <w:szCs w:val="21"/>
                <w:u w:val="single"/>
              </w:rPr>
            </w:pPr>
            <w:r>
              <w:rPr>
                <w:b/>
                <w:color w:val="000000"/>
                <w:szCs w:val="21"/>
                <w:u w:val="single"/>
              </w:rPr>
              <w:t>表4-</w:t>
            </w:r>
            <w:r>
              <w:rPr>
                <w:rFonts w:hint="eastAsia"/>
                <w:b/>
                <w:color w:val="000000"/>
                <w:szCs w:val="21"/>
                <w:u w:val="single"/>
                <w:lang w:val="en-US" w:eastAsia="zh-CN"/>
              </w:rPr>
              <w:t>5</w:t>
            </w:r>
            <w:r>
              <w:rPr>
                <w:b/>
                <w:color w:val="000000"/>
                <w:szCs w:val="21"/>
                <w:u w:val="single"/>
              </w:rPr>
              <w:t xml:space="preserve"> 废水类别、污染控制项目及污染防治设施一览表</w:t>
            </w:r>
          </w:p>
          <w:tbl>
            <w:tblPr>
              <w:tblStyle w:val="30"/>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263"/>
              <w:gridCol w:w="1650"/>
              <w:gridCol w:w="1004"/>
              <w:gridCol w:w="1004"/>
              <w:gridCol w:w="1004"/>
              <w:gridCol w:w="1004"/>
              <w:gridCol w:w="100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63" w:type="dxa"/>
                  <w:noWrap w:val="0"/>
                  <w:vAlign w:val="center"/>
                </w:tcPr>
                <w:p>
                  <w:pPr>
                    <w:ind w:left="-53" w:leftChars="-25" w:right="-53" w:rightChars="-25"/>
                    <w:jc w:val="center"/>
                    <w:rPr>
                      <w:color w:val="000000"/>
                      <w:sz w:val="18"/>
                      <w:szCs w:val="18"/>
                      <w:u w:val="single"/>
                    </w:rPr>
                  </w:pPr>
                  <w:r>
                    <w:rPr>
                      <w:color w:val="000000"/>
                      <w:sz w:val="18"/>
                      <w:szCs w:val="18"/>
                      <w:u w:val="single"/>
                    </w:rPr>
                    <w:t>项目</w:t>
                  </w:r>
                </w:p>
              </w:tc>
              <w:tc>
                <w:tcPr>
                  <w:tcW w:w="1650" w:type="dxa"/>
                  <w:noWrap w:val="0"/>
                  <w:vAlign w:val="center"/>
                </w:tcPr>
                <w:p>
                  <w:pPr>
                    <w:ind w:left="-53" w:leftChars="-25" w:right="-53" w:rightChars="-25"/>
                    <w:jc w:val="center"/>
                    <w:rPr>
                      <w:color w:val="000000"/>
                      <w:sz w:val="18"/>
                      <w:szCs w:val="18"/>
                      <w:u w:val="single"/>
                    </w:rPr>
                  </w:pPr>
                </w:p>
              </w:tc>
              <w:tc>
                <w:tcPr>
                  <w:tcW w:w="1004" w:type="dxa"/>
                  <w:noWrap w:val="0"/>
                  <w:vAlign w:val="center"/>
                </w:tcPr>
                <w:p>
                  <w:pPr>
                    <w:ind w:left="-53" w:leftChars="-25" w:right="-53" w:rightChars="-25"/>
                    <w:jc w:val="center"/>
                    <w:rPr>
                      <w:color w:val="000000"/>
                      <w:kern w:val="0"/>
                      <w:sz w:val="18"/>
                      <w:szCs w:val="18"/>
                      <w:u w:val="single"/>
                    </w:rPr>
                  </w:pPr>
                  <w:r>
                    <w:rPr>
                      <w:color w:val="000000"/>
                      <w:kern w:val="0"/>
                      <w:sz w:val="18"/>
                      <w:szCs w:val="18"/>
                      <w:u w:val="single"/>
                    </w:rPr>
                    <w:t>COD</w:t>
                  </w:r>
                </w:p>
              </w:tc>
              <w:tc>
                <w:tcPr>
                  <w:tcW w:w="1004" w:type="dxa"/>
                  <w:noWrap w:val="0"/>
                  <w:vAlign w:val="center"/>
                </w:tcPr>
                <w:p>
                  <w:pPr>
                    <w:ind w:left="-53" w:leftChars="-25" w:right="-53" w:rightChars="-25"/>
                    <w:jc w:val="center"/>
                    <w:rPr>
                      <w:color w:val="000000"/>
                      <w:kern w:val="0"/>
                      <w:sz w:val="18"/>
                      <w:szCs w:val="18"/>
                      <w:u w:val="single"/>
                    </w:rPr>
                  </w:pPr>
                  <w:r>
                    <w:rPr>
                      <w:color w:val="000000"/>
                      <w:kern w:val="0"/>
                      <w:sz w:val="18"/>
                      <w:szCs w:val="18"/>
                      <w:u w:val="single"/>
                    </w:rPr>
                    <w:t>BOD</w:t>
                  </w:r>
                  <w:r>
                    <w:rPr>
                      <w:color w:val="000000"/>
                      <w:kern w:val="0"/>
                      <w:sz w:val="18"/>
                      <w:szCs w:val="18"/>
                      <w:u w:val="single"/>
                      <w:vertAlign w:val="subscript"/>
                    </w:rPr>
                    <w:t>5</w:t>
                  </w:r>
                </w:p>
              </w:tc>
              <w:tc>
                <w:tcPr>
                  <w:tcW w:w="1004" w:type="dxa"/>
                  <w:noWrap w:val="0"/>
                  <w:vAlign w:val="center"/>
                </w:tcPr>
                <w:p>
                  <w:pPr>
                    <w:ind w:left="-53" w:leftChars="-25" w:right="-53" w:rightChars="-25"/>
                    <w:jc w:val="center"/>
                    <w:rPr>
                      <w:color w:val="000000"/>
                      <w:sz w:val="18"/>
                      <w:szCs w:val="18"/>
                      <w:u w:val="single"/>
                    </w:rPr>
                  </w:pPr>
                  <w:r>
                    <w:rPr>
                      <w:color w:val="000000"/>
                      <w:sz w:val="18"/>
                      <w:szCs w:val="18"/>
                      <w:u w:val="single"/>
                    </w:rPr>
                    <w:t>SS</w:t>
                  </w:r>
                </w:p>
              </w:tc>
              <w:tc>
                <w:tcPr>
                  <w:tcW w:w="1004" w:type="dxa"/>
                  <w:noWrap w:val="0"/>
                  <w:vAlign w:val="center"/>
                </w:tcPr>
                <w:p>
                  <w:pPr>
                    <w:ind w:left="-53" w:leftChars="-25" w:right="-53" w:rightChars="-25"/>
                    <w:jc w:val="center"/>
                    <w:rPr>
                      <w:color w:val="000000"/>
                      <w:sz w:val="18"/>
                      <w:szCs w:val="18"/>
                      <w:u w:val="single"/>
                    </w:rPr>
                  </w:pPr>
                  <w:r>
                    <w:rPr>
                      <w:color w:val="000000"/>
                      <w:sz w:val="18"/>
                      <w:szCs w:val="18"/>
                      <w:u w:val="single"/>
                    </w:rPr>
                    <w:t>NH</w:t>
                  </w:r>
                  <w:r>
                    <w:rPr>
                      <w:color w:val="000000"/>
                      <w:sz w:val="18"/>
                      <w:szCs w:val="18"/>
                      <w:u w:val="single"/>
                      <w:vertAlign w:val="subscript"/>
                    </w:rPr>
                    <w:t>3</w:t>
                  </w:r>
                  <w:r>
                    <w:rPr>
                      <w:color w:val="000000"/>
                      <w:sz w:val="18"/>
                      <w:szCs w:val="18"/>
                      <w:u w:val="single"/>
                    </w:rPr>
                    <w:t>-N</w:t>
                  </w:r>
                </w:p>
              </w:tc>
              <w:tc>
                <w:tcPr>
                  <w:tcW w:w="1008" w:type="dxa"/>
                  <w:noWrap w:val="0"/>
                  <w:vAlign w:val="center"/>
                </w:tcPr>
                <w:p>
                  <w:pPr>
                    <w:ind w:left="-53" w:leftChars="-25" w:right="-53" w:rightChars="-25"/>
                    <w:jc w:val="center"/>
                    <w:rPr>
                      <w:color w:val="000000"/>
                      <w:sz w:val="18"/>
                      <w:szCs w:val="18"/>
                      <w:u w:val="single"/>
                    </w:rPr>
                  </w:pPr>
                  <w:r>
                    <w:rPr>
                      <w:color w:val="000000"/>
                      <w:sz w:val="18"/>
                      <w:szCs w:val="18"/>
                      <w:u w:val="single"/>
                    </w:rPr>
                    <w:t>动植物油</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63" w:type="dxa"/>
                  <w:vMerge w:val="restart"/>
                  <w:noWrap w:val="0"/>
                  <w:vAlign w:val="center"/>
                </w:tcPr>
                <w:p>
                  <w:pPr>
                    <w:ind w:left="-53" w:leftChars="-25" w:right="-53" w:rightChars="-25"/>
                    <w:jc w:val="center"/>
                    <w:rPr>
                      <w:color w:val="000000"/>
                      <w:sz w:val="18"/>
                      <w:szCs w:val="18"/>
                      <w:u w:val="single"/>
                    </w:rPr>
                  </w:pPr>
                  <w:r>
                    <w:rPr>
                      <w:color w:val="000000"/>
                      <w:sz w:val="18"/>
                      <w:szCs w:val="18"/>
                      <w:u w:val="single"/>
                    </w:rPr>
                    <w:t>生活污水（</w:t>
                  </w:r>
                  <w:r>
                    <w:rPr>
                      <w:rFonts w:hint="eastAsia"/>
                      <w:color w:val="000000"/>
                      <w:sz w:val="18"/>
                      <w:szCs w:val="18"/>
                      <w:u w:val="single"/>
                      <w:lang w:val="en-US" w:eastAsia="zh-CN"/>
                    </w:rPr>
                    <w:t>720</w:t>
                  </w:r>
                  <w:r>
                    <w:rPr>
                      <w:color w:val="000000"/>
                      <w:sz w:val="18"/>
                      <w:szCs w:val="18"/>
                      <w:u w:val="single"/>
                    </w:rPr>
                    <w:t>m</w:t>
                  </w:r>
                  <w:r>
                    <w:rPr>
                      <w:color w:val="000000"/>
                      <w:sz w:val="18"/>
                      <w:szCs w:val="18"/>
                      <w:u w:val="single"/>
                      <w:vertAlign w:val="superscript"/>
                    </w:rPr>
                    <w:t>3</w:t>
                  </w:r>
                  <w:r>
                    <w:rPr>
                      <w:color w:val="000000"/>
                      <w:sz w:val="18"/>
                      <w:szCs w:val="18"/>
                      <w:u w:val="single"/>
                    </w:rPr>
                    <w:t>/a）</w:t>
                  </w:r>
                </w:p>
              </w:tc>
              <w:tc>
                <w:tcPr>
                  <w:tcW w:w="1650" w:type="dxa"/>
                  <w:noWrap w:val="0"/>
                  <w:vAlign w:val="center"/>
                </w:tcPr>
                <w:p>
                  <w:pPr>
                    <w:ind w:left="-53" w:leftChars="-25" w:right="-53" w:rightChars="-25"/>
                    <w:jc w:val="center"/>
                    <w:rPr>
                      <w:color w:val="000000"/>
                      <w:sz w:val="18"/>
                      <w:szCs w:val="18"/>
                      <w:u w:val="single"/>
                    </w:rPr>
                  </w:pPr>
                  <w:r>
                    <w:rPr>
                      <w:color w:val="000000"/>
                      <w:sz w:val="18"/>
                      <w:szCs w:val="18"/>
                      <w:u w:val="single"/>
                    </w:rPr>
                    <w:t>产生浓度（mg/L）</w:t>
                  </w:r>
                </w:p>
              </w:tc>
              <w:tc>
                <w:tcPr>
                  <w:tcW w:w="1004" w:type="dxa"/>
                  <w:noWrap w:val="0"/>
                  <w:vAlign w:val="center"/>
                </w:tcPr>
                <w:p>
                  <w:pPr>
                    <w:ind w:left="-53" w:leftChars="-25" w:right="-53" w:rightChars="-25"/>
                    <w:jc w:val="center"/>
                    <w:rPr>
                      <w:color w:val="000000"/>
                      <w:kern w:val="0"/>
                      <w:sz w:val="18"/>
                      <w:szCs w:val="18"/>
                      <w:u w:val="single"/>
                    </w:rPr>
                  </w:pPr>
                  <w:r>
                    <w:rPr>
                      <w:color w:val="000000"/>
                      <w:kern w:val="0"/>
                      <w:sz w:val="18"/>
                      <w:szCs w:val="18"/>
                      <w:u w:val="single"/>
                    </w:rPr>
                    <w:t>250</w:t>
                  </w:r>
                </w:p>
              </w:tc>
              <w:tc>
                <w:tcPr>
                  <w:tcW w:w="1004" w:type="dxa"/>
                  <w:noWrap w:val="0"/>
                  <w:vAlign w:val="center"/>
                </w:tcPr>
                <w:p>
                  <w:pPr>
                    <w:ind w:left="-53" w:leftChars="-25" w:right="-53" w:rightChars="-25"/>
                    <w:jc w:val="center"/>
                    <w:rPr>
                      <w:color w:val="000000"/>
                      <w:kern w:val="0"/>
                      <w:sz w:val="18"/>
                      <w:szCs w:val="18"/>
                      <w:u w:val="single"/>
                    </w:rPr>
                  </w:pPr>
                  <w:r>
                    <w:rPr>
                      <w:color w:val="000000"/>
                      <w:kern w:val="0"/>
                      <w:sz w:val="18"/>
                      <w:szCs w:val="18"/>
                      <w:u w:val="single"/>
                    </w:rPr>
                    <w:t>150</w:t>
                  </w:r>
                </w:p>
              </w:tc>
              <w:tc>
                <w:tcPr>
                  <w:tcW w:w="1004" w:type="dxa"/>
                  <w:noWrap w:val="0"/>
                  <w:vAlign w:val="center"/>
                </w:tcPr>
                <w:p>
                  <w:pPr>
                    <w:ind w:left="-53" w:leftChars="-25" w:right="-53" w:rightChars="-25"/>
                    <w:jc w:val="center"/>
                    <w:rPr>
                      <w:color w:val="000000"/>
                      <w:sz w:val="18"/>
                      <w:szCs w:val="18"/>
                      <w:u w:val="single"/>
                    </w:rPr>
                  </w:pPr>
                  <w:r>
                    <w:rPr>
                      <w:color w:val="000000"/>
                      <w:sz w:val="18"/>
                      <w:szCs w:val="18"/>
                      <w:u w:val="single"/>
                    </w:rPr>
                    <w:t>100</w:t>
                  </w:r>
                </w:p>
              </w:tc>
              <w:tc>
                <w:tcPr>
                  <w:tcW w:w="1004" w:type="dxa"/>
                  <w:noWrap w:val="0"/>
                  <w:vAlign w:val="center"/>
                </w:tcPr>
                <w:p>
                  <w:pPr>
                    <w:ind w:left="-53" w:leftChars="-25" w:right="-53" w:rightChars="-25"/>
                    <w:jc w:val="center"/>
                    <w:rPr>
                      <w:color w:val="000000"/>
                      <w:sz w:val="18"/>
                      <w:szCs w:val="18"/>
                      <w:u w:val="single"/>
                    </w:rPr>
                  </w:pPr>
                  <w:r>
                    <w:rPr>
                      <w:color w:val="000000"/>
                      <w:sz w:val="18"/>
                      <w:szCs w:val="18"/>
                      <w:u w:val="single"/>
                    </w:rPr>
                    <w:t>25</w:t>
                  </w:r>
                </w:p>
              </w:tc>
              <w:tc>
                <w:tcPr>
                  <w:tcW w:w="1008" w:type="dxa"/>
                  <w:noWrap w:val="0"/>
                  <w:vAlign w:val="center"/>
                </w:tcPr>
                <w:p>
                  <w:pPr>
                    <w:ind w:left="-53" w:leftChars="-25" w:right="-53" w:rightChars="-25"/>
                    <w:jc w:val="center"/>
                    <w:rPr>
                      <w:color w:val="000000"/>
                      <w:sz w:val="18"/>
                      <w:szCs w:val="18"/>
                      <w:u w:val="single"/>
                    </w:rPr>
                  </w:pPr>
                  <w:r>
                    <w:rPr>
                      <w:color w:val="000000"/>
                      <w:sz w:val="18"/>
                      <w:szCs w:val="18"/>
                      <w:u w:val="single"/>
                    </w:rPr>
                    <w:t>40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63" w:type="dxa"/>
                  <w:vMerge w:val="continue"/>
                  <w:noWrap w:val="0"/>
                  <w:vAlign w:val="center"/>
                </w:tcPr>
                <w:p>
                  <w:pPr>
                    <w:ind w:left="-53" w:leftChars="-25" w:right="-53" w:rightChars="-25"/>
                    <w:jc w:val="center"/>
                    <w:rPr>
                      <w:color w:val="000000"/>
                      <w:sz w:val="18"/>
                      <w:szCs w:val="18"/>
                      <w:u w:val="single"/>
                    </w:rPr>
                  </w:pPr>
                </w:p>
              </w:tc>
              <w:tc>
                <w:tcPr>
                  <w:tcW w:w="1650" w:type="dxa"/>
                  <w:noWrap w:val="0"/>
                  <w:vAlign w:val="center"/>
                </w:tcPr>
                <w:p>
                  <w:pPr>
                    <w:ind w:left="-53" w:leftChars="-25" w:right="-53" w:rightChars="-25"/>
                    <w:jc w:val="center"/>
                    <w:rPr>
                      <w:color w:val="000000"/>
                      <w:sz w:val="18"/>
                      <w:szCs w:val="18"/>
                      <w:u w:val="single"/>
                    </w:rPr>
                  </w:pPr>
                  <w:r>
                    <w:rPr>
                      <w:color w:val="000000"/>
                      <w:sz w:val="18"/>
                      <w:szCs w:val="18"/>
                      <w:u w:val="single"/>
                    </w:rPr>
                    <w:t>产生量（t/a）</w:t>
                  </w:r>
                </w:p>
              </w:tc>
              <w:tc>
                <w:tcPr>
                  <w:tcW w:w="1004" w:type="dxa"/>
                  <w:noWrap w:val="0"/>
                  <w:vAlign w:val="center"/>
                </w:tcPr>
                <w:p>
                  <w:pPr>
                    <w:ind w:left="-53" w:leftChars="-25" w:right="-53" w:rightChars="-25"/>
                    <w:jc w:val="center"/>
                    <w:rPr>
                      <w:rFonts w:hint="eastAsia" w:eastAsia="宋体"/>
                      <w:color w:val="000000"/>
                      <w:kern w:val="0"/>
                      <w:sz w:val="18"/>
                      <w:szCs w:val="18"/>
                      <w:u w:val="single"/>
                      <w:lang w:eastAsia="zh-CN"/>
                    </w:rPr>
                  </w:pPr>
                  <w:r>
                    <w:rPr>
                      <w:color w:val="000000"/>
                      <w:kern w:val="0"/>
                      <w:sz w:val="18"/>
                      <w:szCs w:val="18"/>
                      <w:u w:val="single"/>
                    </w:rPr>
                    <w:t>0.1</w:t>
                  </w:r>
                  <w:r>
                    <w:rPr>
                      <w:rFonts w:hint="eastAsia"/>
                      <w:color w:val="000000"/>
                      <w:kern w:val="0"/>
                      <w:sz w:val="18"/>
                      <w:szCs w:val="18"/>
                      <w:u w:val="single"/>
                      <w:lang w:val="en-US" w:eastAsia="zh-CN"/>
                    </w:rPr>
                    <w:t>8</w:t>
                  </w:r>
                </w:p>
              </w:tc>
              <w:tc>
                <w:tcPr>
                  <w:tcW w:w="1004" w:type="dxa"/>
                  <w:noWrap w:val="0"/>
                  <w:vAlign w:val="center"/>
                </w:tcPr>
                <w:p>
                  <w:pPr>
                    <w:ind w:left="-53" w:leftChars="-25" w:right="-53" w:rightChars="-25"/>
                    <w:jc w:val="center"/>
                    <w:rPr>
                      <w:rFonts w:hint="default" w:eastAsia="宋体"/>
                      <w:color w:val="000000"/>
                      <w:kern w:val="0"/>
                      <w:sz w:val="18"/>
                      <w:szCs w:val="18"/>
                      <w:u w:val="single"/>
                      <w:lang w:val="en-US" w:eastAsia="zh-CN"/>
                    </w:rPr>
                  </w:pPr>
                  <w:r>
                    <w:rPr>
                      <w:color w:val="000000"/>
                      <w:kern w:val="0"/>
                      <w:sz w:val="18"/>
                      <w:szCs w:val="18"/>
                      <w:u w:val="single"/>
                    </w:rPr>
                    <w:t>0.</w:t>
                  </w:r>
                  <w:r>
                    <w:rPr>
                      <w:rFonts w:hint="eastAsia"/>
                      <w:color w:val="000000"/>
                      <w:kern w:val="0"/>
                      <w:sz w:val="18"/>
                      <w:szCs w:val="18"/>
                      <w:u w:val="single"/>
                      <w:lang w:val="en-US" w:eastAsia="zh-CN"/>
                    </w:rPr>
                    <w:t>108</w:t>
                  </w:r>
                </w:p>
              </w:tc>
              <w:tc>
                <w:tcPr>
                  <w:tcW w:w="1004" w:type="dxa"/>
                  <w:noWrap w:val="0"/>
                  <w:vAlign w:val="center"/>
                </w:tcPr>
                <w:p>
                  <w:pPr>
                    <w:ind w:left="-53" w:leftChars="-25" w:right="-53" w:rightChars="-25"/>
                    <w:jc w:val="center"/>
                    <w:rPr>
                      <w:color w:val="000000"/>
                      <w:sz w:val="18"/>
                      <w:szCs w:val="18"/>
                      <w:u w:val="single"/>
                    </w:rPr>
                  </w:pPr>
                  <w:r>
                    <w:rPr>
                      <w:color w:val="000000"/>
                      <w:sz w:val="18"/>
                      <w:szCs w:val="18"/>
                      <w:u w:val="single"/>
                    </w:rPr>
                    <w:t>0.0</w:t>
                  </w:r>
                  <w:r>
                    <w:rPr>
                      <w:rFonts w:hint="eastAsia"/>
                      <w:color w:val="000000"/>
                      <w:sz w:val="18"/>
                      <w:szCs w:val="18"/>
                      <w:u w:val="single"/>
                      <w:lang w:val="en-US" w:eastAsia="zh-CN"/>
                    </w:rPr>
                    <w:t>7</w:t>
                  </w:r>
                  <w:r>
                    <w:rPr>
                      <w:color w:val="000000"/>
                      <w:sz w:val="18"/>
                      <w:szCs w:val="18"/>
                      <w:u w:val="single"/>
                    </w:rPr>
                    <w:t>2</w:t>
                  </w:r>
                </w:p>
              </w:tc>
              <w:tc>
                <w:tcPr>
                  <w:tcW w:w="1004" w:type="dxa"/>
                  <w:noWrap w:val="0"/>
                  <w:vAlign w:val="center"/>
                </w:tcPr>
                <w:p>
                  <w:pPr>
                    <w:ind w:left="-53" w:leftChars="-25" w:right="-53" w:rightChars="-25"/>
                    <w:jc w:val="center"/>
                    <w:rPr>
                      <w:rFonts w:hint="eastAsia" w:eastAsia="宋体"/>
                      <w:color w:val="000000"/>
                      <w:sz w:val="18"/>
                      <w:szCs w:val="18"/>
                      <w:u w:val="single"/>
                      <w:lang w:eastAsia="zh-CN"/>
                    </w:rPr>
                  </w:pPr>
                  <w:r>
                    <w:rPr>
                      <w:color w:val="000000"/>
                      <w:sz w:val="18"/>
                      <w:szCs w:val="18"/>
                      <w:u w:val="single"/>
                    </w:rPr>
                    <w:t>0.01</w:t>
                  </w:r>
                  <w:r>
                    <w:rPr>
                      <w:rFonts w:hint="eastAsia"/>
                      <w:color w:val="000000"/>
                      <w:sz w:val="18"/>
                      <w:szCs w:val="18"/>
                      <w:u w:val="single"/>
                      <w:lang w:val="en-US" w:eastAsia="zh-CN"/>
                    </w:rPr>
                    <w:t>8</w:t>
                  </w:r>
                </w:p>
              </w:tc>
              <w:tc>
                <w:tcPr>
                  <w:tcW w:w="1008" w:type="dxa"/>
                  <w:noWrap w:val="0"/>
                  <w:vAlign w:val="center"/>
                </w:tcPr>
                <w:p>
                  <w:pPr>
                    <w:ind w:left="-53" w:leftChars="-25" w:right="-53" w:rightChars="-25"/>
                    <w:jc w:val="center"/>
                    <w:rPr>
                      <w:rFonts w:hint="eastAsia" w:eastAsia="宋体"/>
                      <w:color w:val="000000"/>
                      <w:sz w:val="18"/>
                      <w:szCs w:val="18"/>
                      <w:u w:val="single"/>
                      <w:lang w:eastAsia="zh-CN"/>
                    </w:rPr>
                  </w:pPr>
                  <w:r>
                    <w:rPr>
                      <w:color w:val="000000"/>
                      <w:sz w:val="18"/>
                      <w:szCs w:val="18"/>
                      <w:u w:val="single"/>
                    </w:rPr>
                    <w:t>0.02</w:t>
                  </w:r>
                  <w:r>
                    <w:rPr>
                      <w:rFonts w:hint="eastAsia"/>
                      <w:color w:val="000000"/>
                      <w:sz w:val="18"/>
                      <w:szCs w:val="18"/>
                      <w:u w:val="single"/>
                      <w:lang w:val="en-US" w:eastAsia="zh-CN"/>
                    </w:rPr>
                    <w:t>9</w:t>
                  </w:r>
                </w:p>
              </w:tc>
            </w:tr>
          </w:tbl>
          <w:p>
            <w:pPr>
              <w:numPr>
                <w:ilvl w:val="0"/>
                <w:numId w:val="9"/>
              </w:numPr>
              <w:spacing w:line="360" w:lineRule="auto"/>
              <w:ind w:firstLine="420" w:firstLineChars="200"/>
              <w:rPr>
                <w:rFonts w:hint="default"/>
                <w:u w:val="single"/>
                <w:lang w:val="en-US" w:eastAsia="zh-CN"/>
              </w:rPr>
            </w:pPr>
            <w:r>
              <w:rPr>
                <w:rFonts w:hint="eastAsia"/>
                <w:u w:val="single"/>
                <w:lang w:val="en-US" w:eastAsia="zh-CN"/>
              </w:rPr>
              <w:t>生产用水</w:t>
            </w:r>
          </w:p>
          <w:p>
            <w:pPr>
              <w:spacing w:line="360" w:lineRule="auto"/>
              <w:ind w:firstLine="480" w:firstLineChars="200"/>
              <w:rPr>
                <w:rFonts w:hint="eastAsia" w:ascii="Times New Roman" w:hAnsi="Times New Roman" w:eastAsia="宋体" w:cs="Times New Roman"/>
                <w:color w:val="auto"/>
                <w:sz w:val="24"/>
                <w:u w:val="single"/>
                <w:lang w:val="en-US" w:eastAsia="zh-CN"/>
              </w:rPr>
            </w:pPr>
            <w:r>
              <w:rPr>
                <w:color w:val="000000"/>
                <w:sz w:val="24"/>
                <w:u w:val="single"/>
              </w:rPr>
              <w:t>项目生产用水主要用于搅拌工序、洗车用水和厂区洒水降尘以及脱硫设施用水。搅拌工序加入的水大部分蒸发损失，少量进入产品中，无生产废水外排；厂区洒水增湿只是进行简单的降尘作用，因此每次洒水量不大，不会造成地表径流，洒水后全部蒸发损失，无废水外排；脱硫设施用水可循环利用，无废水外排。</w:t>
            </w:r>
            <w:r>
              <w:rPr>
                <w:rFonts w:hint="eastAsia"/>
                <w:color w:val="000000"/>
                <w:sz w:val="24"/>
                <w:u w:val="single"/>
                <w:lang w:val="en-US" w:eastAsia="zh-CN"/>
              </w:rPr>
              <w:t>且</w:t>
            </w:r>
            <w:r>
              <w:rPr>
                <w:rFonts w:hint="eastAsia" w:ascii="Times New Roman" w:hAnsi="Times New Roman" w:eastAsia="宋体" w:cs="Times New Roman"/>
                <w:color w:val="auto"/>
                <w:sz w:val="24"/>
                <w:u w:val="single"/>
                <w:lang w:val="en-US" w:eastAsia="zh-CN"/>
              </w:rPr>
              <w:t>本项目工艺无变化，生产工序无生产废水外排。</w:t>
            </w:r>
          </w:p>
          <w:p>
            <w:pPr>
              <w:numPr>
                <w:ilvl w:val="0"/>
                <w:numId w:val="9"/>
              </w:numPr>
              <w:spacing w:line="360" w:lineRule="auto"/>
              <w:ind w:firstLine="480" w:firstLineChars="200"/>
              <w:rPr>
                <w:rFonts w:hint="default"/>
                <w:lang w:val="en-US" w:eastAsia="zh-CN"/>
              </w:rPr>
            </w:pPr>
            <w:r>
              <w:rPr>
                <w:rFonts w:hint="eastAsia" w:ascii="Times New Roman" w:hAnsi="Times New Roman" w:cs="Times New Roman"/>
                <w:color w:val="auto"/>
                <w:sz w:val="24"/>
                <w:u w:val="single"/>
                <w:lang w:val="en-US" w:eastAsia="zh-CN"/>
              </w:rPr>
              <w:t>初期雨水</w:t>
            </w:r>
          </w:p>
          <w:p>
            <w:pPr>
              <w:spacing w:line="360" w:lineRule="auto"/>
              <w:ind w:firstLine="480" w:firstLineChars="200"/>
              <w:rPr>
                <w:color w:val="000000"/>
                <w:sz w:val="24"/>
                <w:u w:val="single"/>
              </w:rPr>
            </w:pPr>
            <w:r>
              <w:rPr>
                <w:color w:val="000000"/>
                <w:sz w:val="24"/>
                <w:u w:val="single"/>
              </w:rPr>
              <w:t>项目生产过程中有粉尘产生，因此在下雨天会产生含悬浮物的初期雨水。为了避免污染附近地表水体，项目建设初期雨水将初期雨水收集沉淀后回用于生产。项目初期雨水量按照以下公式计算：</w:t>
            </w:r>
          </w:p>
          <w:p>
            <w:pPr>
              <w:spacing w:line="360" w:lineRule="auto"/>
              <w:ind w:firstLine="480" w:firstLineChars="200"/>
              <w:rPr>
                <w:color w:val="000000"/>
                <w:sz w:val="24"/>
                <w:u w:val="single"/>
              </w:rPr>
            </w:pPr>
            <w:r>
              <w:rPr>
                <w:color w:val="000000"/>
                <w:sz w:val="24"/>
                <w:u w:val="single"/>
              </w:rPr>
              <w:t>首先计算项目所处地区的暴雨强度，计算公式如下：</w:t>
            </w:r>
          </w:p>
          <w:p>
            <w:pPr>
              <w:adjustRightInd w:val="0"/>
              <w:snapToGrid w:val="0"/>
              <w:ind w:firstLine="420" w:firstLineChars="200"/>
              <w:jc w:val="center"/>
              <w:rPr>
                <w:i/>
                <w:u w:val="single"/>
              </w:rPr>
            </w:pPr>
            <m:oMathPara>
              <m:oMath>
                <m:r>
                  <m:rPr>
                    <m:sty m:val="p"/>
                  </m:rPr>
                  <w:rPr>
                    <w:rFonts w:hint="default" w:ascii="Cambria Math" w:hAnsi="Cambria Math"/>
                  </w:rPr>
                  <m:t>q=</m:t>
                </m:r>
                <m:f>
                  <m:fPr>
                    <m:ctrlPr>
                      <w:rPr>
                        <w:rFonts w:hint="default" w:ascii="Cambria Math" w:hAnsi="Cambria Math"/>
                      </w:rPr>
                    </m:ctrlPr>
                  </m:fPr>
                  <m:num>
                    <m:r>
                      <m:rPr>
                        <m:sty m:val="p"/>
                      </m:rPr>
                      <w:rPr>
                        <w:rFonts w:hint="default" w:ascii="Cambria Math" w:hAnsi="Cambria Math"/>
                      </w:rPr>
                      <m:t>6.897+6.251lgP</m:t>
                    </m:r>
                    <m:ctrlPr>
                      <w:rPr>
                        <w:rFonts w:hint="default" w:ascii="Cambria Math" w:hAnsi="Cambria Math"/>
                      </w:rPr>
                    </m:ctrlPr>
                  </m:num>
                  <m:den>
                    <m:sSup>
                      <m:sSupPr>
                        <m:ctrlPr>
                          <w:rPr>
                            <w:rFonts w:hint="default" w:ascii="Cambria Math" w:hAnsi="Cambria Math"/>
                          </w:rPr>
                        </m:ctrlPr>
                      </m:sSupPr>
                      <m:e>
                        <m:r>
                          <m:rPr>
                            <m:sty m:val="p"/>
                          </m:rPr>
                          <w:rPr>
                            <w:rFonts w:hint="default" w:ascii="Cambria Math" w:hAnsi="Cambria Math"/>
                          </w:rPr>
                          <m:t>(t+4.367)</m:t>
                        </m:r>
                        <m:ctrlPr>
                          <w:rPr>
                            <w:rFonts w:hint="default" w:ascii="Cambria Math" w:hAnsi="Cambria Math"/>
                          </w:rPr>
                        </m:ctrlPr>
                      </m:e>
                      <m:sup>
                        <m:r>
                          <m:rPr>
                            <m:sty m:val="p"/>
                          </m:rPr>
                          <w:rPr>
                            <w:rFonts w:hint="default" w:ascii="Cambria Math" w:hAnsi="Cambria Math"/>
                          </w:rPr>
                          <m:t>0.602</m:t>
                        </m:r>
                        <m:ctrlPr>
                          <w:rPr>
                            <w:rFonts w:hint="default" w:ascii="Cambria Math" w:hAnsi="Cambria Math"/>
                          </w:rPr>
                        </m:ctrlPr>
                      </m:sup>
                    </m:sSup>
                    <m:ctrlPr>
                      <w:rPr>
                        <w:rFonts w:hint="default" w:ascii="Cambria Math" w:hAnsi="Cambria Math"/>
                      </w:rPr>
                    </m:ctrlPr>
                  </m:den>
                </m:f>
              </m:oMath>
            </m:oMathPara>
          </w:p>
          <w:p>
            <w:pPr>
              <w:spacing w:line="360" w:lineRule="auto"/>
              <w:ind w:firstLine="480" w:firstLineChars="200"/>
              <w:rPr>
                <w:color w:val="000000"/>
                <w:sz w:val="24"/>
                <w:u w:val="single"/>
              </w:rPr>
            </w:pPr>
            <w:r>
              <w:rPr>
                <w:color w:val="000000"/>
                <w:sz w:val="24"/>
                <w:u w:val="single"/>
              </w:rPr>
              <w:t>其中：q——暴雨强度（L/s·hm</w:t>
            </w:r>
            <w:r>
              <w:rPr>
                <w:color w:val="000000"/>
                <w:sz w:val="24"/>
                <w:u w:val="single"/>
                <w:vertAlign w:val="superscript"/>
              </w:rPr>
              <w:t>2</w:t>
            </w:r>
            <w:r>
              <w:rPr>
                <w:color w:val="000000"/>
                <w:sz w:val="24"/>
                <w:u w:val="single"/>
              </w:rPr>
              <w:t>）；</w:t>
            </w:r>
          </w:p>
          <w:p>
            <w:pPr>
              <w:spacing w:line="360" w:lineRule="auto"/>
              <w:ind w:firstLine="1200" w:firstLineChars="500"/>
              <w:rPr>
                <w:color w:val="000000"/>
                <w:sz w:val="24"/>
                <w:u w:val="single"/>
              </w:rPr>
            </w:pPr>
            <w:r>
              <w:rPr>
                <w:color w:val="000000"/>
                <w:sz w:val="24"/>
                <w:u w:val="single"/>
              </w:rPr>
              <w:t>P——重现期，重现期取1年；</w:t>
            </w:r>
          </w:p>
          <w:p>
            <w:pPr>
              <w:spacing w:line="360" w:lineRule="auto"/>
              <w:ind w:firstLine="480" w:firstLineChars="200"/>
              <w:rPr>
                <w:color w:val="000000"/>
                <w:sz w:val="24"/>
                <w:u w:val="single"/>
              </w:rPr>
            </w:pPr>
            <w:r>
              <w:rPr>
                <w:color w:val="000000"/>
                <w:sz w:val="24"/>
                <w:u w:val="single"/>
              </w:rPr>
              <w:t xml:space="preserve">      t——降雨历时，本次取15min。</w:t>
            </w:r>
          </w:p>
          <w:p>
            <w:pPr>
              <w:spacing w:line="360" w:lineRule="auto"/>
              <w:ind w:firstLine="480" w:firstLineChars="200"/>
              <w:rPr>
                <w:color w:val="000000"/>
                <w:sz w:val="24"/>
                <w:highlight w:val="none"/>
                <w:u w:val="single"/>
              </w:rPr>
            </w:pPr>
            <w:r>
              <w:rPr>
                <w:rFonts w:hint="default" w:ascii="Times New Roman" w:hAnsi="Times New Roman" w:cs="Times New Roman"/>
                <w:color w:val="000000"/>
                <w:sz w:val="24"/>
                <w:highlight w:val="none"/>
                <w:u w:val="single"/>
              </w:rPr>
              <w:t>经计算，本项目所在区域暴雨强度为192.87L/s·hm</w:t>
            </w:r>
            <w:r>
              <w:rPr>
                <w:rFonts w:hint="default" w:ascii="Times New Roman" w:hAnsi="Times New Roman" w:cs="Times New Roman"/>
                <w:color w:val="000000"/>
                <w:sz w:val="24"/>
                <w:highlight w:val="none"/>
                <w:u w:val="single"/>
                <w:vertAlign w:val="superscript"/>
              </w:rPr>
              <w:t>2</w:t>
            </w:r>
            <w:r>
              <w:rPr>
                <w:color w:val="000000"/>
                <w:sz w:val="24"/>
                <w:highlight w:val="none"/>
                <w:u w:val="single"/>
              </w:rPr>
              <w:t>。</w:t>
            </w:r>
          </w:p>
          <w:p>
            <w:pPr>
              <w:adjustRightInd w:val="0"/>
              <w:snapToGrid w:val="0"/>
              <w:spacing w:line="360" w:lineRule="auto"/>
              <w:ind w:firstLine="480" w:firstLineChars="200"/>
              <w:rPr>
                <w:sz w:val="24"/>
                <w:u w:val="single"/>
              </w:rPr>
            </w:pPr>
            <w:r>
              <w:rPr>
                <w:sz w:val="24"/>
                <w:u w:val="single"/>
              </w:rPr>
              <w:t>根据《室外排水设计规范》（GB50014-2006）雨水设计流量计算公式：</w:t>
            </w:r>
          </w:p>
          <w:p>
            <w:pPr>
              <w:adjustRightInd w:val="0"/>
              <w:snapToGrid w:val="0"/>
              <w:spacing w:line="360" w:lineRule="auto"/>
              <w:ind w:firstLine="480" w:firstLineChars="200"/>
              <w:jc w:val="center"/>
              <w:rPr>
                <w:sz w:val="24"/>
                <w:u w:val="single"/>
              </w:rPr>
            </w:pPr>
            <w:r>
              <w:rPr>
                <w:sz w:val="24"/>
                <w:u w:val="single"/>
              </w:rPr>
              <w:object>
                <v:shape id="_x0000_i1026" o:spt="75" type="#_x0000_t75" style="height:21.75pt;width:57.75pt;" o:ole="t" filled="f" stroked="f" coordsize="21600,21600">
                  <v:path/>
                  <v:fill on="f" focussize="0,0"/>
                  <v:stroke on="f"/>
                  <v:imagedata r:id="rId30" o:title=""/>
                  <o:lock v:ext="edit" aspectratio="t"/>
                  <w10:wrap type="none"/>
                  <w10:anchorlock/>
                </v:shape>
                <o:OLEObject Type="Embed" ProgID="Equation.3" ShapeID="_x0000_i1026" DrawAspect="Content" ObjectID="_1468075726" r:id="rId29">
                  <o:LockedField>false</o:LockedField>
                </o:OLEObject>
              </w:object>
            </w:r>
          </w:p>
          <w:p>
            <w:pPr>
              <w:adjustRightInd w:val="0"/>
              <w:snapToGrid w:val="0"/>
              <w:spacing w:line="360" w:lineRule="auto"/>
              <w:ind w:firstLine="480" w:firstLineChars="200"/>
              <w:rPr>
                <w:sz w:val="24"/>
                <w:u w:val="single"/>
              </w:rPr>
            </w:pPr>
            <w:r>
              <w:rPr>
                <w:sz w:val="24"/>
                <w:u w:val="single"/>
              </w:rPr>
              <w:t>其中：</w:t>
            </w:r>
            <w:r>
              <w:rPr>
                <w:i/>
                <w:sz w:val="24"/>
                <w:u w:val="single"/>
              </w:rPr>
              <w:t>Q</w:t>
            </w:r>
            <w:r>
              <w:rPr>
                <w:i/>
                <w:sz w:val="24"/>
                <w:u w:val="single"/>
                <w:vertAlign w:val="subscript"/>
              </w:rPr>
              <w:t>s</w:t>
            </w:r>
            <w:r>
              <w:rPr>
                <w:i/>
                <w:sz w:val="24"/>
                <w:u w:val="single"/>
              </w:rPr>
              <w:t>——</w:t>
            </w:r>
            <w:r>
              <w:rPr>
                <w:sz w:val="24"/>
                <w:u w:val="single"/>
              </w:rPr>
              <w:t>雨水设计流量（L/s）；</w:t>
            </w:r>
          </w:p>
          <w:p>
            <w:pPr>
              <w:adjustRightInd w:val="0"/>
              <w:snapToGrid w:val="0"/>
              <w:spacing w:line="360" w:lineRule="auto"/>
              <w:ind w:firstLine="1200" w:firstLineChars="500"/>
              <w:rPr>
                <w:sz w:val="24"/>
                <w:u w:val="single"/>
              </w:rPr>
            </w:pPr>
            <w:r>
              <w:rPr>
                <w:i/>
                <w:sz w:val="24"/>
                <w:u w:val="single"/>
              </w:rPr>
              <w:t>q——</w:t>
            </w:r>
            <w:r>
              <w:rPr>
                <w:sz w:val="24"/>
                <w:u w:val="single"/>
              </w:rPr>
              <w:t>暴雨强度（L/s·hm</w:t>
            </w:r>
            <w:r>
              <w:rPr>
                <w:sz w:val="24"/>
                <w:u w:val="single"/>
                <w:vertAlign w:val="superscript"/>
              </w:rPr>
              <w:t>2</w:t>
            </w:r>
            <w:r>
              <w:rPr>
                <w:sz w:val="24"/>
                <w:u w:val="single"/>
              </w:rPr>
              <w:t>）；</w:t>
            </w:r>
          </w:p>
          <w:p>
            <w:pPr>
              <w:spacing w:line="360" w:lineRule="auto"/>
              <w:ind w:firstLine="1200" w:firstLineChars="500"/>
              <w:rPr>
                <w:color w:val="000000"/>
                <w:sz w:val="24"/>
                <w:u w:val="single"/>
              </w:rPr>
            </w:pPr>
            <w:r>
              <w:rPr>
                <w:color w:val="000000"/>
                <w:sz w:val="24"/>
                <w:u w:val="single"/>
              </w:rPr>
              <w:t>ψ——径流系数，本次取0.85（各种屋面、混凝土或沥青路面为0.85~0.95）；</w:t>
            </w:r>
          </w:p>
          <w:p>
            <w:pPr>
              <w:spacing w:line="360" w:lineRule="auto"/>
              <w:ind w:firstLine="1200" w:firstLineChars="500"/>
              <w:rPr>
                <w:color w:val="000000"/>
                <w:sz w:val="24"/>
                <w:u w:val="single"/>
              </w:rPr>
            </w:pPr>
            <w:r>
              <w:rPr>
                <w:color w:val="000000"/>
                <w:sz w:val="24"/>
                <w:u w:val="single"/>
              </w:rPr>
              <w:t>F——汇水面积，汇水面积以裸露地面（扣除绿化面积）计，因此本项目取</w:t>
            </w:r>
            <w:r>
              <w:rPr>
                <w:rFonts w:hint="eastAsia"/>
                <w:color w:val="000000"/>
                <w:sz w:val="24"/>
                <w:u w:val="single"/>
                <w:lang w:val="en-US" w:eastAsia="zh-CN"/>
              </w:rPr>
              <w:t>1.9</w:t>
            </w:r>
            <w:r>
              <w:rPr>
                <w:color w:val="000000"/>
                <w:sz w:val="24"/>
                <w:u w:val="single"/>
              </w:rPr>
              <w:t>hm</w:t>
            </w:r>
            <w:r>
              <w:rPr>
                <w:color w:val="000000"/>
                <w:sz w:val="24"/>
                <w:u w:val="single"/>
                <w:vertAlign w:val="superscript"/>
              </w:rPr>
              <w:t>2</w:t>
            </w:r>
            <w:r>
              <w:rPr>
                <w:color w:val="000000"/>
                <w:sz w:val="24"/>
                <w:u w:val="single"/>
              </w:rPr>
              <w:t>。</w:t>
            </w:r>
          </w:p>
          <w:p>
            <w:pPr>
              <w:spacing w:line="360" w:lineRule="auto"/>
              <w:ind w:firstLine="480" w:firstLineChars="200"/>
              <w:rPr>
                <w:rFonts w:hint="default"/>
                <w:lang w:val="en-US" w:eastAsia="zh-CN"/>
              </w:rPr>
            </w:pPr>
            <w:r>
              <w:rPr>
                <w:color w:val="000000"/>
                <w:sz w:val="24"/>
                <w:u w:val="single"/>
              </w:rPr>
              <w:t>经计算，项目雨水设计流量约为</w:t>
            </w:r>
            <w:r>
              <w:rPr>
                <w:rFonts w:hint="eastAsia"/>
                <w:color w:val="000000"/>
                <w:sz w:val="24"/>
                <w:u w:val="single"/>
                <w:lang w:val="en-US" w:eastAsia="zh-CN"/>
              </w:rPr>
              <w:t>154.3</w:t>
            </w:r>
            <w:r>
              <w:rPr>
                <w:color w:val="000000"/>
                <w:sz w:val="24"/>
                <w:u w:val="single"/>
              </w:rPr>
              <w:t>L/s，暴雨持续时间按照15min计算，雨水量约为</w:t>
            </w:r>
            <w:r>
              <w:rPr>
                <w:rFonts w:hint="eastAsia"/>
                <w:color w:val="000000"/>
                <w:sz w:val="24"/>
                <w:u w:val="single"/>
                <w:lang w:val="en-US" w:eastAsia="zh-CN"/>
              </w:rPr>
              <w:t>277.74</w:t>
            </w:r>
            <w:r>
              <w:rPr>
                <w:color w:val="000000"/>
                <w:sz w:val="24"/>
                <w:u w:val="single"/>
              </w:rPr>
              <w:t>m</w:t>
            </w:r>
            <w:r>
              <w:rPr>
                <w:color w:val="000000"/>
                <w:sz w:val="24"/>
                <w:u w:val="single"/>
                <w:vertAlign w:val="superscript"/>
              </w:rPr>
              <w:t>3</w:t>
            </w:r>
            <w:r>
              <w:rPr>
                <w:rFonts w:hint="eastAsia"/>
                <w:color w:val="000000"/>
                <w:sz w:val="24"/>
                <w:u w:val="single"/>
                <w:vertAlign w:val="baseline"/>
                <w:lang w:val="en-US" w:eastAsia="zh-CN"/>
              </w:rPr>
              <w:t>/次</w:t>
            </w:r>
            <w:r>
              <w:rPr>
                <w:color w:val="000000"/>
                <w:sz w:val="24"/>
                <w:u w:val="single"/>
              </w:rPr>
              <w:t>，此为最大一次降水量。本项目初期雨水经厂区四周排水沟收集后经沉淀池处理后回用于生产。初期雨污水中的污染因子主要为SS，类比同类项目，初期雨水中SS的初始浓度约为1000mg/L，产生量约为</w:t>
            </w:r>
            <w:r>
              <w:rPr>
                <w:rFonts w:hint="eastAsia"/>
                <w:color w:val="000000"/>
                <w:sz w:val="24"/>
                <w:u w:val="single"/>
                <w:lang w:val="en-US" w:eastAsia="zh-CN"/>
              </w:rPr>
              <w:t>12</w:t>
            </w:r>
            <w:r>
              <w:rPr>
                <w:color w:val="000000"/>
                <w:sz w:val="24"/>
                <w:u w:val="single"/>
              </w:rPr>
              <w:t>.</w:t>
            </w:r>
            <w:r>
              <w:rPr>
                <w:rFonts w:hint="eastAsia"/>
                <w:color w:val="000000"/>
                <w:sz w:val="24"/>
                <w:u w:val="single"/>
                <w:lang w:val="en-US" w:eastAsia="zh-CN"/>
              </w:rPr>
              <w:t>42</w:t>
            </w:r>
            <w:r>
              <w:rPr>
                <w:color w:val="000000"/>
                <w:sz w:val="24"/>
                <w:u w:val="single"/>
              </w:rPr>
              <w:t>t/a，</w:t>
            </w:r>
            <w:r>
              <w:rPr>
                <w:color w:val="000000"/>
                <w:sz w:val="24"/>
                <w:highlight w:val="none"/>
                <w:u w:val="single"/>
              </w:rPr>
              <w:t>项目拟在厂区</w:t>
            </w:r>
            <w:r>
              <w:rPr>
                <w:rFonts w:hint="eastAsia"/>
                <w:color w:val="000000"/>
                <w:sz w:val="24"/>
                <w:highlight w:val="none"/>
                <w:u w:val="single"/>
                <w:lang w:val="en-US" w:eastAsia="zh-CN"/>
              </w:rPr>
              <w:t>东北</w:t>
            </w:r>
            <w:r>
              <w:rPr>
                <w:color w:val="000000"/>
                <w:sz w:val="24"/>
                <w:highlight w:val="none"/>
                <w:u w:val="single"/>
              </w:rPr>
              <w:t>侧设一沉淀池，容积为</w:t>
            </w:r>
            <w:r>
              <w:rPr>
                <w:rFonts w:hint="eastAsia"/>
                <w:color w:val="000000"/>
                <w:sz w:val="24"/>
                <w:highlight w:val="none"/>
                <w:u w:val="single"/>
                <w:lang w:val="en-US" w:eastAsia="zh-CN"/>
              </w:rPr>
              <w:t>50</w:t>
            </w:r>
            <w:r>
              <w:rPr>
                <w:color w:val="000000"/>
                <w:sz w:val="24"/>
                <w:highlight w:val="none"/>
                <w:u w:val="single"/>
              </w:rPr>
              <w:t>0m</w:t>
            </w:r>
            <w:r>
              <w:rPr>
                <w:color w:val="000000"/>
                <w:sz w:val="24"/>
                <w:highlight w:val="none"/>
                <w:u w:val="single"/>
                <w:vertAlign w:val="superscript"/>
              </w:rPr>
              <w:t>3</w:t>
            </w:r>
            <w:r>
              <w:rPr>
                <w:color w:val="000000"/>
                <w:sz w:val="24"/>
                <w:highlight w:val="none"/>
                <w:u w:val="single"/>
              </w:rPr>
              <w:t>，对</w:t>
            </w:r>
            <w:r>
              <w:rPr>
                <w:color w:val="000000"/>
                <w:sz w:val="24"/>
                <w:u w:val="single"/>
              </w:rPr>
              <w:t>项目厂区初期雨水收集沉淀后回用于制砖用水或用于厂区洒水抑尘，并定期将沉淀池污泥清理，并添加到制砖工序中。</w:t>
            </w:r>
          </w:p>
          <w:p>
            <w:pPr>
              <w:pStyle w:val="11"/>
              <w:spacing w:line="360" w:lineRule="auto"/>
              <w:ind w:firstLine="482"/>
              <w:rPr>
                <w:rFonts w:hint="default" w:ascii="Times New Roman" w:hAnsi="Times New Roman" w:eastAsia="宋体" w:cs="Times New Roman"/>
                <w:b/>
                <w:bCs/>
                <w:color w:val="auto"/>
                <w:sz w:val="24"/>
                <w:u w:val="none"/>
              </w:rPr>
            </w:pPr>
            <w:r>
              <w:rPr>
                <w:rFonts w:hint="eastAsia" w:cs="Times New Roman"/>
                <w:b/>
                <w:bCs/>
                <w:color w:val="auto"/>
                <w:sz w:val="24"/>
                <w:u w:val="none"/>
                <w:lang w:val="en-US" w:eastAsia="zh-CN"/>
              </w:rPr>
              <w:t>三</w:t>
            </w:r>
            <w:r>
              <w:rPr>
                <w:rFonts w:hint="default" w:ascii="Times New Roman" w:hAnsi="Times New Roman" w:eastAsia="宋体" w:cs="Times New Roman"/>
                <w:b/>
                <w:bCs/>
                <w:color w:val="auto"/>
                <w:sz w:val="24"/>
                <w:u w:val="none"/>
              </w:rPr>
              <w:t>、</w:t>
            </w:r>
            <w:r>
              <w:rPr>
                <w:rFonts w:hint="eastAsia" w:ascii="Times New Roman" w:hAnsi="Times New Roman" w:eastAsia="宋体" w:cs="Times New Roman"/>
                <w:b/>
                <w:bCs/>
                <w:color w:val="auto"/>
                <w:sz w:val="24"/>
                <w:u w:val="none"/>
                <w:lang w:eastAsia="zh-CN"/>
              </w:rPr>
              <w:t>噪声</w:t>
            </w:r>
            <w:r>
              <w:rPr>
                <w:rFonts w:hint="default" w:ascii="Times New Roman" w:hAnsi="Times New Roman" w:eastAsia="宋体" w:cs="Times New Roman"/>
                <w:b/>
                <w:bCs/>
                <w:color w:val="auto"/>
                <w:sz w:val="24"/>
                <w:u w:val="none"/>
              </w:rPr>
              <w:t>环境影响和保护措施</w:t>
            </w:r>
          </w:p>
          <w:p>
            <w:pPr>
              <w:spacing w:line="360" w:lineRule="auto"/>
              <w:ind w:firstLine="480" w:firstLineChars="200"/>
              <w:rPr>
                <w:rFonts w:hint="default" w:ascii="Times New Roman" w:hAnsi="Times New Roman" w:eastAsia="宋体" w:cs="Times New Roman"/>
                <w:color w:val="auto"/>
                <w:sz w:val="24"/>
                <w:u w:val="none"/>
                <w:lang w:val="en-US" w:eastAsia="zh-CN"/>
              </w:rPr>
            </w:pPr>
            <w:r>
              <w:rPr>
                <w:rFonts w:hint="eastAsia" w:ascii="Times New Roman" w:hAnsi="Times New Roman" w:eastAsia="宋体" w:cs="Times New Roman"/>
                <w:color w:val="auto"/>
                <w:sz w:val="24"/>
                <w:u w:val="none"/>
                <w:lang w:val="en-US" w:eastAsia="zh-CN"/>
              </w:rPr>
              <w:t>本次项目未新增噪声设备，噪声环境影响与原项目基本相同，参考《</w:t>
            </w:r>
            <w:r>
              <w:rPr>
                <w:rFonts w:hint="eastAsia" w:cs="Times New Roman"/>
                <w:color w:val="auto"/>
                <w:sz w:val="24"/>
                <w:u w:val="none"/>
                <w:lang w:val="en-US" w:eastAsia="zh-CN"/>
              </w:rPr>
              <w:t>衡阳县财源页岩砖有限公司</w:t>
            </w:r>
            <w:r>
              <w:rPr>
                <w:rFonts w:hint="eastAsia" w:ascii="Times New Roman" w:hAnsi="Times New Roman" w:cs="Times New Roman"/>
                <w:color w:val="auto"/>
                <w:sz w:val="24"/>
                <w:u w:val="none"/>
                <w:lang w:val="en-US" w:eastAsia="zh-CN"/>
              </w:rPr>
              <w:t>202</w:t>
            </w:r>
            <w:r>
              <w:rPr>
                <w:rFonts w:hint="eastAsia" w:cs="Times New Roman"/>
                <w:color w:val="auto"/>
                <w:sz w:val="24"/>
                <w:u w:val="none"/>
                <w:lang w:val="en-US" w:eastAsia="zh-CN"/>
              </w:rPr>
              <w:t>5</w:t>
            </w:r>
            <w:r>
              <w:rPr>
                <w:rFonts w:hint="eastAsia" w:ascii="Times New Roman" w:hAnsi="Times New Roman" w:cs="Times New Roman"/>
                <w:color w:val="auto"/>
                <w:sz w:val="24"/>
                <w:u w:val="none"/>
                <w:lang w:val="en-US" w:eastAsia="zh-CN"/>
              </w:rPr>
              <w:t>年度自行监测报告</w:t>
            </w:r>
            <w:r>
              <w:rPr>
                <w:rFonts w:hint="eastAsia" w:ascii="Times New Roman" w:hAnsi="Times New Roman" w:eastAsia="宋体" w:cs="Times New Roman"/>
                <w:color w:val="auto"/>
                <w:sz w:val="24"/>
                <w:u w:val="none"/>
                <w:lang w:val="en-US" w:eastAsia="zh-CN"/>
              </w:rPr>
              <w:t>》</w:t>
            </w:r>
            <w:r>
              <w:rPr>
                <w:rFonts w:hint="eastAsia" w:cs="Times New Roman"/>
                <w:color w:val="auto"/>
                <w:sz w:val="24"/>
                <w:u w:val="none"/>
                <w:lang w:val="en-US" w:eastAsia="zh-CN"/>
              </w:rPr>
              <w:t>2025年3月27日由湖南中雁环保科技有限公司对《衡阳县财源页岩砖有限公司2025年度第一季度自行监测》</w:t>
            </w:r>
            <w:r>
              <w:rPr>
                <w:rFonts w:hint="eastAsia" w:ascii="Times New Roman" w:hAnsi="Times New Roman" w:eastAsia="宋体" w:cs="Times New Roman"/>
                <w:color w:val="auto"/>
                <w:sz w:val="24"/>
                <w:u w:val="none"/>
                <w:lang w:val="en-US" w:eastAsia="zh-CN"/>
              </w:rPr>
              <w:t>，原项目</w:t>
            </w:r>
            <w:r>
              <w:rPr>
                <w:rFonts w:hint="eastAsia" w:ascii="Times New Roman" w:hAnsi="Times New Roman" w:cs="Times New Roman"/>
                <w:color w:val="auto"/>
                <w:sz w:val="24"/>
                <w:u w:val="none"/>
                <w:lang w:val="en-US" w:eastAsia="zh-CN"/>
              </w:rPr>
              <w:t>202</w:t>
            </w:r>
            <w:r>
              <w:rPr>
                <w:rFonts w:hint="eastAsia" w:cs="Times New Roman"/>
                <w:color w:val="auto"/>
                <w:sz w:val="24"/>
                <w:u w:val="none"/>
                <w:lang w:val="en-US" w:eastAsia="zh-CN"/>
              </w:rPr>
              <w:t>5</w:t>
            </w:r>
            <w:r>
              <w:rPr>
                <w:rFonts w:hint="eastAsia" w:ascii="Times New Roman" w:hAnsi="Times New Roman" w:cs="Times New Roman"/>
                <w:color w:val="auto"/>
                <w:sz w:val="24"/>
                <w:u w:val="none"/>
                <w:lang w:val="en-US" w:eastAsia="zh-CN"/>
              </w:rPr>
              <w:t>年度自行监测</w:t>
            </w:r>
            <w:r>
              <w:rPr>
                <w:rFonts w:hint="eastAsia" w:ascii="Times New Roman" w:hAnsi="Times New Roman" w:eastAsia="宋体" w:cs="Times New Roman"/>
                <w:color w:val="auto"/>
                <w:sz w:val="24"/>
                <w:u w:val="none"/>
                <w:lang w:eastAsia="zh-CN"/>
              </w:rPr>
              <w:t>厂界东、南、西、北侧4个监测点，均未超过《工业企业厂界环境噪声排放标准》（GB12348-2008）中2类标准限值。</w:t>
            </w:r>
          </w:p>
          <w:p>
            <w:pPr>
              <w:spacing w:after="0"/>
              <w:jc w:val="center"/>
              <w:rPr>
                <w:rFonts w:ascii="Times New Roman" w:hAnsi="Times New Roman" w:eastAsia="宋体"/>
                <w:b/>
                <w:bCs/>
                <w:color w:val="auto"/>
                <w:sz w:val="21"/>
                <w:szCs w:val="21"/>
                <w:u w:val="none"/>
              </w:rPr>
            </w:pPr>
            <w:r>
              <w:rPr>
                <w:rFonts w:ascii="Times New Roman" w:hAnsi="宋体" w:eastAsia="宋体"/>
                <w:b/>
                <w:bCs/>
                <w:color w:val="auto"/>
                <w:sz w:val="21"/>
                <w:szCs w:val="21"/>
                <w:u w:val="none"/>
              </w:rPr>
              <w:t>表</w:t>
            </w:r>
            <w:r>
              <w:rPr>
                <w:rFonts w:hint="eastAsia" w:ascii="Times New Roman" w:hAnsi="Times New Roman" w:eastAsia="宋体"/>
                <w:b/>
                <w:bCs/>
                <w:color w:val="auto"/>
                <w:sz w:val="21"/>
                <w:szCs w:val="21"/>
                <w:u w:val="none"/>
                <w:lang w:val="en-US" w:eastAsia="zh-CN"/>
              </w:rPr>
              <w:t>4-</w:t>
            </w:r>
            <w:r>
              <w:rPr>
                <w:rFonts w:hint="eastAsia"/>
                <w:b/>
                <w:bCs/>
                <w:color w:val="auto"/>
                <w:sz w:val="21"/>
                <w:szCs w:val="21"/>
                <w:u w:val="none"/>
                <w:lang w:val="en-US" w:eastAsia="zh-CN"/>
              </w:rPr>
              <w:t>6</w:t>
            </w:r>
            <w:r>
              <w:rPr>
                <w:rFonts w:hint="eastAsia" w:ascii="Times New Roman" w:hAnsi="Times New Roman" w:eastAsia="宋体"/>
                <w:b/>
                <w:bCs/>
                <w:color w:val="auto"/>
                <w:sz w:val="21"/>
                <w:szCs w:val="21"/>
                <w:u w:val="none"/>
                <w:lang w:val="en-US" w:eastAsia="zh-CN"/>
              </w:rPr>
              <w:t>原项目</w:t>
            </w:r>
            <w:r>
              <w:rPr>
                <w:rFonts w:ascii="Times New Roman" w:hAnsi="宋体" w:eastAsia="宋体"/>
                <w:b/>
                <w:bCs/>
                <w:color w:val="auto"/>
                <w:sz w:val="21"/>
                <w:szCs w:val="21"/>
                <w:u w:val="none"/>
              </w:rPr>
              <w:t>噪声监测结果单位：</w:t>
            </w:r>
            <w:r>
              <w:rPr>
                <w:rFonts w:ascii="Times New Roman" w:hAnsi="Times New Roman" w:eastAsia="宋体"/>
                <w:b/>
                <w:bCs/>
                <w:color w:val="auto"/>
                <w:sz w:val="21"/>
                <w:szCs w:val="21"/>
                <w:u w:val="none"/>
              </w:rPr>
              <w:t>dB(A)</w:t>
            </w:r>
          </w:p>
          <w:tbl>
            <w:tblPr>
              <w:tblStyle w:val="30"/>
              <w:tblW w:w="7962"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531"/>
              <w:gridCol w:w="2365"/>
              <w:gridCol w:w="1075"/>
              <w:gridCol w:w="1289"/>
              <w:gridCol w:w="1"/>
              <w:gridCol w:w="1700"/>
              <w:gridCol w:w="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88" w:hRule="atLeast"/>
                <w:tblHeader/>
                <w:jc w:val="center"/>
              </w:trPr>
              <w:tc>
                <w:tcPr>
                  <w:tcW w:w="1531" w:type="dxa"/>
                  <w:vMerge w:val="restart"/>
                  <w:tcBorders>
                    <w:tl2br w:val="nil"/>
                    <w:tr2bl w:val="nil"/>
                  </w:tcBorders>
                  <w:noWrap w:val="0"/>
                  <w:vAlign w:val="center"/>
                </w:tcPr>
                <w:p>
                  <w:pPr>
                    <w:jc w:val="center"/>
                    <w:rPr>
                      <w:rFonts w:hint="default" w:ascii="Times New Roman" w:hAnsi="Times New Roman" w:eastAsia="仿宋" w:cs="Times New Roman"/>
                      <w:b/>
                      <w:bCs/>
                      <w:color w:val="auto"/>
                      <w:u w:val="none"/>
                    </w:rPr>
                  </w:pPr>
                  <w:r>
                    <w:rPr>
                      <w:rFonts w:hint="default" w:ascii="Times New Roman" w:hAnsi="Times New Roman" w:eastAsia="仿宋" w:cs="Times New Roman"/>
                      <w:b/>
                      <w:bCs/>
                      <w:color w:val="auto"/>
                      <w:u w:val="none"/>
                    </w:rPr>
                    <w:t>测点方位</w:t>
                  </w:r>
                </w:p>
              </w:tc>
              <w:tc>
                <w:tcPr>
                  <w:tcW w:w="4730" w:type="dxa"/>
                  <w:gridSpan w:val="4"/>
                  <w:tcBorders>
                    <w:tl2br w:val="nil"/>
                    <w:tr2bl w:val="nil"/>
                  </w:tcBorders>
                  <w:noWrap w:val="0"/>
                  <w:vAlign w:val="center"/>
                </w:tcPr>
                <w:p>
                  <w:pPr>
                    <w:jc w:val="center"/>
                    <w:rPr>
                      <w:rFonts w:hint="default" w:ascii="Times New Roman" w:hAnsi="Times New Roman" w:eastAsia="仿宋" w:cs="Times New Roman"/>
                      <w:b/>
                      <w:bCs/>
                      <w:color w:val="auto"/>
                      <w:u w:val="none"/>
                    </w:rPr>
                  </w:pPr>
                  <w:r>
                    <w:rPr>
                      <w:rFonts w:hint="default" w:ascii="Times New Roman" w:hAnsi="Times New Roman" w:eastAsia="仿宋" w:cs="Times New Roman"/>
                      <w:b/>
                      <w:bCs/>
                      <w:color w:val="auto"/>
                      <w:u w:val="none"/>
                    </w:rPr>
                    <w:t>等效声级Leq，dB（A）</w:t>
                  </w:r>
                </w:p>
              </w:tc>
              <w:tc>
                <w:tcPr>
                  <w:tcW w:w="1701" w:type="dxa"/>
                  <w:gridSpan w:val="2"/>
                  <w:tcBorders>
                    <w:tl2br w:val="nil"/>
                    <w:tr2bl w:val="nil"/>
                  </w:tcBorders>
                  <w:noWrap w:val="0"/>
                  <w:vAlign w:val="center"/>
                </w:tcPr>
                <w:p>
                  <w:pPr>
                    <w:jc w:val="center"/>
                    <w:rPr>
                      <w:rFonts w:hint="default" w:ascii="Times New Roman" w:hAnsi="Times New Roman" w:eastAsia="仿宋" w:cs="Times New Roman"/>
                      <w:b/>
                      <w:bCs/>
                      <w:color w:val="auto"/>
                      <w:u w:val="none"/>
                    </w:rPr>
                  </w:pPr>
                  <w:r>
                    <w:rPr>
                      <w:rFonts w:hint="default" w:ascii="Times New Roman" w:hAnsi="Times New Roman" w:eastAsia="仿宋" w:cs="Times New Roman"/>
                      <w:b/>
                      <w:bCs/>
                      <w:color w:val="auto"/>
                      <w:u w:val="none"/>
                    </w:rPr>
                    <w:t>标准限值</w:t>
                  </w:r>
                </w:p>
                <w:p>
                  <w:pPr>
                    <w:jc w:val="center"/>
                    <w:rPr>
                      <w:rFonts w:hint="default" w:ascii="Times New Roman" w:hAnsi="Times New Roman" w:eastAsia="仿宋" w:cs="Times New Roman"/>
                      <w:b/>
                      <w:bCs/>
                      <w:color w:val="auto"/>
                      <w:u w:val="none"/>
                    </w:rPr>
                  </w:pPr>
                  <w:r>
                    <w:rPr>
                      <w:rFonts w:hint="default" w:ascii="Times New Roman" w:hAnsi="Times New Roman" w:eastAsia="仿宋" w:cs="Times New Roman"/>
                      <w:b/>
                      <w:bCs/>
                      <w:color w:val="auto"/>
                      <w:u w:val="none"/>
                    </w:rPr>
                    <w:t>Leq，dB（A）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gridAfter w:val="1"/>
                <w:wAfter w:w="1" w:type="dxa"/>
                <w:trHeight w:val="454" w:hRule="atLeast"/>
                <w:tblHeader/>
                <w:jc w:val="center"/>
              </w:trPr>
              <w:tc>
                <w:tcPr>
                  <w:tcW w:w="1531" w:type="dxa"/>
                  <w:vMerge w:val="continue"/>
                  <w:tcBorders>
                    <w:tl2br w:val="nil"/>
                    <w:tr2bl w:val="nil"/>
                  </w:tcBorders>
                  <w:noWrap w:val="0"/>
                  <w:vAlign w:val="center"/>
                </w:tcPr>
                <w:p>
                  <w:pPr>
                    <w:jc w:val="center"/>
                    <w:rPr>
                      <w:rFonts w:hint="default" w:ascii="Times New Roman" w:hAnsi="Times New Roman" w:eastAsia="仿宋" w:cs="Times New Roman"/>
                      <w:color w:val="auto"/>
                      <w:u w:val="none"/>
                    </w:rPr>
                  </w:pPr>
                </w:p>
              </w:tc>
              <w:tc>
                <w:tcPr>
                  <w:tcW w:w="2365" w:type="dxa"/>
                  <w:tcBorders>
                    <w:tl2br w:val="nil"/>
                    <w:tr2bl w:val="nil"/>
                  </w:tcBorders>
                  <w:noWrap w:val="0"/>
                  <w:vAlign w:val="center"/>
                </w:tcPr>
                <w:p>
                  <w:pPr>
                    <w:jc w:val="center"/>
                    <w:rPr>
                      <w:rFonts w:hint="default" w:ascii="Times New Roman" w:hAnsi="Times New Roman" w:eastAsia="仿宋" w:cs="Times New Roman"/>
                      <w:b/>
                      <w:bCs/>
                      <w:color w:val="auto"/>
                      <w:u w:val="none"/>
                    </w:rPr>
                  </w:pPr>
                </w:p>
              </w:tc>
              <w:tc>
                <w:tcPr>
                  <w:tcW w:w="1075" w:type="dxa"/>
                  <w:tcBorders>
                    <w:tl2br w:val="nil"/>
                    <w:tr2bl w:val="nil"/>
                  </w:tcBorders>
                  <w:noWrap w:val="0"/>
                  <w:vAlign w:val="center"/>
                </w:tcPr>
                <w:p>
                  <w:pPr>
                    <w:jc w:val="center"/>
                    <w:rPr>
                      <w:rFonts w:hint="default" w:ascii="Times New Roman" w:hAnsi="Times New Roman" w:eastAsia="仿宋" w:cs="Times New Roman"/>
                      <w:b/>
                      <w:bCs/>
                      <w:color w:val="auto"/>
                      <w:u w:val="none"/>
                    </w:rPr>
                  </w:pPr>
                  <w:r>
                    <w:rPr>
                      <w:rFonts w:hint="default" w:ascii="Times New Roman" w:hAnsi="Times New Roman" w:eastAsia="仿宋" w:cs="Times New Roman"/>
                      <w:b/>
                      <w:bCs/>
                      <w:color w:val="auto"/>
                      <w:u w:val="none"/>
                    </w:rPr>
                    <w:t>昼间</w:t>
                  </w:r>
                </w:p>
              </w:tc>
              <w:tc>
                <w:tcPr>
                  <w:tcW w:w="1289" w:type="dxa"/>
                  <w:tcBorders>
                    <w:tl2br w:val="nil"/>
                    <w:tr2bl w:val="nil"/>
                  </w:tcBorders>
                  <w:noWrap w:val="0"/>
                  <w:vAlign w:val="center"/>
                </w:tcPr>
                <w:p>
                  <w:pPr>
                    <w:jc w:val="center"/>
                    <w:rPr>
                      <w:rFonts w:hint="default" w:ascii="Times New Roman" w:hAnsi="Times New Roman" w:eastAsia="仿宋" w:cs="Times New Roman"/>
                      <w:b/>
                      <w:bCs/>
                      <w:color w:val="auto"/>
                      <w:u w:val="none"/>
                    </w:rPr>
                  </w:pPr>
                  <w:r>
                    <w:rPr>
                      <w:rFonts w:hint="default" w:ascii="Times New Roman" w:hAnsi="Times New Roman" w:eastAsia="仿宋" w:cs="Times New Roman"/>
                      <w:b/>
                      <w:bCs/>
                      <w:color w:val="auto"/>
                      <w:u w:val="none"/>
                    </w:rPr>
                    <w:t>夜间</w:t>
                  </w:r>
                </w:p>
              </w:tc>
              <w:tc>
                <w:tcPr>
                  <w:tcW w:w="1701" w:type="dxa"/>
                  <w:gridSpan w:val="2"/>
                  <w:tcBorders>
                    <w:tl2br w:val="nil"/>
                    <w:tr2bl w:val="nil"/>
                  </w:tcBorders>
                  <w:noWrap w:val="0"/>
                  <w:vAlign w:val="center"/>
                </w:tcPr>
                <w:p>
                  <w:pPr>
                    <w:jc w:val="center"/>
                    <w:rPr>
                      <w:rFonts w:hint="default" w:ascii="Times New Roman" w:hAnsi="Times New Roman" w:eastAsia="仿宋" w:cs="Times New Roman"/>
                      <w:color w:val="auto"/>
                      <w:u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gridAfter w:val="1"/>
                <w:wAfter w:w="1" w:type="dxa"/>
                <w:trHeight w:val="650" w:hRule="atLeast"/>
                <w:jc w:val="center"/>
              </w:trPr>
              <w:tc>
                <w:tcPr>
                  <w:tcW w:w="1531" w:type="dxa"/>
                  <w:tcBorders>
                    <w:tl2br w:val="nil"/>
                    <w:tr2bl w:val="nil"/>
                  </w:tcBorders>
                  <w:noWrap w:val="0"/>
                  <w:vAlign w:val="center"/>
                </w:tcPr>
                <w:p>
                  <w:pPr>
                    <w:jc w:val="center"/>
                    <w:rPr>
                      <w:rFonts w:hint="default" w:ascii="Times New Roman" w:hAnsi="Times New Roman" w:eastAsia="仿宋" w:cs="Times New Roman"/>
                      <w:color w:val="auto"/>
                      <w:u w:val="none"/>
                      <w:lang w:val="en-US" w:eastAsia="zh-CN"/>
                    </w:rPr>
                  </w:pPr>
                  <w:r>
                    <w:rPr>
                      <w:rFonts w:hint="default" w:ascii="Times New Roman" w:hAnsi="Times New Roman" w:eastAsia="仿宋" w:cs="Times New Roman"/>
                      <w:color w:val="auto"/>
                      <w:u w:val="none"/>
                      <w:lang w:val="en-US" w:eastAsia="zh-CN"/>
                    </w:rPr>
                    <w:t>厂界东侧外1m处△N1</w:t>
                  </w:r>
                </w:p>
              </w:tc>
              <w:tc>
                <w:tcPr>
                  <w:tcW w:w="2365" w:type="dxa"/>
                  <w:vMerge w:val="restart"/>
                  <w:tcBorders>
                    <w:tl2br w:val="nil"/>
                    <w:tr2bl w:val="nil"/>
                  </w:tcBorders>
                  <w:noWrap w:val="0"/>
                  <w:vAlign w:val="center"/>
                </w:tcPr>
                <w:p>
                  <w:pPr>
                    <w:jc w:val="center"/>
                    <w:rPr>
                      <w:rFonts w:hint="default" w:ascii="Times New Roman" w:hAnsi="Times New Roman" w:eastAsia="仿宋" w:cs="Times New Roman"/>
                      <w:color w:val="auto"/>
                      <w:u w:val="none"/>
                      <w:lang w:val="en-US" w:eastAsia="zh-CN"/>
                    </w:rPr>
                  </w:pPr>
                  <w:r>
                    <w:rPr>
                      <w:rFonts w:hint="default" w:ascii="Times New Roman" w:hAnsi="Times New Roman" w:eastAsia="仿宋" w:cs="Times New Roman"/>
                      <w:b/>
                      <w:bCs/>
                      <w:color w:val="auto"/>
                      <w:u w:val="none"/>
                      <w:lang w:val="en-US" w:eastAsia="zh-CN"/>
                    </w:rPr>
                    <w:t>202</w:t>
                  </w:r>
                  <w:r>
                    <w:rPr>
                      <w:rFonts w:hint="eastAsia" w:eastAsia="仿宋" w:cs="Times New Roman"/>
                      <w:b/>
                      <w:bCs/>
                      <w:color w:val="auto"/>
                      <w:u w:val="none"/>
                      <w:lang w:val="en-US" w:eastAsia="zh-CN"/>
                    </w:rPr>
                    <w:t>5.</w:t>
                  </w:r>
                  <w:r>
                    <w:rPr>
                      <w:rFonts w:hint="eastAsia" w:ascii="Times New Roman" w:hAnsi="Times New Roman" w:eastAsia="仿宋" w:cs="Times New Roman"/>
                      <w:b/>
                      <w:bCs/>
                      <w:color w:val="auto"/>
                      <w:u w:val="none"/>
                      <w:lang w:val="en-US" w:eastAsia="zh-CN"/>
                    </w:rPr>
                    <w:t>0</w:t>
                  </w:r>
                  <w:r>
                    <w:rPr>
                      <w:rFonts w:hint="eastAsia" w:eastAsia="仿宋" w:cs="Times New Roman"/>
                      <w:b/>
                      <w:bCs/>
                      <w:color w:val="auto"/>
                      <w:u w:val="none"/>
                      <w:lang w:val="en-US" w:eastAsia="zh-CN"/>
                    </w:rPr>
                    <w:t>3</w:t>
                  </w:r>
                  <w:r>
                    <w:rPr>
                      <w:rFonts w:hint="default" w:ascii="Times New Roman" w:hAnsi="Times New Roman" w:eastAsia="仿宋" w:cs="Times New Roman"/>
                      <w:b/>
                      <w:bCs/>
                      <w:color w:val="auto"/>
                      <w:u w:val="none"/>
                      <w:lang w:val="en-US" w:eastAsia="zh-CN"/>
                    </w:rPr>
                    <w:t>.</w:t>
                  </w:r>
                  <w:r>
                    <w:rPr>
                      <w:rFonts w:hint="eastAsia" w:eastAsia="仿宋" w:cs="Times New Roman"/>
                      <w:b/>
                      <w:bCs/>
                      <w:color w:val="auto"/>
                      <w:u w:val="none"/>
                      <w:lang w:val="en-US" w:eastAsia="zh-CN"/>
                    </w:rPr>
                    <w:t>27</w:t>
                  </w:r>
                </w:p>
              </w:tc>
              <w:tc>
                <w:tcPr>
                  <w:tcW w:w="1075" w:type="dxa"/>
                  <w:tcBorders>
                    <w:tl2br w:val="nil"/>
                    <w:tr2bl w:val="nil"/>
                  </w:tcBorders>
                  <w:noWrap w:val="0"/>
                  <w:vAlign w:val="center"/>
                </w:tcPr>
                <w:p>
                  <w:pPr>
                    <w:jc w:val="center"/>
                    <w:rPr>
                      <w:rFonts w:hint="default" w:ascii="Times New Roman" w:hAnsi="Times New Roman" w:eastAsia="仿宋" w:cs="Times New Roman"/>
                      <w:color w:val="auto"/>
                      <w:u w:val="none"/>
                      <w:lang w:val="en-US" w:eastAsia="zh-CN"/>
                    </w:rPr>
                  </w:pPr>
                  <w:r>
                    <w:rPr>
                      <w:rFonts w:hint="default" w:ascii="Times New Roman" w:hAnsi="Times New Roman" w:eastAsia="仿宋" w:cs="Times New Roman"/>
                      <w:color w:val="auto"/>
                      <w:u w:val="none"/>
                      <w:lang w:val="en-US" w:eastAsia="zh-CN"/>
                    </w:rPr>
                    <w:t>5</w:t>
                  </w:r>
                  <w:r>
                    <w:rPr>
                      <w:rFonts w:hint="eastAsia" w:eastAsia="仿宋" w:cs="Times New Roman"/>
                      <w:color w:val="auto"/>
                      <w:u w:val="none"/>
                      <w:lang w:val="en-US" w:eastAsia="zh-CN"/>
                    </w:rPr>
                    <w:t>6</w:t>
                  </w:r>
                </w:p>
              </w:tc>
              <w:tc>
                <w:tcPr>
                  <w:tcW w:w="1289" w:type="dxa"/>
                  <w:tcBorders>
                    <w:tl2br w:val="nil"/>
                    <w:tr2bl w:val="nil"/>
                  </w:tcBorders>
                  <w:noWrap w:val="0"/>
                  <w:vAlign w:val="center"/>
                </w:tcPr>
                <w:p>
                  <w:pPr>
                    <w:jc w:val="center"/>
                    <w:rPr>
                      <w:rFonts w:hint="default" w:ascii="Times New Roman" w:hAnsi="Times New Roman" w:eastAsia="仿宋" w:cs="Times New Roman"/>
                      <w:color w:val="auto"/>
                      <w:u w:val="none"/>
                      <w:lang w:val="en-US" w:eastAsia="zh-CN"/>
                    </w:rPr>
                  </w:pPr>
                  <w:r>
                    <w:rPr>
                      <w:rFonts w:hint="eastAsia" w:eastAsia="仿宋" w:cs="Times New Roman"/>
                      <w:color w:val="auto"/>
                      <w:u w:val="none"/>
                      <w:lang w:val="en-US" w:eastAsia="zh-CN"/>
                    </w:rPr>
                    <w:t>/</w:t>
                  </w:r>
                </w:p>
              </w:tc>
              <w:tc>
                <w:tcPr>
                  <w:tcW w:w="1701" w:type="dxa"/>
                  <w:gridSpan w:val="2"/>
                  <w:vMerge w:val="restart"/>
                  <w:tcBorders>
                    <w:tl2br w:val="nil"/>
                    <w:tr2bl w:val="nil"/>
                  </w:tcBorders>
                  <w:noWrap w:val="0"/>
                  <w:vAlign w:val="center"/>
                </w:tcPr>
                <w:p>
                  <w:pPr>
                    <w:jc w:val="center"/>
                    <w:rPr>
                      <w:rFonts w:hint="default" w:ascii="Times New Roman" w:hAnsi="Times New Roman" w:eastAsia="仿宋" w:cs="Times New Roman"/>
                      <w:color w:val="auto"/>
                      <w:u w:val="none"/>
                    </w:rPr>
                  </w:pPr>
                  <w:r>
                    <w:rPr>
                      <w:rFonts w:hint="eastAsia" w:ascii="Times New Roman" w:hAnsi="Times New Roman" w:eastAsia="宋体" w:cs="Times New Roman"/>
                      <w:color w:val="auto"/>
                      <w:sz w:val="24"/>
                      <w:u w:val="none"/>
                      <w:lang w:eastAsia="zh-CN"/>
                    </w:rPr>
                    <w:t>《工业企业厂界环境噪声排放标准》（GB12348-2008）中2类标准限值</w:t>
                  </w:r>
                  <w:r>
                    <w:rPr>
                      <w:rFonts w:hint="default" w:ascii="Times New Roman" w:hAnsi="Times New Roman" w:eastAsia="仿宋" w:cs="Times New Roman"/>
                      <w:color w:val="auto"/>
                      <w:u w:val="none"/>
                    </w:rPr>
                    <w:t>昼间≤</w:t>
                  </w:r>
                  <w:r>
                    <w:rPr>
                      <w:rFonts w:hint="default" w:ascii="Times New Roman" w:hAnsi="Times New Roman" w:eastAsia="仿宋" w:cs="Times New Roman"/>
                      <w:color w:val="auto"/>
                      <w:u w:val="none"/>
                      <w:lang w:val="en-US" w:eastAsia="zh-CN"/>
                    </w:rPr>
                    <w:t>6</w:t>
                  </w:r>
                  <w:r>
                    <w:rPr>
                      <w:rFonts w:hint="eastAsia" w:ascii="Times New Roman" w:hAnsi="Times New Roman" w:eastAsia="仿宋" w:cs="Times New Roman"/>
                      <w:color w:val="auto"/>
                      <w:u w:val="none"/>
                      <w:lang w:val="en-US" w:eastAsia="zh-CN"/>
                    </w:rPr>
                    <w:t>0</w:t>
                  </w:r>
                  <w:r>
                    <w:rPr>
                      <w:rFonts w:hint="default" w:ascii="Times New Roman" w:hAnsi="Times New Roman" w:eastAsia="仿宋" w:cs="Times New Roman"/>
                      <w:color w:val="auto"/>
                      <w:u w:val="none"/>
                    </w:rPr>
                    <w:t>dB（A），夜间≤</w:t>
                  </w:r>
                  <w:r>
                    <w:rPr>
                      <w:rFonts w:hint="default" w:ascii="Times New Roman" w:hAnsi="Times New Roman" w:eastAsia="仿宋" w:cs="Times New Roman"/>
                      <w:color w:val="auto"/>
                      <w:u w:val="none"/>
                      <w:lang w:val="en-US" w:eastAsia="zh-CN"/>
                    </w:rPr>
                    <w:t>5</w:t>
                  </w:r>
                  <w:r>
                    <w:rPr>
                      <w:rFonts w:hint="eastAsia" w:ascii="Times New Roman" w:hAnsi="Times New Roman" w:eastAsia="仿宋" w:cs="Times New Roman"/>
                      <w:color w:val="auto"/>
                      <w:u w:val="none"/>
                      <w:lang w:val="en-US" w:eastAsia="zh-CN"/>
                    </w:rPr>
                    <w:t>0</w:t>
                  </w:r>
                  <w:r>
                    <w:rPr>
                      <w:rFonts w:hint="default" w:ascii="Times New Roman" w:hAnsi="Times New Roman" w:eastAsia="仿宋" w:cs="Times New Roman"/>
                      <w:color w:val="auto"/>
                      <w:u w:val="none"/>
                    </w:rPr>
                    <w:t>dB（A）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gridAfter w:val="1"/>
                <w:wAfter w:w="1" w:type="dxa"/>
                <w:trHeight w:val="454" w:hRule="atLeast"/>
                <w:jc w:val="center"/>
              </w:trPr>
              <w:tc>
                <w:tcPr>
                  <w:tcW w:w="1531" w:type="dxa"/>
                  <w:tcBorders>
                    <w:tl2br w:val="nil"/>
                    <w:tr2bl w:val="nil"/>
                  </w:tcBorders>
                  <w:noWrap w:val="0"/>
                  <w:vAlign w:val="center"/>
                </w:tcPr>
                <w:p>
                  <w:pPr>
                    <w:jc w:val="center"/>
                    <w:rPr>
                      <w:rFonts w:hint="default" w:ascii="Times New Roman" w:hAnsi="Times New Roman" w:eastAsia="仿宋" w:cs="Times New Roman"/>
                      <w:color w:val="auto"/>
                      <w:u w:val="none"/>
                      <w:lang w:val="en-US" w:eastAsia="zh-CN"/>
                    </w:rPr>
                  </w:pPr>
                  <w:r>
                    <w:rPr>
                      <w:rFonts w:hint="default" w:ascii="Times New Roman" w:hAnsi="Times New Roman" w:eastAsia="仿宋" w:cs="Times New Roman"/>
                      <w:color w:val="auto"/>
                      <w:u w:val="none"/>
                      <w:lang w:val="en-US" w:eastAsia="zh-CN"/>
                    </w:rPr>
                    <w:t>厂界南侧外1m处△N2</w:t>
                  </w:r>
                </w:p>
              </w:tc>
              <w:tc>
                <w:tcPr>
                  <w:tcW w:w="2365" w:type="dxa"/>
                  <w:vMerge w:val="continue"/>
                  <w:tcBorders>
                    <w:tl2br w:val="nil"/>
                    <w:tr2bl w:val="nil"/>
                  </w:tcBorders>
                  <w:noWrap w:val="0"/>
                  <w:vAlign w:val="center"/>
                </w:tcPr>
                <w:p>
                  <w:pPr>
                    <w:jc w:val="center"/>
                    <w:rPr>
                      <w:rFonts w:hint="default" w:ascii="Times New Roman" w:hAnsi="Times New Roman" w:eastAsia="仿宋" w:cs="Times New Roman"/>
                      <w:color w:val="auto"/>
                      <w:u w:val="none"/>
                      <w:lang w:val="en-US" w:eastAsia="zh-CN"/>
                    </w:rPr>
                  </w:pPr>
                </w:p>
              </w:tc>
              <w:tc>
                <w:tcPr>
                  <w:tcW w:w="1075" w:type="dxa"/>
                  <w:tcBorders>
                    <w:tl2br w:val="nil"/>
                    <w:tr2bl w:val="nil"/>
                  </w:tcBorders>
                  <w:noWrap w:val="0"/>
                  <w:vAlign w:val="center"/>
                </w:tcPr>
                <w:p>
                  <w:pPr>
                    <w:jc w:val="center"/>
                    <w:rPr>
                      <w:rFonts w:hint="default" w:ascii="Times New Roman" w:hAnsi="Times New Roman" w:eastAsia="仿宋" w:cs="Times New Roman"/>
                      <w:color w:val="auto"/>
                      <w:u w:val="none"/>
                      <w:lang w:val="en-US" w:eastAsia="zh-CN"/>
                    </w:rPr>
                  </w:pPr>
                  <w:r>
                    <w:rPr>
                      <w:rFonts w:hint="default" w:ascii="Times New Roman" w:hAnsi="Times New Roman" w:eastAsia="仿宋" w:cs="Times New Roman"/>
                      <w:color w:val="auto"/>
                      <w:u w:val="none"/>
                      <w:lang w:val="en-US" w:eastAsia="zh-CN"/>
                    </w:rPr>
                    <w:t>5</w:t>
                  </w:r>
                  <w:r>
                    <w:rPr>
                      <w:rFonts w:hint="eastAsia" w:eastAsia="仿宋" w:cs="Times New Roman"/>
                      <w:color w:val="auto"/>
                      <w:u w:val="none"/>
                      <w:lang w:val="en-US" w:eastAsia="zh-CN"/>
                    </w:rPr>
                    <w:t>6</w:t>
                  </w:r>
                </w:p>
              </w:tc>
              <w:tc>
                <w:tcPr>
                  <w:tcW w:w="1289" w:type="dxa"/>
                  <w:tcBorders>
                    <w:tl2br w:val="nil"/>
                    <w:tr2bl w:val="nil"/>
                  </w:tcBorders>
                  <w:noWrap w:val="0"/>
                  <w:vAlign w:val="center"/>
                </w:tcPr>
                <w:p>
                  <w:pPr>
                    <w:jc w:val="center"/>
                    <w:rPr>
                      <w:rFonts w:hint="default" w:ascii="Times New Roman" w:hAnsi="Times New Roman" w:eastAsia="仿宋" w:cs="Times New Roman"/>
                      <w:color w:val="auto"/>
                      <w:u w:val="none"/>
                      <w:lang w:val="en-US" w:eastAsia="zh-CN"/>
                    </w:rPr>
                  </w:pPr>
                  <w:r>
                    <w:rPr>
                      <w:rFonts w:hint="eastAsia" w:eastAsia="仿宋" w:cs="Times New Roman"/>
                      <w:color w:val="auto"/>
                      <w:u w:val="none"/>
                      <w:lang w:val="en-US" w:eastAsia="zh-CN"/>
                    </w:rPr>
                    <w:t>/</w:t>
                  </w:r>
                </w:p>
              </w:tc>
              <w:tc>
                <w:tcPr>
                  <w:tcW w:w="1701" w:type="dxa"/>
                  <w:gridSpan w:val="2"/>
                  <w:vMerge w:val="continue"/>
                  <w:tcBorders>
                    <w:tl2br w:val="nil"/>
                    <w:tr2bl w:val="nil"/>
                  </w:tcBorders>
                  <w:noWrap w:val="0"/>
                  <w:vAlign w:val="center"/>
                </w:tcPr>
                <w:p>
                  <w:pPr>
                    <w:jc w:val="center"/>
                    <w:rPr>
                      <w:rFonts w:hint="default" w:ascii="Times New Roman" w:hAnsi="Times New Roman" w:eastAsia="仿宋" w:cs="Times New Roman"/>
                      <w:color w:val="auto"/>
                      <w:u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gridAfter w:val="1"/>
                <w:wAfter w:w="1" w:type="dxa"/>
                <w:trHeight w:val="454" w:hRule="atLeast"/>
                <w:jc w:val="center"/>
              </w:trPr>
              <w:tc>
                <w:tcPr>
                  <w:tcW w:w="1531" w:type="dxa"/>
                  <w:tcBorders>
                    <w:tl2br w:val="nil"/>
                    <w:tr2bl w:val="nil"/>
                  </w:tcBorders>
                  <w:noWrap w:val="0"/>
                  <w:vAlign w:val="center"/>
                </w:tcPr>
                <w:p>
                  <w:pPr>
                    <w:jc w:val="center"/>
                    <w:rPr>
                      <w:rFonts w:hint="default" w:ascii="Times New Roman" w:hAnsi="Times New Roman" w:eastAsia="仿宋" w:cs="Times New Roman"/>
                      <w:color w:val="auto"/>
                      <w:u w:val="none"/>
                      <w:lang w:val="en-US" w:eastAsia="zh-CN"/>
                    </w:rPr>
                  </w:pPr>
                  <w:r>
                    <w:rPr>
                      <w:rFonts w:hint="default" w:ascii="Times New Roman" w:hAnsi="Times New Roman" w:eastAsia="仿宋" w:cs="Times New Roman"/>
                      <w:color w:val="auto"/>
                      <w:u w:val="none"/>
                      <w:lang w:val="en-US" w:eastAsia="zh-CN"/>
                    </w:rPr>
                    <w:t>厂界西侧外1m处△N3</w:t>
                  </w:r>
                </w:p>
              </w:tc>
              <w:tc>
                <w:tcPr>
                  <w:tcW w:w="2365" w:type="dxa"/>
                  <w:vMerge w:val="continue"/>
                  <w:tcBorders>
                    <w:tl2br w:val="nil"/>
                    <w:tr2bl w:val="nil"/>
                  </w:tcBorders>
                  <w:noWrap w:val="0"/>
                  <w:vAlign w:val="center"/>
                </w:tcPr>
                <w:p>
                  <w:pPr>
                    <w:jc w:val="center"/>
                    <w:rPr>
                      <w:rFonts w:hint="default" w:ascii="Times New Roman" w:hAnsi="Times New Roman" w:eastAsia="仿宋" w:cs="Times New Roman"/>
                      <w:color w:val="auto"/>
                      <w:u w:val="none"/>
                      <w:lang w:val="en-US" w:eastAsia="zh-CN"/>
                    </w:rPr>
                  </w:pPr>
                </w:p>
              </w:tc>
              <w:tc>
                <w:tcPr>
                  <w:tcW w:w="1075" w:type="dxa"/>
                  <w:tcBorders>
                    <w:tl2br w:val="nil"/>
                    <w:tr2bl w:val="nil"/>
                  </w:tcBorders>
                  <w:noWrap w:val="0"/>
                  <w:vAlign w:val="center"/>
                </w:tcPr>
                <w:p>
                  <w:pPr>
                    <w:jc w:val="center"/>
                    <w:rPr>
                      <w:rFonts w:hint="default" w:ascii="Times New Roman" w:hAnsi="Times New Roman" w:eastAsia="仿宋" w:cs="Times New Roman"/>
                      <w:color w:val="auto"/>
                      <w:u w:val="none"/>
                      <w:lang w:val="en-US" w:eastAsia="zh-CN"/>
                    </w:rPr>
                  </w:pPr>
                  <w:r>
                    <w:rPr>
                      <w:rFonts w:hint="default" w:ascii="Times New Roman" w:hAnsi="Times New Roman" w:eastAsia="仿宋" w:cs="Times New Roman"/>
                      <w:color w:val="auto"/>
                      <w:u w:val="none"/>
                      <w:lang w:val="en-US" w:eastAsia="zh-CN"/>
                    </w:rPr>
                    <w:t>5</w:t>
                  </w:r>
                  <w:r>
                    <w:rPr>
                      <w:rFonts w:hint="eastAsia" w:eastAsia="仿宋" w:cs="Times New Roman"/>
                      <w:color w:val="auto"/>
                      <w:u w:val="none"/>
                      <w:lang w:val="en-US" w:eastAsia="zh-CN"/>
                    </w:rPr>
                    <w:t>6</w:t>
                  </w:r>
                </w:p>
              </w:tc>
              <w:tc>
                <w:tcPr>
                  <w:tcW w:w="1289" w:type="dxa"/>
                  <w:tcBorders>
                    <w:tl2br w:val="nil"/>
                    <w:tr2bl w:val="nil"/>
                  </w:tcBorders>
                  <w:noWrap w:val="0"/>
                  <w:vAlign w:val="center"/>
                </w:tcPr>
                <w:p>
                  <w:pPr>
                    <w:jc w:val="center"/>
                    <w:rPr>
                      <w:rFonts w:hint="default" w:ascii="Times New Roman" w:hAnsi="Times New Roman" w:eastAsia="仿宋" w:cs="Times New Roman"/>
                      <w:color w:val="auto"/>
                      <w:u w:val="none"/>
                      <w:lang w:val="en-US" w:eastAsia="zh-CN"/>
                    </w:rPr>
                  </w:pPr>
                  <w:r>
                    <w:rPr>
                      <w:rFonts w:hint="eastAsia" w:eastAsia="仿宋" w:cs="Times New Roman"/>
                      <w:color w:val="auto"/>
                      <w:u w:val="none"/>
                      <w:lang w:val="en-US" w:eastAsia="zh-CN"/>
                    </w:rPr>
                    <w:t>/</w:t>
                  </w:r>
                </w:p>
              </w:tc>
              <w:tc>
                <w:tcPr>
                  <w:tcW w:w="1701" w:type="dxa"/>
                  <w:gridSpan w:val="2"/>
                  <w:vMerge w:val="continue"/>
                  <w:tcBorders>
                    <w:tl2br w:val="nil"/>
                    <w:tr2bl w:val="nil"/>
                  </w:tcBorders>
                  <w:noWrap w:val="0"/>
                  <w:vAlign w:val="center"/>
                </w:tcPr>
                <w:p>
                  <w:pPr>
                    <w:jc w:val="center"/>
                    <w:rPr>
                      <w:rFonts w:hint="default" w:ascii="Times New Roman" w:hAnsi="Times New Roman" w:eastAsia="仿宋" w:cs="Times New Roman"/>
                      <w:color w:val="auto"/>
                      <w:u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gridAfter w:val="1"/>
                <w:wAfter w:w="1" w:type="dxa"/>
                <w:trHeight w:val="454" w:hRule="atLeast"/>
                <w:jc w:val="center"/>
              </w:trPr>
              <w:tc>
                <w:tcPr>
                  <w:tcW w:w="1531" w:type="dxa"/>
                  <w:tcBorders>
                    <w:tl2br w:val="nil"/>
                    <w:tr2bl w:val="nil"/>
                  </w:tcBorders>
                  <w:noWrap w:val="0"/>
                  <w:vAlign w:val="center"/>
                </w:tcPr>
                <w:p>
                  <w:pPr>
                    <w:jc w:val="center"/>
                    <w:rPr>
                      <w:rFonts w:hint="default" w:ascii="Times New Roman" w:hAnsi="Times New Roman" w:eastAsia="仿宋" w:cs="Times New Roman"/>
                      <w:color w:val="auto"/>
                      <w:u w:val="none"/>
                      <w:lang w:val="en-US" w:eastAsia="zh-CN"/>
                    </w:rPr>
                  </w:pPr>
                  <w:r>
                    <w:rPr>
                      <w:rFonts w:hint="default" w:ascii="Times New Roman" w:hAnsi="Times New Roman" w:eastAsia="仿宋" w:cs="Times New Roman"/>
                      <w:color w:val="auto"/>
                      <w:u w:val="none"/>
                      <w:lang w:val="en-US" w:eastAsia="zh-CN"/>
                    </w:rPr>
                    <w:t>厂界北侧外1m处△N4</w:t>
                  </w:r>
                </w:p>
              </w:tc>
              <w:tc>
                <w:tcPr>
                  <w:tcW w:w="2365" w:type="dxa"/>
                  <w:vMerge w:val="continue"/>
                  <w:tcBorders>
                    <w:tl2br w:val="nil"/>
                    <w:tr2bl w:val="nil"/>
                  </w:tcBorders>
                  <w:noWrap w:val="0"/>
                  <w:vAlign w:val="center"/>
                </w:tcPr>
                <w:p>
                  <w:pPr>
                    <w:jc w:val="center"/>
                    <w:rPr>
                      <w:rFonts w:hint="default" w:ascii="Times New Roman" w:hAnsi="Times New Roman" w:eastAsia="仿宋" w:cs="Times New Roman"/>
                      <w:color w:val="auto"/>
                      <w:u w:val="none"/>
                      <w:lang w:val="en-US" w:eastAsia="zh-CN"/>
                    </w:rPr>
                  </w:pPr>
                </w:p>
              </w:tc>
              <w:tc>
                <w:tcPr>
                  <w:tcW w:w="1075" w:type="dxa"/>
                  <w:tcBorders>
                    <w:tl2br w:val="nil"/>
                    <w:tr2bl w:val="nil"/>
                  </w:tcBorders>
                  <w:noWrap w:val="0"/>
                  <w:vAlign w:val="center"/>
                </w:tcPr>
                <w:p>
                  <w:pPr>
                    <w:jc w:val="center"/>
                    <w:rPr>
                      <w:rFonts w:hint="default" w:ascii="Times New Roman" w:hAnsi="Times New Roman" w:eastAsia="仿宋" w:cs="Times New Roman"/>
                      <w:color w:val="auto"/>
                      <w:u w:val="none"/>
                      <w:lang w:val="en-US" w:eastAsia="zh-CN"/>
                    </w:rPr>
                  </w:pPr>
                  <w:r>
                    <w:rPr>
                      <w:rFonts w:hint="default" w:ascii="Times New Roman" w:hAnsi="Times New Roman" w:eastAsia="仿宋" w:cs="Times New Roman"/>
                      <w:color w:val="auto"/>
                      <w:u w:val="none"/>
                      <w:lang w:val="en-US" w:eastAsia="zh-CN"/>
                    </w:rPr>
                    <w:t>5</w:t>
                  </w:r>
                  <w:r>
                    <w:rPr>
                      <w:rFonts w:hint="eastAsia" w:eastAsia="仿宋" w:cs="Times New Roman"/>
                      <w:color w:val="auto"/>
                      <w:u w:val="none"/>
                      <w:lang w:val="en-US" w:eastAsia="zh-CN"/>
                    </w:rPr>
                    <w:t>3</w:t>
                  </w:r>
                </w:p>
              </w:tc>
              <w:tc>
                <w:tcPr>
                  <w:tcW w:w="1289" w:type="dxa"/>
                  <w:tcBorders>
                    <w:tl2br w:val="nil"/>
                    <w:tr2bl w:val="nil"/>
                  </w:tcBorders>
                  <w:noWrap w:val="0"/>
                  <w:vAlign w:val="center"/>
                </w:tcPr>
                <w:p>
                  <w:pPr>
                    <w:jc w:val="center"/>
                    <w:rPr>
                      <w:rFonts w:hint="default" w:ascii="Times New Roman" w:hAnsi="Times New Roman" w:eastAsia="仿宋" w:cs="Times New Roman"/>
                      <w:color w:val="auto"/>
                      <w:u w:val="none"/>
                      <w:lang w:val="en-US" w:eastAsia="zh-CN"/>
                    </w:rPr>
                  </w:pPr>
                  <w:r>
                    <w:rPr>
                      <w:rFonts w:hint="eastAsia" w:eastAsia="仿宋" w:cs="Times New Roman"/>
                      <w:color w:val="auto"/>
                      <w:u w:val="none"/>
                      <w:lang w:val="en-US" w:eastAsia="zh-CN"/>
                    </w:rPr>
                    <w:t>/</w:t>
                  </w:r>
                </w:p>
              </w:tc>
              <w:tc>
                <w:tcPr>
                  <w:tcW w:w="1701" w:type="dxa"/>
                  <w:gridSpan w:val="2"/>
                  <w:vMerge w:val="continue"/>
                  <w:tcBorders>
                    <w:tl2br w:val="nil"/>
                    <w:tr2bl w:val="nil"/>
                  </w:tcBorders>
                  <w:noWrap w:val="0"/>
                  <w:vAlign w:val="center"/>
                </w:tcPr>
                <w:p>
                  <w:pPr>
                    <w:jc w:val="center"/>
                    <w:rPr>
                      <w:rFonts w:hint="default" w:ascii="Times New Roman" w:hAnsi="Times New Roman" w:eastAsia="仿宋" w:cs="Times New Roman"/>
                      <w:color w:val="auto"/>
                      <w:u w:val="none"/>
                    </w:rPr>
                  </w:pPr>
                </w:p>
              </w:tc>
            </w:tr>
          </w:tbl>
          <w:p>
            <w:pPr>
              <w:pStyle w:val="11"/>
              <w:spacing w:line="360" w:lineRule="auto"/>
              <w:ind w:firstLine="482"/>
              <w:rPr>
                <w:rFonts w:hint="default" w:ascii="Times New Roman" w:hAnsi="Times New Roman" w:eastAsia="宋体" w:cs="Times New Roman"/>
                <w:b/>
                <w:bCs/>
                <w:color w:val="auto"/>
                <w:sz w:val="24"/>
                <w:u w:val="none"/>
                <w:lang w:val="en-US" w:eastAsia="zh-CN"/>
              </w:rPr>
            </w:pPr>
            <w:r>
              <w:rPr>
                <w:rFonts w:hint="eastAsia" w:ascii="Times New Roman" w:hAnsi="Times New Roman" w:eastAsia="宋体" w:cs="Times New Roman"/>
                <w:color w:val="auto"/>
                <w:sz w:val="24"/>
                <w:u w:val="none"/>
                <w:lang w:eastAsia="zh-CN"/>
              </w:rPr>
              <w:t>本项目后，</w:t>
            </w:r>
            <w:r>
              <w:rPr>
                <w:rFonts w:hint="eastAsia" w:cs="Times New Roman"/>
                <w:color w:val="auto"/>
                <w:sz w:val="24"/>
                <w:u w:val="none"/>
                <w:lang w:val="en-US" w:eastAsia="zh-CN"/>
              </w:rPr>
              <w:t>未新增噪声设备，本项目生产环节布置在厂区东南部和中部，远离居民点，布局合理，对环境影响较小</w:t>
            </w:r>
            <w:r>
              <w:rPr>
                <w:rFonts w:hint="eastAsia" w:ascii="Times New Roman" w:hAnsi="Times New Roman" w:cs="Times New Roman"/>
                <w:color w:val="auto"/>
                <w:sz w:val="24"/>
                <w:u w:val="none"/>
                <w:lang w:val="en-US" w:eastAsia="zh-CN"/>
              </w:rPr>
              <w:t>。</w:t>
            </w:r>
          </w:p>
          <w:p>
            <w:pPr>
              <w:pStyle w:val="11"/>
              <w:spacing w:line="360" w:lineRule="auto"/>
              <w:ind w:firstLine="482"/>
              <w:rPr>
                <w:rFonts w:hint="eastAsia" w:cs="Times New Roman"/>
                <w:color w:val="auto"/>
                <w:sz w:val="24"/>
                <w:u w:val="none"/>
                <w:lang w:eastAsia="zh-CN"/>
              </w:rPr>
            </w:pPr>
            <w:r>
              <w:rPr>
                <w:rFonts w:hint="eastAsia" w:cs="Times New Roman"/>
                <w:color w:val="auto"/>
                <w:sz w:val="24"/>
                <w:u w:val="none"/>
                <w:lang w:val="en-US" w:eastAsia="zh-CN"/>
              </w:rPr>
              <w:t>其年度自行监测厂区</w:t>
            </w:r>
            <w:r>
              <w:rPr>
                <w:rFonts w:hint="eastAsia" w:ascii="Times New Roman" w:hAnsi="Times New Roman" w:eastAsia="宋体" w:cs="Times New Roman"/>
                <w:color w:val="auto"/>
                <w:sz w:val="24"/>
                <w:u w:val="none"/>
                <w:lang w:eastAsia="zh-CN"/>
              </w:rPr>
              <w:t>厂界噪声可满足《工业企业厂界环境噪声排放标准》（GB12348-2008）中2类标准限值</w:t>
            </w:r>
            <w:r>
              <w:rPr>
                <w:rFonts w:hint="eastAsia" w:cs="Times New Roman"/>
                <w:color w:val="auto"/>
                <w:sz w:val="24"/>
                <w:u w:val="none"/>
                <w:lang w:eastAsia="zh-CN"/>
              </w:rPr>
              <w:t>。</w:t>
            </w:r>
          </w:p>
          <w:p>
            <w:pPr>
              <w:pStyle w:val="11"/>
              <w:numPr>
                <w:ilvl w:val="0"/>
                <w:numId w:val="10"/>
              </w:numPr>
              <w:spacing w:line="360" w:lineRule="auto"/>
              <w:ind w:firstLine="482"/>
              <w:rPr>
                <w:rFonts w:hint="eastAsia" w:cs="Times New Roman"/>
                <w:b/>
                <w:bCs/>
                <w:color w:val="auto"/>
                <w:sz w:val="24"/>
                <w:highlight w:val="none"/>
                <w:u w:val="single" w:color="auto"/>
                <w:lang w:val="en-US" w:eastAsia="zh-CN"/>
              </w:rPr>
            </w:pPr>
            <w:r>
              <w:rPr>
                <w:rFonts w:hint="eastAsia" w:cs="Times New Roman"/>
                <w:b/>
                <w:bCs/>
                <w:color w:val="auto"/>
                <w:sz w:val="24"/>
                <w:highlight w:val="none"/>
                <w:u w:val="single" w:color="auto"/>
                <w:lang w:val="en-US" w:eastAsia="zh-CN"/>
              </w:rPr>
              <w:t>固体废物环境影响和保护措施</w:t>
            </w:r>
          </w:p>
          <w:p>
            <w:pPr>
              <w:pStyle w:val="11"/>
              <w:spacing w:line="360" w:lineRule="auto"/>
              <w:ind w:firstLine="482"/>
              <w:rPr>
                <w:rFonts w:hint="eastAsia" w:cs="Times New Roman"/>
                <w:color w:val="auto"/>
                <w:sz w:val="24"/>
                <w:u w:val="single" w:color="auto"/>
                <w:lang w:val="en-US" w:eastAsia="zh-CN"/>
              </w:rPr>
            </w:pPr>
            <w:r>
              <w:rPr>
                <w:rFonts w:hint="eastAsia" w:cs="Times New Roman"/>
                <w:color w:val="auto"/>
                <w:sz w:val="24"/>
                <w:u w:val="single" w:color="auto"/>
                <w:lang w:val="en-US" w:eastAsia="zh-CN"/>
              </w:rPr>
              <w:t>本项目实施后，运营期产生及处置固体废物主要为废砖坯、废砖块、脱硫除尘渣、布袋除尘灰、生活垃圾、废机油。根据工程分析固废产生量与原项目比较无变化，具体情况如下分析：</w:t>
            </w:r>
          </w:p>
          <w:p>
            <w:pPr>
              <w:pStyle w:val="20"/>
              <w:spacing w:after="0" w:line="360" w:lineRule="auto"/>
              <w:ind w:left="0" w:leftChars="0" w:firstLine="480" w:firstLineChars="200"/>
              <w:rPr>
                <w:color w:val="000000"/>
                <w:sz w:val="24"/>
                <w:u w:val="single" w:color="auto"/>
              </w:rPr>
            </w:pPr>
            <w:r>
              <w:rPr>
                <w:color w:val="000000"/>
                <w:sz w:val="24"/>
                <w:u w:val="single" w:color="auto"/>
              </w:rPr>
              <w:t>（1）</w:t>
            </w:r>
            <w:r>
              <w:rPr>
                <w:color w:val="000000"/>
                <w:sz w:val="24"/>
                <w:u w:val="single" w:color="auto"/>
                <w:lang w:val="zh-CN"/>
              </w:rPr>
              <w:t>废砖坯、废砖块</w:t>
            </w:r>
          </w:p>
          <w:p>
            <w:pPr>
              <w:pStyle w:val="20"/>
              <w:spacing w:after="0" w:line="360" w:lineRule="auto"/>
              <w:ind w:left="0" w:leftChars="0" w:firstLine="480" w:firstLineChars="200"/>
              <w:rPr>
                <w:color w:val="000000"/>
                <w:sz w:val="24"/>
                <w:u w:val="single" w:color="auto"/>
              </w:rPr>
            </w:pPr>
            <w:r>
              <w:rPr>
                <w:color w:val="000000"/>
                <w:sz w:val="24"/>
                <w:u w:val="single" w:color="auto"/>
              </w:rPr>
              <w:t>项目生产过程产生的主要固废为切坯产生的废坯料、烧结损坏的砖坯、检验产生的不合格砖、成品搬运产生的碎砖，</w:t>
            </w:r>
            <w:r>
              <w:rPr>
                <w:rFonts w:hint="eastAsia"/>
                <w:color w:val="000000"/>
                <w:sz w:val="24"/>
                <w:u w:val="single" w:color="auto"/>
                <w:lang w:val="en-US" w:eastAsia="zh-CN"/>
              </w:rPr>
              <w:t>依据原环评及验收数据</w:t>
            </w:r>
            <w:r>
              <w:rPr>
                <w:color w:val="000000"/>
                <w:sz w:val="24"/>
                <w:u w:val="single" w:color="auto"/>
              </w:rPr>
              <w:t>，</w:t>
            </w:r>
            <w:r>
              <w:rPr>
                <w:rFonts w:hint="eastAsia"/>
                <w:color w:val="000000"/>
                <w:sz w:val="24"/>
                <w:u w:val="single" w:color="auto"/>
                <w:lang w:val="en-US" w:eastAsia="zh-CN"/>
              </w:rPr>
              <w:t>产生量约675</w:t>
            </w:r>
            <w:r>
              <w:rPr>
                <w:color w:val="000000"/>
                <w:sz w:val="24"/>
                <w:u w:val="single" w:color="auto"/>
              </w:rPr>
              <w:t>t/a，集中收集后返回破碎工序再次破碎后进入下一工序。</w:t>
            </w:r>
          </w:p>
          <w:p>
            <w:pPr>
              <w:pStyle w:val="20"/>
              <w:spacing w:after="0" w:line="360" w:lineRule="auto"/>
              <w:ind w:left="0" w:leftChars="0" w:firstLine="480" w:firstLineChars="200"/>
              <w:rPr>
                <w:color w:val="000000"/>
                <w:sz w:val="24"/>
                <w:u w:val="single" w:color="auto"/>
              </w:rPr>
            </w:pPr>
            <w:r>
              <w:rPr>
                <w:color w:val="000000"/>
                <w:sz w:val="24"/>
                <w:u w:val="single" w:color="auto"/>
              </w:rPr>
              <w:t>（2）脱硫除尘渣</w:t>
            </w:r>
          </w:p>
          <w:p>
            <w:pPr>
              <w:pStyle w:val="20"/>
              <w:spacing w:after="0" w:line="360" w:lineRule="auto"/>
              <w:ind w:left="0" w:leftChars="0" w:firstLine="480" w:firstLineChars="200"/>
              <w:rPr>
                <w:color w:val="000000"/>
                <w:sz w:val="24"/>
                <w:u w:val="single" w:color="auto"/>
              </w:rPr>
            </w:pPr>
            <w:r>
              <w:rPr>
                <w:color w:val="000000"/>
                <w:sz w:val="24"/>
                <w:u w:val="single" w:color="auto"/>
              </w:rPr>
              <w:t>本项目脱硫除尘工序会产生</w:t>
            </w:r>
            <w:r>
              <w:rPr>
                <w:rFonts w:hint="eastAsia"/>
                <w:color w:val="000000"/>
                <w:sz w:val="24"/>
                <w:u w:val="single" w:color="auto"/>
                <w:lang w:val="en-US" w:eastAsia="zh-CN"/>
              </w:rPr>
              <w:t>除尘渣，依照原项目产生量约75</w:t>
            </w:r>
            <w:r>
              <w:rPr>
                <w:color w:val="000000"/>
                <w:sz w:val="24"/>
                <w:u w:val="single" w:color="auto"/>
              </w:rPr>
              <w:t>t/a，回用于制砖进行综合利用。</w:t>
            </w:r>
          </w:p>
          <w:p>
            <w:pPr>
              <w:pStyle w:val="20"/>
              <w:spacing w:after="0" w:line="360" w:lineRule="auto"/>
              <w:ind w:left="0" w:leftChars="0" w:firstLine="480" w:firstLineChars="200"/>
              <w:rPr>
                <w:color w:val="000000"/>
                <w:sz w:val="24"/>
                <w:u w:val="single" w:color="auto"/>
              </w:rPr>
            </w:pPr>
            <w:r>
              <w:rPr>
                <w:color w:val="000000"/>
                <w:sz w:val="24"/>
                <w:u w:val="single" w:color="auto"/>
              </w:rPr>
              <w:t>（3）布袋除尘灰</w:t>
            </w:r>
          </w:p>
          <w:p>
            <w:pPr>
              <w:pStyle w:val="20"/>
              <w:spacing w:after="0" w:line="360" w:lineRule="auto"/>
              <w:ind w:left="0" w:leftChars="0" w:firstLine="480" w:firstLineChars="200"/>
              <w:rPr>
                <w:color w:val="000000"/>
                <w:sz w:val="24"/>
                <w:u w:val="single" w:color="auto"/>
              </w:rPr>
            </w:pPr>
            <w:r>
              <w:rPr>
                <w:color w:val="000000"/>
                <w:sz w:val="24"/>
                <w:u w:val="single" w:color="auto"/>
              </w:rPr>
              <w:t>在破碎筛分工序配置布袋除尘器，布袋除尘器集尘量为</w:t>
            </w:r>
            <w:r>
              <w:rPr>
                <w:rFonts w:hint="eastAsia"/>
                <w:color w:val="000000"/>
                <w:sz w:val="24"/>
                <w:u w:val="single" w:color="auto"/>
                <w:lang w:val="en-US" w:eastAsia="zh-CN"/>
              </w:rPr>
              <w:t>25.68</w:t>
            </w:r>
            <w:r>
              <w:rPr>
                <w:color w:val="000000"/>
                <w:sz w:val="24"/>
                <w:u w:val="single" w:color="auto"/>
              </w:rPr>
              <w:t>t/a，全部作为原料回用于搅拌工序。</w:t>
            </w:r>
          </w:p>
          <w:p>
            <w:pPr>
              <w:pStyle w:val="20"/>
              <w:spacing w:after="0" w:line="360" w:lineRule="auto"/>
              <w:ind w:left="0" w:leftChars="0" w:firstLine="480" w:firstLineChars="200"/>
              <w:rPr>
                <w:color w:val="000000"/>
                <w:sz w:val="24"/>
                <w:u w:val="single" w:color="auto"/>
              </w:rPr>
            </w:pPr>
            <w:r>
              <w:rPr>
                <w:color w:val="000000"/>
                <w:sz w:val="24"/>
                <w:u w:val="single" w:color="auto"/>
              </w:rPr>
              <w:t>（4）沉淀池渣</w:t>
            </w:r>
          </w:p>
          <w:p>
            <w:pPr>
              <w:pStyle w:val="20"/>
              <w:spacing w:after="0" w:line="360" w:lineRule="auto"/>
              <w:ind w:left="0" w:leftChars="0" w:firstLine="480" w:firstLineChars="200"/>
              <w:rPr>
                <w:color w:val="000000"/>
                <w:sz w:val="24"/>
                <w:u w:val="single" w:color="auto"/>
              </w:rPr>
            </w:pPr>
            <w:r>
              <w:rPr>
                <w:color w:val="000000"/>
                <w:sz w:val="24"/>
                <w:u w:val="single" w:color="auto"/>
              </w:rPr>
              <w:t>项目初期雨水池会产生产生沉淀池渣，初期雨水池沉渣量约为</w:t>
            </w:r>
            <w:r>
              <w:rPr>
                <w:rFonts w:hint="eastAsia"/>
                <w:color w:val="000000"/>
                <w:sz w:val="24"/>
                <w:u w:val="single" w:color="auto"/>
                <w:lang w:val="en-US" w:eastAsia="zh-CN"/>
              </w:rPr>
              <w:t>12</w:t>
            </w:r>
            <w:r>
              <w:rPr>
                <w:color w:val="000000"/>
                <w:sz w:val="24"/>
                <w:u w:val="single" w:color="auto"/>
              </w:rPr>
              <w:t>.</w:t>
            </w:r>
            <w:r>
              <w:rPr>
                <w:rFonts w:hint="eastAsia"/>
                <w:color w:val="000000"/>
                <w:sz w:val="24"/>
                <w:u w:val="single" w:color="auto"/>
                <w:lang w:val="en-US" w:eastAsia="zh-CN"/>
              </w:rPr>
              <w:t>42</w:t>
            </w:r>
            <w:r>
              <w:rPr>
                <w:color w:val="000000"/>
                <w:sz w:val="24"/>
                <w:u w:val="single" w:color="auto"/>
              </w:rPr>
              <w:t>t/a。</w:t>
            </w:r>
          </w:p>
          <w:p>
            <w:pPr>
              <w:pStyle w:val="20"/>
              <w:spacing w:after="0" w:line="360" w:lineRule="auto"/>
              <w:ind w:left="0" w:leftChars="0" w:firstLine="480" w:firstLineChars="200"/>
              <w:rPr>
                <w:color w:val="000000"/>
                <w:sz w:val="24"/>
                <w:highlight w:val="none"/>
                <w:u w:val="single" w:color="auto"/>
              </w:rPr>
            </w:pPr>
            <w:r>
              <w:rPr>
                <w:color w:val="000000"/>
                <w:sz w:val="24"/>
                <w:highlight w:val="none"/>
                <w:u w:val="single" w:color="auto"/>
              </w:rPr>
              <w:t>（5）废机油</w:t>
            </w:r>
          </w:p>
          <w:p>
            <w:pPr>
              <w:pStyle w:val="20"/>
              <w:spacing w:after="0" w:line="360" w:lineRule="auto"/>
              <w:ind w:left="0" w:leftChars="0" w:firstLine="480" w:firstLineChars="200"/>
              <w:rPr>
                <w:color w:val="000000"/>
                <w:sz w:val="24"/>
                <w:u w:val="single" w:color="auto"/>
              </w:rPr>
            </w:pPr>
            <w:r>
              <w:rPr>
                <w:color w:val="000000"/>
                <w:sz w:val="24"/>
                <w:u w:val="single" w:color="auto"/>
              </w:rPr>
              <w:t>砖厂运营期设备维修时会产生废机油，该维修废机油产生量为0.</w:t>
            </w:r>
            <w:r>
              <w:rPr>
                <w:rFonts w:hint="eastAsia"/>
                <w:color w:val="000000"/>
                <w:sz w:val="24"/>
                <w:u w:val="single" w:color="auto"/>
                <w:lang w:val="en-US" w:eastAsia="zh-CN"/>
              </w:rPr>
              <w:t>02</w:t>
            </w:r>
            <w:r>
              <w:rPr>
                <w:color w:val="000000"/>
                <w:sz w:val="24"/>
                <w:u w:val="single" w:color="auto"/>
              </w:rPr>
              <w:t>t/次（一年维修一次），该废油属于危险废物（HW08），桶装暂存于厂内危废暂存间，由专人收集管理，由有资质单位进行无害化处理。</w:t>
            </w:r>
          </w:p>
          <w:p>
            <w:pPr>
              <w:pStyle w:val="20"/>
              <w:spacing w:after="0" w:line="360" w:lineRule="auto"/>
              <w:ind w:left="0" w:leftChars="0" w:firstLine="480" w:firstLineChars="200"/>
              <w:rPr>
                <w:color w:val="000000"/>
                <w:sz w:val="24"/>
                <w:u w:val="single" w:color="auto"/>
              </w:rPr>
            </w:pPr>
            <w:r>
              <w:rPr>
                <w:color w:val="000000"/>
                <w:sz w:val="24"/>
                <w:u w:val="single" w:color="auto"/>
              </w:rPr>
              <w:t>（6）生活垃圾</w:t>
            </w:r>
          </w:p>
          <w:p>
            <w:pPr>
              <w:pStyle w:val="20"/>
              <w:spacing w:after="0" w:line="360" w:lineRule="auto"/>
              <w:ind w:left="0" w:leftChars="0" w:firstLine="480" w:firstLineChars="200"/>
              <w:rPr>
                <w:color w:val="000000"/>
                <w:sz w:val="24"/>
                <w:u w:val="single" w:color="auto"/>
              </w:rPr>
            </w:pPr>
            <w:r>
              <w:rPr>
                <w:color w:val="000000"/>
                <w:sz w:val="24"/>
                <w:u w:val="single" w:color="auto"/>
              </w:rPr>
              <w:t>本项目共有工作人员及管理人员共</w:t>
            </w:r>
            <w:r>
              <w:rPr>
                <w:rFonts w:hint="eastAsia"/>
                <w:color w:val="000000"/>
                <w:sz w:val="24"/>
                <w:u w:val="single" w:color="auto"/>
                <w:lang w:val="en-US" w:eastAsia="zh-CN"/>
              </w:rPr>
              <w:t>20</w:t>
            </w:r>
            <w:r>
              <w:rPr>
                <w:color w:val="000000"/>
                <w:sz w:val="24"/>
                <w:u w:val="single" w:color="auto"/>
              </w:rPr>
              <w:t>人，按每人</w:t>
            </w:r>
            <w:r>
              <w:rPr>
                <w:rFonts w:hint="eastAsia"/>
                <w:color w:val="000000"/>
                <w:sz w:val="24"/>
                <w:u w:val="single" w:color="auto"/>
                <w:lang w:val="en-US" w:eastAsia="zh-CN"/>
              </w:rPr>
              <w:t>1</w:t>
            </w:r>
            <w:r>
              <w:rPr>
                <w:color w:val="000000"/>
                <w:sz w:val="24"/>
                <w:u w:val="single" w:color="auto"/>
              </w:rPr>
              <w:t>kg/d 计算，生活垃圾产生量为</w:t>
            </w:r>
            <w:r>
              <w:rPr>
                <w:rFonts w:hint="eastAsia"/>
                <w:color w:val="000000"/>
                <w:sz w:val="24"/>
                <w:u w:val="single" w:color="auto"/>
                <w:lang w:val="en-US" w:eastAsia="zh-CN"/>
              </w:rPr>
              <w:t>20</w:t>
            </w:r>
            <w:r>
              <w:rPr>
                <w:color w:val="000000"/>
                <w:sz w:val="24"/>
                <w:u w:val="single" w:color="auto"/>
              </w:rPr>
              <w:t>kg/d（</w:t>
            </w:r>
            <w:r>
              <w:rPr>
                <w:rFonts w:hint="eastAsia"/>
                <w:color w:val="000000"/>
                <w:sz w:val="24"/>
                <w:u w:val="single" w:color="auto"/>
                <w:lang w:val="en-US" w:eastAsia="zh-CN"/>
              </w:rPr>
              <w:t>6</w:t>
            </w:r>
            <w:r>
              <w:rPr>
                <w:color w:val="000000"/>
                <w:sz w:val="24"/>
                <w:u w:val="single" w:color="auto"/>
              </w:rPr>
              <w:t>t/a），统一收集清运至垃圾收集点，由当地环卫部门统一处理。项目内设密闭式生活垃圾筒收集生活垃圾，生活垃圾日产日清。</w:t>
            </w:r>
          </w:p>
          <w:p>
            <w:pPr>
              <w:pStyle w:val="20"/>
              <w:spacing w:after="0" w:line="360" w:lineRule="auto"/>
              <w:ind w:left="0" w:leftChars="0" w:firstLine="480" w:firstLineChars="200"/>
              <w:rPr>
                <w:color w:val="FF0000"/>
                <w:sz w:val="24"/>
                <w:u w:val="single" w:color="auto"/>
              </w:rPr>
            </w:pPr>
            <w:r>
              <w:rPr>
                <w:color w:val="000000"/>
                <w:sz w:val="24"/>
                <w:u w:val="single" w:color="auto"/>
              </w:rPr>
              <w:t>运营期本项目固废产生现状、治理及整治措施一览表如下表所示：</w:t>
            </w:r>
          </w:p>
          <w:p>
            <w:pPr>
              <w:spacing w:after="0"/>
              <w:jc w:val="center"/>
              <w:rPr>
                <w:rFonts w:hint="eastAsia" w:ascii="Times New Roman" w:hAnsi="宋体" w:eastAsia="宋体"/>
                <w:b/>
                <w:bCs/>
                <w:color w:val="auto"/>
                <w:sz w:val="21"/>
                <w:szCs w:val="21"/>
                <w:u w:val="single" w:color="auto"/>
                <w:lang w:val="en-US" w:eastAsia="zh-CN"/>
              </w:rPr>
            </w:pPr>
            <w:r>
              <w:rPr>
                <w:rFonts w:hint="eastAsia" w:ascii="Times New Roman" w:hAnsi="宋体" w:eastAsia="宋体"/>
                <w:b/>
                <w:bCs/>
                <w:color w:val="auto"/>
                <w:sz w:val="21"/>
                <w:szCs w:val="21"/>
                <w:u w:val="single" w:color="auto"/>
                <w:lang w:val="en-US" w:eastAsia="zh-CN"/>
              </w:rPr>
              <w:t>表4-</w:t>
            </w:r>
            <w:r>
              <w:rPr>
                <w:rFonts w:hint="eastAsia" w:hAnsi="宋体"/>
                <w:b/>
                <w:bCs/>
                <w:color w:val="auto"/>
                <w:sz w:val="21"/>
                <w:szCs w:val="21"/>
                <w:u w:val="single" w:color="auto"/>
                <w:lang w:val="en-US" w:eastAsia="zh-CN"/>
              </w:rPr>
              <w:t>7</w:t>
            </w:r>
            <w:r>
              <w:rPr>
                <w:rFonts w:hint="eastAsia" w:ascii="Times New Roman" w:hAnsi="宋体" w:eastAsia="宋体"/>
                <w:b/>
                <w:bCs/>
                <w:color w:val="auto"/>
                <w:sz w:val="21"/>
                <w:szCs w:val="21"/>
                <w:u w:val="single" w:color="auto"/>
                <w:lang w:val="en-US" w:eastAsia="zh-CN"/>
              </w:rPr>
              <w:t>：固体废物产生一览表</w:t>
            </w:r>
          </w:p>
          <w:tbl>
            <w:tblPr>
              <w:tblStyle w:val="31"/>
              <w:tblW w:w="77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55"/>
              <w:gridCol w:w="1556"/>
              <w:gridCol w:w="1556"/>
              <w:gridCol w:w="1556"/>
              <w:gridCol w:w="15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6" w:hRule="atLeast"/>
                <w:jc w:val="center"/>
              </w:trPr>
              <w:tc>
                <w:tcPr>
                  <w:tcW w:w="1555" w:type="dxa"/>
                  <w:vAlign w:val="center"/>
                </w:tcPr>
                <w:p>
                  <w:pPr>
                    <w:pStyle w:val="11"/>
                    <w:spacing w:line="360" w:lineRule="auto"/>
                    <w:ind w:left="0" w:leftChars="0" w:firstLine="0" w:firstLineChars="0"/>
                    <w:jc w:val="center"/>
                    <w:rPr>
                      <w:rFonts w:hint="default" w:cs="Times New Roman"/>
                      <w:b/>
                      <w:bCs/>
                      <w:color w:val="auto"/>
                      <w:sz w:val="18"/>
                      <w:szCs w:val="18"/>
                      <w:u w:val="single" w:color="auto"/>
                      <w:vertAlign w:val="baseline"/>
                      <w:lang w:val="en-US" w:eastAsia="zh-CN"/>
                    </w:rPr>
                  </w:pPr>
                  <w:r>
                    <w:rPr>
                      <w:rFonts w:hint="eastAsia" w:cs="Times New Roman"/>
                      <w:b/>
                      <w:bCs/>
                      <w:color w:val="auto"/>
                      <w:sz w:val="18"/>
                      <w:szCs w:val="18"/>
                      <w:u w:val="single" w:color="auto"/>
                      <w:vertAlign w:val="baseline"/>
                      <w:lang w:val="en-US" w:eastAsia="zh-CN"/>
                    </w:rPr>
                    <w:t>工序/生产线</w:t>
                  </w:r>
                </w:p>
              </w:tc>
              <w:tc>
                <w:tcPr>
                  <w:tcW w:w="1556" w:type="dxa"/>
                  <w:vAlign w:val="center"/>
                </w:tcPr>
                <w:p>
                  <w:pPr>
                    <w:pStyle w:val="11"/>
                    <w:spacing w:line="360" w:lineRule="auto"/>
                    <w:ind w:left="0" w:leftChars="0" w:firstLine="0" w:firstLineChars="0"/>
                    <w:jc w:val="center"/>
                    <w:rPr>
                      <w:rFonts w:hint="default" w:cs="Times New Roman"/>
                      <w:b/>
                      <w:bCs/>
                      <w:color w:val="auto"/>
                      <w:sz w:val="18"/>
                      <w:szCs w:val="18"/>
                      <w:u w:val="single" w:color="auto"/>
                      <w:vertAlign w:val="baseline"/>
                      <w:lang w:val="en-US" w:eastAsia="zh-CN"/>
                    </w:rPr>
                  </w:pPr>
                  <w:r>
                    <w:rPr>
                      <w:rFonts w:hint="eastAsia" w:cs="Times New Roman"/>
                      <w:b/>
                      <w:bCs/>
                      <w:color w:val="auto"/>
                      <w:sz w:val="18"/>
                      <w:szCs w:val="18"/>
                      <w:u w:val="single" w:color="auto"/>
                      <w:vertAlign w:val="baseline"/>
                      <w:lang w:val="en-US" w:eastAsia="zh-CN"/>
                    </w:rPr>
                    <w:t>污染物</w:t>
                  </w:r>
                </w:p>
              </w:tc>
              <w:tc>
                <w:tcPr>
                  <w:tcW w:w="1556" w:type="dxa"/>
                  <w:vAlign w:val="center"/>
                </w:tcPr>
                <w:p>
                  <w:pPr>
                    <w:pStyle w:val="11"/>
                    <w:spacing w:line="360" w:lineRule="auto"/>
                    <w:ind w:left="0" w:leftChars="0" w:firstLine="0" w:firstLineChars="0"/>
                    <w:jc w:val="center"/>
                    <w:rPr>
                      <w:rFonts w:hint="default" w:cs="Times New Roman"/>
                      <w:b/>
                      <w:bCs/>
                      <w:color w:val="auto"/>
                      <w:sz w:val="18"/>
                      <w:szCs w:val="18"/>
                      <w:u w:val="single" w:color="auto"/>
                      <w:vertAlign w:val="baseline"/>
                      <w:lang w:val="en-US" w:eastAsia="zh-CN"/>
                    </w:rPr>
                  </w:pPr>
                  <w:r>
                    <w:rPr>
                      <w:rFonts w:hint="eastAsia" w:cs="Times New Roman"/>
                      <w:b/>
                      <w:bCs/>
                      <w:color w:val="auto"/>
                      <w:sz w:val="18"/>
                      <w:szCs w:val="18"/>
                      <w:u w:val="single" w:color="auto"/>
                      <w:vertAlign w:val="baseline"/>
                      <w:lang w:val="en-US" w:eastAsia="zh-CN"/>
                    </w:rPr>
                    <w:t>固废属性</w:t>
                  </w:r>
                </w:p>
              </w:tc>
              <w:tc>
                <w:tcPr>
                  <w:tcW w:w="1556" w:type="dxa"/>
                  <w:vAlign w:val="center"/>
                </w:tcPr>
                <w:p>
                  <w:pPr>
                    <w:pStyle w:val="11"/>
                    <w:spacing w:line="360" w:lineRule="auto"/>
                    <w:ind w:left="0" w:leftChars="0" w:firstLine="0" w:firstLineChars="0"/>
                    <w:jc w:val="center"/>
                    <w:rPr>
                      <w:rFonts w:hint="default" w:cs="Times New Roman"/>
                      <w:b/>
                      <w:bCs/>
                      <w:color w:val="auto"/>
                      <w:sz w:val="18"/>
                      <w:szCs w:val="18"/>
                      <w:u w:val="single" w:color="auto"/>
                      <w:vertAlign w:val="baseline"/>
                      <w:lang w:val="en-US" w:eastAsia="zh-CN"/>
                    </w:rPr>
                  </w:pPr>
                  <w:r>
                    <w:rPr>
                      <w:rFonts w:hint="eastAsia" w:cs="Times New Roman"/>
                      <w:b/>
                      <w:bCs/>
                      <w:color w:val="auto"/>
                      <w:sz w:val="18"/>
                      <w:szCs w:val="18"/>
                      <w:u w:val="single" w:color="auto"/>
                      <w:vertAlign w:val="baseline"/>
                      <w:lang w:val="en-US" w:eastAsia="zh-CN"/>
                    </w:rPr>
                    <w:t>排放量（t/a）</w:t>
                  </w:r>
                </w:p>
              </w:tc>
              <w:tc>
                <w:tcPr>
                  <w:tcW w:w="1556" w:type="dxa"/>
                  <w:vAlign w:val="center"/>
                </w:tcPr>
                <w:p>
                  <w:pPr>
                    <w:pStyle w:val="11"/>
                    <w:spacing w:line="360" w:lineRule="auto"/>
                    <w:jc w:val="center"/>
                    <w:rPr>
                      <w:rFonts w:hint="default" w:cs="Times New Roman"/>
                      <w:b/>
                      <w:bCs/>
                      <w:color w:val="auto"/>
                      <w:sz w:val="18"/>
                      <w:szCs w:val="18"/>
                      <w:u w:val="single" w:color="auto"/>
                      <w:vertAlign w:val="baseline"/>
                      <w:lang w:val="en-US" w:eastAsia="zh-CN"/>
                    </w:rPr>
                  </w:pPr>
                  <w:r>
                    <w:rPr>
                      <w:rFonts w:hint="eastAsia" w:cs="Times New Roman"/>
                      <w:b/>
                      <w:bCs/>
                      <w:color w:val="auto"/>
                      <w:sz w:val="18"/>
                      <w:szCs w:val="18"/>
                      <w:u w:val="single" w:color="auto"/>
                      <w:vertAlign w:val="baseline"/>
                      <w:lang w:val="en-US"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3" w:hRule="atLeast"/>
                <w:jc w:val="center"/>
              </w:trPr>
              <w:tc>
                <w:tcPr>
                  <w:tcW w:w="1555" w:type="dxa"/>
                  <w:vAlign w:val="center"/>
                </w:tcPr>
                <w:p>
                  <w:pPr>
                    <w:pStyle w:val="11"/>
                    <w:spacing w:line="360" w:lineRule="auto"/>
                    <w:ind w:left="0" w:leftChars="0" w:firstLine="0" w:firstLineChars="0"/>
                    <w:jc w:val="center"/>
                    <w:rPr>
                      <w:rFonts w:hint="default" w:cs="Times New Roman"/>
                      <w:color w:val="auto"/>
                      <w:sz w:val="18"/>
                      <w:szCs w:val="18"/>
                      <w:u w:val="single" w:color="auto"/>
                      <w:vertAlign w:val="baseline"/>
                      <w:lang w:val="en-US" w:eastAsia="zh-CN"/>
                    </w:rPr>
                  </w:pPr>
                  <w:r>
                    <w:rPr>
                      <w:rFonts w:hint="eastAsia" w:cs="Times New Roman"/>
                      <w:color w:val="auto"/>
                      <w:sz w:val="18"/>
                      <w:szCs w:val="18"/>
                      <w:u w:val="single" w:color="auto"/>
                      <w:vertAlign w:val="baseline"/>
                      <w:lang w:val="en-US" w:eastAsia="zh-CN"/>
                    </w:rPr>
                    <w:t>制砖</w:t>
                  </w:r>
                </w:p>
              </w:tc>
              <w:tc>
                <w:tcPr>
                  <w:tcW w:w="1556" w:type="dxa"/>
                  <w:shd w:val="clear" w:color="auto" w:fill="auto"/>
                  <w:vAlign w:val="center"/>
                </w:tcPr>
                <w:p>
                  <w:pPr>
                    <w:ind w:left="-31" w:leftChars="-15" w:right="-31" w:rightChars="-15"/>
                    <w:jc w:val="center"/>
                    <w:rPr>
                      <w:rFonts w:hint="default" w:ascii="Times New Roman" w:hAnsi="Times New Roman" w:eastAsia="宋体" w:cs="Times New Roman"/>
                      <w:color w:val="auto"/>
                      <w:kern w:val="2"/>
                      <w:sz w:val="18"/>
                      <w:szCs w:val="18"/>
                      <w:u w:val="single" w:color="auto"/>
                      <w:lang w:val="en-US" w:eastAsia="zh-CN" w:bidi="ar-SA"/>
                    </w:rPr>
                  </w:pPr>
                  <w:r>
                    <w:rPr>
                      <w:color w:val="auto"/>
                      <w:sz w:val="18"/>
                      <w:szCs w:val="18"/>
                      <w:u w:val="single" w:color="auto"/>
                    </w:rPr>
                    <w:t>废砖坯、废砖块</w:t>
                  </w:r>
                </w:p>
              </w:tc>
              <w:tc>
                <w:tcPr>
                  <w:tcW w:w="1556" w:type="dxa"/>
                  <w:vMerge w:val="restart"/>
                  <w:shd w:val="clear" w:color="auto" w:fill="auto"/>
                  <w:vAlign w:val="center"/>
                </w:tcPr>
                <w:p>
                  <w:pPr>
                    <w:ind w:left="-31" w:leftChars="-15" w:right="-31" w:rightChars="-15"/>
                    <w:jc w:val="center"/>
                    <w:rPr>
                      <w:rFonts w:hint="default" w:eastAsia="宋体"/>
                      <w:color w:val="auto"/>
                      <w:sz w:val="18"/>
                      <w:szCs w:val="18"/>
                      <w:u w:val="single" w:color="auto"/>
                      <w:lang w:val="en-US" w:eastAsia="zh-CN"/>
                    </w:rPr>
                  </w:pPr>
                  <w:r>
                    <w:rPr>
                      <w:rFonts w:hint="eastAsia"/>
                      <w:color w:val="auto"/>
                      <w:sz w:val="18"/>
                      <w:szCs w:val="18"/>
                      <w:u w:val="single" w:color="auto"/>
                      <w:lang w:val="en-US" w:eastAsia="zh-CN"/>
                    </w:rPr>
                    <w:t>一般固废</w:t>
                  </w:r>
                </w:p>
              </w:tc>
              <w:tc>
                <w:tcPr>
                  <w:tcW w:w="1556" w:type="dxa"/>
                  <w:shd w:val="clear" w:color="auto" w:fill="auto"/>
                  <w:vAlign w:val="center"/>
                </w:tcPr>
                <w:p>
                  <w:pPr>
                    <w:pStyle w:val="2"/>
                    <w:ind w:left="-31" w:leftChars="-15" w:right="-31" w:rightChars="-15"/>
                    <w:jc w:val="center"/>
                    <w:rPr>
                      <w:rFonts w:hint="default" w:ascii="宋体" w:hAnsi="宋体" w:eastAsia="宋体" w:cs="Times New Roman"/>
                      <w:color w:val="auto"/>
                      <w:kern w:val="2"/>
                      <w:sz w:val="18"/>
                      <w:szCs w:val="18"/>
                      <w:u w:val="single" w:color="auto"/>
                      <w:lang w:val="en-US" w:eastAsia="zh-CN" w:bidi="ar-SA"/>
                    </w:rPr>
                  </w:pPr>
                  <w:r>
                    <w:rPr>
                      <w:rFonts w:hint="eastAsia"/>
                      <w:color w:val="auto"/>
                      <w:sz w:val="18"/>
                      <w:szCs w:val="18"/>
                      <w:u w:val="single" w:color="auto"/>
                      <w:lang w:val="en-US" w:eastAsia="zh-CN"/>
                    </w:rPr>
                    <w:t>675</w:t>
                  </w:r>
                </w:p>
              </w:tc>
              <w:tc>
                <w:tcPr>
                  <w:tcW w:w="1556" w:type="dxa"/>
                  <w:shd w:val="clear" w:color="auto" w:fill="auto"/>
                  <w:vAlign w:val="center"/>
                </w:tcPr>
                <w:p>
                  <w:pPr>
                    <w:pStyle w:val="2"/>
                    <w:ind w:left="-31" w:leftChars="-15" w:right="-31" w:rightChars="-15"/>
                    <w:jc w:val="center"/>
                    <w:rPr>
                      <w:rFonts w:hint="eastAsia" w:ascii="宋体" w:hAnsi="宋体" w:eastAsia="宋体" w:cs="Times New Roman"/>
                      <w:color w:val="auto"/>
                      <w:kern w:val="2"/>
                      <w:sz w:val="18"/>
                      <w:szCs w:val="18"/>
                      <w:u w:val="single" w:color="auto"/>
                      <w:lang w:val="en-US" w:eastAsia="zh-CN" w:bidi="ar-SA"/>
                    </w:rPr>
                  </w:pPr>
                  <w:r>
                    <w:rPr>
                      <w:rFonts w:hint="default" w:ascii="Times New Roman" w:hAnsi="Times New Roman"/>
                      <w:color w:val="auto"/>
                      <w:sz w:val="18"/>
                      <w:szCs w:val="18"/>
                      <w:u w:val="single" w:color="auto"/>
                    </w:rPr>
                    <w:t>回用于制砖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3" w:hRule="atLeast"/>
                <w:jc w:val="center"/>
              </w:trPr>
              <w:tc>
                <w:tcPr>
                  <w:tcW w:w="1555" w:type="dxa"/>
                  <w:vAlign w:val="center"/>
                </w:tcPr>
                <w:p>
                  <w:pPr>
                    <w:pStyle w:val="11"/>
                    <w:spacing w:line="360" w:lineRule="auto"/>
                    <w:ind w:left="0" w:leftChars="0" w:firstLine="0" w:firstLineChars="0"/>
                    <w:jc w:val="center"/>
                    <w:rPr>
                      <w:rFonts w:hint="default" w:cs="Times New Roman"/>
                      <w:color w:val="auto"/>
                      <w:sz w:val="18"/>
                      <w:szCs w:val="18"/>
                      <w:u w:val="single" w:color="auto"/>
                      <w:vertAlign w:val="baseline"/>
                      <w:lang w:val="en-US" w:eastAsia="zh-CN"/>
                    </w:rPr>
                  </w:pPr>
                  <w:r>
                    <w:rPr>
                      <w:rFonts w:hint="eastAsia" w:cs="Times New Roman"/>
                      <w:color w:val="auto"/>
                      <w:sz w:val="18"/>
                      <w:szCs w:val="18"/>
                      <w:u w:val="single" w:color="auto"/>
                      <w:vertAlign w:val="baseline"/>
                      <w:lang w:val="en-US" w:eastAsia="zh-CN"/>
                    </w:rPr>
                    <w:t>脱硫塔</w:t>
                  </w:r>
                </w:p>
              </w:tc>
              <w:tc>
                <w:tcPr>
                  <w:tcW w:w="1556" w:type="dxa"/>
                  <w:shd w:val="clear" w:color="auto" w:fill="auto"/>
                  <w:vAlign w:val="center"/>
                </w:tcPr>
                <w:p>
                  <w:pPr>
                    <w:ind w:left="-31" w:leftChars="-15" w:right="-31" w:rightChars="-15"/>
                    <w:jc w:val="center"/>
                    <w:rPr>
                      <w:rFonts w:hint="default" w:ascii="Times New Roman" w:hAnsi="Times New Roman" w:eastAsia="宋体" w:cs="Times New Roman"/>
                      <w:color w:val="auto"/>
                      <w:kern w:val="2"/>
                      <w:sz w:val="18"/>
                      <w:szCs w:val="18"/>
                      <w:u w:val="single" w:color="auto"/>
                      <w:lang w:val="en-US" w:eastAsia="zh-CN" w:bidi="ar-SA"/>
                    </w:rPr>
                  </w:pPr>
                  <w:r>
                    <w:rPr>
                      <w:color w:val="auto"/>
                      <w:sz w:val="18"/>
                      <w:szCs w:val="18"/>
                      <w:u w:val="single" w:color="auto"/>
                    </w:rPr>
                    <w:t>脱硫除尘渣</w:t>
                  </w:r>
                </w:p>
              </w:tc>
              <w:tc>
                <w:tcPr>
                  <w:tcW w:w="1556" w:type="dxa"/>
                  <w:vMerge w:val="continue"/>
                  <w:shd w:val="clear" w:color="auto" w:fill="auto"/>
                  <w:vAlign w:val="center"/>
                </w:tcPr>
                <w:p>
                  <w:pPr>
                    <w:ind w:left="-31" w:leftChars="-15" w:right="-31" w:rightChars="-15"/>
                    <w:jc w:val="center"/>
                    <w:rPr>
                      <w:color w:val="auto"/>
                      <w:sz w:val="18"/>
                      <w:szCs w:val="18"/>
                      <w:u w:val="single" w:color="auto"/>
                    </w:rPr>
                  </w:pPr>
                </w:p>
              </w:tc>
              <w:tc>
                <w:tcPr>
                  <w:tcW w:w="1556" w:type="dxa"/>
                  <w:shd w:val="clear" w:color="auto" w:fill="auto"/>
                  <w:vAlign w:val="center"/>
                </w:tcPr>
                <w:p>
                  <w:pPr>
                    <w:pStyle w:val="2"/>
                    <w:ind w:left="-31" w:leftChars="-15" w:right="-31" w:rightChars="-15"/>
                    <w:jc w:val="center"/>
                    <w:rPr>
                      <w:rFonts w:hint="default" w:ascii="宋体" w:hAnsi="宋体" w:eastAsia="宋体" w:cs="Times New Roman"/>
                      <w:color w:val="auto"/>
                      <w:kern w:val="2"/>
                      <w:sz w:val="18"/>
                      <w:szCs w:val="18"/>
                      <w:u w:val="single" w:color="auto"/>
                      <w:lang w:val="en-US" w:eastAsia="zh-CN" w:bidi="ar-SA"/>
                    </w:rPr>
                  </w:pPr>
                  <w:r>
                    <w:rPr>
                      <w:rFonts w:hint="eastAsia"/>
                      <w:color w:val="auto"/>
                      <w:sz w:val="18"/>
                      <w:szCs w:val="18"/>
                      <w:u w:val="single" w:color="auto"/>
                      <w:lang w:val="en-US" w:eastAsia="zh-CN"/>
                    </w:rPr>
                    <w:t>75</w:t>
                  </w:r>
                </w:p>
              </w:tc>
              <w:tc>
                <w:tcPr>
                  <w:tcW w:w="1556" w:type="dxa"/>
                  <w:shd w:val="clear" w:color="auto" w:fill="auto"/>
                  <w:vAlign w:val="center"/>
                </w:tcPr>
                <w:p>
                  <w:pPr>
                    <w:pStyle w:val="2"/>
                    <w:ind w:left="-31" w:leftChars="-15" w:right="-31" w:rightChars="-15"/>
                    <w:jc w:val="center"/>
                    <w:rPr>
                      <w:rFonts w:hint="eastAsia" w:ascii="宋体" w:hAnsi="宋体" w:eastAsia="宋体" w:cs="Times New Roman"/>
                      <w:color w:val="auto"/>
                      <w:kern w:val="2"/>
                      <w:sz w:val="18"/>
                      <w:szCs w:val="18"/>
                      <w:u w:val="single" w:color="auto"/>
                      <w:lang w:val="en-US" w:eastAsia="zh-CN" w:bidi="ar-SA"/>
                    </w:rPr>
                  </w:pPr>
                  <w:r>
                    <w:rPr>
                      <w:rFonts w:hint="default" w:ascii="Times New Roman" w:hAnsi="Times New Roman"/>
                      <w:color w:val="auto"/>
                      <w:sz w:val="18"/>
                      <w:szCs w:val="18"/>
                      <w:u w:val="single" w:color="auto"/>
                    </w:rPr>
                    <w:t>回用于制砖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3" w:hRule="atLeast"/>
                <w:jc w:val="center"/>
              </w:trPr>
              <w:tc>
                <w:tcPr>
                  <w:tcW w:w="1555" w:type="dxa"/>
                  <w:vAlign w:val="center"/>
                </w:tcPr>
                <w:p>
                  <w:pPr>
                    <w:pStyle w:val="11"/>
                    <w:spacing w:line="360" w:lineRule="auto"/>
                    <w:ind w:left="0" w:leftChars="0" w:firstLine="0" w:firstLineChars="0"/>
                    <w:jc w:val="center"/>
                    <w:rPr>
                      <w:rFonts w:hint="default" w:cs="Times New Roman"/>
                      <w:color w:val="auto"/>
                      <w:sz w:val="18"/>
                      <w:szCs w:val="18"/>
                      <w:u w:val="single" w:color="auto"/>
                      <w:vertAlign w:val="baseline"/>
                      <w:lang w:val="en-US" w:eastAsia="zh-CN"/>
                    </w:rPr>
                  </w:pPr>
                  <w:r>
                    <w:rPr>
                      <w:rFonts w:hint="eastAsia" w:cs="Times New Roman"/>
                      <w:color w:val="auto"/>
                      <w:sz w:val="18"/>
                      <w:szCs w:val="18"/>
                      <w:u w:val="single" w:color="auto"/>
                      <w:vertAlign w:val="baseline"/>
                      <w:lang w:val="en-US" w:eastAsia="zh-CN"/>
                    </w:rPr>
                    <w:t>除尘器</w:t>
                  </w:r>
                </w:p>
              </w:tc>
              <w:tc>
                <w:tcPr>
                  <w:tcW w:w="1556" w:type="dxa"/>
                  <w:shd w:val="clear" w:color="auto" w:fill="auto"/>
                  <w:vAlign w:val="center"/>
                </w:tcPr>
                <w:p>
                  <w:pPr>
                    <w:ind w:left="-31" w:leftChars="-15" w:right="-31" w:rightChars="-15"/>
                    <w:jc w:val="center"/>
                    <w:rPr>
                      <w:rFonts w:hint="default" w:ascii="Times New Roman" w:hAnsi="Times New Roman" w:eastAsia="宋体" w:cs="Times New Roman"/>
                      <w:color w:val="auto"/>
                      <w:kern w:val="2"/>
                      <w:sz w:val="18"/>
                      <w:szCs w:val="18"/>
                      <w:u w:val="single" w:color="auto"/>
                      <w:lang w:val="en-US" w:eastAsia="zh-CN" w:bidi="ar-SA"/>
                    </w:rPr>
                  </w:pPr>
                  <w:r>
                    <w:rPr>
                      <w:color w:val="auto"/>
                      <w:sz w:val="18"/>
                      <w:szCs w:val="18"/>
                      <w:u w:val="single" w:color="auto"/>
                    </w:rPr>
                    <w:t>布袋除尘灰</w:t>
                  </w:r>
                </w:p>
              </w:tc>
              <w:tc>
                <w:tcPr>
                  <w:tcW w:w="1556" w:type="dxa"/>
                  <w:vMerge w:val="continue"/>
                  <w:shd w:val="clear" w:color="auto" w:fill="auto"/>
                  <w:vAlign w:val="center"/>
                </w:tcPr>
                <w:p>
                  <w:pPr>
                    <w:ind w:left="-31" w:leftChars="-15" w:right="-31" w:rightChars="-15"/>
                    <w:jc w:val="center"/>
                    <w:rPr>
                      <w:color w:val="auto"/>
                      <w:sz w:val="18"/>
                      <w:szCs w:val="18"/>
                      <w:u w:val="single" w:color="auto"/>
                    </w:rPr>
                  </w:pPr>
                </w:p>
              </w:tc>
              <w:tc>
                <w:tcPr>
                  <w:tcW w:w="1556" w:type="dxa"/>
                  <w:shd w:val="clear" w:color="auto" w:fill="auto"/>
                  <w:vAlign w:val="center"/>
                </w:tcPr>
                <w:p>
                  <w:pPr>
                    <w:pStyle w:val="2"/>
                    <w:ind w:left="-31" w:leftChars="-15" w:right="-31" w:rightChars="-15"/>
                    <w:jc w:val="center"/>
                    <w:rPr>
                      <w:rFonts w:hint="default" w:ascii="宋体" w:hAnsi="宋体" w:eastAsia="宋体" w:cs="Times New Roman"/>
                      <w:color w:val="auto"/>
                      <w:kern w:val="2"/>
                      <w:sz w:val="18"/>
                      <w:szCs w:val="18"/>
                      <w:u w:val="single" w:color="auto"/>
                      <w:lang w:val="en-US" w:eastAsia="zh-CN" w:bidi="ar-SA"/>
                    </w:rPr>
                  </w:pPr>
                  <w:r>
                    <w:rPr>
                      <w:rFonts w:hint="eastAsia"/>
                      <w:color w:val="auto"/>
                      <w:sz w:val="18"/>
                      <w:szCs w:val="18"/>
                      <w:u w:val="single" w:color="auto"/>
                      <w:lang w:val="en-US" w:eastAsia="zh-CN"/>
                    </w:rPr>
                    <w:t>25.68</w:t>
                  </w:r>
                </w:p>
              </w:tc>
              <w:tc>
                <w:tcPr>
                  <w:tcW w:w="1556" w:type="dxa"/>
                  <w:shd w:val="clear" w:color="auto" w:fill="auto"/>
                  <w:vAlign w:val="center"/>
                </w:tcPr>
                <w:p>
                  <w:pPr>
                    <w:pStyle w:val="2"/>
                    <w:ind w:left="-31" w:leftChars="-15" w:right="-31" w:rightChars="-15"/>
                    <w:jc w:val="center"/>
                    <w:rPr>
                      <w:rFonts w:hint="eastAsia" w:ascii="宋体" w:hAnsi="宋体" w:eastAsia="宋体" w:cs="Times New Roman"/>
                      <w:color w:val="auto"/>
                      <w:kern w:val="2"/>
                      <w:sz w:val="18"/>
                      <w:szCs w:val="18"/>
                      <w:u w:val="single" w:color="auto"/>
                      <w:lang w:val="en-US" w:eastAsia="zh-CN" w:bidi="ar-SA"/>
                    </w:rPr>
                  </w:pPr>
                  <w:r>
                    <w:rPr>
                      <w:rFonts w:hint="default" w:ascii="Times New Roman" w:hAnsi="Times New Roman"/>
                      <w:color w:val="auto"/>
                      <w:sz w:val="18"/>
                      <w:szCs w:val="18"/>
                      <w:u w:val="single" w:color="auto"/>
                    </w:rPr>
                    <w:t>回用于制砖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3" w:hRule="atLeast"/>
                <w:jc w:val="center"/>
              </w:trPr>
              <w:tc>
                <w:tcPr>
                  <w:tcW w:w="1555" w:type="dxa"/>
                  <w:vAlign w:val="center"/>
                </w:tcPr>
                <w:p>
                  <w:pPr>
                    <w:pStyle w:val="11"/>
                    <w:spacing w:line="360" w:lineRule="auto"/>
                    <w:ind w:left="0" w:leftChars="0" w:firstLine="0" w:firstLineChars="0"/>
                    <w:jc w:val="center"/>
                    <w:rPr>
                      <w:rFonts w:hint="default" w:cs="Times New Roman"/>
                      <w:color w:val="auto"/>
                      <w:sz w:val="18"/>
                      <w:szCs w:val="18"/>
                      <w:u w:val="single" w:color="auto"/>
                      <w:vertAlign w:val="baseline"/>
                      <w:lang w:val="en-US" w:eastAsia="zh-CN"/>
                    </w:rPr>
                  </w:pPr>
                  <w:r>
                    <w:rPr>
                      <w:rFonts w:hint="eastAsia" w:cs="Times New Roman"/>
                      <w:color w:val="auto"/>
                      <w:sz w:val="18"/>
                      <w:szCs w:val="18"/>
                      <w:u w:val="single" w:color="auto"/>
                      <w:vertAlign w:val="baseline"/>
                      <w:lang w:val="en-US" w:eastAsia="zh-CN"/>
                    </w:rPr>
                    <w:t>沉淀池</w:t>
                  </w:r>
                </w:p>
              </w:tc>
              <w:tc>
                <w:tcPr>
                  <w:tcW w:w="1556" w:type="dxa"/>
                  <w:shd w:val="clear" w:color="auto" w:fill="auto"/>
                  <w:vAlign w:val="center"/>
                </w:tcPr>
                <w:p>
                  <w:pPr>
                    <w:ind w:left="-31" w:leftChars="-15" w:right="-31" w:rightChars="-15"/>
                    <w:jc w:val="center"/>
                    <w:rPr>
                      <w:rFonts w:hint="default" w:eastAsia="宋体"/>
                      <w:color w:val="auto"/>
                      <w:sz w:val="18"/>
                      <w:szCs w:val="18"/>
                      <w:u w:val="single" w:color="auto"/>
                      <w:lang w:val="en-US" w:eastAsia="zh-CN"/>
                    </w:rPr>
                  </w:pPr>
                  <w:r>
                    <w:rPr>
                      <w:rFonts w:hint="eastAsia"/>
                      <w:color w:val="auto"/>
                      <w:sz w:val="18"/>
                      <w:szCs w:val="18"/>
                      <w:u w:val="single" w:color="auto"/>
                      <w:lang w:val="en-US" w:eastAsia="zh-CN"/>
                    </w:rPr>
                    <w:t>沉渣</w:t>
                  </w:r>
                </w:p>
              </w:tc>
              <w:tc>
                <w:tcPr>
                  <w:tcW w:w="1556" w:type="dxa"/>
                  <w:vMerge w:val="continue"/>
                  <w:shd w:val="clear" w:color="auto" w:fill="auto"/>
                  <w:vAlign w:val="center"/>
                </w:tcPr>
                <w:p>
                  <w:pPr>
                    <w:ind w:left="-31" w:leftChars="-15" w:right="-31" w:rightChars="-15"/>
                    <w:jc w:val="center"/>
                    <w:rPr>
                      <w:color w:val="auto"/>
                      <w:sz w:val="18"/>
                      <w:szCs w:val="18"/>
                      <w:u w:val="single" w:color="auto"/>
                    </w:rPr>
                  </w:pPr>
                </w:p>
              </w:tc>
              <w:tc>
                <w:tcPr>
                  <w:tcW w:w="1556" w:type="dxa"/>
                  <w:shd w:val="clear" w:color="auto" w:fill="auto"/>
                  <w:vAlign w:val="center"/>
                </w:tcPr>
                <w:p>
                  <w:pPr>
                    <w:pStyle w:val="2"/>
                    <w:ind w:left="-31" w:leftChars="-15" w:right="-31" w:rightChars="-15"/>
                    <w:jc w:val="center"/>
                    <w:rPr>
                      <w:rFonts w:hint="default"/>
                      <w:color w:val="auto"/>
                      <w:sz w:val="18"/>
                      <w:szCs w:val="18"/>
                      <w:u w:val="single" w:color="auto"/>
                      <w:lang w:val="en-US" w:eastAsia="zh-CN"/>
                    </w:rPr>
                  </w:pPr>
                  <w:r>
                    <w:rPr>
                      <w:rFonts w:hint="eastAsia"/>
                      <w:color w:val="auto"/>
                      <w:sz w:val="18"/>
                      <w:szCs w:val="18"/>
                      <w:u w:val="single" w:color="auto"/>
                      <w:lang w:val="en-US" w:eastAsia="zh-CN"/>
                    </w:rPr>
                    <w:t>12.42</w:t>
                  </w:r>
                </w:p>
              </w:tc>
              <w:tc>
                <w:tcPr>
                  <w:tcW w:w="1556" w:type="dxa"/>
                  <w:shd w:val="clear" w:color="auto" w:fill="auto"/>
                  <w:vAlign w:val="center"/>
                </w:tcPr>
                <w:p>
                  <w:pPr>
                    <w:pStyle w:val="2"/>
                    <w:ind w:left="-31" w:leftChars="-15" w:right="-31" w:rightChars="-15"/>
                    <w:jc w:val="center"/>
                    <w:rPr>
                      <w:rFonts w:hint="default" w:ascii="Times New Roman" w:hAnsi="Times New Roman" w:eastAsia="宋体"/>
                      <w:color w:val="auto"/>
                      <w:sz w:val="18"/>
                      <w:szCs w:val="18"/>
                      <w:u w:val="single" w:color="auto"/>
                      <w:lang w:val="en-US" w:eastAsia="zh-CN"/>
                    </w:rPr>
                  </w:pPr>
                  <w:r>
                    <w:rPr>
                      <w:rFonts w:hint="eastAsia" w:ascii="Times New Roman" w:hAnsi="Times New Roman"/>
                      <w:color w:val="auto"/>
                      <w:sz w:val="18"/>
                      <w:szCs w:val="18"/>
                      <w:u w:val="single" w:color="auto"/>
                      <w:lang w:val="en-US" w:eastAsia="zh-CN"/>
                    </w:rPr>
                    <w:t>回用于制砖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3" w:hRule="atLeast"/>
                <w:jc w:val="center"/>
              </w:trPr>
              <w:tc>
                <w:tcPr>
                  <w:tcW w:w="1555" w:type="dxa"/>
                  <w:vAlign w:val="center"/>
                </w:tcPr>
                <w:p>
                  <w:pPr>
                    <w:pStyle w:val="11"/>
                    <w:spacing w:line="360" w:lineRule="auto"/>
                    <w:ind w:left="0" w:leftChars="0" w:firstLine="0" w:firstLineChars="0"/>
                    <w:jc w:val="center"/>
                    <w:rPr>
                      <w:rFonts w:hint="default" w:cs="Times New Roman"/>
                      <w:color w:val="auto"/>
                      <w:sz w:val="18"/>
                      <w:szCs w:val="18"/>
                      <w:u w:val="single" w:color="auto"/>
                      <w:vertAlign w:val="baseline"/>
                      <w:lang w:val="en-US" w:eastAsia="zh-CN"/>
                    </w:rPr>
                  </w:pPr>
                  <w:r>
                    <w:rPr>
                      <w:rFonts w:hint="eastAsia" w:cs="Times New Roman"/>
                      <w:color w:val="auto"/>
                      <w:sz w:val="18"/>
                      <w:szCs w:val="18"/>
                      <w:u w:val="single" w:color="auto"/>
                      <w:vertAlign w:val="baseline"/>
                      <w:lang w:val="en-US" w:eastAsia="zh-CN"/>
                    </w:rPr>
                    <w:t>办公生活</w:t>
                  </w:r>
                </w:p>
              </w:tc>
              <w:tc>
                <w:tcPr>
                  <w:tcW w:w="1556" w:type="dxa"/>
                  <w:shd w:val="clear" w:color="auto" w:fill="auto"/>
                  <w:vAlign w:val="center"/>
                </w:tcPr>
                <w:p>
                  <w:pPr>
                    <w:ind w:left="-31" w:leftChars="-15" w:right="-31" w:rightChars="-15"/>
                    <w:jc w:val="center"/>
                    <w:rPr>
                      <w:rFonts w:hint="default" w:ascii="Times New Roman" w:hAnsi="Times New Roman" w:eastAsia="宋体" w:cs="Times New Roman"/>
                      <w:color w:val="auto"/>
                      <w:kern w:val="2"/>
                      <w:sz w:val="18"/>
                      <w:szCs w:val="18"/>
                      <w:u w:val="single" w:color="auto"/>
                      <w:lang w:val="en-US" w:eastAsia="zh-CN" w:bidi="ar-SA"/>
                    </w:rPr>
                  </w:pPr>
                  <w:r>
                    <w:rPr>
                      <w:color w:val="auto"/>
                      <w:sz w:val="18"/>
                      <w:szCs w:val="18"/>
                      <w:u w:val="single" w:color="auto"/>
                    </w:rPr>
                    <w:t>生活垃圾</w:t>
                  </w:r>
                </w:p>
              </w:tc>
              <w:tc>
                <w:tcPr>
                  <w:tcW w:w="1556" w:type="dxa"/>
                  <w:shd w:val="clear" w:color="auto" w:fill="auto"/>
                  <w:vAlign w:val="center"/>
                </w:tcPr>
                <w:p>
                  <w:pPr>
                    <w:ind w:left="-31" w:leftChars="-15" w:right="-31" w:rightChars="-15"/>
                    <w:jc w:val="center"/>
                    <w:rPr>
                      <w:rFonts w:hint="default" w:eastAsia="宋体"/>
                      <w:color w:val="auto"/>
                      <w:sz w:val="18"/>
                      <w:szCs w:val="18"/>
                      <w:u w:val="single" w:color="auto"/>
                      <w:lang w:val="en-US" w:eastAsia="zh-CN"/>
                    </w:rPr>
                  </w:pPr>
                  <w:r>
                    <w:rPr>
                      <w:rFonts w:hint="eastAsia"/>
                      <w:color w:val="auto"/>
                      <w:sz w:val="18"/>
                      <w:szCs w:val="18"/>
                      <w:u w:val="single" w:color="auto"/>
                      <w:lang w:val="en-US" w:eastAsia="zh-CN"/>
                    </w:rPr>
                    <w:t>一般固废</w:t>
                  </w:r>
                </w:p>
              </w:tc>
              <w:tc>
                <w:tcPr>
                  <w:tcW w:w="1556" w:type="dxa"/>
                  <w:shd w:val="clear" w:color="auto" w:fill="auto"/>
                  <w:vAlign w:val="center"/>
                </w:tcPr>
                <w:p>
                  <w:pPr>
                    <w:pStyle w:val="2"/>
                    <w:ind w:left="-31" w:leftChars="-15" w:right="-31" w:rightChars="-15"/>
                    <w:jc w:val="center"/>
                    <w:rPr>
                      <w:rFonts w:hint="default" w:ascii="宋体" w:hAnsi="宋体" w:eastAsia="宋体" w:cs="Times New Roman"/>
                      <w:color w:val="auto"/>
                      <w:kern w:val="2"/>
                      <w:sz w:val="18"/>
                      <w:szCs w:val="18"/>
                      <w:u w:val="single" w:color="auto"/>
                      <w:lang w:val="en-US" w:eastAsia="zh-CN" w:bidi="ar-SA"/>
                    </w:rPr>
                  </w:pPr>
                  <w:r>
                    <w:rPr>
                      <w:rFonts w:hint="eastAsia"/>
                      <w:color w:val="auto"/>
                      <w:sz w:val="18"/>
                      <w:szCs w:val="18"/>
                      <w:u w:val="single" w:color="auto"/>
                      <w:lang w:val="en-US" w:eastAsia="zh-CN"/>
                    </w:rPr>
                    <w:t>6.0</w:t>
                  </w:r>
                </w:p>
              </w:tc>
              <w:tc>
                <w:tcPr>
                  <w:tcW w:w="1556" w:type="dxa"/>
                  <w:shd w:val="clear" w:color="auto" w:fill="auto"/>
                  <w:vAlign w:val="center"/>
                </w:tcPr>
                <w:p>
                  <w:pPr>
                    <w:pStyle w:val="2"/>
                    <w:ind w:left="-31" w:leftChars="-15" w:right="-31" w:rightChars="-15"/>
                    <w:jc w:val="center"/>
                    <w:rPr>
                      <w:rFonts w:hint="eastAsia" w:ascii="宋体" w:hAnsi="宋体" w:eastAsia="宋体" w:cs="Times New Roman"/>
                      <w:color w:val="auto"/>
                      <w:kern w:val="2"/>
                      <w:sz w:val="18"/>
                      <w:szCs w:val="18"/>
                      <w:u w:val="single" w:color="auto"/>
                      <w:lang w:val="en-US" w:eastAsia="zh-CN" w:bidi="ar-SA"/>
                    </w:rPr>
                  </w:pPr>
                  <w:r>
                    <w:rPr>
                      <w:rFonts w:hint="default" w:ascii="Times New Roman" w:hAnsi="Times New Roman"/>
                      <w:color w:val="auto"/>
                      <w:sz w:val="18"/>
                      <w:szCs w:val="18"/>
                      <w:u w:val="single" w:color="auto"/>
                    </w:rPr>
                    <w:t>环卫部门收集处理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7" w:hRule="atLeast"/>
                <w:jc w:val="center"/>
              </w:trPr>
              <w:tc>
                <w:tcPr>
                  <w:tcW w:w="1555" w:type="dxa"/>
                  <w:vAlign w:val="center"/>
                </w:tcPr>
                <w:p>
                  <w:pPr>
                    <w:pStyle w:val="11"/>
                    <w:spacing w:line="360" w:lineRule="auto"/>
                    <w:ind w:left="0" w:leftChars="0" w:firstLine="0" w:firstLineChars="0"/>
                    <w:jc w:val="center"/>
                    <w:rPr>
                      <w:rFonts w:hint="default" w:cs="Times New Roman"/>
                      <w:color w:val="auto"/>
                      <w:sz w:val="18"/>
                      <w:szCs w:val="18"/>
                      <w:u w:val="single" w:color="auto"/>
                      <w:vertAlign w:val="baseline"/>
                      <w:lang w:val="en-US" w:eastAsia="zh-CN"/>
                    </w:rPr>
                  </w:pPr>
                  <w:r>
                    <w:rPr>
                      <w:rFonts w:hint="eastAsia" w:cs="Times New Roman"/>
                      <w:color w:val="auto"/>
                      <w:sz w:val="18"/>
                      <w:szCs w:val="18"/>
                      <w:u w:val="single" w:color="auto"/>
                      <w:vertAlign w:val="baseline"/>
                      <w:lang w:val="en-US" w:eastAsia="zh-CN"/>
                    </w:rPr>
                    <w:t>设备维修</w:t>
                  </w:r>
                </w:p>
              </w:tc>
              <w:tc>
                <w:tcPr>
                  <w:tcW w:w="1556" w:type="dxa"/>
                  <w:shd w:val="clear" w:color="auto" w:fill="auto"/>
                  <w:vAlign w:val="center"/>
                </w:tcPr>
                <w:p>
                  <w:pPr>
                    <w:ind w:left="-31" w:leftChars="-15" w:right="-31" w:rightChars="-15"/>
                    <w:jc w:val="center"/>
                    <w:rPr>
                      <w:rFonts w:hint="default" w:ascii="Times New Roman" w:hAnsi="Times New Roman" w:eastAsia="宋体" w:cs="Times New Roman"/>
                      <w:color w:val="auto"/>
                      <w:kern w:val="2"/>
                      <w:sz w:val="18"/>
                      <w:szCs w:val="18"/>
                      <w:u w:val="single" w:color="auto"/>
                      <w:lang w:val="en-US" w:eastAsia="zh-CN" w:bidi="ar-SA"/>
                    </w:rPr>
                  </w:pPr>
                  <w:r>
                    <w:rPr>
                      <w:rFonts w:hint="eastAsia"/>
                      <w:color w:val="auto"/>
                      <w:sz w:val="18"/>
                      <w:szCs w:val="18"/>
                      <w:u w:val="single" w:color="auto"/>
                      <w:lang w:val="en-US" w:eastAsia="zh-CN"/>
                    </w:rPr>
                    <w:t>废机油</w:t>
                  </w:r>
                </w:p>
              </w:tc>
              <w:tc>
                <w:tcPr>
                  <w:tcW w:w="1556" w:type="dxa"/>
                  <w:shd w:val="clear" w:color="auto" w:fill="auto"/>
                  <w:vAlign w:val="center"/>
                </w:tcPr>
                <w:p>
                  <w:pPr>
                    <w:ind w:left="-31" w:leftChars="-15" w:right="-31" w:rightChars="-15"/>
                    <w:jc w:val="center"/>
                    <w:rPr>
                      <w:rFonts w:hint="default"/>
                      <w:color w:val="auto"/>
                      <w:sz w:val="18"/>
                      <w:szCs w:val="18"/>
                      <w:u w:val="single" w:color="auto"/>
                      <w:lang w:val="en-US" w:eastAsia="zh-CN"/>
                    </w:rPr>
                  </w:pPr>
                  <w:r>
                    <w:rPr>
                      <w:rFonts w:hint="eastAsia"/>
                      <w:color w:val="auto"/>
                      <w:sz w:val="18"/>
                      <w:szCs w:val="18"/>
                      <w:u w:val="single" w:color="auto"/>
                      <w:lang w:val="en-US" w:eastAsia="zh-CN"/>
                    </w:rPr>
                    <w:t>危险废物HW08</w:t>
                  </w:r>
                </w:p>
              </w:tc>
              <w:tc>
                <w:tcPr>
                  <w:tcW w:w="1556" w:type="dxa"/>
                  <w:shd w:val="clear" w:color="auto" w:fill="auto"/>
                  <w:vAlign w:val="center"/>
                </w:tcPr>
                <w:p>
                  <w:pPr>
                    <w:pStyle w:val="2"/>
                    <w:ind w:left="-31" w:leftChars="-15" w:right="-31" w:rightChars="-15"/>
                    <w:jc w:val="center"/>
                    <w:rPr>
                      <w:rFonts w:hint="default" w:ascii="宋体" w:hAnsi="宋体" w:eastAsia="宋体" w:cs="Times New Roman"/>
                      <w:color w:val="auto"/>
                      <w:kern w:val="2"/>
                      <w:sz w:val="18"/>
                      <w:szCs w:val="18"/>
                      <w:u w:val="single" w:color="auto"/>
                      <w:lang w:val="en-US" w:eastAsia="zh-CN" w:bidi="ar-SA"/>
                    </w:rPr>
                  </w:pPr>
                  <w:r>
                    <w:rPr>
                      <w:rFonts w:hint="eastAsia"/>
                      <w:color w:val="auto"/>
                      <w:sz w:val="18"/>
                      <w:szCs w:val="18"/>
                      <w:u w:val="single" w:color="auto"/>
                      <w:lang w:val="en-US" w:eastAsia="zh-CN"/>
                    </w:rPr>
                    <w:t>0.2</w:t>
                  </w:r>
                </w:p>
              </w:tc>
              <w:tc>
                <w:tcPr>
                  <w:tcW w:w="1556" w:type="dxa"/>
                  <w:shd w:val="clear" w:color="auto" w:fill="auto"/>
                  <w:vAlign w:val="center"/>
                </w:tcPr>
                <w:p>
                  <w:pPr>
                    <w:pStyle w:val="2"/>
                    <w:ind w:left="-31" w:leftChars="-15" w:right="-31" w:rightChars="-15"/>
                    <w:jc w:val="center"/>
                    <w:rPr>
                      <w:rFonts w:hint="eastAsia" w:ascii="宋体" w:hAnsi="宋体" w:eastAsia="宋体" w:cs="Times New Roman"/>
                      <w:color w:val="auto"/>
                      <w:kern w:val="2"/>
                      <w:sz w:val="18"/>
                      <w:szCs w:val="18"/>
                      <w:u w:val="single" w:color="auto"/>
                      <w:lang w:val="en-US" w:eastAsia="zh-CN" w:bidi="ar-SA"/>
                    </w:rPr>
                  </w:pPr>
                  <w:r>
                    <w:rPr>
                      <w:rFonts w:hint="eastAsia"/>
                      <w:color w:val="auto"/>
                      <w:kern w:val="2"/>
                      <w:sz w:val="18"/>
                      <w:szCs w:val="18"/>
                      <w:u w:val="single" w:color="auto"/>
                      <w:lang w:val="en-US" w:eastAsia="zh-CN" w:bidi="ar-SA"/>
                    </w:rPr>
                    <w:t>危废间暂存，交由有资质单位处理</w:t>
                  </w:r>
                </w:p>
              </w:tc>
            </w:tr>
          </w:tbl>
          <w:p>
            <w:pPr>
              <w:jc w:val="center"/>
              <w:rPr>
                <w:b/>
                <w:color w:val="000000"/>
                <w:szCs w:val="21"/>
                <w:u w:val="single" w:color="auto"/>
              </w:rPr>
            </w:pPr>
          </w:p>
          <w:p>
            <w:pPr>
              <w:spacing w:line="360" w:lineRule="auto"/>
              <w:ind w:firstLine="482" w:firstLineChars="200"/>
              <w:rPr>
                <w:b/>
                <w:bCs/>
                <w:color w:val="000000"/>
                <w:sz w:val="24"/>
                <w:u w:val="single" w:color="auto"/>
              </w:rPr>
            </w:pPr>
            <w:r>
              <w:rPr>
                <w:b/>
                <w:bCs/>
                <w:color w:val="000000"/>
                <w:sz w:val="24"/>
                <w:u w:val="single" w:color="auto"/>
              </w:rPr>
              <w:t>2、环境管理要求</w:t>
            </w:r>
          </w:p>
          <w:p>
            <w:pPr>
              <w:spacing w:line="360" w:lineRule="auto"/>
              <w:ind w:firstLine="480" w:firstLineChars="200"/>
              <w:rPr>
                <w:color w:val="000000"/>
                <w:sz w:val="24"/>
                <w:u w:val="single" w:color="auto"/>
              </w:rPr>
            </w:pPr>
            <w:r>
              <w:rPr>
                <w:rFonts w:hint="eastAsia"/>
                <w:color w:val="000000"/>
                <w:sz w:val="24"/>
                <w:u w:val="single" w:color="auto"/>
                <w:lang w:eastAsia="zh-CN"/>
              </w:rPr>
              <w:t>本项目产生</w:t>
            </w:r>
            <w:r>
              <w:rPr>
                <w:color w:val="000000"/>
                <w:sz w:val="24"/>
                <w:u w:val="single" w:color="auto"/>
              </w:rPr>
              <w:t>固体废物</w:t>
            </w:r>
            <w:r>
              <w:rPr>
                <w:rFonts w:hint="eastAsia"/>
                <w:color w:val="000000"/>
                <w:sz w:val="24"/>
                <w:u w:val="single" w:color="auto"/>
                <w:lang w:val="en-US" w:eastAsia="zh-CN"/>
              </w:rPr>
              <w:t>及原料</w:t>
            </w:r>
            <w:r>
              <w:rPr>
                <w:rFonts w:hint="eastAsia"/>
                <w:color w:val="000000"/>
                <w:sz w:val="24"/>
                <w:u w:val="single" w:color="auto"/>
                <w:lang w:eastAsia="zh-CN"/>
              </w:rPr>
              <w:t>一般固废</w:t>
            </w:r>
            <w:r>
              <w:rPr>
                <w:color w:val="000000"/>
                <w:sz w:val="24"/>
                <w:u w:val="single" w:color="auto"/>
              </w:rPr>
              <w:t>从产生、收集、贮存、转运、处置等各个环节都可能因管理不善而进入环境。因此必须从各个环节进行全方位管理，采取有效措施防止固废在产生、收集、贮存、运输过程中的散失，并采用有效处置的方案和技术。首先从有用物料回收再利用着眼，化废为宝，既回收一部分资源，又减轻处置负荷，对目前还不能回收利用的，应遵循无害化处置原则进行有效处置。</w:t>
            </w:r>
          </w:p>
          <w:p>
            <w:pPr>
              <w:spacing w:line="360" w:lineRule="auto"/>
              <w:ind w:firstLine="482" w:firstLineChars="200"/>
              <w:rPr>
                <w:b/>
                <w:bCs/>
                <w:color w:val="000000"/>
                <w:sz w:val="24"/>
                <w:u w:val="single" w:color="auto"/>
              </w:rPr>
            </w:pPr>
            <w:r>
              <w:rPr>
                <w:b/>
                <w:bCs/>
                <w:color w:val="000000"/>
                <w:sz w:val="24"/>
                <w:u w:val="single" w:color="auto"/>
              </w:rPr>
              <w:t>（1）一般固废处置措施要求</w:t>
            </w:r>
          </w:p>
          <w:p>
            <w:pPr>
              <w:spacing w:line="360" w:lineRule="auto"/>
              <w:ind w:firstLine="480" w:firstLineChars="200"/>
              <w:rPr>
                <w:color w:val="000000"/>
                <w:sz w:val="24"/>
                <w:u w:val="single" w:color="auto"/>
              </w:rPr>
            </w:pPr>
            <w:r>
              <w:rPr>
                <w:color w:val="000000"/>
                <w:sz w:val="24"/>
                <w:u w:val="single" w:color="auto"/>
              </w:rPr>
              <w:t>本项目一般固体废物中各类垃圾应分类收集，在垃圾暂存区内分类暂存，不得随处堆放，垃圾暂存区应防雨、防风、防渗漏</w:t>
            </w:r>
            <w:r>
              <w:rPr>
                <w:rFonts w:hint="eastAsia"/>
                <w:color w:val="000000"/>
                <w:sz w:val="24"/>
                <w:u w:val="single" w:color="auto"/>
                <w:lang w:eastAsia="zh-CN"/>
              </w:rPr>
              <w:t>。本项目技改新建一般固废</w:t>
            </w:r>
            <w:r>
              <w:rPr>
                <w:color w:val="000000"/>
                <w:sz w:val="24"/>
                <w:u w:val="single" w:color="auto"/>
              </w:rPr>
              <w:t>贮存场应满足如下要求：</w:t>
            </w:r>
          </w:p>
          <w:p>
            <w:pPr>
              <w:spacing w:line="360" w:lineRule="auto"/>
              <w:ind w:firstLine="480" w:firstLineChars="200"/>
              <w:rPr>
                <w:color w:val="000000"/>
                <w:sz w:val="24"/>
                <w:u w:val="single" w:color="auto"/>
              </w:rPr>
            </w:pPr>
            <w:r>
              <w:rPr>
                <w:color w:val="000000"/>
                <w:sz w:val="24"/>
                <w:u w:val="single" w:color="auto"/>
              </w:rPr>
              <w:t>①地面应采取硬化措施并满足承载力要求，必要时采取相应措施防止地基下沉。</w:t>
            </w:r>
          </w:p>
          <w:p>
            <w:pPr>
              <w:spacing w:line="360" w:lineRule="auto"/>
              <w:ind w:firstLine="480" w:firstLineChars="200"/>
              <w:rPr>
                <w:color w:val="000000"/>
                <w:sz w:val="24"/>
                <w:u w:val="single" w:color="auto"/>
              </w:rPr>
            </w:pPr>
            <w:r>
              <w:rPr>
                <w:color w:val="000000"/>
                <w:sz w:val="24"/>
                <w:u w:val="single" w:color="auto"/>
              </w:rPr>
              <w:t>②要求设置必要的防风、防雨、防晒措施。</w:t>
            </w:r>
          </w:p>
          <w:p>
            <w:pPr>
              <w:spacing w:line="360" w:lineRule="auto"/>
              <w:ind w:firstLine="480" w:firstLineChars="200"/>
              <w:rPr>
                <w:color w:val="000000"/>
                <w:sz w:val="24"/>
                <w:u w:val="single" w:color="auto"/>
              </w:rPr>
            </w:pPr>
            <w:r>
              <w:rPr>
                <w:color w:val="000000"/>
                <w:sz w:val="24"/>
                <w:u w:val="single" w:color="auto"/>
              </w:rPr>
              <w:t>③按《环境保护图形标识—固体废物贮存（处置）场》（GB15562.2）要求设置环境保护图形标志。</w:t>
            </w:r>
          </w:p>
          <w:p>
            <w:pPr>
              <w:pStyle w:val="20"/>
              <w:spacing w:after="0" w:line="360" w:lineRule="auto"/>
              <w:ind w:left="0" w:leftChars="0" w:firstLine="480" w:firstLineChars="200"/>
              <w:rPr>
                <w:color w:val="000000"/>
                <w:sz w:val="24"/>
                <w:u w:val="single" w:color="auto"/>
              </w:rPr>
            </w:pPr>
            <w:r>
              <w:rPr>
                <w:color w:val="000000"/>
                <w:sz w:val="24"/>
                <w:u w:val="single" w:color="auto"/>
              </w:rPr>
              <w:t>营运期固废都能得到妥善处置，不会产生二次污染。</w:t>
            </w:r>
          </w:p>
          <w:p>
            <w:pPr>
              <w:spacing w:line="360" w:lineRule="auto"/>
              <w:ind w:firstLine="480" w:firstLineChars="200"/>
              <w:rPr>
                <w:u w:val="single" w:color="auto"/>
              </w:rPr>
            </w:pPr>
            <w:r>
              <w:rPr>
                <w:color w:val="000000"/>
                <w:sz w:val="24"/>
                <w:u w:val="single" w:color="auto"/>
              </w:rPr>
              <w:t>综上所述，本项目固体废物处理处置符合国家《固体废物污染环境防治法》规定的原则，符合《一般工业固体废物贮存和填埋污染控制标准》（GB18599-2020）规定，采取上述措施后，本项目固体废物可得到妥善的处理，对周围环境造成的影响很小。</w:t>
            </w:r>
          </w:p>
          <w:p>
            <w:pPr>
              <w:pStyle w:val="20"/>
              <w:spacing w:after="0" w:line="360" w:lineRule="auto"/>
              <w:ind w:left="0" w:leftChars="0" w:firstLine="482" w:firstLineChars="200"/>
              <w:rPr>
                <w:b/>
                <w:bCs/>
                <w:color w:val="000000"/>
                <w:sz w:val="24"/>
                <w:u w:val="single" w:color="auto"/>
              </w:rPr>
            </w:pPr>
            <w:r>
              <w:rPr>
                <w:b/>
                <w:bCs/>
                <w:color w:val="000000"/>
                <w:sz w:val="24"/>
                <w:u w:val="single" w:color="auto"/>
              </w:rPr>
              <w:t>（2）危险废物储运方式及管理要求</w:t>
            </w:r>
          </w:p>
          <w:p>
            <w:pPr>
              <w:pStyle w:val="20"/>
              <w:spacing w:after="0" w:line="360" w:lineRule="auto"/>
              <w:ind w:left="0" w:leftChars="0" w:firstLine="480" w:firstLineChars="200"/>
              <w:rPr>
                <w:color w:val="000000"/>
                <w:sz w:val="24"/>
                <w:u w:val="single" w:color="auto"/>
              </w:rPr>
            </w:pPr>
            <w:r>
              <w:rPr>
                <w:color w:val="000000"/>
                <w:sz w:val="24"/>
                <w:u w:val="single" w:color="auto"/>
              </w:rPr>
              <w:t>①设置危险废物暂存间</w:t>
            </w:r>
          </w:p>
          <w:p>
            <w:pPr>
              <w:pStyle w:val="20"/>
              <w:spacing w:after="0" w:line="360" w:lineRule="auto"/>
              <w:ind w:left="0" w:leftChars="0" w:firstLine="480" w:firstLineChars="200"/>
              <w:rPr>
                <w:color w:val="000000"/>
                <w:sz w:val="24"/>
                <w:u w:val="single" w:color="auto"/>
              </w:rPr>
            </w:pPr>
            <w:r>
              <w:rPr>
                <w:color w:val="000000"/>
                <w:sz w:val="24"/>
                <w:u w:val="single" w:color="auto"/>
              </w:rPr>
              <w:t>为了减小废弃物的储运风险，防止危废流失污染环境，本项目将产生的危险废物全部收集至危废暂存间内，采用密闭专用容器收集储存危废，并对危险废物暂存间设围堰等。</w:t>
            </w:r>
          </w:p>
          <w:p>
            <w:pPr>
              <w:pStyle w:val="20"/>
              <w:spacing w:after="0" w:line="360" w:lineRule="auto"/>
              <w:ind w:left="0" w:leftChars="0" w:firstLine="480" w:firstLineChars="200"/>
              <w:rPr>
                <w:color w:val="000000"/>
                <w:sz w:val="24"/>
                <w:u w:val="single" w:color="auto"/>
              </w:rPr>
            </w:pPr>
            <w:r>
              <w:rPr>
                <w:color w:val="000000"/>
                <w:sz w:val="24"/>
                <w:u w:val="single" w:color="auto"/>
              </w:rPr>
              <w:t>危废暂存间将严格按照《危险废物储存污染控制标准》的要求设计，做好防雨、防渗，防止二次污染。地面采用坚固、防渗、耐腐蚀的材料建造。库内废物定期由有资质的公司使用专用运输车辆运输。</w:t>
            </w:r>
          </w:p>
          <w:p>
            <w:pPr>
              <w:pStyle w:val="20"/>
              <w:spacing w:after="0" w:line="360" w:lineRule="auto"/>
              <w:ind w:left="0" w:leftChars="0" w:firstLine="480" w:firstLineChars="200"/>
              <w:rPr>
                <w:color w:val="000000"/>
                <w:sz w:val="24"/>
                <w:u w:val="single" w:color="auto"/>
              </w:rPr>
            </w:pPr>
            <w:r>
              <w:rPr>
                <w:color w:val="000000"/>
                <w:sz w:val="24"/>
                <w:u w:val="single" w:color="auto"/>
              </w:rPr>
              <w:t>②危险废弃物的收集和管理</w:t>
            </w:r>
          </w:p>
          <w:p>
            <w:pPr>
              <w:pStyle w:val="20"/>
              <w:spacing w:after="0" w:line="360" w:lineRule="auto"/>
              <w:ind w:left="0" w:leftChars="0" w:firstLine="480" w:firstLineChars="200"/>
              <w:rPr>
                <w:color w:val="000000"/>
                <w:sz w:val="24"/>
                <w:u w:val="single" w:color="auto"/>
              </w:rPr>
            </w:pPr>
            <w:r>
              <w:rPr>
                <w:color w:val="000000"/>
                <w:sz w:val="24"/>
                <w:u w:val="single" w:color="auto"/>
              </w:rPr>
              <w:t>对危险废弃物的收集和管理，拟采用以下措施：</w:t>
            </w:r>
          </w:p>
          <w:p>
            <w:pPr>
              <w:pStyle w:val="20"/>
              <w:spacing w:after="0" w:line="360" w:lineRule="auto"/>
              <w:ind w:left="0" w:leftChars="0" w:firstLine="480" w:firstLineChars="200"/>
              <w:rPr>
                <w:color w:val="000000"/>
                <w:sz w:val="24"/>
                <w:u w:val="single" w:color="auto"/>
              </w:rPr>
            </w:pPr>
            <w:r>
              <w:rPr>
                <w:color w:val="000000"/>
                <w:sz w:val="24"/>
                <w:u w:val="single" w:color="auto"/>
              </w:rPr>
              <w:t>A、对生产过程产生的废机油等，根据生产过程的特点，拟将其直接存放在危废暂存间内；其他废物，如废抹布等存放于相应的容器中，并贴上废弃物分类专用标签，临时堆放在危废暂存间中，累计一定数量后由有资质的公司使用专用运输车辆外运后统一处置。</w:t>
            </w:r>
          </w:p>
          <w:p>
            <w:pPr>
              <w:pStyle w:val="20"/>
              <w:spacing w:after="0" w:line="360" w:lineRule="auto"/>
              <w:ind w:left="0" w:leftChars="0" w:firstLine="480" w:firstLineChars="200"/>
              <w:rPr>
                <w:color w:val="000000"/>
                <w:sz w:val="24"/>
                <w:u w:val="single" w:color="auto"/>
              </w:rPr>
            </w:pPr>
            <w:r>
              <w:rPr>
                <w:color w:val="000000"/>
                <w:sz w:val="24"/>
                <w:u w:val="single" w:color="auto"/>
              </w:rPr>
              <w:t>B、危险废物全部暂存于危废暂存间内，做到防风、防雨、防晒措施，并设置堵截泄漏的裙脚、围堰等设施。</w:t>
            </w:r>
          </w:p>
          <w:p>
            <w:pPr>
              <w:pStyle w:val="20"/>
              <w:spacing w:after="0" w:line="360" w:lineRule="auto"/>
              <w:ind w:left="0" w:leftChars="0" w:firstLine="480" w:firstLineChars="200"/>
              <w:rPr>
                <w:color w:val="000000"/>
                <w:sz w:val="24"/>
                <w:u w:val="single" w:color="auto"/>
              </w:rPr>
            </w:pPr>
            <w:r>
              <w:rPr>
                <w:color w:val="000000"/>
                <w:sz w:val="24"/>
                <w:u w:val="single" w:color="auto"/>
              </w:rPr>
              <w:t>C、危险废物暂存间及化学品间地面基础必须防渗、防腐处理，本项目拟采用抗渗混凝土进行防渗。</w:t>
            </w:r>
          </w:p>
          <w:p>
            <w:pPr>
              <w:pStyle w:val="20"/>
              <w:spacing w:after="0" w:line="360" w:lineRule="auto"/>
              <w:ind w:left="0" w:leftChars="0" w:firstLine="480" w:firstLineChars="200"/>
              <w:rPr>
                <w:color w:val="000000"/>
                <w:sz w:val="24"/>
                <w:u w:val="single" w:color="auto"/>
              </w:rPr>
            </w:pPr>
            <w:r>
              <w:rPr>
                <w:color w:val="000000"/>
                <w:sz w:val="24"/>
                <w:u w:val="single" w:color="auto"/>
              </w:rPr>
              <w:t>上述危险废弃物的收集和管理，建设单位将委派专人负责，各种废弃物的储存容器都有很好的密封性，危废临时储存场所按照《危险废物贮存污染控制标准》（GB18597-2001） 相关要求进行防渗、防漏处理，安全可靠，不会受到风雨侵蚀，可有效地防止了临时存放过程中的二次污染。</w:t>
            </w:r>
          </w:p>
          <w:p>
            <w:pPr>
              <w:pStyle w:val="20"/>
              <w:spacing w:after="0" w:line="360" w:lineRule="auto"/>
              <w:ind w:left="0" w:leftChars="0" w:firstLine="480" w:firstLineChars="200"/>
              <w:rPr>
                <w:color w:val="000000"/>
                <w:sz w:val="24"/>
                <w:u w:val="single" w:color="auto"/>
              </w:rPr>
            </w:pPr>
            <w:r>
              <w:rPr>
                <w:color w:val="000000"/>
                <w:sz w:val="24"/>
                <w:u w:val="single" w:color="auto"/>
              </w:rPr>
              <w:t>根据中华人民共和国国务院令第 344 号《危险化学品安全管理条例》的有关规定，</w:t>
            </w:r>
          </w:p>
          <w:p>
            <w:pPr>
              <w:pStyle w:val="20"/>
              <w:spacing w:after="0" w:line="360" w:lineRule="auto"/>
              <w:ind w:left="0" w:leftChars="0" w:firstLine="480" w:firstLineChars="200"/>
              <w:rPr>
                <w:color w:val="000000"/>
                <w:sz w:val="24"/>
                <w:u w:val="single" w:color="auto"/>
              </w:rPr>
            </w:pPr>
            <w:r>
              <w:rPr>
                <w:color w:val="000000"/>
                <w:sz w:val="24"/>
                <w:u w:val="single" w:color="auto"/>
              </w:rPr>
              <w:t>在危险废弃物外运至处置单位时必须严格遵守以下要求：</w:t>
            </w:r>
          </w:p>
          <w:p>
            <w:pPr>
              <w:pStyle w:val="20"/>
              <w:spacing w:after="0" w:line="360" w:lineRule="auto"/>
              <w:ind w:left="0" w:leftChars="0" w:firstLine="480" w:firstLineChars="200"/>
              <w:rPr>
                <w:color w:val="000000"/>
                <w:sz w:val="24"/>
                <w:u w:val="single" w:color="auto"/>
              </w:rPr>
            </w:pPr>
            <w:r>
              <w:rPr>
                <w:color w:val="000000"/>
                <w:sz w:val="24"/>
                <w:u w:val="single" w:color="auto"/>
              </w:rPr>
              <w:t>A、做好每次外运处置废弃物的运输登记，认真填写危险废物转移联单（每种废物填写一份联单），并加盖公司公章，经运输单位核实验收签字后，将联单第一联副联自留存档，将联单第二联交移出地环境保护行政主管部门，第三联及其余各联交付运输单位，随危险废物转移运行。第四联交接受单位，第五联交接受地环保局。</w:t>
            </w:r>
          </w:p>
          <w:p>
            <w:pPr>
              <w:pStyle w:val="20"/>
              <w:spacing w:after="0" w:line="360" w:lineRule="auto"/>
              <w:ind w:left="0" w:leftChars="0" w:firstLine="480" w:firstLineChars="200"/>
              <w:rPr>
                <w:color w:val="000000"/>
                <w:sz w:val="24"/>
                <w:u w:val="single" w:color="auto"/>
              </w:rPr>
            </w:pPr>
            <w:r>
              <w:rPr>
                <w:color w:val="000000"/>
                <w:sz w:val="24"/>
                <w:u w:val="single" w:color="auto"/>
              </w:rPr>
              <w:t>B、废弃物处置单位的运输人员必须掌握危险化学品运输的安全知识，了解所运载的危险化学品的性质、危害特性、包装容器的使用特性和发生意外时的应急措施。运输车辆必须具有车辆危险货物运输许可证。驾驶人员必须由取得驾驶执照的熟练人员担任。</w:t>
            </w:r>
          </w:p>
          <w:p>
            <w:pPr>
              <w:pStyle w:val="20"/>
              <w:spacing w:after="0" w:line="360" w:lineRule="auto"/>
              <w:ind w:left="0" w:leftChars="0" w:firstLine="480" w:firstLineChars="200"/>
              <w:rPr>
                <w:color w:val="000000"/>
                <w:sz w:val="24"/>
                <w:u w:val="single" w:color="auto"/>
              </w:rPr>
            </w:pPr>
            <w:r>
              <w:rPr>
                <w:color w:val="000000"/>
                <w:sz w:val="24"/>
                <w:u w:val="single" w:color="auto"/>
              </w:rPr>
              <w:t>C、处置单位在运输危险废弃物时必须配备押运人员，并随时处于押运人员的监管之下，不得超装、超载，严格按照所在城市规定的行车时间和行车路线行驶，不得进入危险化学品运输车辆禁止通行的区域。</w:t>
            </w:r>
          </w:p>
          <w:p>
            <w:pPr>
              <w:pStyle w:val="20"/>
              <w:spacing w:after="0" w:line="360" w:lineRule="auto"/>
              <w:ind w:left="0" w:leftChars="0" w:firstLine="480" w:firstLineChars="200"/>
              <w:rPr>
                <w:color w:val="000000"/>
                <w:sz w:val="24"/>
                <w:u w:val="single" w:color="auto"/>
              </w:rPr>
            </w:pPr>
            <w:r>
              <w:rPr>
                <w:color w:val="000000"/>
                <w:sz w:val="24"/>
                <w:u w:val="single" w:color="auto"/>
              </w:rPr>
              <w:t>D、危险废弃物在运输途中若发生被盗、丢失、流散、泄漏等情况时，建设单位及押运人员必须立即向当地公安部门报告，并采取一切可能的警示措施。</w:t>
            </w:r>
          </w:p>
          <w:p>
            <w:pPr>
              <w:pStyle w:val="20"/>
              <w:spacing w:after="0" w:line="360" w:lineRule="auto"/>
              <w:ind w:left="0" w:leftChars="0" w:firstLine="480" w:firstLineChars="200"/>
              <w:rPr>
                <w:color w:val="000000"/>
                <w:sz w:val="24"/>
                <w:u w:val="single" w:color="auto"/>
              </w:rPr>
            </w:pPr>
            <w:r>
              <w:rPr>
                <w:color w:val="000000"/>
                <w:sz w:val="24"/>
                <w:u w:val="single" w:color="auto"/>
              </w:rPr>
              <w:t>一旦发生废弃物泄漏事故，建设单位和废弃物处置单位都应积极协助有关部门采取必要的安全措施，减少事故损失，防止事故蔓延、扩大；针对事故对人体、动植物、土壤、水源、空气造成的现实危害和可能产生的危害，应迅速采取封闭、隔离、洗消等措施，并对事故造成的危害进行监测、处置，直至符合国家环境保护标准。</w:t>
            </w:r>
          </w:p>
          <w:p>
            <w:pPr>
              <w:spacing w:line="360" w:lineRule="auto"/>
              <w:ind w:firstLine="480" w:firstLineChars="200"/>
              <w:rPr>
                <w:color w:val="000000"/>
                <w:sz w:val="24"/>
                <w:u w:val="single" w:color="auto"/>
              </w:rPr>
            </w:pPr>
            <w:r>
              <w:rPr>
                <w:color w:val="000000"/>
                <w:sz w:val="24"/>
                <w:u w:val="single" w:color="auto"/>
              </w:rPr>
              <w:t>企业在危险废物的临时贮存过程中，要加强管理，并按以上危险废物临时储存要求实施后对周围环境不会产生二次污染。本项目建成后固体废物处理处置率达100％，固废实现零排放，在收集和处置中不会产生二次污染。</w:t>
            </w:r>
          </w:p>
          <w:p>
            <w:pPr>
              <w:spacing w:line="360" w:lineRule="auto"/>
              <w:ind w:firstLine="480" w:firstLineChars="200"/>
              <w:rPr>
                <w:rFonts w:hint="default" w:cs="Times New Roman"/>
                <w:color w:val="auto"/>
                <w:sz w:val="24"/>
                <w:u w:val="none"/>
                <w:lang w:val="en-US" w:eastAsia="zh-CN"/>
              </w:rPr>
            </w:pPr>
            <w:r>
              <w:rPr>
                <w:color w:val="000000"/>
                <w:sz w:val="24"/>
                <w:u w:val="single" w:color="auto"/>
              </w:rPr>
              <w:t>综上所述，本项目固体废物处理处置符合国家《固体废物污染环境防治法》规定的原则，符合《一般工业固体废物贮存和填埋污染控制标准》（GB18599-2020）和《危险废物贮存污染控制标准》（GB18597-20</w:t>
            </w:r>
            <w:r>
              <w:rPr>
                <w:rFonts w:hint="eastAsia"/>
                <w:color w:val="000000"/>
                <w:sz w:val="24"/>
                <w:u w:val="single" w:color="auto"/>
                <w:lang w:val="en-US" w:eastAsia="zh-CN"/>
              </w:rPr>
              <w:t>23</w:t>
            </w:r>
            <w:r>
              <w:rPr>
                <w:color w:val="000000"/>
                <w:sz w:val="24"/>
                <w:u w:val="single" w:color="auto"/>
              </w:rPr>
              <w:t>）规定，采取上述措施后，本项目固体废物可得到妥善的处理，对周围环境造成的影响很小</w:t>
            </w:r>
            <w:r>
              <w:rPr>
                <w:color w:val="000000"/>
                <w:sz w:val="24"/>
              </w:rPr>
              <w:t>。</w:t>
            </w:r>
          </w:p>
          <w:p>
            <w:pPr>
              <w:pStyle w:val="11"/>
              <w:spacing w:line="360" w:lineRule="auto"/>
              <w:ind w:firstLine="482"/>
              <w:rPr>
                <w:rFonts w:hint="default" w:ascii="Times New Roman" w:hAnsi="Times New Roman" w:eastAsia="宋体" w:cs="Times New Roman"/>
                <w:b/>
                <w:bCs/>
                <w:color w:val="auto"/>
                <w:sz w:val="24"/>
                <w:u w:val="none"/>
              </w:rPr>
            </w:pPr>
            <w:r>
              <w:rPr>
                <w:rFonts w:hint="eastAsia" w:cs="Times New Roman"/>
                <w:b/>
                <w:bCs/>
                <w:color w:val="auto"/>
                <w:sz w:val="24"/>
                <w:u w:val="none"/>
                <w:lang w:val="en-US" w:eastAsia="zh-CN"/>
              </w:rPr>
              <w:t>五</w:t>
            </w:r>
            <w:r>
              <w:rPr>
                <w:rFonts w:hint="default" w:ascii="Times New Roman" w:hAnsi="Times New Roman" w:eastAsia="宋体" w:cs="Times New Roman"/>
                <w:b/>
                <w:bCs/>
                <w:color w:val="auto"/>
                <w:sz w:val="24"/>
                <w:u w:val="none"/>
              </w:rPr>
              <w:t>、土壤及地下水环境影响和保护措施</w:t>
            </w:r>
          </w:p>
          <w:p>
            <w:pPr>
              <w:spacing w:line="360" w:lineRule="auto"/>
              <w:ind w:firstLine="480" w:firstLineChars="200"/>
              <w:rPr>
                <w:rFonts w:hint="default" w:ascii="Times New Roman" w:hAnsi="Times New Roman" w:eastAsia="宋体" w:cs="Times New Roman"/>
                <w:color w:val="auto"/>
                <w:sz w:val="24"/>
                <w:u w:val="none"/>
              </w:rPr>
            </w:pPr>
            <w:r>
              <w:rPr>
                <w:rFonts w:hint="default" w:ascii="Times New Roman" w:hAnsi="Times New Roman" w:eastAsia="宋体" w:cs="Times New Roman"/>
                <w:color w:val="auto"/>
                <w:sz w:val="24"/>
                <w:u w:val="none"/>
              </w:rPr>
              <w:t>根据分析，本项目实施后对土壤和地下水可能造成污染的主要途径有：</w:t>
            </w:r>
          </w:p>
          <w:p>
            <w:pPr>
              <w:spacing w:line="360" w:lineRule="auto"/>
              <w:ind w:firstLine="480" w:firstLineChars="200"/>
              <w:rPr>
                <w:rFonts w:hint="default" w:ascii="Times New Roman" w:hAnsi="Times New Roman" w:eastAsia="宋体" w:cs="Times New Roman"/>
                <w:color w:val="auto"/>
                <w:sz w:val="24"/>
                <w:u w:val="none"/>
              </w:rPr>
            </w:pPr>
            <w:r>
              <w:rPr>
                <w:rFonts w:hint="eastAsia" w:ascii="Times New Roman" w:hAnsi="Times New Roman" w:eastAsia="宋体" w:cs="Times New Roman"/>
                <w:color w:val="auto"/>
                <w:sz w:val="24"/>
                <w:u w:val="none"/>
                <w:lang w:val="en-US" w:eastAsia="zh-CN"/>
              </w:rPr>
              <w:t>1、贮存的一般固废含水率过大，产生的渗滤液未流出场外，污染</w:t>
            </w:r>
            <w:r>
              <w:rPr>
                <w:rFonts w:hint="default" w:ascii="Times New Roman" w:hAnsi="Times New Roman" w:eastAsia="宋体" w:cs="Times New Roman"/>
                <w:color w:val="auto"/>
                <w:sz w:val="24"/>
                <w:u w:val="none"/>
              </w:rPr>
              <w:t>地下水</w:t>
            </w:r>
            <w:r>
              <w:rPr>
                <w:rFonts w:hint="eastAsia" w:ascii="Times New Roman" w:hAnsi="Times New Roman" w:eastAsia="宋体" w:cs="Times New Roman"/>
                <w:color w:val="auto"/>
                <w:sz w:val="24"/>
                <w:u w:val="none"/>
                <w:lang w:eastAsia="zh-CN"/>
              </w:rPr>
              <w:t>及周边土壤</w:t>
            </w:r>
            <w:r>
              <w:rPr>
                <w:rFonts w:hint="default" w:ascii="Times New Roman" w:hAnsi="Times New Roman" w:eastAsia="宋体" w:cs="Times New Roman"/>
                <w:color w:val="auto"/>
                <w:sz w:val="24"/>
                <w:u w:val="none"/>
              </w:rPr>
              <w:t>。</w:t>
            </w:r>
          </w:p>
          <w:p>
            <w:pPr>
              <w:spacing w:line="360" w:lineRule="auto"/>
              <w:ind w:firstLine="480" w:firstLineChars="200"/>
              <w:rPr>
                <w:rFonts w:hint="eastAsia" w:ascii="Times New Roman" w:hAnsi="Times New Roman" w:eastAsia="宋体" w:cs="Times New Roman"/>
                <w:color w:val="auto"/>
                <w:sz w:val="24"/>
                <w:u w:val="none"/>
                <w:lang w:val="en-US" w:eastAsia="zh-CN"/>
              </w:rPr>
            </w:pPr>
            <w:r>
              <w:rPr>
                <w:rFonts w:hint="eastAsia" w:ascii="Times New Roman" w:hAnsi="Times New Roman" w:eastAsia="宋体" w:cs="Times New Roman"/>
                <w:color w:val="auto"/>
                <w:sz w:val="24"/>
                <w:u w:val="none"/>
                <w:lang w:val="en-US" w:eastAsia="zh-CN"/>
              </w:rPr>
              <w:t>2、一般固废贮存场防渗措施不到位，导致渗滤液渗入土壤及地下水。</w:t>
            </w:r>
          </w:p>
          <w:p>
            <w:pPr>
              <w:spacing w:line="360" w:lineRule="auto"/>
              <w:ind w:firstLine="480" w:firstLineChars="200"/>
              <w:rPr>
                <w:rFonts w:hint="default" w:ascii="Times New Roman" w:hAnsi="Times New Roman" w:eastAsia="宋体" w:cs="Times New Roman"/>
                <w:color w:val="auto"/>
                <w:sz w:val="24"/>
                <w:u w:val="none"/>
              </w:rPr>
            </w:pPr>
            <w:r>
              <w:rPr>
                <w:rFonts w:hint="default" w:ascii="Times New Roman" w:hAnsi="Times New Roman" w:eastAsia="宋体" w:cs="Times New Roman"/>
                <w:color w:val="auto"/>
                <w:sz w:val="24"/>
                <w:u w:val="none"/>
              </w:rPr>
              <w:t>根据以上土壤和地下水污染途径，为避免本项目</w:t>
            </w:r>
            <w:r>
              <w:rPr>
                <w:rFonts w:hint="eastAsia" w:ascii="Times New Roman" w:hAnsi="Times New Roman" w:eastAsia="宋体" w:cs="Times New Roman"/>
                <w:color w:val="auto"/>
                <w:sz w:val="24"/>
                <w:u w:val="none"/>
                <w:lang w:eastAsia="zh-CN"/>
              </w:rPr>
              <w:t>处置的一般固废</w:t>
            </w:r>
            <w:r>
              <w:rPr>
                <w:rFonts w:hint="default" w:ascii="Times New Roman" w:hAnsi="Times New Roman" w:eastAsia="宋体" w:cs="Times New Roman"/>
                <w:color w:val="auto"/>
                <w:sz w:val="24"/>
                <w:u w:val="none"/>
              </w:rPr>
              <w:t>对土壤和地下水造成影响，本环评建议采取以下保护措施：</w:t>
            </w:r>
          </w:p>
          <w:p>
            <w:pPr>
              <w:spacing w:line="360" w:lineRule="auto"/>
              <w:ind w:firstLine="480" w:firstLineChars="200"/>
              <w:rPr>
                <w:rFonts w:hint="default" w:ascii="Times New Roman" w:hAnsi="Times New Roman" w:eastAsia="宋体" w:cs="Times New Roman"/>
                <w:color w:val="auto"/>
                <w:sz w:val="24"/>
                <w:u w:val="none"/>
              </w:rPr>
            </w:pPr>
            <w:r>
              <w:rPr>
                <w:rFonts w:hint="default" w:ascii="Times New Roman" w:hAnsi="Times New Roman" w:eastAsia="宋体" w:cs="Times New Roman"/>
                <w:color w:val="auto"/>
                <w:sz w:val="24"/>
                <w:u w:val="none"/>
              </w:rPr>
              <w:t>（1）源头控制</w:t>
            </w:r>
          </w:p>
          <w:p>
            <w:pPr>
              <w:spacing w:line="360" w:lineRule="auto"/>
              <w:ind w:firstLine="480" w:firstLineChars="200"/>
              <w:rPr>
                <w:rFonts w:hint="default" w:ascii="Times New Roman" w:hAnsi="Times New Roman" w:eastAsia="宋体" w:cs="Times New Roman"/>
                <w:color w:val="auto"/>
                <w:sz w:val="24"/>
                <w:u w:val="none"/>
              </w:rPr>
            </w:pPr>
            <w:r>
              <w:rPr>
                <w:rFonts w:hint="eastAsia" w:ascii="Times New Roman" w:hAnsi="Times New Roman" w:eastAsia="宋体" w:cs="Times New Roman"/>
                <w:color w:val="auto"/>
                <w:sz w:val="24"/>
                <w:u w:val="none"/>
                <w:lang w:eastAsia="zh-CN"/>
              </w:rPr>
              <w:t>一般固废暂存间做好防雨、防渗措施，四周设置渗滤液收集沟和收集池</w:t>
            </w:r>
            <w:r>
              <w:rPr>
                <w:rFonts w:hint="default" w:ascii="Times New Roman" w:hAnsi="Times New Roman" w:eastAsia="宋体" w:cs="Times New Roman"/>
                <w:color w:val="auto"/>
                <w:sz w:val="24"/>
                <w:u w:val="none"/>
              </w:rPr>
              <w:t>，</w:t>
            </w:r>
            <w:r>
              <w:rPr>
                <w:rFonts w:hint="eastAsia" w:ascii="Times New Roman" w:hAnsi="Times New Roman" w:eastAsia="宋体" w:cs="Times New Roman"/>
                <w:color w:val="auto"/>
                <w:sz w:val="24"/>
                <w:u w:val="none"/>
                <w:lang w:eastAsia="zh-CN"/>
              </w:rPr>
              <w:t>防止渗滤液</w:t>
            </w:r>
            <w:r>
              <w:rPr>
                <w:rFonts w:hint="default" w:ascii="Times New Roman" w:hAnsi="Times New Roman" w:eastAsia="宋体" w:cs="Times New Roman"/>
                <w:color w:val="auto"/>
                <w:sz w:val="24"/>
                <w:u w:val="none"/>
              </w:rPr>
              <w:t>“跑、冒、滴、漏”现象发生</w:t>
            </w:r>
            <w:r>
              <w:rPr>
                <w:rFonts w:hint="eastAsia" w:ascii="Times New Roman" w:hAnsi="Times New Roman" w:eastAsia="宋体" w:cs="Times New Roman"/>
                <w:color w:val="auto"/>
                <w:sz w:val="24"/>
                <w:u w:val="none"/>
                <w:lang w:eastAsia="zh-CN"/>
              </w:rPr>
              <w:t>，同时要求废渣进入砖厂时含水率不能过大，贮存过程中不能有渗滤液流出</w:t>
            </w:r>
            <w:r>
              <w:rPr>
                <w:rFonts w:hint="default" w:ascii="Times New Roman" w:hAnsi="Times New Roman" w:eastAsia="宋体" w:cs="Times New Roman"/>
                <w:color w:val="auto"/>
                <w:sz w:val="24"/>
                <w:u w:val="none"/>
              </w:rPr>
              <w:t>。</w:t>
            </w:r>
          </w:p>
          <w:p>
            <w:pPr>
              <w:spacing w:line="360" w:lineRule="auto"/>
              <w:ind w:firstLine="480" w:firstLineChars="200"/>
              <w:rPr>
                <w:rFonts w:hint="default" w:ascii="Times New Roman" w:hAnsi="Times New Roman" w:eastAsia="宋体" w:cs="Times New Roman"/>
                <w:color w:val="auto"/>
                <w:sz w:val="24"/>
                <w:u w:val="none"/>
              </w:rPr>
            </w:pPr>
            <w:r>
              <w:rPr>
                <w:rFonts w:hint="default" w:ascii="Times New Roman" w:hAnsi="Times New Roman" w:eastAsia="宋体" w:cs="Times New Roman"/>
                <w:color w:val="auto"/>
                <w:sz w:val="24"/>
                <w:u w:val="none"/>
              </w:rPr>
              <w:t>（2）分区防控</w:t>
            </w:r>
          </w:p>
          <w:p>
            <w:pPr>
              <w:spacing w:line="360" w:lineRule="auto"/>
              <w:ind w:firstLine="480" w:firstLineChars="200"/>
              <w:rPr>
                <w:rFonts w:hint="default" w:ascii="Times New Roman" w:hAnsi="Times New Roman" w:eastAsia="宋体" w:cs="Times New Roman"/>
                <w:color w:val="auto"/>
                <w:sz w:val="24"/>
                <w:u w:val="none"/>
              </w:rPr>
            </w:pPr>
            <w:r>
              <w:rPr>
                <w:rFonts w:hint="default" w:ascii="Times New Roman" w:hAnsi="Times New Roman" w:eastAsia="宋体" w:cs="Times New Roman"/>
                <w:color w:val="auto"/>
                <w:sz w:val="24"/>
                <w:u w:val="none"/>
              </w:rPr>
              <w:t>针对可能对地下水造成影响的各环节，按照“考虑重点，辐射全面”的防腐防渗原则，根据本项目可能泄漏至地面区域污染物的性质和生产单元的构筑方式，将厂区划分为重点污染防治区、一般污染防治区和非污染防治区，针对不同的区域提出相应的防渗要求。并要求每年检修一次，发现问题及时解决。</w:t>
            </w:r>
            <w:r>
              <w:rPr>
                <w:rFonts w:hint="eastAsia" w:ascii="Times New Roman" w:hAnsi="Times New Roman" w:eastAsia="宋体" w:cs="Times New Roman"/>
                <w:color w:val="auto"/>
                <w:sz w:val="24"/>
                <w:u w:val="none"/>
                <w:lang w:eastAsia="zh-CN"/>
              </w:rPr>
              <w:t>一般固废贮存场应严格按照《一般工业固体废物贮存和填埋污染控制标准》（GB18599-2020）要求进行建设，设三面围挡，周边设置边沟和集水池，场内采用单人工复合衬层作为防渗衬层（厚度不小于1.5mm的高密度聚乙烯膜、厚度不小于0.75m的粘土衬层，渗透系数不大于1.0×10</w:t>
            </w:r>
            <w:r>
              <w:rPr>
                <w:rFonts w:hint="eastAsia" w:ascii="Times New Roman" w:hAnsi="Times New Roman" w:eastAsia="宋体" w:cs="Times New Roman"/>
                <w:color w:val="auto"/>
                <w:sz w:val="24"/>
                <w:u w:val="none"/>
                <w:vertAlign w:val="superscript"/>
                <w:lang w:eastAsia="zh-CN"/>
              </w:rPr>
              <w:t>-7</w:t>
            </w:r>
            <w:r>
              <w:rPr>
                <w:rFonts w:hint="eastAsia" w:ascii="Times New Roman" w:hAnsi="Times New Roman" w:eastAsia="宋体" w:cs="Times New Roman"/>
                <w:color w:val="auto"/>
                <w:sz w:val="24"/>
                <w:u w:val="none"/>
                <w:lang w:eastAsia="zh-CN"/>
              </w:rPr>
              <w:t>cm/s。）。</w:t>
            </w:r>
          </w:p>
          <w:p>
            <w:pPr>
              <w:pStyle w:val="11"/>
              <w:spacing w:line="360" w:lineRule="auto"/>
              <w:ind w:firstLine="480"/>
              <w:rPr>
                <w:rFonts w:hint="default" w:ascii="Times New Roman" w:hAnsi="Times New Roman" w:eastAsia="宋体" w:cs="Times New Roman"/>
                <w:color w:val="auto"/>
                <w:sz w:val="24"/>
                <w:u w:val="none"/>
              </w:rPr>
            </w:pPr>
            <w:r>
              <w:rPr>
                <w:rFonts w:hint="default" w:ascii="Times New Roman" w:hAnsi="Times New Roman" w:eastAsia="宋体" w:cs="Times New Roman"/>
                <w:color w:val="auto"/>
                <w:sz w:val="24"/>
                <w:u w:val="none"/>
              </w:rPr>
              <w:t>（3）污染监控</w:t>
            </w:r>
          </w:p>
          <w:p>
            <w:pPr>
              <w:pStyle w:val="11"/>
              <w:spacing w:line="360" w:lineRule="auto"/>
              <w:ind w:firstLine="480"/>
              <w:rPr>
                <w:rFonts w:hint="default" w:ascii="Times New Roman" w:hAnsi="Times New Roman" w:eastAsia="宋体" w:cs="Times New Roman"/>
                <w:color w:val="auto"/>
                <w:sz w:val="24"/>
                <w:u w:val="none"/>
              </w:rPr>
            </w:pPr>
            <w:r>
              <w:rPr>
                <w:rFonts w:hint="default" w:ascii="Times New Roman" w:hAnsi="Times New Roman" w:eastAsia="宋体" w:cs="Times New Roman"/>
                <w:color w:val="auto"/>
                <w:sz w:val="24"/>
                <w:u w:val="none"/>
              </w:rPr>
              <w:t>据调查，项目厂界外500m范围内无地下水集中式饮用水源水源和热水、矿泉水、温泉等特殊地下水资源，厂址周边为林地，周边地下水和土壤环境相对不敏感，采取有效的防渗措施后，项目对地下水、土壤环境影响很小，因此本评价不对项目地下水、土壤环境进行跟踪监测，只提出地下水、土壤污染防控措施。</w:t>
            </w:r>
          </w:p>
          <w:p>
            <w:pPr>
              <w:pStyle w:val="11"/>
              <w:spacing w:line="360" w:lineRule="auto"/>
              <w:ind w:firstLine="480"/>
              <w:rPr>
                <w:rFonts w:hint="default" w:ascii="Times New Roman" w:hAnsi="Times New Roman" w:eastAsia="宋体" w:cs="Times New Roman"/>
                <w:color w:val="auto"/>
                <w:sz w:val="24"/>
                <w:u w:val="none"/>
              </w:rPr>
            </w:pPr>
            <w:r>
              <w:rPr>
                <w:rFonts w:hint="default" w:ascii="Times New Roman" w:hAnsi="Times New Roman" w:eastAsia="宋体" w:cs="Times New Roman"/>
                <w:color w:val="auto"/>
                <w:sz w:val="24"/>
                <w:u w:val="none"/>
              </w:rPr>
              <w:t>（4）日常管理</w:t>
            </w:r>
          </w:p>
          <w:p>
            <w:pPr>
              <w:pStyle w:val="11"/>
              <w:spacing w:line="360" w:lineRule="auto"/>
              <w:ind w:firstLine="480"/>
              <w:rPr>
                <w:rFonts w:hint="default" w:ascii="Times New Roman" w:hAnsi="Times New Roman" w:eastAsia="宋体" w:cs="Times New Roman"/>
                <w:color w:val="auto"/>
                <w:sz w:val="24"/>
                <w:u w:val="none"/>
              </w:rPr>
            </w:pPr>
            <w:r>
              <w:rPr>
                <w:rFonts w:hint="default" w:ascii="Times New Roman" w:hAnsi="Times New Roman" w:eastAsia="宋体" w:cs="Times New Roman"/>
                <w:color w:val="auto"/>
                <w:sz w:val="24"/>
                <w:u w:val="none"/>
              </w:rPr>
              <w:t>建立经常性的检修制度，</w:t>
            </w:r>
            <w:r>
              <w:rPr>
                <w:rFonts w:hint="eastAsia" w:ascii="Times New Roman" w:hAnsi="Times New Roman" w:eastAsia="宋体" w:cs="Times New Roman"/>
                <w:color w:val="auto"/>
                <w:sz w:val="24"/>
                <w:u w:val="none"/>
                <w:lang w:eastAsia="zh-CN"/>
              </w:rPr>
              <w:t>定期对一般</w:t>
            </w:r>
            <w:r>
              <w:rPr>
                <w:rFonts w:hint="default" w:ascii="Times New Roman" w:hAnsi="Times New Roman" w:eastAsia="宋体" w:cs="Times New Roman"/>
                <w:color w:val="auto"/>
                <w:sz w:val="24"/>
                <w:u w:val="none"/>
              </w:rPr>
              <w:t>固废暂存</w:t>
            </w:r>
            <w:r>
              <w:rPr>
                <w:rFonts w:hint="eastAsia" w:ascii="Times New Roman" w:hAnsi="Times New Roman" w:eastAsia="宋体" w:cs="Times New Roman"/>
                <w:color w:val="auto"/>
                <w:sz w:val="24"/>
                <w:u w:val="none"/>
                <w:lang w:eastAsia="zh-CN"/>
              </w:rPr>
              <w:t>场</w:t>
            </w:r>
            <w:r>
              <w:rPr>
                <w:rFonts w:hint="default" w:ascii="Times New Roman" w:hAnsi="Times New Roman" w:eastAsia="宋体" w:cs="Times New Roman"/>
                <w:color w:val="auto"/>
                <w:sz w:val="24"/>
                <w:u w:val="none"/>
              </w:rPr>
              <w:t>检查以便及时发现问题，及时处理解决。加强生产管理，杜绝</w:t>
            </w:r>
            <w:r>
              <w:rPr>
                <w:rFonts w:hint="eastAsia" w:ascii="Times New Roman" w:hAnsi="Times New Roman" w:eastAsia="宋体" w:cs="Times New Roman"/>
                <w:color w:val="auto"/>
                <w:sz w:val="24"/>
                <w:u w:val="none"/>
                <w:lang w:eastAsia="zh-CN"/>
              </w:rPr>
              <w:t>产生渗滤液</w:t>
            </w:r>
            <w:r>
              <w:rPr>
                <w:rFonts w:hint="default" w:ascii="Times New Roman" w:hAnsi="Times New Roman" w:eastAsia="宋体" w:cs="Times New Roman"/>
                <w:color w:val="auto"/>
                <w:sz w:val="24"/>
                <w:u w:val="none"/>
              </w:rPr>
              <w:t>性排放和泄漏。</w:t>
            </w:r>
          </w:p>
          <w:p>
            <w:pPr>
              <w:pStyle w:val="11"/>
              <w:spacing w:line="360" w:lineRule="auto"/>
              <w:ind w:firstLine="482"/>
              <w:rPr>
                <w:rFonts w:hint="default" w:ascii="Times New Roman" w:hAnsi="Times New Roman" w:eastAsia="宋体" w:cs="Times New Roman"/>
                <w:b/>
                <w:bCs/>
                <w:color w:val="auto"/>
                <w:sz w:val="24"/>
                <w:u w:val="none"/>
              </w:rPr>
            </w:pPr>
            <w:r>
              <w:rPr>
                <w:rFonts w:hint="eastAsia" w:cs="Times New Roman"/>
                <w:b/>
                <w:bCs/>
                <w:color w:val="auto"/>
                <w:sz w:val="24"/>
                <w:u w:val="none"/>
                <w:lang w:val="en-US" w:eastAsia="zh-CN"/>
              </w:rPr>
              <w:t>六</w:t>
            </w:r>
            <w:r>
              <w:rPr>
                <w:rFonts w:hint="default" w:ascii="Times New Roman" w:hAnsi="Times New Roman" w:eastAsia="宋体" w:cs="Times New Roman"/>
                <w:b/>
                <w:bCs/>
                <w:color w:val="auto"/>
                <w:sz w:val="24"/>
                <w:u w:val="none"/>
              </w:rPr>
              <w:t>、环境风险分析</w:t>
            </w:r>
          </w:p>
          <w:p>
            <w:pPr>
              <w:pStyle w:val="11"/>
              <w:spacing w:line="360" w:lineRule="auto"/>
              <w:ind w:firstLine="482"/>
              <w:rPr>
                <w:rFonts w:hint="default" w:ascii="Times New Roman" w:hAnsi="Times New Roman" w:eastAsia="宋体" w:cs="Times New Roman"/>
                <w:b/>
                <w:bCs/>
                <w:color w:val="auto"/>
                <w:sz w:val="24"/>
                <w:u w:val="none"/>
              </w:rPr>
            </w:pPr>
            <w:r>
              <w:rPr>
                <w:rFonts w:hint="default" w:ascii="Times New Roman" w:hAnsi="Times New Roman" w:eastAsia="宋体" w:cs="Times New Roman"/>
                <w:b/>
                <w:bCs/>
                <w:color w:val="auto"/>
                <w:sz w:val="24"/>
                <w:u w:val="none"/>
              </w:rPr>
              <w:t>1、风险调查</w:t>
            </w:r>
          </w:p>
          <w:p>
            <w:pPr>
              <w:pStyle w:val="11"/>
              <w:spacing w:line="360" w:lineRule="auto"/>
              <w:ind w:firstLine="480"/>
              <w:rPr>
                <w:rFonts w:hint="default" w:ascii="Times New Roman" w:hAnsi="Times New Roman" w:eastAsia="宋体" w:cs="Times New Roman"/>
                <w:color w:val="auto"/>
                <w:sz w:val="24"/>
                <w:u w:val="none"/>
              </w:rPr>
            </w:pPr>
            <w:r>
              <w:rPr>
                <w:rFonts w:hint="default" w:ascii="Times New Roman" w:hAnsi="Times New Roman" w:eastAsia="宋体" w:cs="Times New Roman"/>
                <w:color w:val="auto"/>
                <w:sz w:val="24"/>
                <w:u w:val="none"/>
              </w:rPr>
              <w:t>根据《建设项目环境风险评价技术导则》建设项目风险源调查，调查建设项目危险物质数量和分布情况，生产工艺特点，收集危险物质安全技术说书等基础资料。</w:t>
            </w:r>
          </w:p>
          <w:p>
            <w:pPr>
              <w:pStyle w:val="11"/>
              <w:spacing w:line="360" w:lineRule="auto"/>
              <w:ind w:firstLine="480"/>
              <w:rPr>
                <w:rFonts w:hint="default" w:ascii="Times New Roman" w:hAnsi="Times New Roman" w:eastAsia="宋体" w:cs="Times New Roman"/>
                <w:color w:val="auto"/>
                <w:sz w:val="24"/>
                <w:u w:val="none"/>
              </w:rPr>
            </w:pPr>
            <w:r>
              <w:rPr>
                <w:rFonts w:hint="default" w:ascii="Times New Roman" w:hAnsi="Times New Roman" w:eastAsia="宋体" w:cs="Times New Roman"/>
                <w:color w:val="auto"/>
                <w:sz w:val="24"/>
                <w:u w:val="none"/>
              </w:rPr>
              <w:t>根据《建设项目环境风险评价技术导则》（HJ169-2018）附录B重点关注的危险物质及临界量，选取代表性环境风险物质，本项目风险评价以最不利情况进行预测。</w:t>
            </w:r>
          </w:p>
          <w:p>
            <w:pPr>
              <w:pStyle w:val="11"/>
              <w:spacing w:line="360" w:lineRule="auto"/>
              <w:ind w:firstLine="480"/>
              <w:rPr>
                <w:rFonts w:hint="default" w:ascii="Times New Roman" w:hAnsi="Times New Roman" w:eastAsia="宋体" w:cs="Times New Roman"/>
                <w:color w:val="auto"/>
                <w:sz w:val="24"/>
                <w:highlight w:val="none"/>
                <w:u w:val="none"/>
              </w:rPr>
            </w:pPr>
            <w:r>
              <w:rPr>
                <w:rFonts w:hint="default" w:ascii="Times New Roman" w:hAnsi="Times New Roman" w:eastAsia="宋体" w:cs="Times New Roman"/>
                <w:color w:val="auto"/>
                <w:sz w:val="24"/>
                <w:highlight w:val="none"/>
                <w:u w:val="none"/>
              </w:rPr>
              <w:t>项目风险物质</w:t>
            </w:r>
            <w:r>
              <w:rPr>
                <w:rFonts w:hint="default" w:ascii="Times New Roman" w:hAnsi="Times New Roman" w:eastAsia="宋体" w:cs="Times New Roman"/>
                <w:color w:val="auto"/>
                <w:sz w:val="24"/>
                <w:highlight w:val="none"/>
                <w:u w:val="none"/>
                <w:lang w:eastAsia="zh-CN"/>
              </w:rPr>
              <w:t>为油类物质、</w:t>
            </w:r>
            <w:r>
              <w:rPr>
                <w:rFonts w:hint="default" w:ascii="Times New Roman" w:hAnsi="Times New Roman" w:eastAsia="宋体" w:cs="Times New Roman"/>
                <w:color w:val="auto"/>
                <w:sz w:val="24"/>
                <w:highlight w:val="none"/>
                <w:u w:val="none"/>
              </w:rPr>
              <w:t>氢氧化钠</w:t>
            </w:r>
            <w:r>
              <w:rPr>
                <w:rFonts w:hint="default" w:ascii="Times New Roman" w:hAnsi="Times New Roman" w:eastAsia="宋体" w:cs="Times New Roman"/>
                <w:color w:val="auto"/>
                <w:sz w:val="24"/>
                <w:highlight w:val="none"/>
                <w:u w:val="none"/>
                <w:lang w:eastAsia="zh-CN"/>
              </w:rPr>
              <w:t>，危险废物等，</w:t>
            </w:r>
            <w:r>
              <w:rPr>
                <w:rFonts w:hint="default" w:ascii="Times New Roman" w:hAnsi="Times New Roman" w:eastAsia="宋体" w:cs="Times New Roman"/>
                <w:color w:val="auto"/>
                <w:sz w:val="24"/>
                <w:u w:val="none"/>
              </w:rPr>
              <w:t>根据《建设项目环境风险评价技术导则》</w:t>
            </w:r>
            <w:r>
              <w:rPr>
                <w:rFonts w:hint="default" w:ascii="Times New Roman" w:hAnsi="Times New Roman" w:eastAsia="宋体" w:cs="Times New Roman"/>
                <w:color w:val="auto"/>
                <w:sz w:val="24"/>
                <w:u w:val="none"/>
                <w:lang w:eastAsia="zh-CN"/>
              </w:rPr>
              <w:t>，</w:t>
            </w:r>
            <w:r>
              <w:rPr>
                <w:rFonts w:hint="default" w:ascii="Times New Roman" w:hAnsi="Times New Roman" w:eastAsia="宋体" w:cs="Times New Roman"/>
                <w:color w:val="auto"/>
                <w:sz w:val="24"/>
                <w:highlight w:val="none"/>
                <w:u w:val="none"/>
                <w:lang w:eastAsia="zh-CN"/>
              </w:rPr>
              <w:t>本项目增加处理的一般固废不属于风险物质</w:t>
            </w:r>
            <w:r>
              <w:rPr>
                <w:rFonts w:hint="default" w:ascii="Times New Roman" w:hAnsi="Times New Roman" w:eastAsia="宋体" w:cs="Times New Roman"/>
                <w:color w:val="auto"/>
                <w:sz w:val="24"/>
                <w:highlight w:val="none"/>
                <w:u w:val="none"/>
              </w:rPr>
              <w:t>。</w:t>
            </w:r>
            <w:r>
              <w:rPr>
                <w:rFonts w:hint="default" w:ascii="Times New Roman" w:hAnsi="Times New Roman" w:eastAsia="宋体" w:cs="Times New Roman"/>
                <w:color w:val="auto"/>
                <w:sz w:val="24"/>
                <w:highlight w:val="none"/>
                <w:u w:val="none"/>
                <w:lang w:eastAsia="zh-CN"/>
              </w:rPr>
              <w:t>油类物质最大储存量为</w:t>
            </w:r>
            <w:r>
              <w:rPr>
                <w:rFonts w:hint="default" w:ascii="Times New Roman" w:hAnsi="Times New Roman" w:eastAsia="宋体" w:cs="Times New Roman"/>
                <w:color w:val="auto"/>
                <w:sz w:val="24"/>
                <w:highlight w:val="none"/>
                <w:u w:val="none"/>
                <w:lang w:val="en-US" w:eastAsia="zh-CN"/>
              </w:rPr>
              <w:t>150kg，</w:t>
            </w:r>
            <w:r>
              <w:rPr>
                <w:rFonts w:hint="default" w:ascii="Times New Roman" w:hAnsi="Times New Roman" w:eastAsia="宋体" w:cs="Times New Roman"/>
                <w:color w:val="auto"/>
                <w:sz w:val="24"/>
                <w:highlight w:val="none"/>
                <w:u w:val="none"/>
              </w:rPr>
              <w:t>氢氧化钠存储量5t；</w:t>
            </w:r>
            <w:r>
              <w:rPr>
                <w:rFonts w:hint="default" w:ascii="Times New Roman" w:hAnsi="Times New Roman" w:eastAsia="宋体" w:cs="Times New Roman"/>
                <w:color w:val="auto"/>
                <w:sz w:val="24"/>
                <w:highlight w:val="none"/>
                <w:u w:val="none"/>
                <w:lang w:eastAsia="zh-CN"/>
              </w:rPr>
              <w:t>危险废物</w:t>
            </w:r>
            <w:r>
              <w:rPr>
                <w:rFonts w:hint="default" w:ascii="Times New Roman" w:hAnsi="Times New Roman" w:eastAsia="宋体" w:cs="Times New Roman"/>
                <w:color w:val="auto"/>
                <w:sz w:val="24"/>
                <w:highlight w:val="none"/>
                <w:u w:val="none"/>
                <w:lang w:val="en-US" w:eastAsia="zh-CN"/>
              </w:rPr>
              <w:t>0.02t</w:t>
            </w:r>
            <w:r>
              <w:rPr>
                <w:rFonts w:hint="default" w:ascii="Times New Roman" w:hAnsi="Times New Roman" w:eastAsia="宋体" w:cs="Times New Roman"/>
                <w:color w:val="auto"/>
                <w:sz w:val="24"/>
                <w:highlight w:val="none"/>
                <w:u w:val="none"/>
              </w:rPr>
              <w:t>。项目风险物质总量与其临界量比值（Q）为：</w:t>
            </w:r>
            <w:r>
              <w:rPr>
                <w:rFonts w:hint="default" w:ascii="Times New Roman" w:hAnsi="Times New Roman" w:eastAsia="宋体" w:cs="Times New Roman"/>
                <w:color w:val="auto"/>
                <w:sz w:val="24"/>
                <w:highlight w:val="none"/>
                <w:u w:val="none"/>
                <w:lang w:val="en-US" w:eastAsia="zh-CN"/>
              </w:rPr>
              <w:t>Q</w:t>
            </w:r>
            <w:r>
              <w:rPr>
                <w:rFonts w:hint="default" w:ascii="Times New Roman" w:hAnsi="Times New Roman" w:eastAsia="宋体" w:cs="Times New Roman"/>
                <w:color w:val="auto"/>
                <w:sz w:val="24"/>
                <w:highlight w:val="none"/>
                <w:u w:val="none"/>
              </w:rPr>
              <w:t>＜1，故环境风险潜势为Ⅰ，本项目风险评价为开展简单分析。</w:t>
            </w:r>
          </w:p>
          <w:p>
            <w:pPr>
              <w:pStyle w:val="11"/>
              <w:spacing w:line="360" w:lineRule="auto"/>
              <w:ind w:firstLine="482"/>
              <w:rPr>
                <w:rFonts w:hint="default" w:ascii="Times New Roman" w:hAnsi="Times New Roman" w:eastAsia="宋体" w:cs="Times New Roman"/>
                <w:b/>
                <w:bCs/>
                <w:color w:val="auto"/>
                <w:sz w:val="24"/>
                <w:u w:val="none"/>
              </w:rPr>
            </w:pPr>
            <w:r>
              <w:rPr>
                <w:rFonts w:hint="default" w:ascii="Times New Roman" w:hAnsi="Times New Roman" w:eastAsia="宋体" w:cs="Times New Roman"/>
                <w:b/>
                <w:bCs/>
                <w:color w:val="auto"/>
                <w:sz w:val="24"/>
                <w:u w:val="none"/>
              </w:rPr>
              <w:t>2、环境风险识别</w:t>
            </w:r>
          </w:p>
          <w:p>
            <w:pPr>
              <w:pStyle w:val="68"/>
              <w:spacing w:line="360" w:lineRule="auto"/>
              <w:ind w:firstLine="480"/>
              <w:rPr>
                <w:rFonts w:hint="default" w:ascii="Times New Roman" w:hAnsi="Times New Roman" w:eastAsia="宋体" w:cs="Times New Roman"/>
                <w:color w:val="auto"/>
                <w:u w:val="none"/>
              </w:rPr>
            </w:pPr>
            <w:r>
              <w:rPr>
                <w:rFonts w:hint="default" w:ascii="Times New Roman" w:hAnsi="Times New Roman" w:eastAsia="宋体" w:cs="Times New Roman"/>
                <w:color w:val="auto"/>
                <w:u w:val="none"/>
              </w:rPr>
              <w:t>项目运行过程中存在的环境风险源有：</w:t>
            </w:r>
          </w:p>
          <w:p>
            <w:pPr>
              <w:pStyle w:val="68"/>
              <w:spacing w:line="360" w:lineRule="auto"/>
              <w:ind w:firstLine="480"/>
              <w:rPr>
                <w:rFonts w:hint="default" w:ascii="Times New Roman" w:hAnsi="Times New Roman" w:eastAsia="宋体" w:cs="Times New Roman"/>
                <w:color w:val="auto"/>
                <w:u w:val="none"/>
              </w:rPr>
            </w:pPr>
            <w:r>
              <w:rPr>
                <w:rFonts w:hint="default" w:ascii="Times New Roman" w:hAnsi="Times New Roman" w:eastAsia="宋体" w:cs="Times New Roman"/>
                <w:color w:val="auto"/>
                <w:u w:val="none"/>
              </w:rPr>
              <w:t>（1）砖窑燃烧烟气事故排放，对周边大气环境产生影响；</w:t>
            </w:r>
          </w:p>
          <w:p>
            <w:pPr>
              <w:pStyle w:val="68"/>
              <w:spacing w:line="360" w:lineRule="auto"/>
              <w:ind w:firstLine="480"/>
              <w:rPr>
                <w:rFonts w:hint="default" w:ascii="Times New Roman" w:hAnsi="Times New Roman" w:eastAsia="宋体" w:cs="Times New Roman"/>
                <w:color w:val="auto"/>
                <w:u w:val="none"/>
              </w:rPr>
            </w:pPr>
            <w:r>
              <w:rPr>
                <w:rFonts w:hint="default" w:ascii="Times New Roman" w:hAnsi="Times New Roman" w:eastAsia="宋体" w:cs="Times New Roman"/>
                <w:color w:val="auto"/>
                <w:u w:val="none"/>
              </w:rPr>
              <w:t>（2）脱硫剂及脱硫废水可能存在泄漏风险；</w:t>
            </w:r>
          </w:p>
          <w:p>
            <w:pPr>
              <w:pStyle w:val="68"/>
              <w:spacing w:line="360" w:lineRule="auto"/>
              <w:ind w:firstLine="480"/>
              <w:rPr>
                <w:rFonts w:hint="default" w:ascii="Times New Roman" w:hAnsi="Times New Roman" w:eastAsia="宋体" w:cs="Times New Roman"/>
                <w:color w:val="auto"/>
                <w:u w:val="none"/>
              </w:rPr>
            </w:pPr>
            <w:r>
              <w:rPr>
                <w:rFonts w:hint="default" w:ascii="Times New Roman" w:hAnsi="Times New Roman" w:eastAsia="宋体" w:cs="Times New Roman"/>
                <w:color w:val="auto"/>
                <w:u w:val="none"/>
              </w:rPr>
              <w:t>（3）机油、废机油可能出现泄露。</w:t>
            </w:r>
          </w:p>
          <w:p>
            <w:pPr>
              <w:pStyle w:val="68"/>
              <w:spacing w:line="360" w:lineRule="auto"/>
              <w:ind w:firstLine="480"/>
              <w:rPr>
                <w:rFonts w:hint="default" w:ascii="Times New Roman" w:hAnsi="Times New Roman" w:eastAsia="宋体" w:cs="Times New Roman"/>
                <w:color w:val="auto"/>
                <w:u w:val="none"/>
                <w:lang w:val="en-US" w:eastAsia="zh-CN"/>
              </w:rPr>
            </w:pPr>
            <w:r>
              <w:rPr>
                <w:rFonts w:hint="default" w:ascii="Times New Roman" w:hAnsi="Times New Roman" w:eastAsia="宋体" w:cs="Times New Roman"/>
                <w:color w:val="auto"/>
                <w:u w:val="none"/>
                <w:lang w:eastAsia="zh-CN"/>
              </w:rPr>
              <w:t>（</w:t>
            </w:r>
            <w:r>
              <w:rPr>
                <w:rFonts w:hint="default" w:ascii="Times New Roman" w:hAnsi="Times New Roman" w:eastAsia="宋体" w:cs="Times New Roman"/>
                <w:color w:val="auto"/>
                <w:u w:val="none"/>
                <w:lang w:val="en-US" w:eastAsia="zh-CN"/>
              </w:rPr>
              <w:t>4）本项目处置的一般固废在运输过程中发生事故或泄漏对周边环境的影响。</w:t>
            </w:r>
          </w:p>
          <w:p>
            <w:pPr>
              <w:pStyle w:val="68"/>
              <w:spacing w:line="360" w:lineRule="auto"/>
              <w:ind w:firstLine="482"/>
              <w:rPr>
                <w:rFonts w:hint="default" w:ascii="Times New Roman" w:hAnsi="Times New Roman" w:eastAsia="宋体" w:cs="Times New Roman"/>
                <w:b/>
                <w:bCs/>
                <w:color w:val="auto"/>
                <w:u w:val="none"/>
              </w:rPr>
            </w:pPr>
            <w:r>
              <w:rPr>
                <w:rFonts w:hint="default" w:ascii="Times New Roman" w:hAnsi="Times New Roman" w:eastAsia="宋体" w:cs="Times New Roman"/>
                <w:b/>
                <w:bCs/>
                <w:color w:val="auto"/>
                <w:u w:val="none"/>
              </w:rPr>
              <w:t>3、环境风险分析</w:t>
            </w:r>
          </w:p>
          <w:p>
            <w:pPr>
              <w:pStyle w:val="68"/>
              <w:spacing w:line="360" w:lineRule="auto"/>
              <w:ind w:firstLine="480"/>
              <w:rPr>
                <w:rFonts w:hint="default" w:ascii="Times New Roman" w:hAnsi="Times New Roman" w:eastAsia="宋体" w:cs="Times New Roman"/>
                <w:color w:val="auto"/>
                <w:u w:val="none"/>
              </w:rPr>
            </w:pPr>
            <w:r>
              <w:rPr>
                <w:rFonts w:hint="default" w:ascii="Times New Roman" w:hAnsi="Times New Roman" w:eastAsia="宋体" w:cs="Times New Roman"/>
                <w:color w:val="auto"/>
                <w:u w:val="none"/>
              </w:rPr>
              <w:t>本项目原材料涉及风险物质，存储和使用过程中可能发生泄露，考虑到本项目机油为桶装，废机油储存在危废暂存间，泄露风险不大。</w:t>
            </w:r>
          </w:p>
          <w:p>
            <w:pPr>
              <w:pStyle w:val="68"/>
              <w:spacing w:line="360" w:lineRule="auto"/>
              <w:ind w:firstLine="480"/>
              <w:rPr>
                <w:rFonts w:hint="default" w:ascii="Times New Roman" w:hAnsi="Times New Roman" w:eastAsia="宋体" w:cs="Times New Roman"/>
                <w:color w:val="auto"/>
                <w:u w:val="none"/>
              </w:rPr>
            </w:pPr>
            <w:r>
              <w:rPr>
                <w:rFonts w:hint="default" w:ascii="Times New Roman" w:hAnsi="Times New Roman" w:eastAsia="宋体" w:cs="Times New Roman"/>
                <w:color w:val="auto"/>
                <w:u w:val="none"/>
              </w:rPr>
              <w:t>废气处理设施故障导致废气中二氧化硫、氮氧化物及颗粒物超标排放对项目周边大气环境造成影响。</w:t>
            </w:r>
          </w:p>
          <w:p>
            <w:pPr>
              <w:pStyle w:val="68"/>
              <w:spacing w:line="360" w:lineRule="auto"/>
              <w:ind w:firstLine="480"/>
              <w:rPr>
                <w:rFonts w:hint="default" w:ascii="Times New Roman" w:hAnsi="Times New Roman" w:eastAsia="宋体" w:cs="Times New Roman"/>
                <w:color w:val="auto"/>
                <w:u w:val="none"/>
              </w:rPr>
            </w:pPr>
            <w:r>
              <w:rPr>
                <w:rFonts w:hint="default" w:ascii="Times New Roman" w:hAnsi="Times New Roman" w:eastAsia="宋体" w:cs="Times New Roman"/>
                <w:color w:val="auto"/>
                <w:u w:val="none"/>
              </w:rPr>
              <w:t>脱硫剂及脱硫废水均呈碱性，如果发生泄漏会污染地表水体，造成地表水体pH值过高，造成水生生物及植物死亡。</w:t>
            </w:r>
          </w:p>
          <w:p>
            <w:pPr>
              <w:pStyle w:val="68"/>
              <w:spacing w:line="360" w:lineRule="auto"/>
              <w:ind w:firstLine="482"/>
              <w:rPr>
                <w:rFonts w:hint="default" w:ascii="Times New Roman" w:hAnsi="Times New Roman" w:eastAsia="宋体" w:cs="Times New Roman"/>
                <w:color w:val="auto"/>
                <w:u w:val="none"/>
                <w:lang w:val="en-US" w:eastAsia="zh-CN"/>
              </w:rPr>
            </w:pPr>
            <w:r>
              <w:rPr>
                <w:rFonts w:hint="default" w:ascii="Times New Roman" w:hAnsi="Times New Roman" w:eastAsia="宋体" w:cs="Times New Roman"/>
                <w:color w:val="auto"/>
                <w:u w:val="none"/>
                <w:lang w:val="en-US" w:eastAsia="zh-CN"/>
              </w:rPr>
              <w:t>项目处置的一般固废在运输过程中发生事故或泄漏，可能对运输线路沿线造成污染。</w:t>
            </w:r>
          </w:p>
          <w:p>
            <w:pPr>
              <w:pStyle w:val="68"/>
              <w:spacing w:line="360" w:lineRule="auto"/>
              <w:ind w:firstLine="482"/>
              <w:rPr>
                <w:rFonts w:hint="default" w:ascii="Times New Roman" w:hAnsi="Times New Roman" w:eastAsia="宋体" w:cs="Times New Roman"/>
                <w:b/>
                <w:bCs/>
                <w:color w:val="auto"/>
                <w:u w:val="none"/>
              </w:rPr>
            </w:pPr>
            <w:r>
              <w:rPr>
                <w:rFonts w:hint="default" w:ascii="Times New Roman" w:hAnsi="Times New Roman" w:eastAsia="宋体" w:cs="Times New Roman"/>
                <w:b/>
                <w:bCs/>
                <w:color w:val="auto"/>
                <w:u w:val="none"/>
              </w:rPr>
              <w:t>4、风险防范措施</w:t>
            </w:r>
          </w:p>
          <w:p>
            <w:pPr>
              <w:pStyle w:val="68"/>
              <w:spacing w:line="360" w:lineRule="auto"/>
              <w:ind w:firstLine="480" w:firstLineChars="0"/>
              <w:rPr>
                <w:rFonts w:hint="default" w:ascii="Times New Roman" w:hAnsi="Times New Roman" w:eastAsia="宋体" w:cs="Times New Roman"/>
                <w:color w:val="auto"/>
                <w:u w:val="none"/>
              </w:rPr>
            </w:pPr>
            <w:r>
              <w:rPr>
                <w:rFonts w:hint="default" w:ascii="Times New Roman" w:hAnsi="Times New Roman" w:eastAsia="宋体" w:cs="Times New Roman"/>
                <w:color w:val="auto"/>
                <w:u w:val="none"/>
              </w:rPr>
              <w:t>（1）环境风险防范措施</w:t>
            </w:r>
          </w:p>
          <w:p>
            <w:pPr>
              <w:pStyle w:val="68"/>
              <w:spacing w:line="360" w:lineRule="auto"/>
              <w:ind w:firstLine="480" w:firstLineChars="0"/>
              <w:rPr>
                <w:rFonts w:hint="default" w:ascii="Times New Roman" w:hAnsi="Times New Roman" w:eastAsia="宋体" w:cs="Times New Roman"/>
                <w:color w:val="auto"/>
                <w:u w:val="none"/>
              </w:rPr>
            </w:pPr>
            <w:r>
              <w:rPr>
                <w:rFonts w:hint="default" w:ascii="Times New Roman" w:hAnsi="Times New Roman" w:eastAsia="宋体" w:cs="Times New Roman"/>
                <w:color w:val="auto"/>
                <w:u w:val="none"/>
              </w:rPr>
              <w:t>①废气事故排放风险防范措施</w:t>
            </w:r>
          </w:p>
          <w:p>
            <w:pPr>
              <w:pStyle w:val="68"/>
              <w:spacing w:line="360" w:lineRule="auto"/>
              <w:ind w:firstLine="480" w:firstLineChars="0"/>
              <w:rPr>
                <w:rFonts w:hint="default" w:ascii="Times New Roman" w:hAnsi="Times New Roman" w:eastAsia="宋体" w:cs="Times New Roman"/>
                <w:color w:val="auto"/>
                <w:u w:val="none"/>
              </w:rPr>
            </w:pPr>
            <w:r>
              <w:rPr>
                <w:rFonts w:hint="default" w:ascii="Times New Roman" w:hAnsi="Times New Roman" w:eastAsia="宋体" w:cs="Times New Roman"/>
                <w:color w:val="auto"/>
                <w:u w:val="none"/>
              </w:rPr>
              <w:t>为了避免砖窑燃烧废气出现事故排放的极端情况，本报告建议厂区内废气处理设施应按要求定期检查，规范操作，防止周边大气环境因为环保设备故障而受到较大影响。一旦环保设备出现故障，必须立即停止生产，使生产废气对周围环境的影响降到最低。</w:t>
            </w:r>
          </w:p>
          <w:p>
            <w:pPr>
              <w:pStyle w:val="68"/>
              <w:spacing w:line="360" w:lineRule="auto"/>
              <w:ind w:firstLine="480" w:firstLineChars="0"/>
              <w:rPr>
                <w:rFonts w:hint="default" w:ascii="Times New Roman" w:hAnsi="Times New Roman" w:eastAsia="宋体" w:cs="Times New Roman"/>
                <w:color w:val="auto"/>
                <w:u w:val="none"/>
              </w:rPr>
            </w:pPr>
            <w:r>
              <w:rPr>
                <w:rFonts w:hint="default" w:ascii="Times New Roman" w:hAnsi="Times New Roman" w:eastAsia="宋体" w:cs="Times New Roman"/>
                <w:color w:val="auto"/>
                <w:u w:val="none"/>
              </w:rPr>
              <w:t>②脱硫剂及脱硫废水泄漏风险防范措施</w:t>
            </w:r>
          </w:p>
          <w:p>
            <w:pPr>
              <w:pStyle w:val="68"/>
              <w:spacing w:line="360" w:lineRule="auto"/>
              <w:ind w:firstLine="480" w:firstLineChars="0"/>
              <w:rPr>
                <w:rFonts w:hint="default" w:ascii="Times New Roman" w:hAnsi="Times New Roman" w:eastAsia="宋体" w:cs="Times New Roman"/>
                <w:color w:val="auto"/>
                <w:u w:val="none"/>
              </w:rPr>
            </w:pPr>
            <w:r>
              <w:rPr>
                <w:rFonts w:hint="default" w:ascii="Times New Roman" w:hAnsi="Times New Roman" w:eastAsia="宋体" w:cs="Times New Roman"/>
                <w:color w:val="auto"/>
                <w:u w:val="none"/>
              </w:rPr>
              <w:t>为了避免脱硫剂及脱硫废水泄露外排，应加强脱硫剂及脱硫废水储存设设施的严密性，建议在脱硫剂及脱硫废水周边设置围堰，一旦发生泄漏将泄露的脱硫剂及脱硫废水用围收集来加酸性中和剂处理使pH值为6后用于厂区抑尘洒水、禁止外排。</w:t>
            </w:r>
          </w:p>
          <w:p>
            <w:pPr>
              <w:pStyle w:val="68"/>
              <w:spacing w:line="360" w:lineRule="auto"/>
              <w:ind w:firstLine="480" w:firstLineChars="0"/>
              <w:rPr>
                <w:rFonts w:hint="default" w:ascii="Times New Roman" w:hAnsi="Times New Roman" w:eastAsia="宋体" w:cs="Times New Roman"/>
                <w:color w:val="auto"/>
                <w:u w:val="none"/>
              </w:rPr>
            </w:pPr>
            <w:r>
              <w:rPr>
                <w:rFonts w:hint="default" w:ascii="Times New Roman" w:hAnsi="Times New Roman" w:eastAsia="宋体" w:cs="Times New Roman"/>
                <w:color w:val="auto"/>
                <w:u w:val="none"/>
              </w:rPr>
              <w:t>③机油、废机油泄露风险防范措施</w:t>
            </w:r>
          </w:p>
          <w:p>
            <w:pPr>
              <w:pStyle w:val="68"/>
              <w:spacing w:line="360" w:lineRule="auto"/>
              <w:ind w:firstLine="480" w:firstLineChars="0"/>
              <w:rPr>
                <w:rFonts w:hint="default" w:ascii="Times New Roman" w:hAnsi="Times New Roman" w:eastAsia="宋体" w:cs="Times New Roman"/>
                <w:color w:val="auto"/>
                <w:u w:val="none"/>
              </w:rPr>
            </w:pPr>
            <w:r>
              <w:rPr>
                <w:rFonts w:hint="default" w:ascii="Times New Roman" w:hAnsi="Times New Roman" w:eastAsia="宋体" w:cs="Times New Roman"/>
                <w:color w:val="auto"/>
                <w:u w:val="none"/>
                <w:lang w:eastAsia="zh-CN"/>
              </w:rPr>
              <w:t>机油按生产需求进行采购，避免一次贮存过多机油。废机油及时送有资质的单位进行处理，尽量减少厂区危险废物贮存量。</w:t>
            </w:r>
            <w:r>
              <w:rPr>
                <w:rFonts w:hint="default" w:ascii="Times New Roman" w:hAnsi="Times New Roman" w:eastAsia="宋体" w:cs="Times New Roman"/>
                <w:color w:val="auto"/>
                <w:u w:val="none"/>
              </w:rPr>
              <w:t>如泄漏的油品数量较少，则当班领导组织现场处置组对现场已泄漏的油品用沙土覆盖，待被充分吸收后将附有废润滑油的沙土放至指定的场所进行专业处理。</w:t>
            </w:r>
          </w:p>
          <w:p>
            <w:pPr>
              <w:pStyle w:val="68"/>
              <w:spacing w:line="360" w:lineRule="auto"/>
              <w:ind w:firstLine="480" w:firstLineChars="0"/>
              <w:rPr>
                <w:rFonts w:hint="default" w:ascii="Times New Roman" w:hAnsi="Times New Roman" w:eastAsia="宋体" w:cs="Times New Roman"/>
                <w:color w:val="auto"/>
                <w:u w:val="none"/>
              </w:rPr>
            </w:pPr>
            <w:r>
              <w:rPr>
                <w:rFonts w:hint="default" w:ascii="Times New Roman" w:hAnsi="Times New Roman" w:eastAsia="宋体" w:cs="Times New Roman"/>
                <w:color w:val="auto"/>
                <w:u w:val="none"/>
              </w:rPr>
              <w:t>对泄漏的油品数量较多时，应立即用沙土将泄漏的油品等团团围住，防止进一步外溢，并取来消防器材放至事故现场，作好警戒、疏散工作。</w:t>
            </w:r>
          </w:p>
          <w:p>
            <w:pPr>
              <w:pStyle w:val="68"/>
              <w:spacing w:line="360" w:lineRule="auto"/>
              <w:ind w:firstLine="480" w:firstLineChars="0"/>
              <w:rPr>
                <w:rFonts w:hint="default" w:ascii="Times New Roman" w:hAnsi="Times New Roman" w:eastAsia="宋体" w:cs="Times New Roman"/>
                <w:color w:val="auto"/>
                <w:u w:val="none"/>
              </w:rPr>
            </w:pPr>
            <w:r>
              <w:rPr>
                <w:rFonts w:hint="default" w:ascii="Times New Roman" w:hAnsi="Times New Roman" w:eastAsia="宋体" w:cs="Times New Roman"/>
                <w:color w:val="auto"/>
                <w:u w:val="none"/>
              </w:rPr>
              <w:t>危废废物必须与其他垃圾分开收集，并设立相应的标示和警示牌，危废间和车间应做好防渗、防漏措施，并配备灭火器，指定专人进行严格管理，并建立相关档案。</w:t>
            </w:r>
          </w:p>
          <w:p>
            <w:pPr>
              <w:pStyle w:val="68"/>
              <w:spacing w:line="360" w:lineRule="auto"/>
              <w:ind w:firstLine="480" w:firstLineChars="0"/>
              <w:rPr>
                <w:rFonts w:hint="default" w:ascii="Times New Roman" w:hAnsi="Times New Roman" w:eastAsia="宋体" w:cs="Times New Roman"/>
                <w:color w:val="auto"/>
                <w:u w:val="none"/>
              </w:rPr>
            </w:pPr>
            <w:r>
              <w:rPr>
                <w:rFonts w:hint="default" w:ascii="Times New Roman" w:hAnsi="Times New Roman" w:eastAsia="宋体" w:cs="Times New Roman"/>
                <w:color w:val="auto"/>
                <w:u w:val="none"/>
              </w:rPr>
              <w:t>④</w:t>
            </w:r>
            <w:r>
              <w:rPr>
                <w:rFonts w:hint="default" w:ascii="Times New Roman" w:hAnsi="Times New Roman" w:eastAsia="宋体" w:cs="Times New Roman"/>
                <w:color w:val="auto"/>
                <w:u w:val="none"/>
                <w:lang w:eastAsia="zh-CN"/>
              </w:rPr>
              <w:t>一般固废运输</w:t>
            </w:r>
            <w:r>
              <w:rPr>
                <w:rFonts w:hint="default" w:ascii="Times New Roman" w:hAnsi="Times New Roman" w:eastAsia="宋体" w:cs="Times New Roman"/>
                <w:color w:val="auto"/>
                <w:u w:val="none"/>
              </w:rPr>
              <w:t>风险防范措施</w:t>
            </w:r>
          </w:p>
          <w:p>
            <w:pPr>
              <w:pStyle w:val="68"/>
              <w:spacing w:line="360" w:lineRule="auto"/>
              <w:ind w:firstLine="480" w:firstLineChars="0"/>
              <w:rPr>
                <w:rFonts w:hint="default" w:ascii="Times New Roman" w:hAnsi="Times New Roman" w:eastAsia="宋体" w:cs="Times New Roman"/>
                <w:color w:val="auto"/>
                <w:u w:val="none"/>
                <w:lang w:eastAsia="zh-CN"/>
              </w:rPr>
            </w:pPr>
            <w:r>
              <w:rPr>
                <w:rFonts w:hint="default" w:ascii="Times New Roman" w:hAnsi="Times New Roman" w:eastAsia="宋体" w:cs="Times New Roman"/>
                <w:color w:val="auto"/>
                <w:u w:val="none"/>
                <w:lang w:eastAsia="zh-CN"/>
              </w:rPr>
              <w:t>本砖厂协同处置的一般固废在运输过程中要采用专用运输车辆进行运输，运输时不能超载，运输过程中要采取覆盖措施，严防一般固废在运输过程中出现遗落。同时应制定应急方案，若车辆出现事故，应有应急处置措施。</w:t>
            </w:r>
          </w:p>
          <w:p>
            <w:pPr>
              <w:pStyle w:val="68"/>
              <w:spacing w:line="360" w:lineRule="auto"/>
              <w:ind w:firstLine="482"/>
              <w:rPr>
                <w:rFonts w:hint="default" w:ascii="Times New Roman" w:hAnsi="Times New Roman" w:eastAsia="宋体" w:cs="Times New Roman"/>
                <w:b/>
                <w:bCs/>
                <w:color w:val="auto"/>
                <w:u w:val="none"/>
              </w:rPr>
            </w:pPr>
            <w:r>
              <w:rPr>
                <w:rFonts w:hint="default" w:ascii="Times New Roman" w:hAnsi="Times New Roman" w:eastAsia="宋体" w:cs="Times New Roman"/>
                <w:b/>
                <w:bCs/>
                <w:color w:val="auto"/>
                <w:u w:val="none"/>
              </w:rPr>
              <w:t>5、风险事故应急预案</w:t>
            </w:r>
          </w:p>
          <w:p>
            <w:pPr>
              <w:pStyle w:val="68"/>
              <w:spacing w:line="360" w:lineRule="auto"/>
              <w:ind w:firstLine="480" w:firstLineChars="0"/>
              <w:rPr>
                <w:rFonts w:hint="default" w:ascii="Times New Roman" w:hAnsi="Times New Roman" w:eastAsia="宋体" w:cs="Times New Roman"/>
                <w:color w:val="auto"/>
                <w:u w:val="none"/>
              </w:rPr>
            </w:pPr>
            <w:r>
              <w:rPr>
                <w:rFonts w:hint="default" w:ascii="Times New Roman" w:hAnsi="Times New Roman" w:eastAsia="宋体" w:cs="Times New Roman"/>
                <w:color w:val="auto"/>
                <w:u w:val="none"/>
              </w:rPr>
              <w:t>为了能在事故发生时，迅速准确、有条不紊地处理和控制事故，把损失和危害减少到最低程度，本评价提出了以下风险事故应急预案：</w:t>
            </w:r>
          </w:p>
          <w:p>
            <w:pPr>
              <w:pStyle w:val="68"/>
              <w:spacing w:line="360" w:lineRule="auto"/>
              <w:ind w:firstLine="480" w:firstLineChars="0"/>
              <w:rPr>
                <w:rFonts w:hint="default" w:ascii="Times New Roman" w:hAnsi="Times New Roman" w:eastAsia="宋体" w:cs="Times New Roman"/>
                <w:color w:val="auto"/>
                <w:u w:val="none"/>
              </w:rPr>
            </w:pPr>
            <w:r>
              <w:rPr>
                <w:rFonts w:hint="default" w:ascii="Times New Roman" w:hAnsi="Times New Roman" w:eastAsia="宋体" w:cs="Times New Roman"/>
                <w:color w:val="auto"/>
                <w:u w:val="none"/>
              </w:rPr>
              <w:t>①最早发现事故的报警责任人，应立即按事故处理程序报警。</w:t>
            </w:r>
          </w:p>
          <w:p>
            <w:pPr>
              <w:pStyle w:val="68"/>
              <w:spacing w:line="360" w:lineRule="auto"/>
              <w:ind w:firstLine="480" w:firstLineChars="0"/>
              <w:rPr>
                <w:rFonts w:hint="default" w:ascii="Times New Roman" w:hAnsi="Times New Roman" w:eastAsia="宋体" w:cs="Times New Roman"/>
                <w:color w:val="auto"/>
                <w:u w:val="none"/>
              </w:rPr>
            </w:pPr>
            <w:r>
              <w:rPr>
                <w:rFonts w:hint="default" w:ascii="Times New Roman" w:hAnsi="Times New Roman" w:eastAsia="宋体" w:cs="Times New Roman"/>
                <w:color w:val="auto"/>
                <w:u w:val="none"/>
              </w:rPr>
              <w:t>②值班领导及指挥部成员接到报替后，应立即赶赴现场，指挥有关人员迅速查明事故发生的原因。</w:t>
            </w:r>
          </w:p>
          <w:p>
            <w:pPr>
              <w:pStyle w:val="68"/>
              <w:spacing w:line="360" w:lineRule="auto"/>
              <w:ind w:firstLine="480" w:firstLineChars="0"/>
              <w:rPr>
                <w:rFonts w:hint="default" w:ascii="Times New Roman" w:hAnsi="Times New Roman" w:eastAsia="宋体" w:cs="Times New Roman"/>
                <w:color w:val="auto"/>
                <w:u w:val="none"/>
              </w:rPr>
            </w:pPr>
            <w:r>
              <w:rPr>
                <w:rFonts w:hint="default" w:ascii="Times New Roman" w:hAnsi="Times New Roman" w:eastAsia="宋体" w:cs="Times New Roman"/>
                <w:color w:val="auto"/>
                <w:u w:val="none"/>
              </w:rPr>
              <w:t>③根据事故状况及危害程度做出相应的应急（救护、治安、警戒、疏散、抢修）决定。</w:t>
            </w:r>
          </w:p>
          <w:p>
            <w:pPr>
              <w:pStyle w:val="68"/>
              <w:spacing w:line="360" w:lineRule="auto"/>
              <w:ind w:firstLine="480" w:firstLineChars="0"/>
              <w:rPr>
                <w:rFonts w:hint="default" w:ascii="Times New Roman" w:hAnsi="Times New Roman" w:eastAsia="宋体" w:cs="Times New Roman"/>
                <w:color w:val="auto"/>
                <w:u w:val="none"/>
              </w:rPr>
            </w:pPr>
            <w:r>
              <w:rPr>
                <w:rFonts w:hint="default" w:ascii="Times New Roman" w:hAnsi="Times New Roman" w:eastAsia="宋体" w:cs="Times New Roman"/>
                <w:color w:val="auto"/>
                <w:u w:val="none"/>
              </w:rPr>
              <w:t>④根据事故程度，如短时间内事故设施无法修复，应向领导汇报，申请暂时停止生产，待事故处理完毕后再行生产。</w:t>
            </w:r>
          </w:p>
          <w:p>
            <w:pPr>
              <w:pStyle w:val="68"/>
              <w:spacing w:line="360" w:lineRule="auto"/>
              <w:ind w:firstLine="480" w:firstLineChars="0"/>
              <w:rPr>
                <w:rFonts w:hint="default" w:ascii="Times New Roman" w:hAnsi="Times New Roman" w:eastAsia="宋体" w:cs="Times New Roman"/>
                <w:color w:val="auto"/>
                <w:u w:val="none"/>
              </w:rPr>
            </w:pPr>
            <w:r>
              <w:rPr>
                <w:rFonts w:hint="default" w:ascii="Times New Roman" w:hAnsi="Times New Roman" w:eastAsia="宋体" w:cs="Times New Roman"/>
                <w:color w:val="auto"/>
                <w:u w:val="none"/>
              </w:rPr>
              <w:t>⑤事故应急指挥部应协助上级部门和工程抢险队制定、实施抢险方案。</w:t>
            </w:r>
          </w:p>
          <w:p>
            <w:pPr>
              <w:pStyle w:val="68"/>
              <w:spacing w:line="360" w:lineRule="auto"/>
              <w:ind w:firstLine="480" w:firstLineChars="0"/>
              <w:rPr>
                <w:rFonts w:hint="default" w:ascii="Times New Roman" w:hAnsi="Times New Roman" w:eastAsia="宋体" w:cs="Times New Roman"/>
                <w:color w:val="auto"/>
                <w:u w:val="none"/>
              </w:rPr>
            </w:pPr>
            <w:r>
              <w:rPr>
                <w:rFonts w:hint="default" w:ascii="Times New Roman" w:hAnsi="Times New Roman" w:eastAsia="宋体" w:cs="Times New Roman"/>
                <w:color w:val="auto"/>
                <w:u w:val="none"/>
              </w:rPr>
              <w:t>⑥当事故得到控制后，应积极主动配合事故调查小组，进行事故调查和落实防范措通过采取相应的风险防范措施后，可以将本项目的风险降到较低的水平，本项目的环境风阶可以接受。但应加强环境风险管理措施，严格执行风险防范措施，制定应急方案，并进行应急演习。</w:t>
            </w:r>
          </w:p>
          <w:p>
            <w:pPr>
              <w:pStyle w:val="68"/>
              <w:spacing w:line="360" w:lineRule="auto"/>
              <w:ind w:firstLine="482"/>
              <w:rPr>
                <w:rFonts w:hint="default" w:ascii="Times New Roman" w:hAnsi="Times New Roman" w:eastAsia="宋体" w:cs="Times New Roman"/>
                <w:b/>
                <w:bCs/>
                <w:color w:val="auto"/>
                <w:u w:val="none"/>
              </w:rPr>
            </w:pPr>
            <w:r>
              <w:rPr>
                <w:rFonts w:hint="default" w:ascii="Times New Roman" w:hAnsi="Times New Roman" w:eastAsia="宋体" w:cs="Times New Roman"/>
                <w:b/>
                <w:bCs/>
                <w:color w:val="auto"/>
                <w:u w:val="none"/>
              </w:rPr>
              <w:t>6、分析结论</w:t>
            </w:r>
          </w:p>
          <w:p>
            <w:pPr>
              <w:pStyle w:val="2"/>
              <w:spacing w:line="360" w:lineRule="auto"/>
              <w:ind w:firstLine="480" w:firstLineChars="200"/>
              <w:rPr>
                <w:rFonts w:hint="default" w:ascii="Times New Roman" w:hAnsi="Times New Roman" w:eastAsia="宋体" w:cs="Times New Roman"/>
                <w:color w:val="auto"/>
                <w:u w:val="none"/>
              </w:rPr>
            </w:pPr>
            <w:r>
              <w:rPr>
                <w:rFonts w:hint="default" w:ascii="Times New Roman" w:hAnsi="Times New Roman" w:eastAsia="宋体" w:cs="Times New Roman"/>
                <w:color w:val="auto"/>
                <w:u w:val="none"/>
              </w:rPr>
              <w:t>根据本项目特征及同类项目类比调查，项目环境风险事故发生几率较小，环境风险在可接受范围内。建设单位若能严格执行国家有关环保、安全、卫生和劳动方面的标准规定，严格履行环保“三同时”制度，确保投产过程中环保设施正常运行，投产过程中加强环境和安全管理，做好每日的巡检工作和记录。在做好以上各项安全和环境风险防范措施的前提下，项目的环境风险将降低到可接受的程度。</w:t>
            </w:r>
          </w:p>
          <w:p>
            <w:pPr>
              <w:pStyle w:val="15"/>
              <w:kinsoku w:val="0"/>
              <w:overflowPunct w:val="0"/>
              <w:autoSpaceDE w:val="0"/>
              <w:autoSpaceDN w:val="0"/>
              <w:spacing w:after="0" w:line="240" w:lineRule="auto"/>
              <w:ind w:firstLine="422"/>
              <w:jc w:val="center"/>
              <w:rPr>
                <w:rFonts w:hint="default" w:ascii="Times New Roman" w:hAnsi="Times New Roman" w:eastAsia="宋体" w:cs="Times New Roman"/>
                <w:b/>
                <w:bCs/>
                <w:color w:val="auto"/>
                <w:sz w:val="21"/>
                <w:szCs w:val="21"/>
                <w:u w:val="none"/>
              </w:rPr>
            </w:pPr>
            <w:r>
              <w:rPr>
                <w:rFonts w:hint="default" w:ascii="Times New Roman" w:hAnsi="Times New Roman" w:eastAsia="宋体" w:cs="Times New Roman"/>
                <w:b/>
                <w:bCs/>
                <w:color w:val="auto"/>
                <w:sz w:val="21"/>
                <w:szCs w:val="21"/>
                <w:u w:val="none"/>
              </w:rPr>
              <w:t>表4-</w:t>
            </w:r>
            <w:r>
              <w:rPr>
                <w:rFonts w:hint="eastAsia" w:cs="Times New Roman"/>
                <w:b/>
                <w:bCs/>
                <w:color w:val="auto"/>
                <w:sz w:val="21"/>
                <w:szCs w:val="21"/>
                <w:u w:val="none"/>
                <w:lang w:val="en-US" w:eastAsia="zh-CN"/>
              </w:rPr>
              <w:t xml:space="preserve">7 </w:t>
            </w:r>
            <w:r>
              <w:rPr>
                <w:rFonts w:hint="default" w:ascii="Times New Roman" w:hAnsi="Times New Roman" w:eastAsia="宋体" w:cs="Times New Roman"/>
                <w:b/>
                <w:bCs/>
                <w:color w:val="auto"/>
                <w:sz w:val="21"/>
                <w:szCs w:val="21"/>
                <w:u w:val="none"/>
              </w:rPr>
              <w:t>建设项目环境风险简单分析内容表</w:t>
            </w:r>
          </w:p>
          <w:tbl>
            <w:tblPr>
              <w:tblStyle w:val="30"/>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973"/>
              <w:gridCol w:w="1078"/>
              <w:gridCol w:w="2067"/>
              <w:gridCol w:w="788"/>
              <w:gridCol w:w="214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973" w:type="dxa"/>
                  <w:noWrap w:val="0"/>
                  <w:vAlign w:val="center"/>
                </w:tcPr>
                <w:p>
                  <w:pPr>
                    <w:jc w:val="center"/>
                    <w:rPr>
                      <w:rFonts w:hint="default" w:ascii="Times New Roman" w:hAnsi="Times New Roman" w:eastAsia="宋体" w:cs="Times New Roman"/>
                      <w:color w:val="auto"/>
                      <w:sz w:val="18"/>
                      <w:szCs w:val="21"/>
                      <w:u w:val="none"/>
                    </w:rPr>
                  </w:pPr>
                  <w:r>
                    <w:rPr>
                      <w:rFonts w:hint="default" w:ascii="Times New Roman" w:hAnsi="Times New Roman" w:eastAsia="宋体" w:cs="Times New Roman"/>
                      <w:color w:val="auto"/>
                      <w:sz w:val="18"/>
                      <w:szCs w:val="21"/>
                      <w:u w:val="none"/>
                    </w:rPr>
                    <w:t>建设项目名称</w:t>
                  </w:r>
                </w:p>
              </w:tc>
              <w:tc>
                <w:tcPr>
                  <w:tcW w:w="6077" w:type="dxa"/>
                  <w:gridSpan w:val="4"/>
                  <w:noWrap w:val="0"/>
                  <w:vAlign w:val="center"/>
                </w:tcPr>
                <w:p>
                  <w:pPr>
                    <w:jc w:val="center"/>
                    <w:rPr>
                      <w:rFonts w:hint="eastAsia" w:ascii="Times New Roman" w:hAnsi="Times New Roman" w:eastAsia="宋体" w:cs="Times New Roman"/>
                      <w:color w:val="auto"/>
                      <w:sz w:val="18"/>
                      <w:szCs w:val="21"/>
                      <w:u w:val="none"/>
                      <w:lang w:eastAsia="zh-CN"/>
                    </w:rPr>
                  </w:pPr>
                  <w:r>
                    <w:rPr>
                      <w:rFonts w:hint="eastAsia" w:cs="Times New Roman"/>
                      <w:color w:val="auto"/>
                      <w:sz w:val="18"/>
                      <w:szCs w:val="21"/>
                      <w:u w:val="none"/>
                      <w:lang w:eastAsia="zh-CN"/>
                    </w:rPr>
                    <w:t>衡阳县财源页岩砖有限公司资源化利用珠晖区原中盐天友及学宫路遗留废渣项目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973" w:type="dxa"/>
                  <w:noWrap w:val="0"/>
                  <w:vAlign w:val="center"/>
                </w:tcPr>
                <w:p>
                  <w:pPr>
                    <w:jc w:val="center"/>
                    <w:rPr>
                      <w:rFonts w:hint="default" w:ascii="Times New Roman" w:hAnsi="Times New Roman" w:eastAsia="宋体" w:cs="Times New Roman"/>
                      <w:color w:val="auto"/>
                      <w:sz w:val="18"/>
                      <w:szCs w:val="21"/>
                      <w:u w:val="none"/>
                    </w:rPr>
                  </w:pPr>
                  <w:r>
                    <w:rPr>
                      <w:rFonts w:hint="default" w:ascii="Times New Roman" w:hAnsi="Times New Roman" w:eastAsia="宋体" w:cs="Times New Roman"/>
                      <w:color w:val="auto"/>
                      <w:sz w:val="18"/>
                      <w:szCs w:val="21"/>
                      <w:u w:val="none"/>
                    </w:rPr>
                    <w:t>建设地点</w:t>
                  </w:r>
                </w:p>
              </w:tc>
              <w:tc>
                <w:tcPr>
                  <w:tcW w:w="6077" w:type="dxa"/>
                  <w:gridSpan w:val="4"/>
                  <w:noWrap w:val="0"/>
                  <w:vAlign w:val="center"/>
                </w:tcPr>
                <w:p>
                  <w:pPr>
                    <w:jc w:val="center"/>
                    <w:rPr>
                      <w:rFonts w:hint="eastAsia" w:ascii="Times New Roman" w:hAnsi="Times New Roman" w:eastAsia="宋体" w:cs="Times New Roman"/>
                      <w:color w:val="auto"/>
                      <w:sz w:val="18"/>
                      <w:szCs w:val="21"/>
                      <w:u w:val="none"/>
                      <w:lang w:eastAsia="zh-CN"/>
                    </w:rPr>
                  </w:pPr>
                  <w:r>
                    <w:rPr>
                      <w:rFonts w:hint="default" w:ascii="Times New Roman" w:hAnsi="Times New Roman" w:eastAsia="宋体" w:cs="Times New Roman"/>
                      <w:color w:val="auto"/>
                      <w:sz w:val="18"/>
                      <w:szCs w:val="21"/>
                      <w:u w:val="none"/>
                    </w:rPr>
                    <w:t>湖南省衡阳市</w:t>
                  </w:r>
                  <w:r>
                    <w:rPr>
                      <w:rFonts w:hint="eastAsia" w:cs="Times New Roman"/>
                      <w:color w:val="auto"/>
                      <w:sz w:val="18"/>
                      <w:szCs w:val="21"/>
                      <w:u w:val="none"/>
                      <w:lang w:eastAsia="zh-CN"/>
                    </w:rPr>
                    <w:t>衡阳县西渡镇正大村枣子组</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973" w:type="dxa"/>
                  <w:noWrap w:val="0"/>
                  <w:vAlign w:val="center"/>
                </w:tcPr>
                <w:p>
                  <w:pPr>
                    <w:jc w:val="center"/>
                    <w:rPr>
                      <w:rFonts w:hint="default" w:ascii="Times New Roman" w:hAnsi="Times New Roman" w:eastAsia="宋体" w:cs="Times New Roman"/>
                      <w:color w:val="auto"/>
                      <w:sz w:val="18"/>
                      <w:szCs w:val="21"/>
                      <w:u w:val="none"/>
                    </w:rPr>
                  </w:pPr>
                  <w:r>
                    <w:rPr>
                      <w:rFonts w:hint="default" w:ascii="Times New Roman" w:hAnsi="Times New Roman" w:eastAsia="宋体" w:cs="Times New Roman"/>
                      <w:color w:val="auto"/>
                      <w:sz w:val="18"/>
                      <w:szCs w:val="21"/>
                      <w:u w:val="none"/>
                    </w:rPr>
                    <w:t>地理坐标</w:t>
                  </w:r>
                </w:p>
              </w:tc>
              <w:tc>
                <w:tcPr>
                  <w:tcW w:w="1078" w:type="dxa"/>
                  <w:noWrap w:val="0"/>
                  <w:vAlign w:val="center"/>
                </w:tcPr>
                <w:p>
                  <w:pPr>
                    <w:jc w:val="center"/>
                    <w:rPr>
                      <w:rFonts w:hint="default" w:ascii="Times New Roman" w:hAnsi="Times New Roman" w:eastAsia="宋体" w:cs="Times New Roman"/>
                      <w:color w:val="auto"/>
                      <w:sz w:val="18"/>
                      <w:szCs w:val="21"/>
                      <w:highlight w:val="none"/>
                      <w:u w:val="none"/>
                    </w:rPr>
                  </w:pPr>
                  <w:r>
                    <w:rPr>
                      <w:rFonts w:hint="default" w:ascii="Times New Roman" w:hAnsi="Times New Roman" w:eastAsia="宋体" w:cs="Times New Roman"/>
                      <w:color w:val="auto"/>
                      <w:sz w:val="18"/>
                      <w:szCs w:val="21"/>
                      <w:highlight w:val="none"/>
                      <w:u w:val="none"/>
                    </w:rPr>
                    <w:t>经度</w:t>
                  </w:r>
                </w:p>
              </w:tc>
              <w:tc>
                <w:tcPr>
                  <w:tcW w:w="2067" w:type="dxa"/>
                  <w:noWrap w:val="0"/>
                  <w:vAlign w:val="center"/>
                </w:tcPr>
                <w:p>
                  <w:pPr>
                    <w:jc w:val="center"/>
                    <w:rPr>
                      <w:rFonts w:hint="default" w:ascii="Times New Roman" w:hAnsi="Times New Roman" w:eastAsia="宋体" w:cs="Times New Roman"/>
                      <w:color w:val="auto"/>
                      <w:sz w:val="18"/>
                      <w:szCs w:val="21"/>
                      <w:highlight w:val="none"/>
                      <w:u w:val="none"/>
                    </w:rPr>
                  </w:pPr>
                  <w:r>
                    <w:rPr>
                      <w:rFonts w:hint="eastAsia" w:ascii="Times New Roman" w:hAnsi="Times New Roman" w:eastAsia="宋体" w:cs="Times New Roman"/>
                      <w:color w:val="auto"/>
                      <w:sz w:val="18"/>
                      <w:szCs w:val="21"/>
                      <w:highlight w:val="none"/>
                      <w:u w:val="none"/>
                      <w:lang w:val="en-US" w:eastAsia="zh-CN"/>
                    </w:rPr>
                    <w:t>112°19′7.339″</w:t>
                  </w:r>
                </w:p>
              </w:tc>
              <w:tc>
                <w:tcPr>
                  <w:tcW w:w="788" w:type="dxa"/>
                  <w:noWrap w:val="0"/>
                  <w:vAlign w:val="center"/>
                </w:tcPr>
                <w:p>
                  <w:pPr>
                    <w:jc w:val="center"/>
                    <w:rPr>
                      <w:rFonts w:hint="default" w:ascii="Times New Roman" w:hAnsi="Times New Roman" w:eastAsia="宋体" w:cs="Times New Roman"/>
                      <w:color w:val="auto"/>
                      <w:sz w:val="18"/>
                      <w:szCs w:val="21"/>
                      <w:highlight w:val="none"/>
                      <w:u w:val="none"/>
                    </w:rPr>
                  </w:pPr>
                  <w:r>
                    <w:rPr>
                      <w:rFonts w:hint="default" w:ascii="Times New Roman" w:hAnsi="Times New Roman" w:eastAsia="宋体" w:cs="Times New Roman"/>
                      <w:color w:val="auto"/>
                      <w:sz w:val="18"/>
                      <w:szCs w:val="21"/>
                      <w:highlight w:val="none"/>
                      <w:u w:val="none"/>
                    </w:rPr>
                    <w:t>纬度</w:t>
                  </w:r>
                </w:p>
              </w:tc>
              <w:tc>
                <w:tcPr>
                  <w:tcW w:w="2144" w:type="dxa"/>
                  <w:noWrap w:val="0"/>
                  <w:vAlign w:val="center"/>
                </w:tcPr>
                <w:p>
                  <w:pPr>
                    <w:jc w:val="center"/>
                    <w:rPr>
                      <w:rFonts w:hint="default" w:ascii="Times New Roman" w:hAnsi="Times New Roman" w:eastAsia="宋体" w:cs="Times New Roman"/>
                      <w:color w:val="auto"/>
                      <w:sz w:val="18"/>
                      <w:szCs w:val="21"/>
                      <w:highlight w:val="none"/>
                      <w:u w:val="none"/>
                    </w:rPr>
                  </w:pPr>
                  <w:r>
                    <w:rPr>
                      <w:rFonts w:hint="default" w:ascii="Times New Roman" w:hAnsi="Times New Roman" w:eastAsia="宋体" w:cs="Times New Roman"/>
                      <w:color w:val="auto"/>
                      <w:sz w:val="18"/>
                      <w:szCs w:val="21"/>
                      <w:highlight w:val="none"/>
                      <w:u w:val="none"/>
                    </w:rPr>
                    <w:t>26°59′56.377″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973" w:type="dxa"/>
                  <w:noWrap w:val="0"/>
                  <w:vAlign w:val="center"/>
                </w:tcPr>
                <w:p>
                  <w:pPr>
                    <w:jc w:val="center"/>
                    <w:rPr>
                      <w:rFonts w:hint="default" w:ascii="Times New Roman" w:hAnsi="Times New Roman" w:eastAsia="宋体" w:cs="Times New Roman"/>
                      <w:color w:val="auto"/>
                      <w:sz w:val="18"/>
                      <w:szCs w:val="21"/>
                      <w:u w:val="none"/>
                    </w:rPr>
                  </w:pPr>
                  <w:r>
                    <w:rPr>
                      <w:rFonts w:hint="default" w:ascii="Times New Roman" w:hAnsi="Times New Roman" w:eastAsia="宋体" w:cs="Times New Roman"/>
                      <w:color w:val="auto"/>
                      <w:sz w:val="18"/>
                      <w:szCs w:val="21"/>
                      <w:u w:val="none"/>
                    </w:rPr>
                    <w:t>主要</w:t>
                  </w:r>
                  <w:r>
                    <w:rPr>
                      <w:rFonts w:hint="default" w:ascii="Times New Roman" w:hAnsi="Times New Roman" w:eastAsia="宋体" w:cs="Times New Roman"/>
                      <w:color w:val="auto"/>
                      <w:sz w:val="18"/>
                      <w:szCs w:val="21"/>
                      <w:u w:val="none"/>
                      <w:lang w:eastAsia="zh-CN"/>
                    </w:rPr>
                    <w:t>环境风险</w:t>
                  </w:r>
                  <w:r>
                    <w:rPr>
                      <w:rFonts w:hint="default" w:ascii="Times New Roman" w:hAnsi="Times New Roman" w:eastAsia="宋体" w:cs="Times New Roman"/>
                      <w:color w:val="auto"/>
                      <w:sz w:val="18"/>
                      <w:szCs w:val="21"/>
                      <w:u w:val="none"/>
                    </w:rPr>
                    <w:t>物质及分布</w:t>
                  </w:r>
                </w:p>
              </w:tc>
              <w:tc>
                <w:tcPr>
                  <w:tcW w:w="6077" w:type="dxa"/>
                  <w:gridSpan w:val="4"/>
                  <w:noWrap w:val="0"/>
                  <w:vAlign w:val="center"/>
                </w:tcPr>
                <w:p>
                  <w:pPr>
                    <w:ind w:firstLine="1260" w:firstLineChars="700"/>
                    <w:rPr>
                      <w:rFonts w:hint="default" w:ascii="Times New Roman" w:hAnsi="Times New Roman" w:eastAsia="宋体" w:cs="Times New Roman"/>
                      <w:color w:val="auto"/>
                      <w:sz w:val="18"/>
                      <w:szCs w:val="21"/>
                      <w:highlight w:val="none"/>
                      <w:u w:val="none"/>
                      <w:lang w:eastAsia="zh-CN"/>
                    </w:rPr>
                  </w:pPr>
                  <w:r>
                    <w:rPr>
                      <w:rFonts w:hint="default" w:ascii="Times New Roman" w:hAnsi="Times New Roman" w:eastAsia="宋体" w:cs="Times New Roman"/>
                      <w:color w:val="auto"/>
                      <w:sz w:val="18"/>
                      <w:szCs w:val="21"/>
                      <w:highlight w:val="none"/>
                      <w:u w:val="none"/>
                    </w:rPr>
                    <w:t>氢氧化钠</w:t>
                  </w:r>
                  <w:r>
                    <w:rPr>
                      <w:rFonts w:hint="default" w:ascii="Times New Roman" w:hAnsi="Times New Roman" w:eastAsia="宋体" w:cs="Times New Roman"/>
                      <w:color w:val="auto"/>
                      <w:sz w:val="18"/>
                      <w:szCs w:val="21"/>
                      <w:highlight w:val="none"/>
                      <w:u w:val="none"/>
                      <w:lang w:eastAsia="zh-CN"/>
                    </w:rPr>
                    <w:t>、油类物质、一般固废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973" w:type="dxa"/>
                  <w:noWrap w:val="0"/>
                  <w:vAlign w:val="center"/>
                </w:tcPr>
                <w:p>
                  <w:pPr>
                    <w:jc w:val="center"/>
                    <w:rPr>
                      <w:rFonts w:hint="default" w:ascii="Times New Roman" w:hAnsi="Times New Roman" w:eastAsia="宋体" w:cs="Times New Roman"/>
                      <w:color w:val="auto"/>
                      <w:sz w:val="18"/>
                      <w:szCs w:val="21"/>
                      <w:u w:val="none"/>
                    </w:rPr>
                  </w:pPr>
                  <w:r>
                    <w:rPr>
                      <w:rFonts w:hint="default" w:ascii="Times New Roman" w:hAnsi="Times New Roman" w:eastAsia="宋体" w:cs="Times New Roman"/>
                      <w:color w:val="auto"/>
                      <w:sz w:val="18"/>
                      <w:szCs w:val="21"/>
                      <w:u w:val="none"/>
                    </w:rPr>
                    <w:t>环境影响途径及危害后果（大气、地表水、地下水等）</w:t>
                  </w:r>
                </w:p>
              </w:tc>
              <w:tc>
                <w:tcPr>
                  <w:tcW w:w="6077" w:type="dxa"/>
                  <w:gridSpan w:val="4"/>
                  <w:noWrap w:val="0"/>
                  <w:vAlign w:val="center"/>
                </w:tcPr>
                <w:p>
                  <w:pPr>
                    <w:rPr>
                      <w:rFonts w:hint="default" w:ascii="Times New Roman" w:hAnsi="Times New Roman" w:eastAsia="宋体" w:cs="Times New Roman"/>
                      <w:color w:val="auto"/>
                      <w:sz w:val="18"/>
                      <w:szCs w:val="21"/>
                      <w:u w:val="none"/>
                      <w:lang w:val="en-US" w:eastAsia="zh-CN"/>
                    </w:rPr>
                  </w:pPr>
                  <w:r>
                    <w:rPr>
                      <w:rFonts w:hint="default" w:ascii="Times New Roman" w:hAnsi="Times New Roman" w:eastAsia="宋体" w:cs="Times New Roman"/>
                      <w:color w:val="auto"/>
                      <w:sz w:val="18"/>
                      <w:szCs w:val="21"/>
                      <w:u w:val="none"/>
                    </w:rPr>
                    <w:t>氢氧化钠</w:t>
                  </w:r>
                  <w:r>
                    <w:rPr>
                      <w:rFonts w:hint="default" w:ascii="Times New Roman" w:hAnsi="Times New Roman" w:eastAsia="宋体" w:cs="Times New Roman"/>
                      <w:color w:val="auto"/>
                      <w:sz w:val="18"/>
                      <w:szCs w:val="21"/>
                      <w:u w:val="none"/>
                      <w:lang w:eastAsia="zh-CN"/>
                    </w:rPr>
                    <w:t>、油类物质</w:t>
                  </w:r>
                  <w:r>
                    <w:rPr>
                      <w:rFonts w:hint="default" w:ascii="Times New Roman" w:hAnsi="Times New Roman" w:eastAsia="宋体" w:cs="Times New Roman"/>
                      <w:color w:val="auto"/>
                      <w:sz w:val="18"/>
                      <w:szCs w:val="21"/>
                      <w:u w:val="none"/>
                    </w:rPr>
                    <w:t>泄漏造成的水环境污染；砖窑燃烧烟气事故排放，对周边大气环境产生影响；</w:t>
                  </w:r>
                  <w:r>
                    <w:rPr>
                      <w:rFonts w:hint="default" w:ascii="Times New Roman" w:hAnsi="Times New Roman" w:eastAsia="宋体" w:cs="Times New Roman"/>
                      <w:color w:val="auto"/>
                      <w:sz w:val="18"/>
                      <w:szCs w:val="21"/>
                      <w:u w:val="none"/>
                      <w:lang w:eastAsia="zh-CN"/>
                    </w:rPr>
                    <w:t>油类物质</w:t>
                  </w:r>
                  <w:r>
                    <w:rPr>
                      <w:rFonts w:hint="default" w:ascii="Times New Roman" w:hAnsi="Times New Roman" w:eastAsia="宋体" w:cs="Times New Roman"/>
                      <w:color w:val="auto"/>
                      <w:sz w:val="18"/>
                      <w:szCs w:val="21"/>
                      <w:u w:val="none"/>
                    </w:rPr>
                    <w:t>可能出现泄露造成地下水、土壤污染</w:t>
                  </w:r>
                  <w:r>
                    <w:rPr>
                      <w:rFonts w:hint="default" w:ascii="Times New Roman" w:hAnsi="Times New Roman" w:eastAsia="宋体" w:cs="Times New Roman"/>
                      <w:color w:val="auto"/>
                      <w:sz w:val="18"/>
                      <w:szCs w:val="21"/>
                      <w:u w:val="none"/>
                      <w:lang w:eastAsia="zh-CN"/>
                    </w:rPr>
                    <w:t>；一般固废运输、贮存过程中进入外环境对周边环境的污染。</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973" w:type="dxa"/>
                  <w:noWrap w:val="0"/>
                  <w:vAlign w:val="center"/>
                </w:tcPr>
                <w:p>
                  <w:pPr>
                    <w:jc w:val="center"/>
                    <w:rPr>
                      <w:rFonts w:hint="default" w:ascii="Times New Roman" w:hAnsi="Times New Roman" w:eastAsia="宋体" w:cs="Times New Roman"/>
                      <w:color w:val="auto"/>
                      <w:sz w:val="18"/>
                      <w:szCs w:val="21"/>
                      <w:u w:val="none"/>
                    </w:rPr>
                  </w:pPr>
                  <w:r>
                    <w:rPr>
                      <w:rFonts w:hint="default" w:ascii="Times New Roman" w:hAnsi="Times New Roman" w:eastAsia="宋体" w:cs="Times New Roman"/>
                      <w:color w:val="auto"/>
                      <w:sz w:val="18"/>
                      <w:szCs w:val="21"/>
                      <w:u w:val="none"/>
                    </w:rPr>
                    <w:t>风险防范措施要求</w:t>
                  </w:r>
                </w:p>
              </w:tc>
              <w:tc>
                <w:tcPr>
                  <w:tcW w:w="6077" w:type="dxa"/>
                  <w:gridSpan w:val="4"/>
                  <w:noWrap w:val="0"/>
                  <w:vAlign w:val="center"/>
                </w:tcPr>
                <w:p>
                  <w:pPr>
                    <w:rPr>
                      <w:rFonts w:hint="default" w:ascii="Times New Roman" w:hAnsi="Times New Roman" w:eastAsia="宋体" w:cs="Times New Roman"/>
                      <w:color w:val="auto"/>
                      <w:sz w:val="18"/>
                      <w:szCs w:val="21"/>
                      <w:u w:val="none"/>
                      <w:lang w:eastAsia="zh-CN"/>
                    </w:rPr>
                  </w:pPr>
                  <w:r>
                    <w:rPr>
                      <w:rFonts w:hint="default" w:ascii="Times New Roman" w:hAnsi="Times New Roman" w:eastAsia="宋体" w:cs="Times New Roman"/>
                      <w:color w:val="auto"/>
                      <w:sz w:val="18"/>
                      <w:szCs w:val="21"/>
                      <w:u w:val="none"/>
                    </w:rPr>
                    <w:t>建立、完善安全管理制度；严格执行安全规章制度和操作规程；建立完善的废水处理系统运行管理制度；加强对操作工人的培训，培养员工的安全和环境意识；设立事故救援指挥决策系统</w:t>
                  </w:r>
                  <w:r>
                    <w:rPr>
                      <w:rFonts w:hint="default" w:ascii="Times New Roman" w:hAnsi="Times New Roman" w:eastAsia="宋体" w:cs="Times New Roman"/>
                      <w:color w:val="auto"/>
                      <w:sz w:val="18"/>
                      <w:szCs w:val="21"/>
                      <w:u w:val="none"/>
                      <w:lang w:eastAsia="zh-CN"/>
                    </w:rPr>
                    <w:t>；一般固废运输过程中应密闭，防止遗洒，一般固废暂存库应规范建设，做到防风、防雨、地面进行硬化，四周设置收集沟。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050" w:type="dxa"/>
                  <w:gridSpan w:val="5"/>
                  <w:noWrap w:val="0"/>
                  <w:vAlign w:val="center"/>
                </w:tcPr>
                <w:p>
                  <w:pPr>
                    <w:rPr>
                      <w:rFonts w:hint="default" w:ascii="Times New Roman" w:hAnsi="Times New Roman" w:eastAsia="宋体" w:cs="Times New Roman"/>
                      <w:color w:val="auto"/>
                      <w:sz w:val="18"/>
                      <w:szCs w:val="21"/>
                      <w:u w:val="none"/>
                    </w:rPr>
                  </w:pPr>
                  <w:r>
                    <w:rPr>
                      <w:rFonts w:hint="default" w:ascii="Times New Roman" w:hAnsi="Times New Roman" w:eastAsia="宋体" w:cs="Times New Roman"/>
                      <w:color w:val="auto"/>
                      <w:sz w:val="18"/>
                      <w:szCs w:val="21"/>
                      <w:u w:val="none"/>
                    </w:rPr>
                    <w:t>填表说明（列出项目相关信息及评价说明）：</w:t>
                  </w:r>
                </w:p>
                <w:p>
                  <w:pPr>
                    <w:ind w:firstLine="360" w:firstLineChars="200"/>
                    <w:rPr>
                      <w:rFonts w:hint="default" w:ascii="Times New Roman" w:hAnsi="Times New Roman" w:eastAsia="宋体" w:cs="Times New Roman"/>
                      <w:color w:val="auto"/>
                      <w:sz w:val="18"/>
                      <w:szCs w:val="21"/>
                      <w:u w:val="none"/>
                    </w:rPr>
                  </w:pPr>
                  <w:r>
                    <w:rPr>
                      <w:rFonts w:hint="default" w:ascii="Times New Roman" w:hAnsi="Times New Roman" w:eastAsia="宋体" w:cs="Times New Roman"/>
                      <w:color w:val="auto"/>
                      <w:sz w:val="18"/>
                      <w:szCs w:val="21"/>
                      <w:u w:val="none"/>
                    </w:rPr>
                    <w:t>生产过程中涉及环境风险物质为氢氧化钠</w:t>
                  </w:r>
                  <w:r>
                    <w:rPr>
                      <w:rFonts w:hint="default" w:ascii="Times New Roman" w:hAnsi="Times New Roman" w:eastAsia="宋体" w:cs="Times New Roman"/>
                      <w:color w:val="auto"/>
                      <w:sz w:val="18"/>
                      <w:szCs w:val="21"/>
                      <w:u w:val="none"/>
                      <w:lang w:eastAsia="zh-CN"/>
                    </w:rPr>
                    <w:t>、油类物质</w:t>
                  </w:r>
                  <w:r>
                    <w:rPr>
                      <w:rFonts w:hint="default" w:ascii="Times New Roman" w:hAnsi="Times New Roman" w:eastAsia="宋体" w:cs="Times New Roman"/>
                      <w:color w:val="auto"/>
                      <w:sz w:val="18"/>
                      <w:szCs w:val="21"/>
                      <w:u w:val="none"/>
                    </w:rPr>
                    <w:t>，Q&lt;1，环境风险潜势为Ⅰ，主要的环境风险事故为环保运行设施泄露引发的污染事件，要严格按照操作规范，加强对操作工人的培训，有效减少事故发生。</w:t>
                  </w:r>
                </w:p>
              </w:tc>
            </w:tr>
          </w:tbl>
          <w:p>
            <w:pPr>
              <w:pStyle w:val="68"/>
              <w:spacing w:line="360" w:lineRule="auto"/>
              <w:ind w:firstLine="482"/>
              <w:rPr>
                <w:b/>
                <w:bCs/>
                <w:color w:val="auto"/>
                <w:u w:val="none"/>
              </w:rPr>
            </w:pPr>
            <w:r>
              <w:rPr>
                <w:b/>
                <w:bCs/>
                <w:color w:val="auto"/>
                <w:u w:val="none"/>
              </w:rPr>
              <w:t>七、排污口规范化设置</w:t>
            </w:r>
          </w:p>
          <w:p>
            <w:pPr>
              <w:pStyle w:val="68"/>
              <w:spacing w:line="360" w:lineRule="auto"/>
              <w:ind w:firstLine="480"/>
              <w:rPr>
                <w:color w:val="auto"/>
                <w:u w:val="none"/>
              </w:rPr>
            </w:pPr>
            <w:r>
              <w:rPr>
                <w:color w:val="auto"/>
                <w:u w:val="none"/>
              </w:rPr>
              <w:t>本项目的污染物排放口（源）和固体废物贮存、处置场，必须实行规范化整治。按照国家标准《环境保护图形标志》（GB15562.1-1995）（GB15562.2-1995）及《环境保护图形标志实施细则（试行）》的规定，设置与排污口相应的图形标志牌。根据《环境保护图形标志实施细则》（试行）：第七条一般性污染物排放口（源）或固体废物贮存（处置）场，设置提示性环境保护图形标志牌，根据现场具体情况，选用立式或平面固定式。排放剧毒、致癌物及对人体有严重危害物质的排放口（源）或危险废物贮存（处置）场，设置警告性环境保护图形标志牌，根据现场具体情况，选用立式或平面固定式。</w:t>
            </w:r>
          </w:p>
          <w:p>
            <w:pPr>
              <w:pStyle w:val="68"/>
              <w:spacing w:line="360" w:lineRule="auto"/>
              <w:ind w:firstLine="480"/>
              <w:rPr>
                <w:color w:val="auto"/>
                <w:u w:val="none"/>
              </w:rPr>
            </w:pPr>
            <w:r>
              <w:rPr>
                <w:color w:val="auto"/>
                <w:u w:val="none"/>
              </w:rPr>
              <w:t>1、排气筒及污水排放口设置</w:t>
            </w:r>
          </w:p>
          <w:p>
            <w:pPr>
              <w:pStyle w:val="68"/>
              <w:spacing w:line="360" w:lineRule="auto"/>
              <w:ind w:firstLine="480"/>
              <w:rPr>
                <w:color w:val="auto"/>
                <w:u w:val="none"/>
              </w:rPr>
            </w:pPr>
            <w:r>
              <w:rPr>
                <w:color w:val="auto"/>
                <w:u w:val="none"/>
              </w:rPr>
              <w:t>排气筒设置取样口，并具备采样监测条件，排放口附近树立图形标志牌。在项目设计时应预埋采样口或采样阀，采样口或采样阀设置要有利于废水的流量测量，并制定采样监测计划。</w:t>
            </w:r>
          </w:p>
          <w:p>
            <w:pPr>
              <w:pStyle w:val="68"/>
              <w:spacing w:line="360" w:lineRule="auto"/>
              <w:ind w:firstLine="480"/>
              <w:rPr>
                <w:color w:val="auto"/>
                <w:u w:val="none"/>
              </w:rPr>
            </w:pPr>
            <w:r>
              <w:rPr>
                <w:color w:val="auto"/>
                <w:u w:val="none"/>
              </w:rPr>
              <w:t>2、排污口管理</w:t>
            </w:r>
          </w:p>
          <w:p>
            <w:pPr>
              <w:pStyle w:val="68"/>
              <w:spacing w:line="360" w:lineRule="auto"/>
              <w:ind w:firstLine="480"/>
              <w:rPr>
                <w:color w:val="auto"/>
                <w:u w:val="none"/>
              </w:rPr>
            </w:pPr>
            <w:r>
              <w:rPr>
                <w:color w:val="auto"/>
                <w:u w:val="none"/>
              </w:rPr>
              <w:t>建设单位应在各个排污口处树立标志牌，并如实填写《中华人民共和国规范化排污口标记登记证》，由环保部门签发。环保主管部门和建设单位可分别按以下内容建立排污口管理的专门档案：排污口性质和编号；位置；排放主要污染物种类、数量、浓度；排放去向；达标情况；治理设施运行情况及整改意见。</w:t>
            </w:r>
          </w:p>
          <w:p>
            <w:pPr>
              <w:pStyle w:val="68"/>
              <w:spacing w:line="360" w:lineRule="auto"/>
              <w:ind w:firstLine="480"/>
              <w:rPr>
                <w:color w:val="auto"/>
                <w:u w:val="none"/>
              </w:rPr>
            </w:pPr>
            <w:r>
              <w:rPr>
                <w:color w:val="auto"/>
                <w:u w:val="none"/>
              </w:rPr>
              <w:t>本项目环境保护图形符号具体见表4-</w:t>
            </w:r>
            <w:r>
              <w:rPr>
                <w:rFonts w:hint="eastAsia"/>
                <w:color w:val="auto"/>
                <w:u w:val="none"/>
                <w:lang w:val="en-US" w:eastAsia="zh-CN"/>
              </w:rPr>
              <w:t>8</w:t>
            </w:r>
            <w:r>
              <w:rPr>
                <w:color w:val="auto"/>
                <w:u w:val="none"/>
              </w:rPr>
              <w:t>。</w:t>
            </w:r>
          </w:p>
          <w:p>
            <w:pPr>
              <w:overflowPunct w:val="0"/>
              <w:spacing w:line="320" w:lineRule="exact"/>
              <w:jc w:val="center"/>
              <w:rPr>
                <w:b/>
                <w:color w:val="auto"/>
                <w:szCs w:val="21"/>
                <w:u w:val="none"/>
              </w:rPr>
            </w:pPr>
            <w:r>
              <w:rPr>
                <w:b/>
                <w:color w:val="auto"/>
                <w:szCs w:val="21"/>
                <w:u w:val="none"/>
              </w:rPr>
              <w:t>表4-</w:t>
            </w:r>
            <w:r>
              <w:rPr>
                <w:rFonts w:hint="eastAsia"/>
                <w:b/>
                <w:color w:val="auto"/>
                <w:szCs w:val="21"/>
                <w:u w:val="none"/>
                <w:lang w:val="en-US" w:eastAsia="zh-CN"/>
              </w:rPr>
              <w:t>8</w:t>
            </w:r>
            <w:r>
              <w:rPr>
                <w:b/>
                <w:color w:val="auto"/>
                <w:szCs w:val="21"/>
                <w:u w:val="none"/>
              </w:rPr>
              <w:t>排放口图形标志</w:t>
            </w:r>
          </w:p>
          <w:tbl>
            <w:tblPr>
              <w:tblStyle w:val="30"/>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046"/>
              <w:gridCol w:w="1685"/>
              <w:gridCol w:w="1688"/>
              <w:gridCol w:w="1689"/>
              <w:gridCol w:w="182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46" w:type="dxa"/>
                  <w:noWrap w:val="0"/>
                  <w:vAlign w:val="center"/>
                </w:tcPr>
                <w:p>
                  <w:pPr>
                    <w:widowControl/>
                    <w:jc w:val="center"/>
                    <w:rPr>
                      <w:color w:val="auto"/>
                      <w:kern w:val="0"/>
                      <w:sz w:val="18"/>
                      <w:szCs w:val="18"/>
                      <w:u w:val="none"/>
                    </w:rPr>
                  </w:pPr>
                  <w:r>
                    <w:rPr>
                      <w:color w:val="auto"/>
                      <w:kern w:val="0"/>
                      <w:sz w:val="18"/>
                      <w:szCs w:val="18"/>
                      <w:u w:val="none"/>
                    </w:rPr>
                    <w:t>排放口</w:t>
                  </w:r>
                </w:p>
              </w:tc>
              <w:tc>
                <w:tcPr>
                  <w:tcW w:w="1685" w:type="dxa"/>
                  <w:noWrap w:val="0"/>
                  <w:vAlign w:val="center"/>
                </w:tcPr>
                <w:p>
                  <w:pPr>
                    <w:widowControl/>
                    <w:jc w:val="center"/>
                    <w:rPr>
                      <w:color w:val="auto"/>
                      <w:kern w:val="0"/>
                      <w:sz w:val="18"/>
                      <w:szCs w:val="18"/>
                      <w:u w:val="none"/>
                    </w:rPr>
                  </w:pPr>
                  <w:r>
                    <w:rPr>
                      <w:color w:val="auto"/>
                      <w:kern w:val="0"/>
                      <w:sz w:val="18"/>
                      <w:szCs w:val="18"/>
                      <w:u w:val="none"/>
                    </w:rPr>
                    <w:t>废气排口</w:t>
                  </w:r>
                </w:p>
              </w:tc>
              <w:tc>
                <w:tcPr>
                  <w:tcW w:w="1688" w:type="dxa"/>
                  <w:noWrap w:val="0"/>
                  <w:vAlign w:val="center"/>
                </w:tcPr>
                <w:p>
                  <w:pPr>
                    <w:widowControl/>
                    <w:jc w:val="center"/>
                    <w:rPr>
                      <w:color w:val="auto"/>
                      <w:kern w:val="0"/>
                      <w:sz w:val="18"/>
                      <w:szCs w:val="18"/>
                      <w:u w:val="none"/>
                    </w:rPr>
                  </w:pPr>
                  <w:r>
                    <w:rPr>
                      <w:color w:val="auto"/>
                      <w:kern w:val="0"/>
                      <w:sz w:val="18"/>
                      <w:szCs w:val="18"/>
                      <w:u w:val="none"/>
                    </w:rPr>
                    <w:t>噪声源</w:t>
                  </w:r>
                </w:p>
              </w:tc>
              <w:tc>
                <w:tcPr>
                  <w:tcW w:w="1689" w:type="dxa"/>
                  <w:noWrap w:val="0"/>
                  <w:vAlign w:val="center"/>
                </w:tcPr>
                <w:p>
                  <w:pPr>
                    <w:widowControl/>
                    <w:jc w:val="center"/>
                    <w:rPr>
                      <w:color w:val="auto"/>
                      <w:kern w:val="0"/>
                      <w:sz w:val="18"/>
                      <w:szCs w:val="18"/>
                      <w:u w:val="none"/>
                    </w:rPr>
                  </w:pPr>
                  <w:r>
                    <w:rPr>
                      <w:color w:val="auto"/>
                      <w:kern w:val="0"/>
                      <w:sz w:val="18"/>
                      <w:szCs w:val="18"/>
                      <w:u w:val="none"/>
                    </w:rPr>
                    <w:t>固废堆场</w:t>
                  </w:r>
                </w:p>
              </w:tc>
              <w:tc>
                <w:tcPr>
                  <w:tcW w:w="1829" w:type="dxa"/>
                  <w:noWrap w:val="0"/>
                  <w:vAlign w:val="center"/>
                </w:tcPr>
                <w:p>
                  <w:pPr>
                    <w:widowControl/>
                    <w:jc w:val="center"/>
                    <w:rPr>
                      <w:color w:val="auto"/>
                      <w:kern w:val="0"/>
                      <w:sz w:val="18"/>
                      <w:szCs w:val="18"/>
                      <w:u w:val="none"/>
                    </w:rPr>
                  </w:pPr>
                  <w:r>
                    <w:rPr>
                      <w:color w:val="auto"/>
                      <w:kern w:val="0"/>
                      <w:sz w:val="18"/>
                      <w:szCs w:val="18"/>
                      <w:u w:val="none"/>
                    </w:rPr>
                    <w:t>危险废物堆场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46" w:type="dxa"/>
                  <w:noWrap w:val="0"/>
                  <w:vAlign w:val="center"/>
                </w:tcPr>
                <w:p>
                  <w:pPr>
                    <w:widowControl/>
                    <w:jc w:val="center"/>
                    <w:rPr>
                      <w:color w:val="auto"/>
                      <w:kern w:val="0"/>
                      <w:sz w:val="18"/>
                      <w:szCs w:val="18"/>
                      <w:u w:val="none"/>
                    </w:rPr>
                  </w:pPr>
                  <w:r>
                    <w:rPr>
                      <w:color w:val="auto"/>
                      <w:kern w:val="0"/>
                      <w:sz w:val="18"/>
                      <w:szCs w:val="18"/>
                      <w:u w:val="none"/>
                    </w:rPr>
                    <w:t>图形符号</w:t>
                  </w:r>
                </w:p>
              </w:tc>
              <w:tc>
                <w:tcPr>
                  <w:tcW w:w="1685" w:type="dxa"/>
                  <w:noWrap w:val="0"/>
                  <w:vAlign w:val="center"/>
                </w:tcPr>
                <w:p>
                  <w:pPr>
                    <w:widowControl/>
                    <w:jc w:val="center"/>
                    <w:rPr>
                      <w:color w:val="auto"/>
                      <w:kern w:val="0"/>
                      <w:sz w:val="18"/>
                      <w:szCs w:val="18"/>
                      <w:u w:val="none"/>
                    </w:rPr>
                  </w:pPr>
                  <w:r>
                    <w:rPr>
                      <w:color w:val="auto"/>
                      <w:kern w:val="0"/>
                      <w:sz w:val="18"/>
                      <w:szCs w:val="18"/>
                      <w:u w:val="none"/>
                    </w:rPr>
                    <w:drawing>
                      <wp:inline distT="0" distB="0" distL="114300" distR="114300">
                        <wp:extent cx="986790" cy="864235"/>
                        <wp:effectExtent l="0" t="0" r="0" b="0"/>
                        <wp:docPr id="170"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21"/>
                                <pic:cNvPicPr>
                                  <a:picLocks noChangeAspect="1"/>
                                </pic:cNvPicPr>
                              </pic:nvPicPr>
                              <pic:blipFill>
                                <a:blip r:embed="rId31"/>
                                <a:stretch>
                                  <a:fillRect/>
                                </a:stretch>
                              </pic:blipFill>
                              <pic:spPr>
                                <a:xfrm>
                                  <a:off x="0" y="0"/>
                                  <a:ext cx="986790" cy="864235"/>
                                </a:xfrm>
                                <a:prstGeom prst="rect">
                                  <a:avLst/>
                                </a:prstGeom>
                                <a:noFill/>
                                <a:ln>
                                  <a:noFill/>
                                </a:ln>
                              </pic:spPr>
                            </pic:pic>
                          </a:graphicData>
                        </a:graphic>
                      </wp:inline>
                    </w:drawing>
                  </w:r>
                </w:p>
              </w:tc>
              <w:tc>
                <w:tcPr>
                  <w:tcW w:w="1688" w:type="dxa"/>
                  <w:noWrap w:val="0"/>
                  <w:vAlign w:val="center"/>
                </w:tcPr>
                <w:p>
                  <w:pPr>
                    <w:widowControl/>
                    <w:jc w:val="center"/>
                    <w:rPr>
                      <w:color w:val="auto"/>
                      <w:kern w:val="0"/>
                      <w:sz w:val="18"/>
                      <w:szCs w:val="18"/>
                      <w:u w:val="none"/>
                    </w:rPr>
                  </w:pPr>
                  <w:r>
                    <w:rPr>
                      <w:color w:val="auto"/>
                      <w:kern w:val="0"/>
                      <w:sz w:val="18"/>
                      <w:szCs w:val="18"/>
                      <w:u w:val="none"/>
                    </w:rPr>
                    <w:drawing>
                      <wp:inline distT="0" distB="0" distL="114300" distR="114300">
                        <wp:extent cx="976630" cy="864235"/>
                        <wp:effectExtent l="0" t="0" r="0" b="0"/>
                        <wp:docPr id="171"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22"/>
                                <pic:cNvPicPr>
                                  <a:picLocks noChangeAspect="1"/>
                                </pic:cNvPicPr>
                              </pic:nvPicPr>
                              <pic:blipFill>
                                <a:blip r:embed="rId32"/>
                                <a:stretch>
                                  <a:fillRect/>
                                </a:stretch>
                              </pic:blipFill>
                              <pic:spPr>
                                <a:xfrm>
                                  <a:off x="0" y="0"/>
                                  <a:ext cx="976630" cy="864235"/>
                                </a:xfrm>
                                <a:prstGeom prst="rect">
                                  <a:avLst/>
                                </a:prstGeom>
                                <a:noFill/>
                                <a:ln>
                                  <a:noFill/>
                                </a:ln>
                              </pic:spPr>
                            </pic:pic>
                          </a:graphicData>
                        </a:graphic>
                      </wp:inline>
                    </w:drawing>
                  </w:r>
                </w:p>
              </w:tc>
              <w:tc>
                <w:tcPr>
                  <w:tcW w:w="1689" w:type="dxa"/>
                  <w:noWrap w:val="0"/>
                  <w:vAlign w:val="center"/>
                </w:tcPr>
                <w:p>
                  <w:pPr>
                    <w:widowControl/>
                    <w:rPr>
                      <w:color w:val="auto"/>
                      <w:kern w:val="0"/>
                      <w:sz w:val="18"/>
                      <w:szCs w:val="18"/>
                      <w:u w:val="none"/>
                    </w:rPr>
                  </w:pPr>
                  <w:r>
                    <w:rPr>
                      <w:color w:val="auto"/>
                      <w:kern w:val="0"/>
                      <w:sz w:val="18"/>
                      <w:szCs w:val="18"/>
                      <w:u w:val="none"/>
                    </w:rPr>
                    <w:drawing>
                      <wp:inline distT="0" distB="0" distL="114300" distR="114300">
                        <wp:extent cx="976630" cy="864235"/>
                        <wp:effectExtent l="0" t="0" r="0" b="0"/>
                        <wp:docPr id="172"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23"/>
                                <pic:cNvPicPr>
                                  <a:picLocks noChangeAspect="1"/>
                                </pic:cNvPicPr>
                              </pic:nvPicPr>
                              <pic:blipFill>
                                <a:blip r:embed="rId33"/>
                                <a:stretch>
                                  <a:fillRect/>
                                </a:stretch>
                              </pic:blipFill>
                              <pic:spPr>
                                <a:xfrm>
                                  <a:off x="0" y="0"/>
                                  <a:ext cx="976630" cy="864235"/>
                                </a:xfrm>
                                <a:prstGeom prst="rect">
                                  <a:avLst/>
                                </a:prstGeom>
                                <a:noFill/>
                                <a:ln>
                                  <a:noFill/>
                                </a:ln>
                              </pic:spPr>
                            </pic:pic>
                          </a:graphicData>
                        </a:graphic>
                      </wp:inline>
                    </w:drawing>
                  </w:r>
                </w:p>
              </w:tc>
              <w:tc>
                <w:tcPr>
                  <w:tcW w:w="1829" w:type="dxa"/>
                  <w:noWrap w:val="0"/>
                  <w:vAlign w:val="center"/>
                </w:tcPr>
                <w:p>
                  <w:pPr>
                    <w:widowControl/>
                    <w:jc w:val="center"/>
                    <w:rPr>
                      <w:color w:val="auto"/>
                      <w:kern w:val="0"/>
                      <w:sz w:val="18"/>
                      <w:szCs w:val="18"/>
                      <w:u w:val="none"/>
                    </w:rPr>
                  </w:pPr>
                  <w:r>
                    <w:rPr>
                      <w:color w:val="auto"/>
                      <w:kern w:val="0"/>
                      <w:sz w:val="18"/>
                      <w:szCs w:val="18"/>
                      <w:u w:val="none"/>
                    </w:rPr>
                    <w:drawing>
                      <wp:inline distT="0" distB="0" distL="114300" distR="114300">
                        <wp:extent cx="1071245" cy="864235"/>
                        <wp:effectExtent l="0" t="0" r="0" b="0"/>
                        <wp:docPr id="173"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24"/>
                                <pic:cNvPicPr>
                                  <a:picLocks noChangeAspect="1"/>
                                </pic:cNvPicPr>
                              </pic:nvPicPr>
                              <pic:blipFill>
                                <a:blip r:embed="rId34"/>
                                <a:stretch>
                                  <a:fillRect/>
                                </a:stretch>
                              </pic:blipFill>
                              <pic:spPr>
                                <a:xfrm>
                                  <a:off x="0" y="0"/>
                                  <a:ext cx="1071245" cy="864235"/>
                                </a:xfrm>
                                <a:prstGeom prst="rect">
                                  <a:avLst/>
                                </a:prstGeom>
                                <a:noFill/>
                                <a:ln>
                                  <a:noFill/>
                                </a:ln>
                              </pic:spPr>
                            </pic:pic>
                          </a:graphicData>
                        </a:graphic>
                      </wp:inline>
                    </w:drawing>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46" w:type="dxa"/>
                  <w:noWrap w:val="0"/>
                  <w:vAlign w:val="center"/>
                </w:tcPr>
                <w:p>
                  <w:pPr>
                    <w:widowControl/>
                    <w:jc w:val="center"/>
                    <w:rPr>
                      <w:color w:val="auto"/>
                      <w:kern w:val="0"/>
                      <w:sz w:val="18"/>
                      <w:szCs w:val="18"/>
                      <w:u w:val="none"/>
                    </w:rPr>
                  </w:pPr>
                  <w:r>
                    <w:rPr>
                      <w:color w:val="auto"/>
                      <w:kern w:val="0"/>
                      <w:sz w:val="18"/>
                      <w:szCs w:val="18"/>
                      <w:u w:val="none"/>
                    </w:rPr>
                    <w:t>背景颜色</w:t>
                  </w:r>
                </w:p>
              </w:tc>
              <w:tc>
                <w:tcPr>
                  <w:tcW w:w="5062" w:type="dxa"/>
                  <w:gridSpan w:val="3"/>
                  <w:noWrap w:val="0"/>
                  <w:vAlign w:val="center"/>
                </w:tcPr>
                <w:p>
                  <w:pPr>
                    <w:widowControl/>
                    <w:jc w:val="center"/>
                    <w:rPr>
                      <w:color w:val="auto"/>
                      <w:kern w:val="0"/>
                      <w:sz w:val="18"/>
                      <w:szCs w:val="18"/>
                      <w:u w:val="none"/>
                    </w:rPr>
                  </w:pPr>
                  <w:r>
                    <w:rPr>
                      <w:color w:val="auto"/>
                      <w:kern w:val="0"/>
                      <w:sz w:val="18"/>
                      <w:szCs w:val="18"/>
                      <w:u w:val="none"/>
                    </w:rPr>
                    <w:t>绿色</w:t>
                  </w:r>
                </w:p>
              </w:tc>
              <w:tc>
                <w:tcPr>
                  <w:tcW w:w="1829" w:type="dxa"/>
                  <w:noWrap w:val="0"/>
                  <w:vAlign w:val="center"/>
                </w:tcPr>
                <w:p>
                  <w:pPr>
                    <w:widowControl/>
                    <w:jc w:val="center"/>
                    <w:rPr>
                      <w:color w:val="auto"/>
                      <w:kern w:val="0"/>
                      <w:sz w:val="18"/>
                      <w:szCs w:val="18"/>
                      <w:u w:val="none"/>
                    </w:rPr>
                  </w:pPr>
                  <w:r>
                    <w:rPr>
                      <w:color w:val="auto"/>
                      <w:kern w:val="0"/>
                      <w:sz w:val="18"/>
                      <w:szCs w:val="18"/>
                      <w:u w:val="none"/>
                    </w:rPr>
                    <w:t>黄色</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46" w:type="dxa"/>
                  <w:noWrap w:val="0"/>
                  <w:vAlign w:val="center"/>
                </w:tcPr>
                <w:p>
                  <w:pPr>
                    <w:widowControl/>
                    <w:jc w:val="center"/>
                    <w:rPr>
                      <w:color w:val="auto"/>
                      <w:kern w:val="0"/>
                      <w:sz w:val="18"/>
                      <w:szCs w:val="18"/>
                      <w:u w:val="none"/>
                    </w:rPr>
                  </w:pPr>
                  <w:r>
                    <w:rPr>
                      <w:color w:val="auto"/>
                      <w:kern w:val="0"/>
                      <w:sz w:val="18"/>
                      <w:szCs w:val="18"/>
                      <w:u w:val="none"/>
                    </w:rPr>
                    <w:t>图形颜色</w:t>
                  </w:r>
                </w:p>
              </w:tc>
              <w:tc>
                <w:tcPr>
                  <w:tcW w:w="5062" w:type="dxa"/>
                  <w:gridSpan w:val="3"/>
                  <w:noWrap w:val="0"/>
                  <w:vAlign w:val="center"/>
                </w:tcPr>
                <w:p>
                  <w:pPr>
                    <w:widowControl/>
                    <w:jc w:val="center"/>
                    <w:rPr>
                      <w:color w:val="auto"/>
                      <w:kern w:val="0"/>
                      <w:sz w:val="18"/>
                      <w:szCs w:val="18"/>
                      <w:u w:val="none"/>
                    </w:rPr>
                  </w:pPr>
                  <w:r>
                    <w:rPr>
                      <w:color w:val="auto"/>
                      <w:kern w:val="0"/>
                      <w:sz w:val="18"/>
                      <w:szCs w:val="18"/>
                      <w:u w:val="none"/>
                    </w:rPr>
                    <w:t>白色</w:t>
                  </w:r>
                </w:p>
              </w:tc>
              <w:tc>
                <w:tcPr>
                  <w:tcW w:w="1829" w:type="dxa"/>
                  <w:noWrap w:val="0"/>
                  <w:vAlign w:val="center"/>
                </w:tcPr>
                <w:p>
                  <w:pPr>
                    <w:widowControl/>
                    <w:jc w:val="center"/>
                    <w:rPr>
                      <w:color w:val="auto"/>
                      <w:kern w:val="0"/>
                      <w:sz w:val="18"/>
                      <w:szCs w:val="18"/>
                      <w:u w:val="none"/>
                    </w:rPr>
                  </w:pPr>
                  <w:r>
                    <w:rPr>
                      <w:color w:val="auto"/>
                      <w:kern w:val="0"/>
                      <w:sz w:val="18"/>
                      <w:szCs w:val="18"/>
                      <w:u w:val="none"/>
                    </w:rPr>
                    <w:t>黑色</w:t>
                  </w:r>
                </w:p>
              </w:tc>
            </w:tr>
          </w:tbl>
          <w:p>
            <w:pPr>
              <w:pStyle w:val="68"/>
              <w:spacing w:line="360" w:lineRule="auto"/>
              <w:ind w:firstLine="482"/>
              <w:rPr>
                <w:rFonts w:hint="default" w:eastAsia="宋体"/>
                <w:b/>
                <w:bCs/>
                <w:color w:val="auto"/>
                <w:u w:val="none"/>
                <w:lang w:val="en-US" w:eastAsia="zh-CN"/>
              </w:rPr>
            </w:pPr>
            <w:r>
              <w:rPr>
                <w:b/>
                <w:bCs/>
                <w:color w:val="auto"/>
                <w:u w:val="none"/>
              </w:rPr>
              <w:t>八、项目</w:t>
            </w:r>
            <w:r>
              <w:rPr>
                <w:rFonts w:hint="eastAsia"/>
                <w:b/>
                <w:bCs/>
                <w:color w:val="auto"/>
                <w:u w:val="none"/>
                <w:lang w:val="en-US" w:eastAsia="zh-CN"/>
              </w:rPr>
              <w:t>产排污情况汇总</w:t>
            </w:r>
          </w:p>
          <w:p>
            <w:pPr>
              <w:pStyle w:val="68"/>
              <w:spacing w:line="360" w:lineRule="auto"/>
              <w:ind w:firstLine="480"/>
              <w:rPr>
                <w:color w:val="auto"/>
                <w:u w:val="none"/>
              </w:rPr>
            </w:pPr>
            <w:r>
              <w:rPr>
                <w:color w:val="auto"/>
                <w:u w:val="none"/>
              </w:rPr>
              <w:t>本项目</w:t>
            </w:r>
            <w:r>
              <w:rPr>
                <w:rFonts w:hint="eastAsia"/>
                <w:color w:val="auto"/>
                <w:u w:val="none"/>
                <w:lang w:val="en-US" w:eastAsia="zh-CN"/>
              </w:rPr>
              <w:t>产排污</w:t>
            </w:r>
            <w:r>
              <w:rPr>
                <w:color w:val="auto"/>
                <w:u w:val="none"/>
              </w:rPr>
              <w:t>情况如下表所示：</w:t>
            </w:r>
          </w:p>
          <w:p>
            <w:pPr>
              <w:jc w:val="center"/>
              <w:rPr>
                <w:b/>
                <w:color w:val="auto"/>
                <w:szCs w:val="21"/>
                <w:highlight w:val="none"/>
                <w:u w:val="none"/>
              </w:rPr>
            </w:pPr>
            <w:r>
              <w:rPr>
                <w:b/>
                <w:color w:val="auto"/>
                <w:szCs w:val="21"/>
                <w:highlight w:val="none"/>
                <w:u w:val="none"/>
              </w:rPr>
              <w:t>表4-</w:t>
            </w:r>
            <w:r>
              <w:rPr>
                <w:rFonts w:hint="eastAsia"/>
                <w:b/>
                <w:color w:val="auto"/>
                <w:szCs w:val="21"/>
                <w:highlight w:val="none"/>
                <w:u w:val="none"/>
                <w:lang w:val="en-US" w:eastAsia="zh-CN"/>
              </w:rPr>
              <w:t xml:space="preserve">9 </w:t>
            </w:r>
            <w:r>
              <w:rPr>
                <w:b/>
                <w:color w:val="auto"/>
                <w:szCs w:val="21"/>
                <w:highlight w:val="none"/>
                <w:u w:val="none"/>
              </w:rPr>
              <w:t>项目建成后</w:t>
            </w:r>
            <w:r>
              <w:rPr>
                <w:rFonts w:hint="eastAsia"/>
                <w:b/>
                <w:color w:val="auto"/>
                <w:szCs w:val="21"/>
                <w:highlight w:val="none"/>
                <w:u w:val="none"/>
                <w:lang w:val="en-US" w:eastAsia="zh-CN"/>
              </w:rPr>
              <w:t>污染物排放汇总表</w:t>
            </w:r>
            <w:r>
              <w:rPr>
                <w:b/>
                <w:color w:val="auto"/>
                <w:szCs w:val="21"/>
                <w:highlight w:val="none"/>
                <w:u w:val="none"/>
              </w:rPr>
              <w:t>（单位：t/a）</w:t>
            </w:r>
          </w:p>
          <w:tbl>
            <w:tblPr>
              <w:tblStyle w:val="30"/>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77"/>
              <w:gridCol w:w="1238"/>
              <w:gridCol w:w="38"/>
              <w:gridCol w:w="1838"/>
              <w:gridCol w:w="154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72" w:hRule="atLeast"/>
                <w:jc w:val="center"/>
              </w:trPr>
              <w:tc>
                <w:tcPr>
                  <w:tcW w:w="777" w:type="dxa"/>
                  <w:noWrap w:val="0"/>
                  <w:vAlign w:val="center"/>
                </w:tcPr>
                <w:p>
                  <w:pPr>
                    <w:ind w:left="-105" w:leftChars="-50" w:right="-105" w:rightChars="-50"/>
                    <w:jc w:val="center"/>
                    <w:rPr>
                      <w:rFonts w:hint="eastAsia" w:ascii="宋体" w:hAnsi="宋体" w:eastAsia="宋体" w:cs="宋体"/>
                      <w:color w:val="auto"/>
                      <w:sz w:val="18"/>
                      <w:szCs w:val="18"/>
                      <w:highlight w:val="none"/>
                      <w:u w:val="none"/>
                    </w:rPr>
                  </w:pPr>
                  <w:r>
                    <w:rPr>
                      <w:rFonts w:hint="eastAsia" w:ascii="宋体" w:hAnsi="宋体" w:eastAsia="宋体" w:cs="宋体"/>
                      <w:color w:val="auto"/>
                      <w:sz w:val="18"/>
                      <w:szCs w:val="18"/>
                      <w:highlight w:val="none"/>
                      <w:u w:val="none"/>
                    </w:rPr>
                    <w:t>类别</w:t>
                  </w:r>
                </w:p>
              </w:tc>
              <w:tc>
                <w:tcPr>
                  <w:tcW w:w="1238" w:type="dxa"/>
                  <w:noWrap w:val="0"/>
                  <w:vAlign w:val="center"/>
                </w:tcPr>
                <w:p>
                  <w:pPr>
                    <w:ind w:left="-105" w:leftChars="-50" w:right="-105" w:rightChars="-50"/>
                    <w:jc w:val="center"/>
                    <w:rPr>
                      <w:rFonts w:hint="eastAsia" w:ascii="宋体" w:hAnsi="宋体" w:eastAsia="宋体" w:cs="宋体"/>
                      <w:color w:val="auto"/>
                      <w:sz w:val="18"/>
                      <w:szCs w:val="18"/>
                      <w:highlight w:val="none"/>
                      <w:u w:val="none"/>
                    </w:rPr>
                  </w:pPr>
                  <w:r>
                    <w:rPr>
                      <w:rFonts w:hint="eastAsia" w:ascii="宋体" w:hAnsi="宋体" w:eastAsia="宋体" w:cs="宋体"/>
                      <w:color w:val="auto"/>
                      <w:sz w:val="18"/>
                      <w:szCs w:val="18"/>
                      <w:highlight w:val="none"/>
                      <w:u w:val="none"/>
                    </w:rPr>
                    <w:t>污染源</w:t>
                  </w:r>
                </w:p>
              </w:tc>
              <w:tc>
                <w:tcPr>
                  <w:tcW w:w="1876" w:type="dxa"/>
                  <w:gridSpan w:val="2"/>
                  <w:noWrap w:val="0"/>
                  <w:vAlign w:val="center"/>
                </w:tcPr>
                <w:p>
                  <w:pPr>
                    <w:ind w:left="-105" w:leftChars="-50" w:right="-105" w:rightChars="-50"/>
                    <w:jc w:val="center"/>
                    <w:rPr>
                      <w:rFonts w:hint="eastAsia" w:ascii="宋体" w:hAnsi="宋体" w:eastAsia="宋体" w:cs="宋体"/>
                      <w:color w:val="auto"/>
                      <w:sz w:val="18"/>
                      <w:szCs w:val="18"/>
                      <w:highlight w:val="none"/>
                      <w:u w:val="none"/>
                    </w:rPr>
                  </w:pPr>
                  <w:r>
                    <w:rPr>
                      <w:rFonts w:hint="eastAsia" w:ascii="宋体" w:hAnsi="宋体" w:eastAsia="宋体" w:cs="宋体"/>
                      <w:color w:val="auto"/>
                      <w:sz w:val="18"/>
                      <w:szCs w:val="18"/>
                      <w:highlight w:val="none"/>
                      <w:u w:val="none"/>
                    </w:rPr>
                    <w:t>污染物</w:t>
                  </w:r>
                </w:p>
              </w:tc>
              <w:tc>
                <w:tcPr>
                  <w:tcW w:w="1547" w:type="dxa"/>
                  <w:noWrap w:val="0"/>
                  <w:vAlign w:val="center"/>
                </w:tcPr>
                <w:p>
                  <w:pPr>
                    <w:pStyle w:val="2"/>
                    <w:ind w:left="-105" w:leftChars="-50" w:right="-105" w:rightChars="-50"/>
                    <w:jc w:val="center"/>
                    <w:rPr>
                      <w:rFonts w:hint="eastAsia" w:ascii="宋体" w:hAnsi="宋体" w:eastAsia="宋体" w:cs="宋体"/>
                      <w:color w:val="auto"/>
                      <w:sz w:val="18"/>
                      <w:szCs w:val="18"/>
                      <w:highlight w:val="none"/>
                      <w:u w:val="none"/>
                    </w:rPr>
                  </w:pPr>
                  <w:r>
                    <w:rPr>
                      <w:rFonts w:hint="eastAsia" w:ascii="宋体" w:hAnsi="宋体" w:eastAsia="宋体" w:cs="宋体"/>
                      <w:color w:val="auto"/>
                      <w:sz w:val="18"/>
                      <w:szCs w:val="18"/>
                      <w:highlight w:val="none"/>
                      <w:u w:val="none"/>
                    </w:rPr>
                    <w:t>排放量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52" w:hRule="atLeast"/>
                <w:jc w:val="center"/>
              </w:trPr>
              <w:tc>
                <w:tcPr>
                  <w:tcW w:w="777" w:type="dxa"/>
                  <w:vMerge w:val="restart"/>
                  <w:noWrap w:val="0"/>
                  <w:vAlign w:val="center"/>
                </w:tcPr>
                <w:p>
                  <w:pPr>
                    <w:ind w:left="-105" w:leftChars="-50" w:right="-105" w:rightChars="-50"/>
                    <w:jc w:val="center"/>
                    <w:rPr>
                      <w:rFonts w:hint="eastAsia" w:ascii="宋体" w:hAnsi="宋体" w:eastAsia="宋体" w:cs="宋体"/>
                      <w:color w:val="auto"/>
                      <w:sz w:val="18"/>
                      <w:szCs w:val="18"/>
                      <w:highlight w:val="none"/>
                      <w:u w:val="none"/>
                    </w:rPr>
                  </w:pPr>
                  <w:r>
                    <w:rPr>
                      <w:rFonts w:hint="eastAsia" w:ascii="宋体" w:hAnsi="宋体" w:eastAsia="宋体" w:cs="宋体"/>
                      <w:color w:val="auto"/>
                      <w:sz w:val="18"/>
                      <w:szCs w:val="18"/>
                      <w:highlight w:val="none"/>
                      <w:u w:val="none"/>
                    </w:rPr>
                    <w:t>大气</w:t>
                  </w:r>
                </w:p>
              </w:tc>
              <w:tc>
                <w:tcPr>
                  <w:tcW w:w="1238" w:type="dxa"/>
                  <w:noWrap w:val="0"/>
                  <w:vAlign w:val="center"/>
                </w:tcPr>
                <w:p>
                  <w:pPr>
                    <w:ind w:left="-105" w:leftChars="-50" w:right="-105" w:rightChars="-50"/>
                    <w:jc w:val="center"/>
                    <w:rPr>
                      <w:rFonts w:hint="eastAsia" w:ascii="宋体" w:hAnsi="宋体" w:eastAsia="宋体" w:cs="宋体"/>
                      <w:color w:val="auto"/>
                      <w:sz w:val="18"/>
                      <w:szCs w:val="18"/>
                      <w:highlight w:val="none"/>
                      <w:u w:val="none"/>
                    </w:rPr>
                  </w:pPr>
                  <w:r>
                    <w:rPr>
                      <w:rFonts w:hint="eastAsia" w:ascii="宋体" w:hAnsi="宋体" w:eastAsia="宋体" w:cs="宋体"/>
                      <w:bCs/>
                      <w:color w:val="auto"/>
                      <w:sz w:val="18"/>
                      <w:szCs w:val="18"/>
                      <w:lang w:eastAsia="zh-CN"/>
                    </w:rPr>
                    <w:t>一般固废装卸、贮存粉尘</w:t>
                  </w:r>
                </w:p>
              </w:tc>
              <w:tc>
                <w:tcPr>
                  <w:tcW w:w="1876" w:type="dxa"/>
                  <w:gridSpan w:val="2"/>
                  <w:noWrap w:val="0"/>
                  <w:vAlign w:val="center"/>
                </w:tcPr>
                <w:p>
                  <w:pPr>
                    <w:pStyle w:val="61"/>
                    <w:ind w:left="-105" w:leftChars="-50" w:right="-105" w:rightChars="-50"/>
                    <w:rPr>
                      <w:rFonts w:hint="eastAsia" w:ascii="宋体" w:hAnsi="宋体" w:eastAsia="宋体" w:cs="宋体"/>
                      <w:color w:val="auto"/>
                      <w:sz w:val="18"/>
                      <w:szCs w:val="18"/>
                      <w:highlight w:val="none"/>
                      <w:u w:val="none"/>
                      <w:lang w:val="en-US" w:eastAsia="zh-CN"/>
                    </w:rPr>
                  </w:pPr>
                  <w:r>
                    <w:rPr>
                      <w:rFonts w:hint="eastAsia" w:ascii="宋体" w:hAnsi="宋体" w:eastAsia="宋体" w:cs="宋体"/>
                      <w:color w:val="auto"/>
                      <w:sz w:val="18"/>
                      <w:szCs w:val="18"/>
                      <w:highlight w:val="none"/>
                      <w:u w:val="none"/>
                      <w:lang w:val="en-US" w:eastAsia="zh-CN"/>
                    </w:rPr>
                    <w:t>粉尘</w:t>
                  </w:r>
                </w:p>
              </w:tc>
              <w:tc>
                <w:tcPr>
                  <w:tcW w:w="1547" w:type="dxa"/>
                  <w:noWrap w:val="0"/>
                  <w:vAlign w:val="center"/>
                </w:tcPr>
                <w:p>
                  <w:pPr>
                    <w:ind w:left="-105" w:leftChars="-50" w:right="-105" w:rightChars="-50"/>
                    <w:jc w:val="center"/>
                    <w:rPr>
                      <w:rFonts w:hint="eastAsia" w:ascii="宋体" w:hAnsi="宋体" w:eastAsia="宋体" w:cs="宋体"/>
                      <w:color w:val="auto"/>
                      <w:sz w:val="18"/>
                      <w:szCs w:val="18"/>
                      <w:highlight w:val="none"/>
                      <w:u w:val="none"/>
                      <w:lang w:val="en-US" w:eastAsia="zh-CN"/>
                    </w:rPr>
                  </w:pPr>
                  <w:r>
                    <w:rPr>
                      <w:rFonts w:hint="eastAsia" w:ascii="宋体" w:hAnsi="宋体" w:eastAsia="宋体" w:cs="宋体"/>
                      <w:color w:val="auto"/>
                      <w:sz w:val="18"/>
                      <w:szCs w:val="18"/>
                      <w:highlight w:val="none"/>
                      <w:u w:val="none"/>
                      <w:lang w:val="en-US" w:eastAsia="zh-CN"/>
                    </w:rPr>
                    <w:t>0.0165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2" w:hRule="atLeast"/>
                <w:jc w:val="center"/>
              </w:trPr>
              <w:tc>
                <w:tcPr>
                  <w:tcW w:w="777" w:type="dxa"/>
                  <w:vMerge w:val="continue"/>
                  <w:noWrap w:val="0"/>
                  <w:vAlign w:val="center"/>
                </w:tcPr>
                <w:p>
                  <w:pPr>
                    <w:ind w:left="-105" w:leftChars="-50" w:right="-105" w:rightChars="-50"/>
                    <w:jc w:val="center"/>
                    <w:rPr>
                      <w:rFonts w:hint="eastAsia" w:ascii="宋体" w:hAnsi="宋体" w:eastAsia="宋体" w:cs="宋体"/>
                      <w:color w:val="auto"/>
                      <w:sz w:val="18"/>
                      <w:szCs w:val="18"/>
                      <w:highlight w:val="none"/>
                      <w:u w:val="none"/>
                    </w:rPr>
                  </w:pPr>
                </w:p>
              </w:tc>
              <w:tc>
                <w:tcPr>
                  <w:tcW w:w="1238" w:type="dxa"/>
                  <w:noWrap w:val="0"/>
                  <w:vAlign w:val="center"/>
                </w:tcPr>
                <w:p>
                  <w:pPr>
                    <w:pStyle w:val="61"/>
                    <w:ind w:left="-105" w:leftChars="-50" w:right="-105" w:rightChars="-50"/>
                    <w:rPr>
                      <w:rFonts w:hint="eastAsia" w:ascii="宋体" w:hAnsi="宋体" w:eastAsia="宋体" w:cs="宋体"/>
                      <w:color w:val="auto"/>
                      <w:sz w:val="18"/>
                      <w:szCs w:val="18"/>
                      <w:highlight w:val="none"/>
                      <w:u w:val="none"/>
                    </w:rPr>
                  </w:pPr>
                  <w:r>
                    <w:rPr>
                      <w:rFonts w:hint="eastAsia" w:ascii="宋体" w:hAnsi="宋体" w:eastAsia="宋体" w:cs="宋体"/>
                      <w:color w:val="auto"/>
                      <w:sz w:val="18"/>
                      <w:szCs w:val="18"/>
                      <w:highlight w:val="none"/>
                      <w:u w:val="none"/>
                    </w:rPr>
                    <w:t>原料装卸</w:t>
                  </w:r>
                </w:p>
              </w:tc>
              <w:tc>
                <w:tcPr>
                  <w:tcW w:w="1876" w:type="dxa"/>
                  <w:gridSpan w:val="2"/>
                  <w:noWrap w:val="0"/>
                  <w:vAlign w:val="center"/>
                </w:tcPr>
                <w:p>
                  <w:pPr>
                    <w:pStyle w:val="61"/>
                    <w:ind w:left="-105" w:leftChars="-50" w:right="-105" w:rightChars="-50"/>
                    <w:rPr>
                      <w:rFonts w:hint="eastAsia" w:ascii="宋体" w:hAnsi="宋体" w:eastAsia="宋体" w:cs="宋体"/>
                      <w:color w:val="auto"/>
                      <w:sz w:val="18"/>
                      <w:szCs w:val="18"/>
                      <w:highlight w:val="none"/>
                      <w:u w:val="none"/>
                    </w:rPr>
                  </w:pPr>
                  <w:r>
                    <w:rPr>
                      <w:rFonts w:hint="eastAsia" w:ascii="宋体" w:hAnsi="宋体" w:eastAsia="宋体" w:cs="宋体"/>
                      <w:color w:val="auto"/>
                      <w:sz w:val="18"/>
                      <w:szCs w:val="18"/>
                      <w:highlight w:val="none"/>
                      <w:u w:val="none"/>
                    </w:rPr>
                    <w:t>粉尘</w:t>
                  </w:r>
                </w:p>
              </w:tc>
              <w:tc>
                <w:tcPr>
                  <w:tcW w:w="1547" w:type="dxa"/>
                  <w:noWrap w:val="0"/>
                  <w:vAlign w:val="center"/>
                </w:tcPr>
                <w:p>
                  <w:pPr>
                    <w:pStyle w:val="2"/>
                    <w:ind w:left="-105" w:leftChars="-50" w:right="-105" w:rightChars="-50"/>
                    <w:jc w:val="center"/>
                    <w:rPr>
                      <w:rFonts w:hint="eastAsia" w:ascii="宋体" w:hAnsi="宋体" w:eastAsia="宋体" w:cs="宋体"/>
                      <w:color w:val="auto"/>
                      <w:sz w:val="18"/>
                      <w:szCs w:val="18"/>
                      <w:highlight w:val="none"/>
                      <w:u w:val="none"/>
                      <w:lang w:val="en-US"/>
                    </w:rPr>
                  </w:pPr>
                  <w:r>
                    <w:rPr>
                      <w:rFonts w:hint="eastAsia" w:ascii="宋体" w:hAnsi="宋体" w:eastAsia="宋体" w:cs="宋体"/>
                      <w:color w:val="auto"/>
                      <w:sz w:val="18"/>
                      <w:szCs w:val="18"/>
                      <w:highlight w:val="none"/>
                      <w:u w:val="none"/>
                      <w:lang w:val="en-US" w:eastAsia="zh-CN"/>
                    </w:rPr>
                    <w:t>0.567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2" w:hRule="atLeast"/>
                <w:jc w:val="center"/>
              </w:trPr>
              <w:tc>
                <w:tcPr>
                  <w:tcW w:w="777" w:type="dxa"/>
                  <w:vMerge w:val="continue"/>
                  <w:noWrap w:val="0"/>
                  <w:vAlign w:val="center"/>
                </w:tcPr>
                <w:p>
                  <w:pPr>
                    <w:ind w:left="-105" w:leftChars="-50" w:right="-105" w:rightChars="-50"/>
                    <w:jc w:val="center"/>
                    <w:rPr>
                      <w:rFonts w:hint="eastAsia" w:ascii="宋体" w:hAnsi="宋体" w:eastAsia="宋体" w:cs="宋体"/>
                      <w:color w:val="auto"/>
                      <w:sz w:val="18"/>
                      <w:szCs w:val="18"/>
                      <w:highlight w:val="none"/>
                      <w:u w:val="none"/>
                    </w:rPr>
                  </w:pPr>
                </w:p>
              </w:tc>
              <w:tc>
                <w:tcPr>
                  <w:tcW w:w="1238" w:type="dxa"/>
                  <w:noWrap w:val="0"/>
                  <w:vAlign w:val="center"/>
                </w:tcPr>
                <w:p>
                  <w:pPr>
                    <w:pStyle w:val="61"/>
                    <w:ind w:left="-105" w:leftChars="-50" w:right="-105" w:rightChars="-50"/>
                    <w:rPr>
                      <w:rFonts w:hint="eastAsia" w:ascii="宋体" w:hAnsi="宋体" w:eastAsia="宋体" w:cs="宋体"/>
                      <w:color w:val="auto"/>
                      <w:sz w:val="18"/>
                      <w:szCs w:val="18"/>
                      <w:highlight w:val="none"/>
                      <w:u w:val="none"/>
                    </w:rPr>
                  </w:pPr>
                  <w:r>
                    <w:rPr>
                      <w:rFonts w:hint="eastAsia" w:ascii="宋体" w:hAnsi="宋体" w:eastAsia="宋体" w:cs="宋体"/>
                      <w:color w:val="auto"/>
                      <w:sz w:val="18"/>
                      <w:szCs w:val="18"/>
                      <w:highlight w:val="none"/>
                      <w:u w:val="none"/>
                    </w:rPr>
                    <w:t>筛分破碎</w:t>
                  </w:r>
                </w:p>
              </w:tc>
              <w:tc>
                <w:tcPr>
                  <w:tcW w:w="1876" w:type="dxa"/>
                  <w:gridSpan w:val="2"/>
                  <w:noWrap w:val="0"/>
                  <w:vAlign w:val="center"/>
                </w:tcPr>
                <w:p>
                  <w:pPr>
                    <w:pStyle w:val="61"/>
                    <w:ind w:left="-105" w:leftChars="-50" w:right="-105" w:rightChars="-50"/>
                    <w:rPr>
                      <w:rFonts w:hint="eastAsia" w:ascii="宋体" w:hAnsi="宋体" w:eastAsia="宋体" w:cs="宋体"/>
                      <w:color w:val="auto"/>
                      <w:sz w:val="18"/>
                      <w:szCs w:val="18"/>
                      <w:highlight w:val="none"/>
                      <w:u w:val="none"/>
                    </w:rPr>
                  </w:pPr>
                  <w:r>
                    <w:rPr>
                      <w:rFonts w:hint="eastAsia" w:ascii="宋体" w:hAnsi="宋体" w:eastAsia="宋体" w:cs="宋体"/>
                      <w:color w:val="auto"/>
                      <w:sz w:val="18"/>
                      <w:szCs w:val="18"/>
                      <w:highlight w:val="none"/>
                      <w:u w:val="none"/>
                    </w:rPr>
                    <w:t>粉尘</w:t>
                  </w:r>
                </w:p>
              </w:tc>
              <w:tc>
                <w:tcPr>
                  <w:tcW w:w="1547" w:type="dxa"/>
                  <w:noWrap w:val="0"/>
                  <w:vAlign w:val="center"/>
                </w:tcPr>
                <w:p>
                  <w:pPr>
                    <w:pStyle w:val="2"/>
                    <w:ind w:left="-105" w:leftChars="-50" w:right="-105" w:rightChars="-50"/>
                    <w:jc w:val="center"/>
                    <w:rPr>
                      <w:rFonts w:hint="default" w:ascii="宋体" w:hAnsi="宋体" w:eastAsia="宋体" w:cs="宋体"/>
                      <w:color w:val="auto"/>
                      <w:sz w:val="18"/>
                      <w:szCs w:val="18"/>
                      <w:highlight w:val="none"/>
                      <w:u w:val="none"/>
                      <w:lang w:val="en-US" w:eastAsia="zh-CN"/>
                    </w:rPr>
                  </w:pPr>
                  <w:r>
                    <w:rPr>
                      <w:rFonts w:hint="eastAsia" w:ascii="宋体" w:hAnsi="宋体" w:eastAsia="宋体" w:cs="宋体"/>
                      <w:color w:val="auto"/>
                      <w:sz w:val="18"/>
                      <w:szCs w:val="18"/>
                      <w:highlight w:val="none"/>
                      <w:u w:val="none"/>
                      <w:lang w:val="en-US" w:eastAsia="zh-CN"/>
                    </w:rPr>
                    <w:t>0.</w:t>
                  </w:r>
                  <w:r>
                    <w:rPr>
                      <w:rFonts w:hint="eastAsia" w:cs="宋体"/>
                      <w:color w:val="auto"/>
                      <w:sz w:val="18"/>
                      <w:szCs w:val="18"/>
                      <w:highlight w:val="none"/>
                      <w:u w:val="none"/>
                      <w:lang w:val="en-US" w:eastAsia="zh-CN"/>
                    </w:rPr>
                    <w:t>139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2" w:hRule="atLeast"/>
                <w:jc w:val="center"/>
              </w:trPr>
              <w:tc>
                <w:tcPr>
                  <w:tcW w:w="777" w:type="dxa"/>
                  <w:vMerge w:val="continue"/>
                  <w:noWrap w:val="0"/>
                  <w:vAlign w:val="center"/>
                </w:tcPr>
                <w:p>
                  <w:pPr>
                    <w:ind w:left="-105" w:leftChars="-50" w:right="-105" w:rightChars="-50"/>
                    <w:jc w:val="center"/>
                    <w:rPr>
                      <w:rFonts w:hint="eastAsia" w:ascii="宋体" w:hAnsi="宋体" w:eastAsia="宋体" w:cs="宋体"/>
                      <w:color w:val="auto"/>
                      <w:sz w:val="18"/>
                      <w:szCs w:val="18"/>
                      <w:highlight w:val="none"/>
                      <w:u w:val="none"/>
                    </w:rPr>
                  </w:pPr>
                </w:p>
              </w:tc>
              <w:tc>
                <w:tcPr>
                  <w:tcW w:w="1238" w:type="dxa"/>
                  <w:vMerge w:val="restart"/>
                  <w:noWrap w:val="0"/>
                  <w:vAlign w:val="center"/>
                </w:tcPr>
                <w:p>
                  <w:pPr>
                    <w:ind w:left="-105" w:leftChars="-50" w:right="-105" w:rightChars="-50"/>
                    <w:jc w:val="center"/>
                    <w:rPr>
                      <w:rFonts w:hint="eastAsia" w:ascii="宋体" w:hAnsi="宋体" w:eastAsia="宋体" w:cs="宋体"/>
                      <w:color w:val="auto"/>
                      <w:sz w:val="18"/>
                      <w:szCs w:val="18"/>
                      <w:highlight w:val="none"/>
                      <w:u w:val="none"/>
                    </w:rPr>
                  </w:pPr>
                  <w:r>
                    <w:rPr>
                      <w:rFonts w:hint="eastAsia" w:ascii="宋体" w:hAnsi="宋体" w:eastAsia="宋体" w:cs="宋体"/>
                      <w:color w:val="auto"/>
                      <w:sz w:val="18"/>
                      <w:szCs w:val="18"/>
                      <w:highlight w:val="none"/>
                      <w:u w:val="none"/>
                    </w:rPr>
                    <w:t>烧结烟气</w:t>
                  </w:r>
                </w:p>
              </w:tc>
              <w:tc>
                <w:tcPr>
                  <w:tcW w:w="1876" w:type="dxa"/>
                  <w:gridSpan w:val="2"/>
                  <w:noWrap w:val="0"/>
                  <w:vAlign w:val="center"/>
                </w:tcPr>
                <w:p>
                  <w:pPr>
                    <w:pStyle w:val="61"/>
                    <w:ind w:left="-105" w:leftChars="-50" w:right="-105" w:rightChars="-50"/>
                    <w:rPr>
                      <w:rFonts w:hint="eastAsia" w:ascii="宋体" w:hAnsi="宋体" w:eastAsia="宋体" w:cs="宋体"/>
                      <w:color w:val="auto"/>
                      <w:sz w:val="18"/>
                      <w:szCs w:val="18"/>
                      <w:highlight w:val="none"/>
                      <w:u w:val="none"/>
                    </w:rPr>
                  </w:pPr>
                  <w:r>
                    <w:rPr>
                      <w:rFonts w:hint="eastAsia" w:ascii="宋体" w:hAnsi="宋体" w:eastAsia="宋体" w:cs="宋体"/>
                      <w:color w:val="auto"/>
                      <w:sz w:val="18"/>
                      <w:szCs w:val="18"/>
                      <w:highlight w:val="none"/>
                      <w:u w:val="none"/>
                    </w:rPr>
                    <w:t>烟尘</w:t>
                  </w:r>
                </w:p>
              </w:tc>
              <w:tc>
                <w:tcPr>
                  <w:tcW w:w="1547" w:type="dxa"/>
                  <w:noWrap w:val="0"/>
                  <w:vAlign w:val="center"/>
                </w:tcPr>
                <w:p>
                  <w:pPr>
                    <w:pStyle w:val="2"/>
                    <w:ind w:left="-105" w:leftChars="-50" w:right="-105" w:rightChars="-50"/>
                    <w:jc w:val="center"/>
                    <w:rPr>
                      <w:rFonts w:hint="default" w:ascii="宋体" w:hAnsi="宋体" w:eastAsia="宋体" w:cs="宋体"/>
                      <w:color w:val="auto"/>
                      <w:sz w:val="18"/>
                      <w:szCs w:val="18"/>
                      <w:highlight w:val="none"/>
                      <w:u w:val="none"/>
                      <w:lang w:val="en-US" w:eastAsia="zh-CN"/>
                    </w:rPr>
                  </w:pPr>
                  <w:r>
                    <w:rPr>
                      <w:rFonts w:hint="eastAsia" w:cs="宋体"/>
                      <w:color w:val="auto"/>
                      <w:sz w:val="18"/>
                      <w:szCs w:val="18"/>
                      <w:highlight w:val="none"/>
                      <w:u w:val="none"/>
                      <w:lang w:val="en-US" w:eastAsia="zh-CN"/>
                    </w:rPr>
                    <w:t>2.736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2" w:hRule="atLeast"/>
                <w:jc w:val="center"/>
              </w:trPr>
              <w:tc>
                <w:tcPr>
                  <w:tcW w:w="777" w:type="dxa"/>
                  <w:vMerge w:val="continue"/>
                  <w:noWrap w:val="0"/>
                  <w:vAlign w:val="center"/>
                </w:tcPr>
                <w:p>
                  <w:pPr>
                    <w:ind w:left="-105" w:leftChars="-50" w:right="-105" w:rightChars="-50"/>
                    <w:jc w:val="center"/>
                    <w:rPr>
                      <w:rFonts w:hint="eastAsia" w:ascii="宋体" w:hAnsi="宋体" w:eastAsia="宋体" w:cs="宋体"/>
                      <w:color w:val="auto"/>
                      <w:sz w:val="18"/>
                      <w:szCs w:val="18"/>
                      <w:highlight w:val="none"/>
                      <w:u w:val="none"/>
                    </w:rPr>
                  </w:pPr>
                </w:p>
              </w:tc>
              <w:tc>
                <w:tcPr>
                  <w:tcW w:w="1238" w:type="dxa"/>
                  <w:vMerge w:val="continue"/>
                  <w:noWrap w:val="0"/>
                  <w:vAlign w:val="center"/>
                </w:tcPr>
                <w:p>
                  <w:pPr>
                    <w:ind w:left="-105" w:leftChars="-50" w:right="-105" w:rightChars="-50"/>
                    <w:jc w:val="center"/>
                    <w:rPr>
                      <w:rFonts w:hint="eastAsia" w:ascii="宋体" w:hAnsi="宋体" w:eastAsia="宋体" w:cs="宋体"/>
                      <w:color w:val="auto"/>
                      <w:sz w:val="18"/>
                      <w:szCs w:val="18"/>
                      <w:highlight w:val="none"/>
                      <w:u w:val="none"/>
                    </w:rPr>
                  </w:pPr>
                </w:p>
              </w:tc>
              <w:tc>
                <w:tcPr>
                  <w:tcW w:w="1876" w:type="dxa"/>
                  <w:gridSpan w:val="2"/>
                  <w:noWrap w:val="0"/>
                  <w:vAlign w:val="center"/>
                </w:tcPr>
                <w:p>
                  <w:pPr>
                    <w:pStyle w:val="61"/>
                    <w:ind w:left="-105" w:leftChars="-50" w:right="-105" w:rightChars="-50"/>
                    <w:rPr>
                      <w:rFonts w:hint="eastAsia" w:ascii="宋体" w:hAnsi="宋体" w:eastAsia="宋体" w:cs="宋体"/>
                      <w:color w:val="auto"/>
                      <w:sz w:val="18"/>
                      <w:szCs w:val="18"/>
                      <w:highlight w:val="none"/>
                      <w:u w:val="none"/>
                    </w:rPr>
                  </w:pPr>
                  <w:r>
                    <w:rPr>
                      <w:rFonts w:hint="eastAsia" w:ascii="宋体" w:hAnsi="宋体" w:eastAsia="宋体" w:cs="宋体"/>
                      <w:color w:val="auto"/>
                      <w:sz w:val="18"/>
                      <w:szCs w:val="18"/>
                      <w:highlight w:val="none"/>
                      <w:u w:val="none"/>
                    </w:rPr>
                    <w:t>SO</w:t>
                  </w:r>
                  <w:r>
                    <w:rPr>
                      <w:rFonts w:hint="eastAsia" w:ascii="宋体" w:hAnsi="宋体" w:eastAsia="宋体" w:cs="宋体"/>
                      <w:color w:val="auto"/>
                      <w:sz w:val="18"/>
                      <w:szCs w:val="18"/>
                      <w:highlight w:val="none"/>
                      <w:u w:val="none"/>
                      <w:vertAlign w:val="subscript"/>
                    </w:rPr>
                    <w:t>2</w:t>
                  </w:r>
                </w:p>
              </w:tc>
              <w:tc>
                <w:tcPr>
                  <w:tcW w:w="1547" w:type="dxa"/>
                  <w:noWrap w:val="0"/>
                  <w:vAlign w:val="center"/>
                </w:tcPr>
                <w:p>
                  <w:pPr>
                    <w:pStyle w:val="2"/>
                    <w:ind w:left="-105" w:leftChars="-50" w:right="-105" w:rightChars="-50"/>
                    <w:jc w:val="center"/>
                    <w:rPr>
                      <w:rFonts w:hint="default" w:ascii="宋体" w:hAnsi="宋体" w:eastAsia="宋体" w:cs="宋体"/>
                      <w:color w:val="auto"/>
                      <w:sz w:val="18"/>
                      <w:szCs w:val="18"/>
                      <w:highlight w:val="none"/>
                      <w:u w:val="none"/>
                      <w:lang w:val="en-US" w:eastAsia="zh-CN"/>
                    </w:rPr>
                  </w:pPr>
                  <w:r>
                    <w:rPr>
                      <w:rFonts w:hint="eastAsia" w:cs="宋体"/>
                      <w:color w:val="auto"/>
                      <w:sz w:val="18"/>
                      <w:szCs w:val="18"/>
                      <w:highlight w:val="none"/>
                      <w:u w:val="none"/>
                      <w:lang w:val="en-US" w:eastAsia="zh-CN"/>
                    </w:rPr>
                    <w:t>5.04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2" w:hRule="atLeast"/>
                <w:jc w:val="center"/>
              </w:trPr>
              <w:tc>
                <w:tcPr>
                  <w:tcW w:w="777" w:type="dxa"/>
                  <w:vMerge w:val="continue"/>
                  <w:noWrap w:val="0"/>
                  <w:vAlign w:val="center"/>
                </w:tcPr>
                <w:p>
                  <w:pPr>
                    <w:ind w:left="-105" w:leftChars="-50" w:right="-105" w:rightChars="-50"/>
                    <w:jc w:val="center"/>
                    <w:rPr>
                      <w:rFonts w:hint="eastAsia" w:ascii="宋体" w:hAnsi="宋体" w:eastAsia="宋体" w:cs="宋体"/>
                      <w:color w:val="auto"/>
                      <w:sz w:val="18"/>
                      <w:szCs w:val="18"/>
                      <w:highlight w:val="none"/>
                      <w:u w:val="none"/>
                    </w:rPr>
                  </w:pPr>
                </w:p>
              </w:tc>
              <w:tc>
                <w:tcPr>
                  <w:tcW w:w="1238" w:type="dxa"/>
                  <w:vMerge w:val="continue"/>
                  <w:noWrap w:val="0"/>
                  <w:vAlign w:val="center"/>
                </w:tcPr>
                <w:p>
                  <w:pPr>
                    <w:ind w:left="-105" w:leftChars="-50" w:right="-105" w:rightChars="-50"/>
                    <w:jc w:val="center"/>
                    <w:rPr>
                      <w:rFonts w:hint="eastAsia" w:ascii="宋体" w:hAnsi="宋体" w:eastAsia="宋体" w:cs="宋体"/>
                      <w:color w:val="auto"/>
                      <w:sz w:val="18"/>
                      <w:szCs w:val="18"/>
                      <w:highlight w:val="none"/>
                      <w:u w:val="none"/>
                    </w:rPr>
                  </w:pPr>
                </w:p>
              </w:tc>
              <w:tc>
                <w:tcPr>
                  <w:tcW w:w="1876" w:type="dxa"/>
                  <w:gridSpan w:val="2"/>
                  <w:noWrap w:val="0"/>
                  <w:vAlign w:val="center"/>
                </w:tcPr>
                <w:p>
                  <w:pPr>
                    <w:pStyle w:val="61"/>
                    <w:ind w:left="-105" w:leftChars="-50" w:right="-105" w:rightChars="-50"/>
                    <w:rPr>
                      <w:rFonts w:hint="eastAsia" w:ascii="宋体" w:hAnsi="宋体" w:eastAsia="宋体" w:cs="宋体"/>
                      <w:color w:val="auto"/>
                      <w:sz w:val="18"/>
                      <w:szCs w:val="18"/>
                      <w:highlight w:val="none"/>
                      <w:u w:val="none"/>
                    </w:rPr>
                  </w:pPr>
                  <w:r>
                    <w:rPr>
                      <w:rFonts w:hint="eastAsia" w:ascii="宋体" w:hAnsi="宋体" w:eastAsia="宋体" w:cs="宋体"/>
                      <w:color w:val="auto"/>
                      <w:sz w:val="18"/>
                      <w:szCs w:val="18"/>
                      <w:highlight w:val="none"/>
                      <w:u w:val="none"/>
                    </w:rPr>
                    <w:t>NOx</w:t>
                  </w:r>
                </w:p>
              </w:tc>
              <w:tc>
                <w:tcPr>
                  <w:tcW w:w="1547" w:type="dxa"/>
                  <w:noWrap w:val="0"/>
                  <w:vAlign w:val="center"/>
                </w:tcPr>
                <w:p>
                  <w:pPr>
                    <w:pStyle w:val="2"/>
                    <w:ind w:left="-105" w:leftChars="-50" w:right="-105" w:rightChars="-50"/>
                    <w:jc w:val="center"/>
                    <w:rPr>
                      <w:rFonts w:hint="default" w:ascii="宋体" w:hAnsi="宋体" w:eastAsia="宋体" w:cs="宋体"/>
                      <w:color w:val="auto"/>
                      <w:sz w:val="18"/>
                      <w:szCs w:val="18"/>
                      <w:highlight w:val="none"/>
                      <w:u w:val="none"/>
                      <w:lang w:val="en-US" w:eastAsia="zh-CN"/>
                    </w:rPr>
                  </w:pPr>
                  <w:r>
                    <w:rPr>
                      <w:rFonts w:hint="eastAsia" w:ascii="宋体" w:hAnsi="宋体" w:eastAsia="宋体" w:cs="宋体"/>
                      <w:color w:val="auto"/>
                      <w:sz w:val="18"/>
                      <w:szCs w:val="18"/>
                      <w:highlight w:val="none"/>
                      <w:u w:val="none"/>
                      <w:lang w:val="en-US" w:eastAsia="zh-CN"/>
                    </w:rPr>
                    <w:t>9.</w:t>
                  </w:r>
                  <w:r>
                    <w:rPr>
                      <w:rFonts w:hint="eastAsia" w:cs="宋体"/>
                      <w:color w:val="auto"/>
                      <w:sz w:val="18"/>
                      <w:szCs w:val="18"/>
                      <w:highlight w:val="none"/>
                      <w:u w:val="none"/>
                      <w:lang w:val="en-US" w:eastAsia="zh-CN"/>
                    </w:rPr>
                    <w:t>78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2" w:hRule="atLeast"/>
                <w:jc w:val="center"/>
              </w:trPr>
              <w:tc>
                <w:tcPr>
                  <w:tcW w:w="777" w:type="dxa"/>
                  <w:vMerge w:val="continue"/>
                  <w:noWrap w:val="0"/>
                  <w:vAlign w:val="center"/>
                </w:tcPr>
                <w:p>
                  <w:pPr>
                    <w:ind w:left="-105" w:leftChars="-50" w:right="-105" w:rightChars="-50"/>
                    <w:jc w:val="center"/>
                    <w:rPr>
                      <w:rFonts w:hint="eastAsia" w:ascii="宋体" w:hAnsi="宋体" w:eastAsia="宋体" w:cs="宋体"/>
                      <w:color w:val="auto"/>
                      <w:sz w:val="18"/>
                      <w:szCs w:val="18"/>
                      <w:highlight w:val="none"/>
                      <w:u w:val="none"/>
                    </w:rPr>
                  </w:pPr>
                </w:p>
              </w:tc>
              <w:tc>
                <w:tcPr>
                  <w:tcW w:w="1238" w:type="dxa"/>
                  <w:vMerge w:val="continue"/>
                  <w:noWrap w:val="0"/>
                  <w:vAlign w:val="center"/>
                </w:tcPr>
                <w:p>
                  <w:pPr>
                    <w:ind w:left="-105" w:leftChars="-50" w:right="-105" w:rightChars="-50"/>
                    <w:jc w:val="center"/>
                    <w:rPr>
                      <w:rFonts w:hint="eastAsia" w:ascii="宋体" w:hAnsi="宋体" w:eastAsia="宋体" w:cs="宋体"/>
                      <w:color w:val="auto"/>
                      <w:sz w:val="18"/>
                      <w:szCs w:val="18"/>
                      <w:highlight w:val="none"/>
                      <w:u w:val="none"/>
                    </w:rPr>
                  </w:pPr>
                </w:p>
              </w:tc>
              <w:tc>
                <w:tcPr>
                  <w:tcW w:w="1876" w:type="dxa"/>
                  <w:gridSpan w:val="2"/>
                  <w:noWrap w:val="0"/>
                  <w:vAlign w:val="center"/>
                </w:tcPr>
                <w:p>
                  <w:pPr>
                    <w:pStyle w:val="61"/>
                    <w:ind w:left="-105" w:leftChars="-50" w:right="-105" w:rightChars="-50"/>
                    <w:rPr>
                      <w:rFonts w:hint="eastAsia" w:ascii="宋体" w:hAnsi="宋体" w:eastAsia="宋体" w:cs="宋体"/>
                      <w:color w:val="auto"/>
                      <w:sz w:val="18"/>
                      <w:szCs w:val="18"/>
                      <w:highlight w:val="none"/>
                      <w:u w:val="none"/>
                    </w:rPr>
                  </w:pPr>
                  <w:r>
                    <w:rPr>
                      <w:rFonts w:hint="eastAsia" w:ascii="宋体" w:hAnsi="宋体" w:eastAsia="宋体" w:cs="宋体"/>
                      <w:color w:val="auto"/>
                      <w:sz w:val="18"/>
                      <w:szCs w:val="18"/>
                      <w:highlight w:val="none"/>
                      <w:u w:val="none"/>
                    </w:rPr>
                    <w:t>氟化物</w:t>
                  </w:r>
                </w:p>
              </w:tc>
              <w:tc>
                <w:tcPr>
                  <w:tcW w:w="1547" w:type="dxa"/>
                  <w:noWrap w:val="0"/>
                  <w:vAlign w:val="center"/>
                </w:tcPr>
                <w:p>
                  <w:pPr>
                    <w:pStyle w:val="2"/>
                    <w:ind w:left="-105" w:leftChars="-50" w:right="-105" w:rightChars="-50"/>
                    <w:jc w:val="center"/>
                    <w:rPr>
                      <w:rFonts w:hint="default" w:ascii="宋体" w:hAnsi="宋体" w:eastAsia="宋体" w:cs="宋体"/>
                      <w:color w:val="auto"/>
                      <w:sz w:val="18"/>
                      <w:szCs w:val="18"/>
                      <w:highlight w:val="none"/>
                      <w:u w:val="none"/>
                      <w:lang w:val="en-US" w:eastAsia="zh-CN"/>
                    </w:rPr>
                  </w:pPr>
                  <w:r>
                    <w:rPr>
                      <w:rFonts w:hint="eastAsia" w:ascii="宋体" w:hAnsi="宋体" w:eastAsia="宋体" w:cs="宋体"/>
                      <w:color w:val="auto"/>
                      <w:sz w:val="18"/>
                      <w:szCs w:val="18"/>
                      <w:highlight w:val="none"/>
                      <w:u w:val="none"/>
                      <w:lang w:val="en-US" w:eastAsia="zh-CN"/>
                    </w:rPr>
                    <w:t>0.</w:t>
                  </w:r>
                  <w:r>
                    <w:rPr>
                      <w:rFonts w:hint="eastAsia" w:cs="宋体"/>
                      <w:color w:val="auto"/>
                      <w:sz w:val="18"/>
                      <w:szCs w:val="18"/>
                      <w:highlight w:val="none"/>
                      <w:u w:val="none"/>
                      <w:lang w:val="en-US" w:eastAsia="zh-CN"/>
                    </w:rPr>
                    <w:t>18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2" w:hRule="atLeast"/>
                <w:jc w:val="center"/>
              </w:trPr>
              <w:tc>
                <w:tcPr>
                  <w:tcW w:w="777" w:type="dxa"/>
                  <w:vMerge w:val="restart"/>
                  <w:noWrap w:val="0"/>
                  <w:vAlign w:val="center"/>
                </w:tcPr>
                <w:p>
                  <w:pPr>
                    <w:ind w:left="-105" w:leftChars="-50" w:right="-105" w:rightChars="-50"/>
                    <w:jc w:val="center"/>
                    <w:rPr>
                      <w:rFonts w:hint="eastAsia" w:ascii="宋体" w:hAnsi="宋体" w:eastAsia="宋体" w:cs="宋体"/>
                      <w:color w:val="auto"/>
                      <w:sz w:val="18"/>
                      <w:szCs w:val="18"/>
                      <w:highlight w:val="none"/>
                      <w:u w:val="none"/>
                    </w:rPr>
                  </w:pPr>
                  <w:r>
                    <w:rPr>
                      <w:rFonts w:hint="eastAsia" w:ascii="宋体" w:hAnsi="宋体" w:eastAsia="宋体" w:cs="宋体"/>
                      <w:color w:val="auto"/>
                      <w:sz w:val="18"/>
                      <w:szCs w:val="18"/>
                      <w:highlight w:val="none"/>
                      <w:u w:val="none"/>
                    </w:rPr>
                    <w:t>废水</w:t>
                  </w:r>
                </w:p>
              </w:tc>
              <w:tc>
                <w:tcPr>
                  <w:tcW w:w="3114" w:type="dxa"/>
                  <w:gridSpan w:val="3"/>
                  <w:noWrap w:val="0"/>
                  <w:vAlign w:val="center"/>
                </w:tcPr>
                <w:p>
                  <w:pPr>
                    <w:pStyle w:val="61"/>
                    <w:ind w:left="-105" w:leftChars="-50" w:right="-105" w:rightChars="-50"/>
                    <w:rPr>
                      <w:rFonts w:hint="eastAsia" w:ascii="宋体" w:hAnsi="宋体" w:eastAsia="宋体" w:cs="宋体"/>
                      <w:color w:val="auto"/>
                      <w:sz w:val="18"/>
                      <w:szCs w:val="18"/>
                      <w:highlight w:val="none"/>
                      <w:u w:val="none"/>
                    </w:rPr>
                  </w:pPr>
                  <w:r>
                    <w:rPr>
                      <w:rFonts w:hint="eastAsia" w:ascii="宋体" w:hAnsi="宋体" w:eastAsia="宋体" w:cs="宋体"/>
                      <w:color w:val="auto"/>
                      <w:sz w:val="18"/>
                      <w:szCs w:val="18"/>
                      <w:highlight w:val="none"/>
                      <w:u w:val="none"/>
                    </w:rPr>
                    <w:t>生活污水</w:t>
                  </w:r>
                </w:p>
              </w:tc>
              <w:tc>
                <w:tcPr>
                  <w:tcW w:w="1547" w:type="dxa"/>
                  <w:noWrap w:val="0"/>
                  <w:vAlign w:val="center"/>
                </w:tcPr>
                <w:p>
                  <w:pPr>
                    <w:pStyle w:val="2"/>
                    <w:ind w:left="-105" w:leftChars="-50" w:right="-105" w:rightChars="-50"/>
                    <w:jc w:val="center"/>
                    <w:rPr>
                      <w:rFonts w:hint="eastAsia" w:ascii="宋体" w:hAnsi="宋体" w:eastAsia="宋体" w:cs="宋体"/>
                      <w:color w:val="auto"/>
                      <w:sz w:val="18"/>
                      <w:szCs w:val="18"/>
                      <w:highlight w:val="none"/>
                      <w:u w:val="none"/>
                    </w:rPr>
                  </w:pPr>
                  <w:r>
                    <w:rPr>
                      <w:rFonts w:hint="eastAsia" w:ascii="宋体" w:hAnsi="宋体" w:eastAsia="宋体" w:cs="宋体"/>
                      <w:color w:val="auto"/>
                      <w:sz w:val="18"/>
                      <w:szCs w:val="18"/>
                      <w:highlight w:val="none"/>
                      <w:u w:val="none"/>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2" w:hRule="atLeast"/>
                <w:jc w:val="center"/>
              </w:trPr>
              <w:tc>
                <w:tcPr>
                  <w:tcW w:w="777" w:type="dxa"/>
                  <w:vMerge w:val="continue"/>
                  <w:noWrap w:val="0"/>
                  <w:vAlign w:val="center"/>
                </w:tcPr>
                <w:p>
                  <w:pPr>
                    <w:ind w:left="-105" w:leftChars="-50" w:right="-105" w:rightChars="-50"/>
                    <w:jc w:val="center"/>
                    <w:rPr>
                      <w:rFonts w:hint="eastAsia" w:ascii="宋体" w:hAnsi="宋体" w:eastAsia="宋体" w:cs="宋体"/>
                      <w:color w:val="auto"/>
                      <w:sz w:val="18"/>
                      <w:szCs w:val="18"/>
                      <w:highlight w:val="none"/>
                      <w:u w:val="none"/>
                    </w:rPr>
                  </w:pPr>
                </w:p>
              </w:tc>
              <w:tc>
                <w:tcPr>
                  <w:tcW w:w="3114" w:type="dxa"/>
                  <w:gridSpan w:val="3"/>
                  <w:noWrap w:val="0"/>
                  <w:vAlign w:val="center"/>
                </w:tcPr>
                <w:p>
                  <w:pPr>
                    <w:pStyle w:val="61"/>
                    <w:ind w:left="-105" w:leftChars="-50" w:right="-105" w:rightChars="-50"/>
                    <w:rPr>
                      <w:rFonts w:hint="eastAsia" w:ascii="宋体" w:hAnsi="宋体" w:eastAsia="宋体" w:cs="宋体"/>
                      <w:color w:val="auto"/>
                      <w:sz w:val="18"/>
                      <w:szCs w:val="18"/>
                      <w:highlight w:val="none"/>
                      <w:u w:val="none"/>
                    </w:rPr>
                  </w:pPr>
                  <w:r>
                    <w:rPr>
                      <w:rFonts w:hint="eastAsia" w:ascii="宋体" w:hAnsi="宋体" w:eastAsia="宋体" w:cs="宋体"/>
                      <w:color w:val="auto"/>
                      <w:sz w:val="18"/>
                      <w:szCs w:val="18"/>
                      <w:highlight w:val="none"/>
                      <w:u w:val="none"/>
                    </w:rPr>
                    <w:t>生产废水</w:t>
                  </w:r>
                </w:p>
              </w:tc>
              <w:tc>
                <w:tcPr>
                  <w:tcW w:w="1547" w:type="dxa"/>
                  <w:noWrap w:val="0"/>
                  <w:vAlign w:val="center"/>
                </w:tcPr>
                <w:p>
                  <w:pPr>
                    <w:pStyle w:val="2"/>
                    <w:ind w:left="-105" w:leftChars="-50" w:right="-105" w:rightChars="-50"/>
                    <w:jc w:val="center"/>
                    <w:rPr>
                      <w:rFonts w:hint="eastAsia" w:ascii="宋体" w:hAnsi="宋体" w:eastAsia="宋体" w:cs="宋体"/>
                      <w:color w:val="auto"/>
                      <w:sz w:val="18"/>
                      <w:szCs w:val="18"/>
                      <w:highlight w:val="none"/>
                      <w:u w:val="none"/>
                    </w:rPr>
                  </w:pPr>
                  <w:r>
                    <w:rPr>
                      <w:rFonts w:hint="eastAsia" w:ascii="宋体" w:hAnsi="宋体" w:eastAsia="宋体" w:cs="宋体"/>
                      <w:color w:val="auto"/>
                      <w:sz w:val="18"/>
                      <w:szCs w:val="18"/>
                      <w:highlight w:val="none"/>
                      <w:u w:val="none"/>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2" w:hRule="atLeast"/>
                <w:jc w:val="center"/>
              </w:trPr>
              <w:tc>
                <w:tcPr>
                  <w:tcW w:w="777" w:type="dxa"/>
                  <w:vMerge w:val="restart"/>
                  <w:noWrap w:val="0"/>
                  <w:vAlign w:val="center"/>
                </w:tcPr>
                <w:p>
                  <w:pPr>
                    <w:ind w:left="-105" w:leftChars="-50" w:right="-105" w:rightChars="-50"/>
                    <w:jc w:val="center"/>
                    <w:rPr>
                      <w:rFonts w:hint="eastAsia" w:ascii="宋体" w:hAnsi="宋体" w:eastAsia="宋体" w:cs="宋体"/>
                      <w:color w:val="auto"/>
                      <w:sz w:val="18"/>
                      <w:szCs w:val="18"/>
                      <w:highlight w:val="none"/>
                      <w:u w:val="none"/>
                    </w:rPr>
                  </w:pPr>
                  <w:r>
                    <w:rPr>
                      <w:rFonts w:hint="eastAsia" w:ascii="宋体" w:hAnsi="宋体" w:eastAsia="宋体" w:cs="宋体"/>
                      <w:color w:val="auto"/>
                      <w:sz w:val="18"/>
                      <w:szCs w:val="18"/>
                      <w:highlight w:val="none"/>
                      <w:u w:val="none"/>
                    </w:rPr>
                    <w:t>固体废物</w:t>
                  </w:r>
                </w:p>
              </w:tc>
              <w:tc>
                <w:tcPr>
                  <w:tcW w:w="1276" w:type="dxa"/>
                  <w:gridSpan w:val="2"/>
                  <w:tcBorders>
                    <w:right w:val="single" w:color="000000" w:sz="4" w:space="0"/>
                  </w:tcBorders>
                  <w:noWrap w:val="0"/>
                  <w:vAlign w:val="center"/>
                </w:tcPr>
                <w:p>
                  <w:pPr>
                    <w:jc w:val="center"/>
                    <w:rPr>
                      <w:rFonts w:hint="eastAsia" w:ascii="宋体" w:hAnsi="宋体" w:eastAsia="宋体" w:cs="宋体"/>
                      <w:color w:val="auto"/>
                      <w:sz w:val="18"/>
                      <w:szCs w:val="18"/>
                      <w:highlight w:val="none"/>
                      <w:u w:val="none"/>
                    </w:rPr>
                  </w:pPr>
                  <w:r>
                    <w:rPr>
                      <w:rFonts w:hint="eastAsia" w:ascii="宋体" w:hAnsi="宋体" w:eastAsia="宋体" w:cs="宋体"/>
                      <w:color w:val="auto"/>
                      <w:sz w:val="18"/>
                      <w:szCs w:val="18"/>
                      <w:highlight w:val="none"/>
                      <w:u w:val="none"/>
                    </w:rPr>
                    <w:t>办公生活</w:t>
                  </w:r>
                </w:p>
              </w:tc>
              <w:tc>
                <w:tcPr>
                  <w:tcW w:w="1838" w:type="dxa"/>
                  <w:tcBorders>
                    <w:left w:val="single" w:color="000000" w:sz="4" w:space="0"/>
                  </w:tcBorders>
                  <w:noWrap w:val="0"/>
                  <w:vAlign w:val="center"/>
                </w:tcPr>
                <w:p>
                  <w:pPr>
                    <w:jc w:val="center"/>
                    <w:rPr>
                      <w:rFonts w:hint="eastAsia" w:ascii="宋体" w:hAnsi="宋体" w:eastAsia="宋体" w:cs="宋体"/>
                      <w:color w:val="auto"/>
                      <w:sz w:val="18"/>
                      <w:szCs w:val="18"/>
                      <w:highlight w:val="none"/>
                      <w:u w:val="none"/>
                    </w:rPr>
                  </w:pPr>
                  <w:r>
                    <w:rPr>
                      <w:rFonts w:hint="eastAsia" w:ascii="宋体" w:hAnsi="宋体" w:eastAsia="宋体" w:cs="宋体"/>
                      <w:color w:val="auto"/>
                      <w:sz w:val="18"/>
                      <w:szCs w:val="18"/>
                      <w:highlight w:val="none"/>
                      <w:u w:val="none"/>
                    </w:rPr>
                    <w:t>生活垃圾</w:t>
                  </w:r>
                </w:p>
              </w:tc>
              <w:tc>
                <w:tcPr>
                  <w:tcW w:w="1547" w:type="dxa"/>
                  <w:noWrap w:val="0"/>
                  <w:vAlign w:val="center"/>
                </w:tcPr>
                <w:p>
                  <w:pPr>
                    <w:pStyle w:val="2"/>
                    <w:ind w:left="-105" w:leftChars="-50" w:right="-105" w:rightChars="-50"/>
                    <w:jc w:val="center"/>
                    <w:rPr>
                      <w:rFonts w:hint="default" w:ascii="宋体" w:hAnsi="宋体" w:eastAsia="宋体" w:cs="宋体"/>
                      <w:color w:val="auto"/>
                      <w:sz w:val="18"/>
                      <w:szCs w:val="18"/>
                      <w:highlight w:val="none"/>
                      <w:u w:val="none"/>
                      <w:lang w:val="en-US" w:eastAsia="zh-CN"/>
                    </w:rPr>
                  </w:pPr>
                  <w:r>
                    <w:rPr>
                      <w:rFonts w:hint="eastAsia" w:cs="宋体"/>
                      <w:color w:val="auto"/>
                      <w:sz w:val="18"/>
                      <w:szCs w:val="18"/>
                      <w:highlight w:val="none"/>
                      <w:u w:val="none"/>
                      <w:lang w:val="en-US" w:eastAsia="zh-CN"/>
                    </w:rPr>
                    <w:t>6.0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2" w:hRule="atLeast"/>
                <w:jc w:val="center"/>
              </w:trPr>
              <w:tc>
                <w:tcPr>
                  <w:tcW w:w="777" w:type="dxa"/>
                  <w:vMerge w:val="continue"/>
                  <w:noWrap w:val="0"/>
                  <w:vAlign w:val="center"/>
                </w:tcPr>
                <w:p>
                  <w:pPr>
                    <w:ind w:left="-105" w:leftChars="-50" w:right="-105" w:rightChars="-50"/>
                    <w:jc w:val="center"/>
                    <w:rPr>
                      <w:rFonts w:hint="eastAsia" w:ascii="宋体" w:hAnsi="宋体" w:eastAsia="宋体" w:cs="宋体"/>
                      <w:color w:val="auto"/>
                      <w:sz w:val="18"/>
                      <w:szCs w:val="18"/>
                      <w:highlight w:val="none"/>
                      <w:u w:val="none"/>
                    </w:rPr>
                  </w:pPr>
                </w:p>
              </w:tc>
              <w:tc>
                <w:tcPr>
                  <w:tcW w:w="1276" w:type="dxa"/>
                  <w:gridSpan w:val="2"/>
                  <w:tcBorders>
                    <w:right w:val="single" w:color="000000" w:sz="4" w:space="0"/>
                  </w:tcBorders>
                  <w:noWrap w:val="0"/>
                  <w:vAlign w:val="center"/>
                </w:tcPr>
                <w:p>
                  <w:pPr>
                    <w:jc w:val="center"/>
                    <w:rPr>
                      <w:rFonts w:hint="eastAsia" w:ascii="宋体" w:hAnsi="宋体" w:eastAsia="宋体" w:cs="宋体"/>
                      <w:color w:val="auto"/>
                      <w:sz w:val="18"/>
                      <w:szCs w:val="18"/>
                      <w:highlight w:val="none"/>
                      <w:u w:val="none"/>
                    </w:rPr>
                  </w:pPr>
                  <w:r>
                    <w:rPr>
                      <w:rFonts w:hint="eastAsia" w:ascii="宋体" w:hAnsi="宋体" w:eastAsia="宋体" w:cs="宋体"/>
                      <w:color w:val="auto"/>
                      <w:sz w:val="18"/>
                      <w:szCs w:val="18"/>
                      <w:highlight w:val="none"/>
                      <w:u w:val="none"/>
                    </w:rPr>
                    <w:t>制砖</w:t>
                  </w:r>
                </w:p>
              </w:tc>
              <w:tc>
                <w:tcPr>
                  <w:tcW w:w="1838" w:type="dxa"/>
                  <w:tcBorders>
                    <w:left w:val="single" w:color="000000" w:sz="4" w:space="0"/>
                  </w:tcBorders>
                  <w:noWrap w:val="0"/>
                  <w:vAlign w:val="center"/>
                </w:tcPr>
                <w:p>
                  <w:pPr>
                    <w:jc w:val="center"/>
                    <w:rPr>
                      <w:rFonts w:hint="eastAsia" w:ascii="宋体" w:hAnsi="宋体" w:eastAsia="宋体" w:cs="宋体"/>
                      <w:color w:val="auto"/>
                      <w:sz w:val="18"/>
                      <w:szCs w:val="18"/>
                      <w:highlight w:val="none"/>
                      <w:u w:val="none"/>
                    </w:rPr>
                  </w:pPr>
                  <w:r>
                    <w:rPr>
                      <w:rFonts w:hint="eastAsia" w:ascii="宋体" w:hAnsi="宋体" w:eastAsia="宋体" w:cs="宋体"/>
                      <w:color w:val="auto"/>
                      <w:sz w:val="18"/>
                      <w:szCs w:val="18"/>
                      <w:highlight w:val="none"/>
                      <w:u w:val="none"/>
                    </w:rPr>
                    <w:t>废砖坯、废砖块</w:t>
                  </w:r>
                </w:p>
              </w:tc>
              <w:tc>
                <w:tcPr>
                  <w:tcW w:w="1547" w:type="dxa"/>
                  <w:noWrap w:val="0"/>
                  <w:vAlign w:val="center"/>
                </w:tcPr>
                <w:p>
                  <w:pPr>
                    <w:pStyle w:val="2"/>
                    <w:ind w:left="-105" w:leftChars="-50" w:right="-105" w:rightChars="-50"/>
                    <w:jc w:val="center"/>
                    <w:rPr>
                      <w:rFonts w:hint="eastAsia" w:ascii="宋体" w:hAnsi="宋体" w:eastAsia="宋体" w:cs="宋体"/>
                      <w:color w:val="auto"/>
                      <w:sz w:val="18"/>
                      <w:szCs w:val="18"/>
                      <w:highlight w:val="none"/>
                      <w:u w:val="none"/>
                    </w:rPr>
                  </w:pPr>
                  <w:r>
                    <w:rPr>
                      <w:rFonts w:hint="eastAsia" w:ascii="宋体" w:hAnsi="宋体" w:eastAsia="宋体" w:cs="宋体"/>
                      <w:color w:val="auto"/>
                      <w:sz w:val="18"/>
                      <w:szCs w:val="18"/>
                      <w:highlight w:val="none"/>
                      <w:u w:val="none"/>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2" w:hRule="atLeast"/>
                <w:jc w:val="center"/>
              </w:trPr>
              <w:tc>
                <w:tcPr>
                  <w:tcW w:w="777" w:type="dxa"/>
                  <w:vMerge w:val="continue"/>
                  <w:noWrap w:val="0"/>
                  <w:vAlign w:val="center"/>
                </w:tcPr>
                <w:p>
                  <w:pPr>
                    <w:ind w:left="-105" w:leftChars="-50" w:right="-105" w:rightChars="-50"/>
                    <w:jc w:val="center"/>
                    <w:rPr>
                      <w:rFonts w:hint="eastAsia" w:ascii="宋体" w:hAnsi="宋体" w:eastAsia="宋体" w:cs="宋体"/>
                      <w:color w:val="auto"/>
                      <w:sz w:val="18"/>
                      <w:szCs w:val="18"/>
                      <w:highlight w:val="none"/>
                      <w:u w:val="none"/>
                    </w:rPr>
                  </w:pPr>
                </w:p>
              </w:tc>
              <w:tc>
                <w:tcPr>
                  <w:tcW w:w="1276" w:type="dxa"/>
                  <w:gridSpan w:val="2"/>
                  <w:tcBorders>
                    <w:right w:val="single" w:color="000000" w:sz="4" w:space="0"/>
                  </w:tcBorders>
                  <w:noWrap w:val="0"/>
                  <w:vAlign w:val="center"/>
                </w:tcPr>
                <w:p>
                  <w:pPr>
                    <w:jc w:val="center"/>
                    <w:rPr>
                      <w:rFonts w:hint="eastAsia" w:ascii="宋体" w:hAnsi="宋体" w:eastAsia="宋体" w:cs="宋体"/>
                      <w:color w:val="auto"/>
                      <w:sz w:val="18"/>
                      <w:szCs w:val="18"/>
                      <w:highlight w:val="none"/>
                      <w:u w:val="none"/>
                    </w:rPr>
                  </w:pPr>
                  <w:r>
                    <w:rPr>
                      <w:rFonts w:hint="eastAsia" w:ascii="宋体" w:hAnsi="宋体" w:eastAsia="宋体" w:cs="宋体"/>
                      <w:color w:val="auto"/>
                      <w:sz w:val="18"/>
                      <w:szCs w:val="18"/>
                      <w:highlight w:val="none"/>
                      <w:u w:val="none"/>
                    </w:rPr>
                    <w:t>脱硫池</w:t>
                  </w:r>
                </w:p>
              </w:tc>
              <w:tc>
                <w:tcPr>
                  <w:tcW w:w="1838" w:type="dxa"/>
                  <w:tcBorders>
                    <w:left w:val="single" w:color="000000" w:sz="4" w:space="0"/>
                  </w:tcBorders>
                  <w:noWrap w:val="0"/>
                  <w:vAlign w:val="center"/>
                </w:tcPr>
                <w:p>
                  <w:pPr>
                    <w:jc w:val="center"/>
                    <w:rPr>
                      <w:rFonts w:hint="eastAsia" w:ascii="宋体" w:hAnsi="宋体" w:eastAsia="宋体" w:cs="宋体"/>
                      <w:color w:val="auto"/>
                      <w:sz w:val="18"/>
                      <w:szCs w:val="18"/>
                      <w:highlight w:val="none"/>
                      <w:u w:val="none"/>
                    </w:rPr>
                  </w:pPr>
                  <w:r>
                    <w:rPr>
                      <w:rFonts w:hint="eastAsia" w:ascii="宋体" w:hAnsi="宋体" w:eastAsia="宋体" w:cs="宋体"/>
                      <w:color w:val="auto"/>
                      <w:sz w:val="18"/>
                      <w:szCs w:val="18"/>
                      <w:highlight w:val="none"/>
                      <w:u w:val="none"/>
                    </w:rPr>
                    <w:t>脱硫沉渣</w:t>
                  </w:r>
                </w:p>
              </w:tc>
              <w:tc>
                <w:tcPr>
                  <w:tcW w:w="1547" w:type="dxa"/>
                  <w:noWrap w:val="0"/>
                  <w:vAlign w:val="center"/>
                </w:tcPr>
                <w:p>
                  <w:pPr>
                    <w:pStyle w:val="2"/>
                    <w:ind w:left="-105" w:leftChars="-50" w:right="-105" w:rightChars="-50"/>
                    <w:jc w:val="center"/>
                    <w:rPr>
                      <w:rFonts w:hint="eastAsia" w:ascii="宋体" w:hAnsi="宋体" w:eastAsia="宋体" w:cs="宋体"/>
                      <w:color w:val="auto"/>
                      <w:sz w:val="18"/>
                      <w:szCs w:val="18"/>
                      <w:highlight w:val="none"/>
                      <w:u w:val="none"/>
                    </w:rPr>
                  </w:pPr>
                  <w:r>
                    <w:rPr>
                      <w:rFonts w:hint="eastAsia" w:ascii="宋体" w:hAnsi="宋体" w:eastAsia="宋体" w:cs="宋体"/>
                      <w:color w:val="auto"/>
                      <w:sz w:val="18"/>
                      <w:szCs w:val="18"/>
                      <w:highlight w:val="none"/>
                      <w:u w:val="none"/>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2" w:hRule="atLeast"/>
                <w:jc w:val="center"/>
              </w:trPr>
              <w:tc>
                <w:tcPr>
                  <w:tcW w:w="777" w:type="dxa"/>
                  <w:vMerge w:val="continue"/>
                  <w:noWrap w:val="0"/>
                  <w:vAlign w:val="center"/>
                </w:tcPr>
                <w:p>
                  <w:pPr>
                    <w:ind w:left="-105" w:leftChars="-50" w:right="-105" w:rightChars="-50"/>
                    <w:jc w:val="center"/>
                    <w:rPr>
                      <w:rFonts w:hint="eastAsia" w:ascii="宋体" w:hAnsi="宋体" w:eastAsia="宋体" w:cs="宋体"/>
                      <w:color w:val="auto"/>
                      <w:sz w:val="18"/>
                      <w:szCs w:val="18"/>
                      <w:highlight w:val="none"/>
                      <w:u w:val="none"/>
                    </w:rPr>
                  </w:pPr>
                </w:p>
              </w:tc>
              <w:tc>
                <w:tcPr>
                  <w:tcW w:w="1276" w:type="dxa"/>
                  <w:gridSpan w:val="2"/>
                  <w:tcBorders>
                    <w:right w:val="single" w:color="000000" w:sz="4" w:space="0"/>
                  </w:tcBorders>
                  <w:noWrap w:val="0"/>
                  <w:vAlign w:val="center"/>
                </w:tcPr>
                <w:p>
                  <w:pPr>
                    <w:jc w:val="center"/>
                    <w:rPr>
                      <w:rFonts w:hint="eastAsia" w:ascii="宋体" w:hAnsi="宋体" w:eastAsia="宋体" w:cs="宋体"/>
                      <w:color w:val="auto"/>
                      <w:sz w:val="18"/>
                      <w:szCs w:val="18"/>
                      <w:highlight w:val="none"/>
                      <w:u w:val="none"/>
                      <w:lang w:eastAsia="zh-CN"/>
                    </w:rPr>
                  </w:pPr>
                  <w:r>
                    <w:rPr>
                      <w:rFonts w:hint="eastAsia" w:ascii="宋体" w:hAnsi="宋体" w:eastAsia="宋体" w:cs="宋体"/>
                      <w:color w:val="auto"/>
                      <w:sz w:val="18"/>
                      <w:szCs w:val="18"/>
                      <w:highlight w:val="none"/>
                      <w:u w:val="none"/>
                      <w:lang w:eastAsia="zh-CN"/>
                    </w:rPr>
                    <w:t>设备维修</w:t>
                  </w:r>
                </w:p>
              </w:tc>
              <w:tc>
                <w:tcPr>
                  <w:tcW w:w="1838" w:type="dxa"/>
                  <w:tcBorders>
                    <w:left w:val="single" w:color="000000" w:sz="4" w:space="0"/>
                  </w:tcBorders>
                  <w:noWrap w:val="0"/>
                  <w:vAlign w:val="center"/>
                </w:tcPr>
                <w:p>
                  <w:pPr>
                    <w:jc w:val="center"/>
                    <w:rPr>
                      <w:rFonts w:hint="eastAsia" w:ascii="宋体" w:hAnsi="宋体" w:eastAsia="宋体" w:cs="宋体"/>
                      <w:color w:val="auto"/>
                      <w:sz w:val="18"/>
                      <w:szCs w:val="18"/>
                      <w:highlight w:val="none"/>
                      <w:u w:val="none"/>
                      <w:lang w:eastAsia="zh-CN"/>
                    </w:rPr>
                  </w:pPr>
                  <w:r>
                    <w:rPr>
                      <w:rFonts w:hint="eastAsia" w:ascii="宋体" w:hAnsi="宋体" w:eastAsia="宋体" w:cs="宋体"/>
                      <w:color w:val="auto"/>
                      <w:sz w:val="18"/>
                      <w:szCs w:val="18"/>
                      <w:highlight w:val="none"/>
                      <w:u w:val="none"/>
                      <w:lang w:eastAsia="zh-CN"/>
                    </w:rPr>
                    <w:t>废机油</w:t>
                  </w:r>
                </w:p>
              </w:tc>
              <w:tc>
                <w:tcPr>
                  <w:tcW w:w="1547" w:type="dxa"/>
                  <w:noWrap w:val="0"/>
                  <w:vAlign w:val="center"/>
                </w:tcPr>
                <w:p>
                  <w:pPr>
                    <w:pStyle w:val="2"/>
                    <w:ind w:left="-105" w:leftChars="-50" w:right="-105" w:rightChars="-50"/>
                    <w:jc w:val="center"/>
                    <w:rPr>
                      <w:rFonts w:hint="eastAsia" w:ascii="宋体" w:hAnsi="宋体" w:eastAsia="宋体" w:cs="宋体"/>
                      <w:color w:val="auto"/>
                      <w:sz w:val="18"/>
                      <w:szCs w:val="18"/>
                      <w:highlight w:val="none"/>
                      <w:u w:val="none"/>
                      <w:lang w:val="en-US" w:eastAsia="zh-CN"/>
                    </w:rPr>
                  </w:pPr>
                  <w:r>
                    <w:rPr>
                      <w:rFonts w:hint="eastAsia" w:ascii="宋体" w:hAnsi="宋体" w:eastAsia="宋体" w:cs="宋体"/>
                      <w:color w:val="auto"/>
                      <w:sz w:val="18"/>
                      <w:szCs w:val="18"/>
                      <w:highlight w:val="none"/>
                      <w:u w:val="none"/>
                      <w:lang w:val="en-US" w:eastAsia="zh-CN"/>
                    </w:rPr>
                    <w:t>0.02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777" w:type="dxa"/>
                  <w:vMerge w:val="continue"/>
                  <w:noWrap w:val="0"/>
                  <w:vAlign w:val="center"/>
                </w:tcPr>
                <w:p>
                  <w:pPr>
                    <w:ind w:left="-105" w:leftChars="-50" w:right="-105" w:rightChars="-50"/>
                    <w:jc w:val="center"/>
                    <w:rPr>
                      <w:rFonts w:hint="eastAsia" w:ascii="宋体" w:hAnsi="宋体" w:eastAsia="宋体" w:cs="宋体"/>
                      <w:color w:val="auto"/>
                      <w:sz w:val="18"/>
                      <w:szCs w:val="18"/>
                      <w:highlight w:val="none"/>
                      <w:u w:val="none"/>
                    </w:rPr>
                  </w:pPr>
                </w:p>
              </w:tc>
              <w:tc>
                <w:tcPr>
                  <w:tcW w:w="1276" w:type="dxa"/>
                  <w:gridSpan w:val="2"/>
                  <w:tcBorders>
                    <w:right w:val="single" w:color="000000" w:sz="4" w:space="0"/>
                  </w:tcBorders>
                  <w:noWrap w:val="0"/>
                  <w:vAlign w:val="center"/>
                </w:tcPr>
                <w:p>
                  <w:pPr>
                    <w:jc w:val="center"/>
                    <w:rPr>
                      <w:rFonts w:hint="eastAsia" w:ascii="宋体" w:hAnsi="宋体" w:eastAsia="宋体" w:cs="宋体"/>
                      <w:color w:val="auto"/>
                      <w:sz w:val="18"/>
                      <w:szCs w:val="18"/>
                      <w:highlight w:val="none"/>
                      <w:u w:val="none"/>
                    </w:rPr>
                  </w:pPr>
                  <w:r>
                    <w:rPr>
                      <w:rFonts w:hint="eastAsia" w:ascii="宋体" w:hAnsi="宋体" w:eastAsia="宋体" w:cs="宋体"/>
                      <w:color w:val="auto"/>
                      <w:sz w:val="18"/>
                      <w:szCs w:val="18"/>
                      <w:highlight w:val="none"/>
                      <w:u w:val="none"/>
                    </w:rPr>
                    <w:t>沉淀池</w:t>
                  </w:r>
                </w:p>
              </w:tc>
              <w:tc>
                <w:tcPr>
                  <w:tcW w:w="1838" w:type="dxa"/>
                  <w:tcBorders>
                    <w:left w:val="single" w:color="000000" w:sz="4" w:space="0"/>
                  </w:tcBorders>
                  <w:noWrap w:val="0"/>
                  <w:vAlign w:val="center"/>
                </w:tcPr>
                <w:p>
                  <w:pPr>
                    <w:jc w:val="center"/>
                    <w:rPr>
                      <w:rFonts w:hint="eastAsia" w:ascii="宋体" w:hAnsi="宋体" w:eastAsia="宋体" w:cs="宋体"/>
                      <w:color w:val="auto"/>
                      <w:sz w:val="18"/>
                      <w:szCs w:val="18"/>
                      <w:highlight w:val="none"/>
                      <w:u w:val="none"/>
                    </w:rPr>
                  </w:pPr>
                  <w:r>
                    <w:rPr>
                      <w:rFonts w:hint="eastAsia" w:ascii="宋体" w:hAnsi="宋体" w:eastAsia="宋体" w:cs="宋体"/>
                      <w:color w:val="auto"/>
                      <w:sz w:val="18"/>
                      <w:szCs w:val="18"/>
                      <w:highlight w:val="none"/>
                      <w:u w:val="none"/>
                    </w:rPr>
                    <w:t>沉淀池渣</w:t>
                  </w:r>
                </w:p>
              </w:tc>
              <w:tc>
                <w:tcPr>
                  <w:tcW w:w="1547" w:type="dxa"/>
                  <w:noWrap w:val="0"/>
                  <w:vAlign w:val="center"/>
                </w:tcPr>
                <w:p>
                  <w:pPr>
                    <w:pStyle w:val="2"/>
                    <w:ind w:left="-105" w:leftChars="-50" w:right="-105" w:rightChars="-50"/>
                    <w:jc w:val="center"/>
                    <w:rPr>
                      <w:rFonts w:hint="eastAsia" w:ascii="宋体" w:hAnsi="宋体" w:eastAsia="宋体" w:cs="宋体"/>
                      <w:color w:val="auto"/>
                      <w:sz w:val="18"/>
                      <w:szCs w:val="18"/>
                      <w:highlight w:val="none"/>
                      <w:u w:val="none"/>
                      <w:lang w:eastAsia="zh-CN"/>
                    </w:rPr>
                  </w:pPr>
                  <w:r>
                    <w:rPr>
                      <w:rFonts w:hint="eastAsia" w:cs="宋体"/>
                      <w:color w:val="auto"/>
                      <w:sz w:val="18"/>
                      <w:szCs w:val="18"/>
                      <w:highlight w:val="none"/>
                      <w:u w:val="none"/>
                      <w:lang w:val="en-US" w:eastAsia="zh-CN"/>
                    </w:rPr>
                    <w:t>0</w:t>
                  </w:r>
                </w:p>
              </w:tc>
            </w:tr>
          </w:tbl>
          <w:p>
            <w:pPr>
              <w:pStyle w:val="68"/>
              <w:spacing w:line="360" w:lineRule="auto"/>
              <w:ind w:firstLine="482"/>
              <w:rPr>
                <w:b/>
                <w:bCs/>
                <w:color w:val="auto"/>
                <w:u w:val="none"/>
              </w:rPr>
            </w:pPr>
            <w:r>
              <w:rPr>
                <w:b/>
                <w:bCs/>
                <w:color w:val="auto"/>
                <w:u w:val="none"/>
              </w:rPr>
              <w:t>九、环保及环保投资</w:t>
            </w:r>
          </w:p>
          <w:p>
            <w:pPr>
              <w:pStyle w:val="68"/>
              <w:spacing w:line="360" w:lineRule="auto"/>
              <w:ind w:firstLine="480"/>
              <w:rPr>
                <w:color w:val="auto"/>
                <w:u w:val="none"/>
              </w:rPr>
            </w:pPr>
            <w:r>
              <w:rPr>
                <w:color w:val="auto"/>
                <w:u w:val="none"/>
              </w:rPr>
              <w:t>根据以上分析，汇总出项目在不同时段控制“三废”和噪声污染源的环保措施，处理效果及投资费用等，本项目总投资</w:t>
            </w:r>
            <w:r>
              <w:rPr>
                <w:rFonts w:hint="eastAsia"/>
                <w:color w:val="auto"/>
                <w:u w:val="none"/>
                <w:lang w:val="en-US" w:eastAsia="zh-CN"/>
              </w:rPr>
              <w:t>101.7</w:t>
            </w:r>
            <w:r>
              <w:rPr>
                <w:color w:val="auto"/>
                <w:u w:val="none"/>
              </w:rPr>
              <w:t>万元，其中环保投资</w:t>
            </w:r>
            <w:r>
              <w:rPr>
                <w:rFonts w:hint="eastAsia"/>
                <w:color w:val="auto"/>
                <w:u w:val="none"/>
                <w:lang w:val="en-US" w:eastAsia="zh-CN"/>
              </w:rPr>
              <w:t>101.7</w:t>
            </w:r>
            <w:r>
              <w:rPr>
                <w:color w:val="auto"/>
                <w:u w:val="none"/>
              </w:rPr>
              <w:t>元，占项目总投资</w:t>
            </w:r>
            <w:r>
              <w:rPr>
                <w:rFonts w:hint="eastAsia"/>
                <w:color w:val="auto"/>
                <w:u w:val="none"/>
                <w:lang w:val="en-US" w:eastAsia="zh-CN"/>
              </w:rPr>
              <w:t>100</w:t>
            </w:r>
            <w:r>
              <w:rPr>
                <w:color w:val="auto"/>
                <w:u w:val="none"/>
              </w:rPr>
              <w:t>%。本项目环保投资及其建设内容见下表：</w:t>
            </w:r>
          </w:p>
          <w:p>
            <w:pPr>
              <w:jc w:val="center"/>
              <w:rPr>
                <w:b/>
                <w:color w:val="auto"/>
                <w:szCs w:val="21"/>
                <w:u w:val="none"/>
              </w:rPr>
            </w:pPr>
            <w:r>
              <w:rPr>
                <w:b/>
                <w:color w:val="auto"/>
                <w:szCs w:val="21"/>
                <w:u w:val="none"/>
              </w:rPr>
              <w:t>表4-</w:t>
            </w:r>
            <w:r>
              <w:rPr>
                <w:rFonts w:hint="eastAsia"/>
                <w:b/>
                <w:color w:val="auto"/>
                <w:szCs w:val="21"/>
                <w:u w:val="none"/>
                <w:lang w:val="en-US" w:eastAsia="zh-CN"/>
              </w:rPr>
              <w:t>10</w:t>
            </w:r>
            <w:r>
              <w:rPr>
                <w:b/>
                <w:color w:val="auto"/>
                <w:szCs w:val="21"/>
                <w:u w:val="none"/>
              </w:rPr>
              <w:t>环保措施及投资一览表（单位：万元）</w:t>
            </w:r>
          </w:p>
          <w:tbl>
            <w:tblPr>
              <w:tblStyle w:val="30"/>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03"/>
              <w:gridCol w:w="960"/>
              <w:gridCol w:w="1455"/>
              <w:gridCol w:w="4230"/>
              <w:gridCol w:w="77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03" w:type="dxa"/>
                  <w:noWrap w:val="0"/>
                  <w:vAlign w:val="center"/>
                </w:tcPr>
                <w:p>
                  <w:pPr>
                    <w:ind w:left="-105" w:leftChars="-50" w:right="-105" w:rightChars="-50"/>
                    <w:jc w:val="center"/>
                    <w:rPr>
                      <w:color w:val="auto"/>
                      <w:sz w:val="18"/>
                      <w:szCs w:val="18"/>
                      <w:u w:val="none"/>
                    </w:rPr>
                  </w:pPr>
                  <w:r>
                    <w:rPr>
                      <w:color w:val="auto"/>
                      <w:sz w:val="18"/>
                      <w:szCs w:val="18"/>
                      <w:u w:val="none"/>
                    </w:rPr>
                    <w:t>阶段</w:t>
                  </w:r>
                </w:p>
              </w:tc>
              <w:tc>
                <w:tcPr>
                  <w:tcW w:w="960" w:type="dxa"/>
                  <w:noWrap w:val="0"/>
                  <w:vAlign w:val="center"/>
                </w:tcPr>
                <w:p>
                  <w:pPr>
                    <w:ind w:left="-105" w:leftChars="-50" w:right="-105" w:rightChars="-50"/>
                    <w:jc w:val="center"/>
                    <w:rPr>
                      <w:color w:val="auto"/>
                      <w:sz w:val="18"/>
                      <w:szCs w:val="18"/>
                      <w:u w:val="none"/>
                    </w:rPr>
                  </w:pPr>
                  <w:r>
                    <w:rPr>
                      <w:color w:val="auto"/>
                      <w:sz w:val="18"/>
                      <w:szCs w:val="18"/>
                      <w:u w:val="none"/>
                    </w:rPr>
                    <w:t>类别</w:t>
                  </w:r>
                </w:p>
              </w:tc>
              <w:tc>
                <w:tcPr>
                  <w:tcW w:w="1455" w:type="dxa"/>
                  <w:noWrap w:val="0"/>
                  <w:vAlign w:val="center"/>
                </w:tcPr>
                <w:p>
                  <w:pPr>
                    <w:ind w:left="-105" w:leftChars="-50" w:right="-105" w:rightChars="-50"/>
                    <w:jc w:val="center"/>
                    <w:rPr>
                      <w:color w:val="auto"/>
                      <w:sz w:val="18"/>
                      <w:szCs w:val="18"/>
                      <w:u w:val="none"/>
                    </w:rPr>
                  </w:pPr>
                  <w:r>
                    <w:rPr>
                      <w:color w:val="auto"/>
                      <w:sz w:val="18"/>
                      <w:szCs w:val="18"/>
                      <w:u w:val="none"/>
                    </w:rPr>
                    <w:t>项目名称</w:t>
                  </w:r>
                </w:p>
              </w:tc>
              <w:tc>
                <w:tcPr>
                  <w:tcW w:w="4230" w:type="dxa"/>
                  <w:noWrap w:val="0"/>
                  <w:vAlign w:val="center"/>
                </w:tcPr>
                <w:p>
                  <w:pPr>
                    <w:pStyle w:val="2"/>
                    <w:ind w:left="-105" w:leftChars="-50" w:right="-105" w:rightChars="-50"/>
                    <w:jc w:val="center"/>
                    <w:rPr>
                      <w:rFonts w:hint="default" w:ascii="Times New Roman" w:hAnsi="Times New Roman"/>
                      <w:color w:val="auto"/>
                      <w:sz w:val="18"/>
                      <w:szCs w:val="18"/>
                      <w:u w:val="none"/>
                    </w:rPr>
                  </w:pPr>
                  <w:r>
                    <w:rPr>
                      <w:rFonts w:hint="default" w:ascii="Times New Roman" w:hAnsi="Times New Roman"/>
                      <w:color w:val="auto"/>
                      <w:sz w:val="18"/>
                      <w:szCs w:val="18"/>
                      <w:u w:val="none"/>
                    </w:rPr>
                    <w:t>内容</w:t>
                  </w:r>
                </w:p>
              </w:tc>
              <w:tc>
                <w:tcPr>
                  <w:tcW w:w="773" w:type="dxa"/>
                  <w:noWrap w:val="0"/>
                  <w:vAlign w:val="center"/>
                </w:tcPr>
                <w:p>
                  <w:pPr>
                    <w:pStyle w:val="2"/>
                    <w:ind w:left="-105" w:leftChars="-50" w:right="-105" w:rightChars="-50"/>
                    <w:jc w:val="center"/>
                    <w:rPr>
                      <w:rFonts w:hint="default" w:ascii="Times New Roman" w:hAnsi="Times New Roman"/>
                      <w:color w:val="auto"/>
                      <w:sz w:val="18"/>
                      <w:szCs w:val="18"/>
                      <w:u w:val="none"/>
                    </w:rPr>
                  </w:pPr>
                  <w:r>
                    <w:rPr>
                      <w:rFonts w:hint="default" w:ascii="Times New Roman" w:hAnsi="Times New Roman"/>
                      <w:color w:val="auto"/>
                      <w:sz w:val="18"/>
                      <w:szCs w:val="18"/>
                      <w:u w:val="none"/>
                    </w:rPr>
                    <w:t>投资</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03" w:type="dxa"/>
                  <w:vMerge w:val="restart"/>
                  <w:noWrap w:val="0"/>
                  <w:vAlign w:val="center"/>
                </w:tcPr>
                <w:p>
                  <w:pPr>
                    <w:ind w:left="-105" w:leftChars="-50" w:right="-105" w:rightChars="-50"/>
                    <w:jc w:val="center"/>
                    <w:rPr>
                      <w:color w:val="auto"/>
                      <w:sz w:val="18"/>
                      <w:szCs w:val="18"/>
                      <w:u w:val="none"/>
                    </w:rPr>
                  </w:pPr>
                  <w:r>
                    <w:rPr>
                      <w:color w:val="auto"/>
                      <w:sz w:val="18"/>
                      <w:szCs w:val="18"/>
                      <w:u w:val="none"/>
                    </w:rPr>
                    <w:t>施工期</w:t>
                  </w:r>
                </w:p>
              </w:tc>
              <w:tc>
                <w:tcPr>
                  <w:tcW w:w="960" w:type="dxa"/>
                  <w:noWrap w:val="0"/>
                  <w:vAlign w:val="center"/>
                </w:tcPr>
                <w:p>
                  <w:pPr>
                    <w:ind w:left="-105" w:leftChars="-50" w:right="-105" w:rightChars="-50"/>
                    <w:jc w:val="center"/>
                    <w:rPr>
                      <w:color w:val="auto"/>
                      <w:sz w:val="18"/>
                      <w:szCs w:val="18"/>
                      <w:u w:val="none"/>
                    </w:rPr>
                  </w:pPr>
                  <w:r>
                    <w:rPr>
                      <w:color w:val="auto"/>
                      <w:sz w:val="18"/>
                      <w:szCs w:val="18"/>
                      <w:u w:val="none"/>
                    </w:rPr>
                    <w:t>废气</w:t>
                  </w:r>
                </w:p>
              </w:tc>
              <w:tc>
                <w:tcPr>
                  <w:tcW w:w="1455" w:type="dxa"/>
                  <w:noWrap w:val="0"/>
                  <w:vAlign w:val="center"/>
                </w:tcPr>
                <w:p>
                  <w:pPr>
                    <w:pStyle w:val="61"/>
                    <w:ind w:left="-105" w:leftChars="-50" w:right="-105" w:rightChars="-50"/>
                    <w:rPr>
                      <w:color w:val="auto"/>
                      <w:sz w:val="18"/>
                      <w:szCs w:val="18"/>
                      <w:u w:val="none"/>
                    </w:rPr>
                  </w:pPr>
                  <w:r>
                    <w:rPr>
                      <w:color w:val="auto"/>
                      <w:sz w:val="18"/>
                      <w:szCs w:val="18"/>
                      <w:u w:val="none"/>
                    </w:rPr>
                    <w:t>扬尘</w:t>
                  </w:r>
                </w:p>
              </w:tc>
              <w:tc>
                <w:tcPr>
                  <w:tcW w:w="4230" w:type="dxa"/>
                  <w:noWrap w:val="0"/>
                  <w:vAlign w:val="center"/>
                </w:tcPr>
                <w:p>
                  <w:pPr>
                    <w:pStyle w:val="2"/>
                    <w:ind w:left="-105" w:leftChars="-50" w:right="-105" w:rightChars="-50"/>
                    <w:jc w:val="center"/>
                    <w:rPr>
                      <w:rFonts w:hint="eastAsia" w:ascii="Times New Roman" w:hAnsi="Times New Roman" w:eastAsia="宋体"/>
                      <w:color w:val="auto"/>
                      <w:sz w:val="18"/>
                      <w:szCs w:val="18"/>
                      <w:u w:val="none"/>
                      <w:lang w:eastAsia="zh-CN"/>
                    </w:rPr>
                  </w:pPr>
                  <w:r>
                    <w:rPr>
                      <w:rFonts w:hint="default" w:ascii="Times New Roman" w:hAnsi="Times New Roman"/>
                      <w:color w:val="auto"/>
                      <w:sz w:val="18"/>
                      <w:szCs w:val="18"/>
                      <w:u w:val="none"/>
                    </w:rPr>
                    <w:t>车间、道路洒水抑尘</w:t>
                  </w:r>
                  <w:r>
                    <w:rPr>
                      <w:rFonts w:hint="eastAsia" w:ascii="Times New Roman" w:hAnsi="Times New Roman"/>
                      <w:color w:val="auto"/>
                      <w:sz w:val="18"/>
                      <w:szCs w:val="18"/>
                      <w:u w:val="none"/>
                      <w:lang w:eastAsia="zh-CN"/>
                    </w:rPr>
                    <w:t>、两台炮雾机</w:t>
                  </w:r>
                </w:p>
              </w:tc>
              <w:tc>
                <w:tcPr>
                  <w:tcW w:w="773" w:type="dxa"/>
                  <w:noWrap w:val="0"/>
                  <w:vAlign w:val="center"/>
                </w:tcPr>
                <w:p>
                  <w:pPr>
                    <w:pStyle w:val="2"/>
                    <w:ind w:left="-105" w:leftChars="-50" w:right="-105" w:rightChars="-50"/>
                    <w:jc w:val="center"/>
                    <w:rPr>
                      <w:rFonts w:hint="default" w:ascii="Times New Roman" w:hAnsi="Times New Roman" w:eastAsia="宋体"/>
                      <w:color w:val="auto"/>
                      <w:sz w:val="18"/>
                      <w:szCs w:val="18"/>
                      <w:u w:val="none"/>
                      <w:lang w:val="en-US" w:eastAsia="zh-CN"/>
                    </w:rPr>
                  </w:pPr>
                  <w:r>
                    <w:rPr>
                      <w:rFonts w:hint="eastAsia" w:ascii="Times New Roman" w:hAnsi="Times New Roman"/>
                      <w:color w:val="auto"/>
                      <w:sz w:val="18"/>
                      <w:szCs w:val="18"/>
                      <w:u w:val="none"/>
                      <w:lang w:val="en-US" w:eastAsia="zh-CN"/>
                    </w:rPr>
                    <w:t>0.5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03" w:type="dxa"/>
                  <w:vMerge w:val="continue"/>
                  <w:noWrap w:val="0"/>
                  <w:vAlign w:val="center"/>
                </w:tcPr>
                <w:p>
                  <w:pPr>
                    <w:ind w:left="-105" w:leftChars="-50" w:right="-105" w:rightChars="-50"/>
                    <w:jc w:val="center"/>
                    <w:rPr>
                      <w:color w:val="auto"/>
                      <w:sz w:val="18"/>
                      <w:szCs w:val="18"/>
                      <w:u w:val="none"/>
                    </w:rPr>
                  </w:pPr>
                </w:p>
              </w:tc>
              <w:tc>
                <w:tcPr>
                  <w:tcW w:w="960" w:type="dxa"/>
                  <w:noWrap w:val="0"/>
                  <w:vAlign w:val="center"/>
                </w:tcPr>
                <w:p>
                  <w:pPr>
                    <w:pStyle w:val="61"/>
                    <w:ind w:left="-105" w:leftChars="-50" w:right="-105" w:rightChars="-50"/>
                    <w:rPr>
                      <w:color w:val="auto"/>
                      <w:sz w:val="18"/>
                      <w:szCs w:val="18"/>
                      <w:u w:val="none"/>
                    </w:rPr>
                  </w:pPr>
                  <w:r>
                    <w:rPr>
                      <w:color w:val="auto"/>
                      <w:sz w:val="18"/>
                      <w:szCs w:val="18"/>
                      <w:u w:val="none"/>
                    </w:rPr>
                    <w:t>废水</w:t>
                  </w:r>
                </w:p>
              </w:tc>
              <w:tc>
                <w:tcPr>
                  <w:tcW w:w="1455" w:type="dxa"/>
                  <w:noWrap w:val="0"/>
                  <w:vAlign w:val="center"/>
                </w:tcPr>
                <w:p>
                  <w:pPr>
                    <w:pStyle w:val="61"/>
                    <w:ind w:left="-105" w:leftChars="-50" w:right="-105" w:rightChars="-50"/>
                    <w:rPr>
                      <w:color w:val="auto"/>
                      <w:sz w:val="18"/>
                      <w:szCs w:val="18"/>
                      <w:u w:val="none"/>
                    </w:rPr>
                  </w:pPr>
                  <w:r>
                    <w:rPr>
                      <w:color w:val="auto"/>
                      <w:sz w:val="18"/>
                      <w:szCs w:val="18"/>
                      <w:u w:val="none"/>
                    </w:rPr>
                    <w:t>生活污水</w:t>
                  </w:r>
                </w:p>
              </w:tc>
              <w:tc>
                <w:tcPr>
                  <w:tcW w:w="4230" w:type="dxa"/>
                  <w:noWrap w:val="0"/>
                  <w:vAlign w:val="center"/>
                </w:tcPr>
                <w:p>
                  <w:pPr>
                    <w:pStyle w:val="2"/>
                    <w:ind w:left="-105" w:leftChars="-50" w:right="-105" w:rightChars="-50"/>
                    <w:jc w:val="center"/>
                    <w:rPr>
                      <w:rFonts w:hint="default" w:ascii="Times New Roman" w:hAnsi="Times New Roman"/>
                      <w:color w:val="auto"/>
                      <w:sz w:val="18"/>
                      <w:szCs w:val="18"/>
                      <w:u w:val="none"/>
                    </w:rPr>
                  </w:pPr>
                  <w:r>
                    <w:rPr>
                      <w:rFonts w:hint="default" w:ascii="Times New Roman" w:hAnsi="Times New Roman"/>
                      <w:color w:val="auto"/>
                      <w:sz w:val="18"/>
                      <w:szCs w:val="18"/>
                      <w:u w:val="none"/>
                    </w:rPr>
                    <w:t>依托厂区现有隔油池、化粪池</w:t>
                  </w:r>
                </w:p>
              </w:tc>
              <w:tc>
                <w:tcPr>
                  <w:tcW w:w="773" w:type="dxa"/>
                  <w:noWrap w:val="0"/>
                  <w:vAlign w:val="center"/>
                </w:tcPr>
                <w:p>
                  <w:pPr>
                    <w:pStyle w:val="2"/>
                    <w:ind w:left="-105" w:leftChars="-50" w:right="-105" w:rightChars="-50"/>
                    <w:jc w:val="center"/>
                    <w:rPr>
                      <w:rFonts w:hint="default" w:ascii="Times New Roman" w:hAnsi="Times New Roman"/>
                      <w:color w:val="auto"/>
                      <w:sz w:val="18"/>
                      <w:szCs w:val="18"/>
                      <w:u w:val="none"/>
                    </w:rPr>
                  </w:pPr>
                  <w:r>
                    <w:rPr>
                      <w:rFonts w:hint="default" w:ascii="Times New Roman" w:hAnsi="Times New Roman"/>
                      <w:color w:val="auto"/>
                      <w:sz w:val="18"/>
                      <w:szCs w:val="18"/>
                      <w:u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03" w:type="dxa"/>
                  <w:vMerge w:val="continue"/>
                  <w:noWrap w:val="0"/>
                  <w:vAlign w:val="center"/>
                </w:tcPr>
                <w:p>
                  <w:pPr>
                    <w:ind w:left="-105" w:leftChars="-50" w:right="-105" w:rightChars="-50"/>
                    <w:jc w:val="center"/>
                    <w:rPr>
                      <w:color w:val="auto"/>
                      <w:sz w:val="18"/>
                      <w:szCs w:val="18"/>
                      <w:u w:val="none"/>
                    </w:rPr>
                  </w:pPr>
                </w:p>
              </w:tc>
              <w:tc>
                <w:tcPr>
                  <w:tcW w:w="960" w:type="dxa"/>
                  <w:noWrap w:val="0"/>
                  <w:vAlign w:val="center"/>
                </w:tcPr>
                <w:p>
                  <w:pPr>
                    <w:pStyle w:val="61"/>
                    <w:ind w:left="-105" w:leftChars="-50" w:right="-105" w:rightChars="-50"/>
                    <w:rPr>
                      <w:color w:val="auto"/>
                      <w:sz w:val="18"/>
                      <w:szCs w:val="18"/>
                      <w:u w:val="none"/>
                    </w:rPr>
                  </w:pPr>
                  <w:r>
                    <w:rPr>
                      <w:color w:val="auto"/>
                      <w:sz w:val="18"/>
                      <w:szCs w:val="18"/>
                      <w:u w:val="none"/>
                    </w:rPr>
                    <w:t>噪声</w:t>
                  </w:r>
                </w:p>
              </w:tc>
              <w:tc>
                <w:tcPr>
                  <w:tcW w:w="1455" w:type="dxa"/>
                  <w:noWrap w:val="0"/>
                  <w:vAlign w:val="center"/>
                </w:tcPr>
                <w:p>
                  <w:pPr>
                    <w:pStyle w:val="61"/>
                    <w:ind w:left="-105" w:leftChars="-50" w:right="-105" w:rightChars="-50"/>
                    <w:rPr>
                      <w:color w:val="auto"/>
                      <w:sz w:val="18"/>
                      <w:szCs w:val="18"/>
                      <w:u w:val="none"/>
                    </w:rPr>
                  </w:pPr>
                  <w:r>
                    <w:rPr>
                      <w:color w:val="auto"/>
                      <w:sz w:val="18"/>
                      <w:szCs w:val="18"/>
                      <w:u w:val="none"/>
                    </w:rPr>
                    <w:t>施工机械噪声</w:t>
                  </w:r>
                </w:p>
              </w:tc>
              <w:tc>
                <w:tcPr>
                  <w:tcW w:w="4230" w:type="dxa"/>
                  <w:noWrap w:val="0"/>
                  <w:vAlign w:val="center"/>
                </w:tcPr>
                <w:p>
                  <w:pPr>
                    <w:pStyle w:val="2"/>
                    <w:ind w:left="-105" w:leftChars="-50" w:right="-105" w:rightChars="-50"/>
                    <w:jc w:val="center"/>
                    <w:rPr>
                      <w:rFonts w:hint="default" w:ascii="Times New Roman" w:hAnsi="Times New Roman"/>
                      <w:color w:val="auto"/>
                      <w:sz w:val="18"/>
                      <w:szCs w:val="18"/>
                      <w:u w:val="none"/>
                    </w:rPr>
                  </w:pPr>
                  <w:r>
                    <w:rPr>
                      <w:rFonts w:hint="default" w:ascii="Times New Roman" w:hAnsi="Times New Roman"/>
                      <w:color w:val="auto"/>
                      <w:sz w:val="18"/>
                      <w:szCs w:val="18"/>
                      <w:u w:val="none"/>
                    </w:rPr>
                    <w:t>合理安排施工作业时间，建设围挡</w:t>
                  </w:r>
                </w:p>
              </w:tc>
              <w:tc>
                <w:tcPr>
                  <w:tcW w:w="773" w:type="dxa"/>
                  <w:noWrap w:val="0"/>
                  <w:vAlign w:val="center"/>
                </w:tcPr>
                <w:p>
                  <w:pPr>
                    <w:pStyle w:val="2"/>
                    <w:ind w:left="-105" w:leftChars="-50" w:right="-105" w:rightChars="-50"/>
                    <w:jc w:val="center"/>
                    <w:rPr>
                      <w:rFonts w:hint="eastAsia" w:ascii="Times New Roman" w:hAnsi="Times New Roman" w:eastAsia="宋体"/>
                      <w:color w:val="auto"/>
                      <w:sz w:val="18"/>
                      <w:szCs w:val="18"/>
                      <w:u w:val="none"/>
                      <w:lang w:eastAsia="zh-CN"/>
                    </w:rPr>
                  </w:pPr>
                  <w:r>
                    <w:rPr>
                      <w:rFonts w:hint="eastAsia" w:ascii="Times New Roman" w:hAnsi="Times New Roman"/>
                      <w:color w:val="auto"/>
                      <w:sz w:val="18"/>
                      <w:szCs w:val="18"/>
                      <w:u w:val="none"/>
                      <w:lang w:val="en-US" w:eastAsia="zh-CN"/>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03" w:type="dxa"/>
                  <w:vMerge w:val="continue"/>
                  <w:noWrap w:val="0"/>
                  <w:vAlign w:val="center"/>
                </w:tcPr>
                <w:p>
                  <w:pPr>
                    <w:ind w:left="-105" w:leftChars="-50" w:right="-105" w:rightChars="-50"/>
                    <w:jc w:val="center"/>
                    <w:rPr>
                      <w:color w:val="auto"/>
                      <w:sz w:val="18"/>
                      <w:szCs w:val="18"/>
                      <w:u w:val="none"/>
                    </w:rPr>
                  </w:pPr>
                </w:p>
              </w:tc>
              <w:tc>
                <w:tcPr>
                  <w:tcW w:w="960" w:type="dxa"/>
                  <w:vMerge w:val="restart"/>
                  <w:noWrap w:val="0"/>
                  <w:vAlign w:val="center"/>
                </w:tcPr>
                <w:p>
                  <w:pPr>
                    <w:ind w:left="-105" w:leftChars="-50" w:right="-105" w:rightChars="-50"/>
                    <w:jc w:val="center"/>
                    <w:rPr>
                      <w:color w:val="auto"/>
                      <w:sz w:val="18"/>
                      <w:szCs w:val="18"/>
                      <w:u w:val="none"/>
                    </w:rPr>
                  </w:pPr>
                  <w:r>
                    <w:rPr>
                      <w:color w:val="auto"/>
                      <w:sz w:val="18"/>
                      <w:szCs w:val="18"/>
                      <w:u w:val="none"/>
                    </w:rPr>
                    <w:t>固废</w:t>
                  </w:r>
                </w:p>
              </w:tc>
              <w:tc>
                <w:tcPr>
                  <w:tcW w:w="1455" w:type="dxa"/>
                  <w:noWrap w:val="0"/>
                  <w:vAlign w:val="center"/>
                </w:tcPr>
                <w:p>
                  <w:pPr>
                    <w:pStyle w:val="61"/>
                    <w:ind w:left="-105" w:leftChars="-50" w:right="-105" w:rightChars="-50"/>
                    <w:rPr>
                      <w:color w:val="auto"/>
                      <w:sz w:val="18"/>
                      <w:szCs w:val="18"/>
                      <w:u w:val="none"/>
                    </w:rPr>
                  </w:pPr>
                  <w:r>
                    <w:rPr>
                      <w:color w:val="auto"/>
                      <w:sz w:val="18"/>
                      <w:szCs w:val="18"/>
                      <w:u w:val="none"/>
                    </w:rPr>
                    <w:t>生活垃圾</w:t>
                  </w:r>
                </w:p>
              </w:tc>
              <w:tc>
                <w:tcPr>
                  <w:tcW w:w="4230" w:type="dxa"/>
                  <w:noWrap w:val="0"/>
                  <w:vAlign w:val="center"/>
                </w:tcPr>
                <w:p>
                  <w:pPr>
                    <w:pStyle w:val="2"/>
                    <w:ind w:left="-105" w:leftChars="-50" w:right="-105" w:rightChars="-50"/>
                    <w:jc w:val="center"/>
                    <w:rPr>
                      <w:rFonts w:hint="default" w:ascii="Times New Roman" w:hAnsi="Times New Roman"/>
                      <w:color w:val="auto"/>
                      <w:sz w:val="18"/>
                      <w:szCs w:val="18"/>
                      <w:u w:val="none"/>
                    </w:rPr>
                  </w:pPr>
                  <w:r>
                    <w:rPr>
                      <w:rFonts w:hint="default" w:ascii="Times New Roman" w:hAnsi="Times New Roman"/>
                      <w:color w:val="auto"/>
                      <w:sz w:val="18"/>
                      <w:szCs w:val="18"/>
                      <w:u w:val="none"/>
                    </w:rPr>
                    <w:t>垃圾收集袋收集后由环卫部门统一清运</w:t>
                  </w:r>
                </w:p>
              </w:tc>
              <w:tc>
                <w:tcPr>
                  <w:tcW w:w="773" w:type="dxa"/>
                  <w:noWrap w:val="0"/>
                  <w:vAlign w:val="center"/>
                </w:tcPr>
                <w:p>
                  <w:pPr>
                    <w:pStyle w:val="2"/>
                    <w:ind w:left="-105" w:leftChars="-50" w:right="-105" w:rightChars="-50"/>
                    <w:jc w:val="center"/>
                    <w:rPr>
                      <w:rFonts w:hint="default" w:ascii="Times New Roman" w:hAnsi="Times New Roman"/>
                      <w:color w:val="auto"/>
                      <w:sz w:val="18"/>
                      <w:szCs w:val="18"/>
                      <w:u w:val="none"/>
                    </w:rPr>
                  </w:pPr>
                  <w:r>
                    <w:rPr>
                      <w:rFonts w:hint="default" w:ascii="Times New Roman" w:hAnsi="Times New Roman"/>
                      <w:color w:val="auto"/>
                      <w:sz w:val="18"/>
                      <w:szCs w:val="18"/>
                      <w:u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03" w:type="dxa"/>
                  <w:vMerge w:val="continue"/>
                  <w:noWrap w:val="0"/>
                  <w:vAlign w:val="center"/>
                </w:tcPr>
                <w:p>
                  <w:pPr>
                    <w:ind w:left="-105" w:leftChars="-50" w:right="-105" w:rightChars="-50"/>
                    <w:jc w:val="center"/>
                    <w:rPr>
                      <w:color w:val="auto"/>
                      <w:sz w:val="18"/>
                      <w:szCs w:val="18"/>
                      <w:u w:val="none"/>
                    </w:rPr>
                  </w:pPr>
                </w:p>
              </w:tc>
              <w:tc>
                <w:tcPr>
                  <w:tcW w:w="960" w:type="dxa"/>
                  <w:vMerge w:val="continue"/>
                  <w:noWrap w:val="0"/>
                  <w:vAlign w:val="center"/>
                </w:tcPr>
                <w:p>
                  <w:pPr>
                    <w:ind w:left="-105" w:leftChars="-50" w:right="-105" w:rightChars="-50"/>
                    <w:jc w:val="center"/>
                    <w:rPr>
                      <w:color w:val="auto"/>
                      <w:sz w:val="18"/>
                      <w:szCs w:val="18"/>
                      <w:u w:val="none"/>
                    </w:rPr>
                  </w:pPr>
                </w:p>
              </w:tc>
              <w:tc>
                <w:tcPr>
                  <w:tcW w:w="1455" w:type="dxa"/>
                  <w:noWrap w:val="0"/>
                  <w:vAlign w:val="center"/>
                </w:tcPr>
                <w:p>
                  <w:pPr>
                    <w:pStyle w:val="61"/>
                    <w:ind w:left="-105" w:leftChars="-50" w:right="-105" w:rightChars="-50"/>
                    <w:rPr>
                      <w:color w:val="auto"/>
                      <w:sz w:val="18"/>
                      <w:szCs w:val="18"/>
                      <w:u w:val="none"/>
                    </w:rPr>
                  </w:pPr>
                  <w:r>
                    <w:rPr>
                      <w:color w:val="auto"/>
                      <w:sz w:val="18"/>
                      <w:szCs w:val="18"/>
                      <w:u w:val="none"/>
                    </w:rPr>
                    <w:t>建筑垃圾</w:t>
                  </w:r>
                </w:p>
              </w:tc>
              <w:tc>
                <w:tcPr>
                  <w:tcW w:w="4230" w:type="dxa"/>
                  <w:noWrap w:val="0"/>
                  <w:vAlign w:val="center"/>
                </w:tcPr>
                <w:p>
                  <w:pPr>
                    <w:pStyle w:val="2"/>
                    <w:ind w:left="-105" w:leftChars="-50" w:right="-105" w:rightChars="-50"/>
                    <w:jc w:val="center"/>
                    <w:rPr>
                      <w:rFonts w:hint="default" w:ascii="Times New Roman" w:hAnsi="Times New Roman"/>
                      <w:color w:val="auto"/>
                      <w:sz w:val="18"/>
                      <w:szCs w:val="18"/>
                      <w:u w:val="none"/>
                    </w:rPr>
                  </w:pPr>
                  <w:r>
                    <w:rPr>
                      <w:rFonts w:hint="default" w:ascii="Times New Roman" w:hAnsi="Times New Roman"/>
                      <w:color w:val="auto"/>
                      <w:sz w:val="18"/>
                      <w:szCs w:val="18"/>
                      <w:u w:val="none"/>
                    </w:rPr>
                    <w:t>综合利用，不能利用的定时清运到建设部门指定建筑垃圾消纳场堆放</w:t>
                  </w:r>
                </w:p>
              </w:tc>
              <w:tc>
                <w:tcPr>
                  <w:tcW w:w="773" w:type="dxa"/>
                  <w:noWrap w:val="0"/>
                  <w:vAlign w:val="center"/>
                </w:tcPr>
                <w:p>
                  <w:pPr>
                    <w:pStyle w:val="2"/>
                    <w:ind w:left="-105" w:leftChars="-50" w:right="-105" w:rightChars="-50"/>
                    <w:jc w:val="center"/>
                    <w:rPr>
                      <w:rFonts w:hint="default" w:ascii="Times New Roman" w:hAnsi="Times New Roman" w:eastAsia="宋体"/>
                      <w:color w:val="auto"/>
                      <w:sz w:val="18"/>
                      <w:szCs w:val="18"/>
                      <w:u w:val="none"/>
                      <w:lang w:val="en-US" w:eastAsia="zh-CN"/>
                    </w:rPr>
                  </w:pPr>
                  <w:r>
                    <w:rPr>
                      <w:rFonts w:hint="eastAsia" w:ascii="Times New Roman" w:hAnsi="Times New Roman" w:eastAsia="宋体"/>
                      <w:color w:val="auto"/>
                      <w:sz w:val="18"/>
                      <w:szCs w:val="18"/>
                      <w:u w:val="none"/>
                      <w:lang w:val="en-US" w:eastAsia="zh-CN"/>
                    </w:rPr>
                    <w:t>0.2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03" w:type="dxa"/>
                  <w:vMerge w:val="restart"/>
                  <w:noWrap w:val="0"/>
                  <w:vAlign w:val="center"/>
                </w:tcPr>
                <w:p>
                  <w:pPr>
                    <w:ind w:left="-105" w:leftChars="-50" w:right="-105" w:rightChars="-50"/>
                    <w:jc w:val="center"/>
                    <w:rPr>
                      <w:color w:val="auto"/>
                      <w:sz w:val="18"/>
                      <w:szCs w:val="18"/>
                      <w:u w:val="none"/>
                    </w:rPr>
                  </w:pPr>
                  <w:r>
                    <w:rPr>
                      <w:color w:val="auto"/>
                      <w:sz w:val="18"/>
                      <w:szCs w:val="18"/>
                      <w:u w:val="none"/>
                    </w:rPr>
                    <w:t>营运期</w:t>
                  </w:r>
                </w:p>
              </w:tc>
              <w:tc>
                <w:tcPr>
                  <w:tcW w:w="960" w:type="dxa"/>
                  <w:vMerge w:val="restart"/>
                  <w:tcBorders>
                    <w:right w:val="single" w:color="000000" w:sz="4" w:space="0"/>
                  </w:tcBorders>
                  <w:noWrap w:val="0"/>
                  <w:vAlign w:val="center"/>
                </w:tcPr>
                <w:p>
                  <w:pPr>
                    <w:jc w:val="center"/>
                    <w:rPr>
                      <w:color w:val="auto"/>
                      <w:sz w:val="18"/>
                      <w:szCs w:val="18"/>
                      <w:u w:val="none"/>
                    </w:rPr>
                  </w:pPr>
                  <w:r>
                    <w:rPr>
                      <w:color w:val="auto"/>
                      <w:sz w:val="18"/>
                      <w:szCs w:val="18"/>
                      <w:u w:val="none"/>
                    </w:rPr>
                    <w:t>废气</w:t>
                  </w:r>
                </w:p>
              </w:tc>
              <w:tc>
                <w:tcPr>
                  <w:tcW w:w="1455" w:type="dxa"/>
                  <w:tcBorders>
                    <w:left w:val="single" w:color="000000" w:sz="4" w:space="0"/>
                  </w:tcBorders>
                  <w:noWrap w:val="0"/>
                  <w:vAlign w:val="center"/>
                </w:tcPr>
                <w:p>
                  <w:pPr>
                    <w:jc w:val="center"/>
                    <w:rPr>
                      <w:color w:val="auto"/>
                      <w:sz w:val="18"/>
                      <w:szCs w:val="18"/>
                      <w:u w:val="none"/>
                    </w:rPr>
                  </w:pPr>
                  <w:r>
                    <w:rPr>
                      <w:color w:val="auto"/>
                      <w:sz w:val="18"/>
                      <w:szCs w:val="18"/>
                      <w:u w:val="none"/>
                    </w:rPr>
                    <w:t>原料堆场、装卸粉尘</w:t>
                  </w:r>
                </w:p>
              </w:tc>
              <w:tc>
                <w:tcPr>
                  <w:tcW w:w="4230" w:type="dxa"/>
                  <w:noWrap w:val="0"/>
                  <w:vAlign w:val="center"/>
                </w:tcPr>
                <w:p>
                  <w:pPr>
                    <w:pStyle w:val="2"/>
                    <w:ind w:left="-105" w:leftChars="-50" w:right="-105" w:rightChars="-50"/>
                    <w:jc w:val="center"/>
                    <w:rPr>
                      <w:rFonts w:hint="default" w:ascii="Times New Roman" w:hAnsi="Times New Roman" w:eastAsia="宋体"/>
                      <w:color w:val="auto"/>
                      <w:sz w:val="18"/>
                      <w:szCs w:val="18"/>
                      <w:u w:val="none"/>
                      <w:lang w:val="en-US" w:eastAsia="zh-CN"/>
                    </w:rPr>
                  </w:pPr>
                  <w:r>
                    <w:rPr>
                      <w:rFonts w:hint="eastAsia" w:ascii="Times New Roman" w:hAnsi="Times New Roman"/>
                      <w:color w:val="auto"/>
                      <w:sz w:val="18"/>
                      <w:szCs w:val="18"/>
                      <w:u w:val="none"/>
                      <w:lang w:val="en-US" w:eastAsia="zh-CN"/>
                    </w:rPr>
                    <w:t>新建煤矸石堆棚2000</w:t>
                  </w:r>
                  <w:r>
                    <w:rPr>
                      <w:rFonts w:hint="eastAsia" w:ascii="Times New Roman" w:hAnsi="Times New Roman"/>
                      <w:color w:val="auto"/>
                      <w:sz w:val="18"/>
                      <w:szCs w:val="18"/>
                      <w:u w:val="none"/>
                      <w:vertAlign w:val="superscript"/>
                      <w:lang w:val="en-US" w:eastAsia="zh-CN"/>
                    </w:rPr>
                    <w:t>2</w:t>
                  </w:r>
                </w:p>
              </w:tc>
              <w:tc>
                <w:tcPr>
                  <w:tcW w:w="773" w:type="dxa"/>
                  <w:noWrap w:val="0"/>
                  <w:vAlign w:val="center"/>
                </w:tcPr>
                <w:p>
                  <w:pPr>
                    <w:pStyle w:val="2"/>
                    <w:ind w:left="-105" w:leftChars="-50" w:right="-105" w:rightChars="-50"/>
                    <w:jc w:val="center"/>
                    <w:rPr>
                      <w:rFonts w:hint="default" w:ascii="Times New Roman" w:hAnsi="Times New Roman" w:eastAsia="宋体"/>
                      <w:color w:val="auto"/>
                      <w:sz w:val="18"/>
                      <w:szCs w:val="18"/>
                      <w:u w:val="none"/>
                      <w:lang w:val="en-US" w:eastAsia="zh-CN"/>
                    </w:rPr>
                  </w:pPr>
                  <w:r>
                    <w:rPr>
                      <w:rFonts w:hint="eastAsia" w:ascii="Times New Roman" w:hAnsi="Times New Roman"/>
                      <w:color w:val="auto"/>
                      <w:sz w:val="18"/>
                      <w:szCs w:val="18"/>
                      <w:u w:val="none"/>
                      <w:lang w:val="en-US" w:eastAsia="zh-CN"/>
                    </w:rPr>
                    <w:t>60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03" w:type="dxa"/>
                  <w:vMerge w:val="continue"/>
                  <w:noWrap w:val="0"/>
                  <w:vAlign w:val="center"/>
                </w:tcPr>
                <w:p>
                  <w:pPr>
                    <w:ind w:left="-105" w:leftChars="-50" w:right="-105" w:rightChars="-50"/>
                    <w:jc w:val="center"/>
                    <w:rPr>
                      <w:color w:val="auto"/>
                      <w:sz w:val="18"/>
                      <w:szCs w:val="18"/>
                      <w:u w:val="none"/>
                    </w:rPr>
                  </w:pPr>
                </w:p>
              </w:tc>
              <w:tc>
                <w:tcPr>
                  <w:tcW w:w="960" w:type="dxa"/>
                  <w:vMerge w:val="continue"/>
                  <w:tcBorders>
                    <w:right w:val="single" w:color="000000" w:sz="4" w:space="0"/>
                  </w:tcBorders>
                  <w:noWrap w:val="0"/>
                  <w:vAlign w:val="center"/>
                </w:tcPr>
                <w:p>
                  <w:pPr>
                    <w:jc w:val="center"/>
                    <w:rPr>
                      <w:color w:val="auto"/>
                      <w:sz w:val="18"/>
                      <w:szCs w:val="18"/>
                      <w:u w:val="none"/>
                    </w:rPr>
                  </w:pPr>
                </w:p>
              </w:tc>
              <w:tc>
                <w:tcPr>
                  <w:tcW w:w="1455" w:type="dxa"/>
                  <w:tcBorders>
                    <w:left w:val="single" w:color="000000" w:sz="4" w:space="0"/>
                  </w:tcBorders>
                  <w:noWrap w:val="0"/>
                  <w:vAlign w:val="center"/>
                </w:tcPr>
                <w:p>
                  <w:pPr>
                    <w:jc w:val="center"/>
                    <w:rPr>
                      <w:rFonts w:hint="default" w:eastAsia="宋体"/>
                      <w:color w:val="auto"/>
                      <w:sz w:val="18"/>
                      <w:szCs w:val="18"/>
                      <w:u w:val="none"/>
                      <w:lang w:val="en-US" w:eastAsia="zh-CN"/>
                    </w:rPr>
                  </w:pPr>
                  <w:r>
                    <w:rPr>
                      <w:rFonts w:hint="eastAsia"/>
                      <w:color w:val="auto"/>
                      <w:sz w:val="18"/>
                      <w:szCs w:val="18"/>
                      <w:u w:val="none"/>
                      <w:lang w:val="en-US" w:eastAsia="zh-CN"/>
                    </w:rPr>
                    <w:t>固废堆场</w:t>
                  </w:r>
                </w:p>
              </w:tc>
              <w:tc>
                <w:tcPr>
                  <w:tcW w:w="4230" w:type="dxa"/>
                  <w:noWrap w:val="0"/>
                  <w:vAlign w:val="center"/>
                </w:tcPr>
                <w:p>
                  <w:pPr>
                    <w:pStyle w:val="2"/>
                    <w:ind w:left="-105" w:leftChars="-50" w:right="-105" w:rightChars="-50"/>
                    <w:jc w:val="center"/>
                    <w:rPr>
                      <w:rFonts w:hint="default" w:ascii="Times New Roman" w:hAnsi="Times New Roman" w:eastAsia="宋体"/>
                      <w:color w:val="auto"/>
                      <w:sz w:val="18"/>
                      <w:szCs w:val="18"/>
                      <w:u w:val="none"/>
                      <w:lang w:val="en-US" w:eastAsia="zh-CN"/>
                    </w:rPr>
                  </w:pPr>
                  <w:r>
                    <w:rPr>
                      <w:rFonts w:hint="eastAsia" w:ascii="Times New Roman" w:hAnsi="Times New Roman"/>
                      <w:color w:val="auto"/>
                      <w:sz w:val="18"/>
                      <w:szCs w:val="18"/>
                      <w:u w:val="none"/>
                      <w:lang w:val="en-US" w:eastAsia="zh-CN"/>
                    </w:rPr>
                    <w:t>新建一般固废堆场1000m</w:t>
                  </w:r>
                  <w:r>
                    <w:rPr>
                      <w:rFonts w:hint="eastAsia" w:ascii="Times New Roman" w:hAnsi="Times New Roman"/>
                      <w:color w:val="auto"/>
                      <w:sz w:val="18"/>
                      <w:szCs w:val="18"/>
                      <w:u w:val="none"/>
                      <w:vertAlign w:val="superscript"/>
                      <w:lang w:val="en-US" w:eastAsia="zh-CN"/>
                    </w:rPr>
                    <w:t>2</w:t>
                  </w:r>
                  <w:r>
                    <w:rPr>
                      <w:rFonts w:hint="eastAsia" w:ascii="Times New Roman" w:hAnsi="Times New Roman"/>
                      <w:color w:val="auto"/>
                      <w:sz w:val="18"/>
                      <w:szCs w:val="18"/>
                      <w:u w:val="none"/>
                      <w:vertAlign w:val="baseline"/>
                      <w:lang w:val="en-US" w:eastAsia="zh-CN"/>
                    </w:rPr>
                    <w:t>，</w:t>
                  </w:r>
                  <w:r>
                    <w:rPr>
                      <w:color w:val="auto"/>
                      <w:sz w:val="18"/>
                      <w:szCs w:val="18"/>
                      <w:highlight w:val="none"/>
                      <w:u w:val="single" w:color="auto"/>
                    </w:rPr>
                    <w:t>设</w:t>
                  </w:r>
                  <w:r>
                    <w:rPr>
                      <w:rFonts w:hint="eastAsia"/>
                      <w:color w:val="auto"/>
                      <w:sz w:val="18"/>
                      <w:szCs w:val="18"/>
                      <w:highlight w:val="none"/>
                      <w:u w:val="single" w:color="auto"/>
                      <w:lang w:eastAsia="zh-CN"/>
                    </w:rPr>
                    <w:t>三面围挡，设置门帘</w:t>
                  </w:r>
                  <w:r>
                    <w:rPr>
                      <w:color w:val="auto"/>
                      <w:sz w:val="18"/>
                      <w:szCs w:val="18"/>
                      <w:highlight w:val="none"/>
                      <w:u w:val="single" w:color="auto"/>
                    </w:rPr>
                    <w:t>，</w:t>
                  </w:r>
                  <w:r>
                    <w:rPr>
                      <w:rFonts w:hint="eastAsia"/>
                      <w:color w:val="auto"/>
                      <w:sz w:val="18"/>
                      <w:szCs w:val="18"/>
                      <w:highlight w:val="none"/>
                      <w:u w:val="single" w:color="auto"/>
                      <w:lang w:val="en-US" w:eastAsia="zh-CN"/>
                    </w:rPr>
                    <w:t>堆放一般固废周边设置边沟和集水池，场内采用单人工复合衬层作为防渗衬层（厚度不小于1.5mm的高密度聚乙烯膜、厚度不小于0.75m的粘土衬层，渗透系数不大于1.0×10-7cm/s。</w:t>
                  </w:r>
                </w:p>
              </w:tc>
              <w:tc>
                <w:tcPr>
                  <w:tcW w:w="773" w:type="dxa"/>
                  <w:noWrap w:val="0"/>
                  <w:vAlign w:val="center"/>
                </w:tcPr>
                <w:p>
                  <w:pPr>
                    <w:pStyle w:val="2"/>
                    <w:ind w:left="-105" w:leftChars="-50" w:right="-105" w:rightChars="-50"/>
                    <w:jc w:val="center"/>
                    <w:rPr>
                      <w:rFonts w:hint="default" w:ascii="Times New Roman" w:hAnsi="Times New Roman" w:eastAsia="宋体"/>
                      <w:color w:val="auto"/>
                      <w:sz w:val="18"/>
                      <w:szCs w:val="18"/>
                      <w:u w:val="none"/>
                      <w:lang w:val="en-US" w:eastAsia="zh-CN"/>
                    </w:rPr>
                  </w:pPr>
                  <w:r>
                    <w:rPr>
                      <w:rFonts w:hint="eastAsia" w:ascii="Times New Roman" w:hAnsi="Times New Roman"/>
                      <w:color w:val="auto"/>
                      <w:sz w:val="18"/>
                      <w:szCs w:val="18"/>
                      <w:u w:val="none"/>
                      <w:lang w:val="en-US" w:eastAsia="zh-CN"/>
                    </w:rPr>
                    <w:t>40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03" w:type="dxa"/>
                  <w:vMerge w:val="continue"/>
                  <w:noWrap w:val="0"/>
                  <w:vAlign w:val="center"/>
                </w:tcPr>
                <w:p>
                  <w:pPr>
                    <w:ind w:left="-105" w:leftChars="-50" w:right="-105" w:rightChars="-50"/>
                    <w:jc w:val="center"/>
                    <w:rPr>
                      <w:color w:val="auto"/>
                      <w:sz w:val="18"/>
                      <w:szCs w:val="18"/>
                      <w:u w:val="none"/>
                    </w:rPr>
                  </w:pPr>
                </w:p>
              </w:tc>
              <w:tc>
                <w:tcPr>
                  <w:tcW w:w="960" w:type="dxa"/>
                  <w:vMerge w:val="restart"/>
                  <w:tcBorders>
                    <w:right w:val="single" w:color="000000" w:sz="4" w:space="0"/>
                  </w:tcBorders>
                  <w:noWrap w:val="0"/>
                  <w:vAlign w:val="center"/>
                </w:tcPr>
                <w:p>
                  <w:pPr>
                    <w:jc w:val="center"/>
                    <w:rPr>
                      <w:color w:val="auto"/>
                      <w:sz w:val="18"/>
                      <w:szCs w:val="18"/>
                      <w:u w:val="none"/>
                    </w:rPr>
                  </w:pPr>
                  <w:r>
                    <w:rPr>
                      <w:color w:val="auto"/>
                      <w:sz w:val="18"/>
                      <w:szCs w:val="18"/>
                      <w:u w:val="none"/>
                    </w:rPr>
                    <w:t>废水</w:t>
                  </w:r>
                </w:p>
              </w:tc>
              <w:tc>
                <w:tcPr>
                  <w:tcW w:w="1455" w:type="dxa"/>
                  <w:tcBorders>
                    <w:left w:val="single" w:color="000000" w:sz="4" w:space="0"/>
                  </w:tcBorders>
                  <w:noWrap w:val="0"/>
                  <w:vAlign w:val="center"/>
                </w:tcPr>
                <w:p>
                  <w:pPr>
                    <w:jc w:val="center"/>
                    <w:rPr>
                      <w:color w:val="auto"/>
                      <w:sz w:val="18"/>
                      <w:szCs w:val="18"/>
                      <w:u w:val="none"/>
                    </w:rPr>
                  </w:pPr>
                  <w:r>
                    <w:rPr>
                      <w:color w:val="auto"/>
                      <w:sz w:val="18"/>
                      <w:szCs w:val="18"/>
                      <w:u w:val="none"/>
                    </w:rPr>
                    <w:t>生活污水</w:t>
                  </w:r>
                </w:p>
              </w:tc>
              <w:tc>
                <w:tcPr>
                  <w:tcW w:w="4230" w:type="dxa"/>
                  <w:noWrap w:val="0"/>
                  <w:vAlign w:val="center"/>
                </w:tcPr>
                <w:p>
                  <w:pPr>
                    <w:pStyle w:val="2"/>
                    <w:ind w:left="-105" w:leftChars="-50" w:right="-105" w:rightChars="-50"/>
                    <w:jc w:val="center"/>
                    <w:rPr>
                      <w:rFonts w:hint="default" w:ascii="Times New Roman" w:hAnsi="Times New Roman"/>
                      <w:color w:val="auto"/>
                      <w:sz w:val="18"/>
                      <w:szCs w:val="18"/>
                      <w:u w:val="none"/>
                      <w:lang w:val="en-US"/>
                    </w:rPr>
                  </w:pPr>
                  <w:r>
                    <w:rPr>
                      <w:rFonts w:hint="eastAsia" w:ascii="Times New Roman" w:hAnsi="Times New Roman"/>
                      <w:color w:val="auto"/>
                      <w:sz w:val="18"/>
                      <w:szCs w:val="18"/>
                      <w:u w:val="none"/>
                      <w:lang w:val="en-US" w:eastAsia="zh-CN"/>
                    </w:rPr>
                    <w:t>依托原有生活污水处理设施</w:t>
                  </w:r>
                </w:p>
              </w:tc>
              <w:tc>
                <w:tcPr>
                  <w:tcW w:w="773" w:type="dxa"/>
                  <w:noWrap w:val="0"/>
                  <w:vAlign w:val="center"/>
                </w:tcPr>
                <w:p>
                  <w:pPr>
                    <w:pStyle w:val="2"/>
                    <w:ind w:left="-105" w:leftChars="-50" w:right="-105" w:rightChars="-50"/>
                    <w:jc w:val="center"/>
                    <w:rPr>
                      <w:rFonts w:hint="eastAsia" w:ascii="Times New Roman" w:hAnsi="Times New Roman" w:eastAsia="宋体"/>
                      <w:color w:val="auto"/>
                      <w:sz w:val="18"/>
                      <w:szCs w:val="18"/>
                      <w:u w:val="none"/>
                      <w:lang w:val="en-US" w:eastAsia="zh-CN"/>
                    </w:rPr>
                  </w:pPr>
                  <w:r>
                    <w:rPr>
                      <w:rFonts w:hint="eastAsia" w:ascii="Times New Roman" w:hAnsi="Times New Roman"/>
                      <w:color w:val="auto"/>
                      <w:sz w:val="18"/>
                      <w:szCs w:val="18"/>
                      <w:u w:val="none"/>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03" w:type="dxa"/>
                  <w:vMerge w:val="continue"/>
                  <w:noWrap w:val="0"/>
                  <w:vAlign w:val="center"/>
                </w:tcPr>
                <w:p>
                  <w:pPr>
                    <w:ind w:left="-105" w:leftChars="-50" w:right="-105" w:rightChars="-50"/>
                    <w:jc w:val="center"/>
                    <w:rPr>
                      <w:color w:val="auto"/>
                      <w:sz w:val="18"/>
                      <w:szCs w:val="18"/>
                      <w:u w:val="none"/>
                    </w:rPr>
                  </w:pPr>
                </w:p>
              </w:tc>
              <w:tc>
                <w:tcPr>
                  <w:tcW w:w="960" w:type="dxa"/>
                  <w:vMerge w:val="continue"/>
                  <w:tcBorders>
                    <w:right w:val="single" w:color="000000" w:sz="4" w:space="0"/>
                  </w:tcBorders>
                  <w:noWrap w:val="0"/>
                  <w:vAlign w:val="center"/>
                </w:tcPr>
                <w:p>
                  <w:pPr>
                    <w:jc w:val="center"/>
                    <w:rPr>
                      <w:color w:val="auto"/>
                      <w:sz w:val="18"/>
                      <w:szCs w:val="18"/>
                      <w:u w:val="none"/>
                    </w:rPr>
                  </w:pPr>
                </w:p>
              </w:tc>
              <w:tc>
                <w:tcPr>
                  <w:tcW w:w="1455" w:type="dxa"/>
                  <w:vMerge w:val="restart"/>
                  <w:tcBorders>
                    <w:left w:val="single" w:color="000000" w:sz="4" w:space="0"/>
                  </w:tcBorders>
                  <w:noWrap w:val="0"/>
                  <w:vAlign w:val="center"/>
                </w:tcPr>
                <w:p>
                  <w:pPr>
                    <w:jc w:val="center"/>
                    <w:rPr>
                      <w:color w:val="auto"/>
                      <w:sz w:val="18"/>
                      <w:szCs w:val="18"/>
                      <w:u w:val="none"/>
                    </w:rPr>
                  </w:pPr>
                  <w:r>
                    <w:rPr>
                      <w:color w:val="auto"/>
                      <w:sz w:val="18"/>
                      <w:szCs w:val="18"/>
                      <w:u w:val="none"/>
                    </w:rPr>
                    <w:t>生产废水</w:t>
                  </w:r>
                </w:p>
              </w:tc>
              <w:tc>
                <w:tcPr>
                  <w:tcW w:w="4230" w:type="dxa"/>
                  <w:noWrap w:val="0"/>
                  <w:vAlign w:val="center"/>
                </w:tcPr>
                <w:p>
                  <w:pPr>
                    <w:pStyle w:val="2"/>
                    <w:ind w:left="-105" w:leftChars="-50" w:right="-105" w:rightChars="-50"/>
                    <w:jc w:val="center"/>
                    <w:rPr>
                      <w:rFonts w:hint="default" w:ascii="Times New Roman" w:hAnsi="Times New Roman"/>
                      <w:color w:val="auto"/>
                      <w:sz w:val="18"/>
                      <w:szCs w:val="18"/>
                      <w:u w:val="none"/>
                    </w:rPr>
                  </w:pPr>
                  <w:r>
                    <w:rPr>
                      <w:rFonts w:hint="default" w:ascii="Times New Roman" w:hAnsi="Times New Roman"/>
                      <w:color w:val="auto"/>
                      <w:sz w:val="18"/>
                      <w:szCs w:val="18"/>
                      <w:u w:val="none"/>
                    </w:rPr>
                    <w:t>脱硫除尘废水收集至循环池处理后回用</w:t>
                  </w:r>
                </w:p>
                <w:p>
                  <w:pPr>
                    <w:pStyle w:val="2"/>
                    <w:ind w:left="-105" w:leftChars="-50" w:right="-105" w:rightChars="-50"/>
                    <w:jc w:val="center"/>
                    <w:rPr>
                      <w:rFonts w:hint="default" w:ascii="Times New Roman" w:hAnsi="Times New Roman"/>
                      <w:color w:val="auto"/>
                      <w:sz w:val="18"/>
                      <w:szCs w:val="18"/>
                      <w:u w:val="none"/>
                    </w:rPr>
                  </w:pPr>
                  <w:r>
                    <w:rPr>
                      <w:rFonts w:hint="default" w:ascii="Times New Roman" w:hAnsi="Times New Roman"/>
                      <w:color w:val="auto"/>
                      <w:sz w:val="18"/>
                      <w:szCs w:val="18"/>
                      <w:u w:val="none"/>
                    </w:rPr>
                    <w:t>（包含在隧道窑废气处理费中）</w:t>
                  </w:r>
                </w:p>
              </w:tc>
              <w:tc>
                <w:tcPr>
                  <w:tcW w:w="773" w:type="dxa"/>
                  <w:noWrap w:val="0"/>
                  <w:vAlign w:val="center"/>
                </w:tcPr>
                <w:p>
                  <w:pPr>
                    <w:pStyle w:val="2"/>
                    <w:ind w:left="-105" w:leftChars="-50" w:right="-105" w:rightChars="-50"/>
                    <w:jc w:val="center"/>
                    <w:rPr>
                      <w:rFonts w:hint="default" w:ascii="Times New Roman" w:hAnsi="Times New Roman"/>
                      <w:color w:val="auto"/>
                      <w:sz w:val="18"/>
                      <w:szCs w:val="18"/>
                      <w:u w:val="none"/>
                    </w:rPr>
                  </w:pPr>
                  <w:r>
                    <w:rPr>
                      <w:rFonts w:hint="default" w:ascii="Times New Roman" w:hAnsi="Times New Roman"/>
                      <w:color w:val="auto"/>
                      <w:sz w:val="18"/>
                      <w:szCs w:val="18"/>
                      <w:u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03" w:type="dxa"/>
                  <w:vMerge w:val="continue"/>
                  <w:noWrap w:val="0"/>
                  <w:vAlign w:val="center"/>
                </w:tcPr>
                <w:p>
                  <w:pPr>
                    <w:ind w:left="-105" w:leftChars="-50" w:right="-105" w:rightChars="-50"/>
                    <w:jc w:val="center"/>
                    <w:rPr>
                      <w:color w:val="auto"/>
                      <w:sz w:val="18"/>
                      <w:szCs w:val="18"/>
                      <w:u w:val="none"/>
                    </w:rPr>
                  </w:pPr>
                </w:p>
              </w:tc>
              <w:tc>
                <w:tcPr>
                  <w:tcW w:w="960" w:type="dxa"/>
                  <w:vMerge w:val="continue"/>
                  <w:tcBorders>
                    <w:right w:val="single" w:color="000000" w:sz="4" w:space="0"/>
                  </w:tcBorders>
                  <w:noWrap w:val="0"/>
                  <w:vAlign w:val="center"/>
                </w:tcPr>
                <w:p>
                  <w:pPr>
                    <w:jc w:val="center"/>
                    <w:rPr>
                      <w:color w:val="auto"/>
                      <w:sz w:val="18"/>
                      <w:szCs w:val="18"/>
                      <w:u w:val="none"/>
                    </w:rPr>
                  </w:pPr>
                </w:p>
              </w:tc>
              <w:tc>
                <w:tcPr>
                  <w:tcW w:w="1455" w:type="dxa"/>
                  <w:vMerge w:val="continue"/>
                  <w:tcBorders>
                    <w:left w:val="single" w:color="000000" w:sz="4" w:space="0"/>
                  </w:tcBorders>
                  <w:noWrap w:val="0"/>
                  <w:vAlign w:val="center"/>
                </w:tcPr>
                <w:p>
                  <w:pPr>
                    <w:jc w:val="center"/>
                    <w:rPr>
                      <w:color w:val="auto"/>
                      <w:sz w:val="18"/>
                      <w:szCs w:val="18"/>
                      <w:u w:val="none"/>
                    </w:rPr>
                  </w:pPr>
                </w:p>
              </w:tc>
              <w:tc>
                <w:tcPr>
                  <w:tcW w:w="4230" w:type="dxa"/>
                  <w:noWrap w:val="0"/>
                  <w:vAlign w:val="center"/>
                </w:tcPr>
                <w:p>
                  <w:pPr>
                    <w:pStyle w:val="2"/>
                    <w:ind w:left="-105" w:leftChars="-50" w:right="-105" w:rightChars="-50"/>
                    <w:jc w:val="center"/>
                    <w:rPr>
                      <w:rFonts w:hint="default" w:ascii="Times New Roman" w:hAnsi="Times New Roman"/>
                      <w:color w:val="auto"/>
                      <w:sz w:val="18"/>
                      <w:szCs w:val="18"/>
                      <w:u w:val="none"/>
                    </w:rPr>
                  </w:pPr>
                  <w:r>
                    <w:rPr>
                      <w:rFonts w:hint="default" w:ascii="Times New Roman" w:hAnsi="Times New Roman"/>
                      <w:color w:val="auto"/>
                      <w:sz w:val="18"/>
                      <w:szCs w:val="18"/>
                      <w:u w:val="none"/>
                    </w:rPr>
                    <w:t>车辆冲洗用水经沉淀池处理后回用不外排</w:t>
                  </w:r>
                </w:p>
                <w:p>
                  <w:pPr>
                    <w:pStyle w:val="2"/>
                    <w:ind w:left="-105" w:leftChars="-50" w:right="-105" w:rightChars="-50"/>
                    <w:jc w:val="center"/>
                    <w:rPr>
                      <w:rFonts w:hint="default" w:ascii="Times New Roman" w:hAnsi="Times New Roman"/>
                      <w:color w:val="auto"/>
                      <w:sz w:val="18"/>
                      <w:szCs w:val="18"/>
                      <w:u w:val="none"/>
                    </w:rPr>
                  </w:pPr>
                  <w:r>
                    <w:rPr>
                      <w:rFonts w:hint="default" w:ascii="Times New Roman" w:hAnsi="Times New Roman"/>
                      <w:color w:val="auto"/>
                      <w:sz w:val="18"/>
                      <w:szCs w:val="18"/>
                      <w:u w:val="none"/>
                    </w:rPr>
                    <w:t>（包含在动力扬尘废气处理费中）</w:t>
                  </w:r>
                </w:p>
              </w:tc>
              <w:tc>
                <w:tcPr>
                  <w:tcW w:w="773" w:type="dxa"/>
                  <w:noWrap w:val="0"/>
                  <w:vAlign w:val="center"/>
                </w:tcPr>
                <w:p>
                  <w:pPr>
                    <w:pStyle w:val="2"/>
                    <w:ind w:left="-105" w:leftChars="-50" w:right="-105" w:rightChars="-50"/>
                    <w:jc w:val="center"/>
                    <w:rPr>
                      <w:rFonts w:hint="default" w:ascii="Times New Roman" w:hAnsi="Times New Roman"/>
                      <w:color w:val="auto"/>
                      <w:sz w:val="18"/>
                      <w:szCs w:val="18"/>
                      <w:u w:val="none"/>
                    </w:rPr>
                  </w:pPr>
                  <w:r>
                    <w:rPr>
                      <w:rFonts w:hint="default" w:ascii="Times New Roman" w:hAnsi="Times New Roman"/>
                      <w:color w:val="auto"/>
                      <w:sz w:val="18"/>
                      <w:szCs w:val="18"/>
                      <w:u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03" w:type="dxa"/>
                  <w:vMerge w:val="continue"/>
                  <w:noWrap w:val="0"/>
                  <w:vAlign w:val="center"/>
                </w:tcPr>
                <w:p>
                  <w:pPr>
                    <w:ind w:left="-105" w:leftChars="-50" w:right="-105" w:rightChars="-50"/>
                    <w:jc w:val="center"/>
                    <w:rPr>
                      <w:color w:val="auto"/>
                      <w:sz w:val="18"/>
                      <w:szCs w:val="18"/>
                      <w:u w:val="none"/>
                    </w:rPr>
                  </w:pPr>
                </w:p>
              </w:tc>
              <w:tc>
                <w:tcPr>
                  <w:tcW w:w="960" w:type="dxa"/>
                  <w:tcBorders>
                    <w:right w:val="single" w:color="000000" w:sz="4" w:space="0"/>
                  </w:tcBorders>
                  <w:noWrap w:val="0"/>
                  <w:vAlign w:val="center"/>
                </w:tcPr>
                <w:p>
                  <w:pPr>
                    <w:jc w:val="center"/>
                    <w:rPr>
                      <w:color w:val="auto"/>
                      <w:sz w:val="18"/>
                      <w:szCs w:val="18"/>
                      <w:u w:val="none"/>
                    </w:rPr>
                  </w:pPr>
                  <w:r>
                    <w:rPr>
                      <w:color w:val="auto"/>
                      <w:sz w:val="18"/>
                      <w:szCs w:val="18"/>
                      <w:u w:val="none"/>
                    </w:rPr>
                    <w:t>噪声</w:t>
                  </w:r>
                </w:p>
              </w:tc>
              <w:tc>
                <w:tcPr>
                  <w:tcW w:w="1455" w:type="dxa"/>
                  <w:tcBorders>
                    <w:left w:val="single" w:color="000000" w:sz="4" w:space="0"/>
                  </w:tcBorders>
                  <w:noWrap w:val="0"/>
                  <w:vAlign w:val="center"/>
                </w:tcPr>
                <w:p>
                  <w:pPr>
                    <w:jc w:val="center"/>
                    <w:rPr>
                      <w:color w:val="auto"/>
                      <w:sz w:val="18"/>
                      <w:szCs w:val="18"/>
                      <w:u w:val="none"/>
                    </w:rPr>
                  </w:pPr>
                  <w:r>
                    <w:rPr>
                      <w:color w:val="auto"/>
                      <w:sz w:val="18"/>
                      <w:szCs w:val="18"/>
                      <w:u w:val="none"/>
                    </w:rPr>
                    <w:t>设备噪声</w:t>
                  </w:r>
                </w:p>
              </w:tc>
              <w:tc>
                <w:tcPr>
                  <w:tcW w:w="4230" w:type="dxa"/>
                  <w:noWrap w:val="0"/>
                  <w:vAlign w:val="center"/>
                </w:tcPr>
                <w:p>
                  <w:pPr>
                    <w:pStyle w:val="2"/>
                    <w:ind w:left="-105" w:leftChars="-50" w:right="-105" w:rightChars="-50"/>
                    <w:jc w:val="center"/>
                    <w:rPr>
                      <w:rFonts w:hint="default" w:ascii="Times New Roman" w:hAnsi="Times New Roman"/>
                      <w:color w:val="auto"/>
                      <w:sz w:val="18"/>
                      <w:szCs w:val="18"/>
                      <w:u w:val="none"/>
                    </w:rPr>
                  </w:pPr>
                  <w:r>
                    <w:rPr>
                      <w:rFonts w:hint="default" w:ascii="Times New Roman" w:hAnsi="Times New Roman"/>
                      <w:color w:val="auto"/>
                      <w:sz w:val="18"/>
                      <w:szCs w:val="18"/>
                      <w:u w:val="none"/>
                    </w:rPr>
                    <w:t>采用低噪声设备，设备安装基础采用减震措施；生产厂房修建全封闭式，采用墙体隔声降噪；合理平面布局</w:t>
                  </w:r>
                </w:p>
              </w:tc>
              <w:tc>
                <w:tcPr>
                  <w:tcW w:w="773" w:type="dxa"/>
                  <w:noWrap w:val="0"/>
                  <w:vAlign w:val="center"/>
                </w:tcPr>
                <w:p>
                  <w:pPr>
                    <w:pStyle w:val="2"/>
                    <w:ind w:left="-105" w:leftChars="-50" w:right="-105" w:rightChars="-50"/>
                    <w:jc w:val="center"/>
                    <w:rPr>
                      <w:rFonts w:hint="default" w:ascii="Times New Roman" w:hAnsi="Times New Roman" w:eastAsia="宋体"/>
                      <w:color w:val="auto"/>
                      <w:sz w:val="18"/>
                      <w:szCs w:val="18"/>
                      <w:u w:val="none"/>
                      <w:lang w:val="en-US" w:eastAsia="zh-CN"/>
                    </w:rPr>
                  </w:pPr>
                  <w:r>
                    <w:rPr>
                      <w:rFonts w:hint="eastAsia" w:ascii="Times New Roman" w:hAnsi="Times New Roman"/>
                      <w:color w:val="auto"/>
                      <w:sz w:val="18"/>
                      <w:szCs w:val="18"/>
                      <w:u w:val="none"/>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03" w:type="dxa"/>
                  <w:vMerge w:val="continue"/>
                  <w:noWrap w:val="0"/>
                  <w:vAlign w:val="center"/>
                </w:tcPr>
                <w:p>
                  <w:pPr>
                    <w:ind w:left="-105" w:leftChars="-50" w:right="-105" w:rightChars="-50"/>
                    <w:jc w:val="center"/>
                    <w:rPr>
                      <w:color w:val="auto"/>
                      <w:sz w:val="18"/>
                      <w:szCs w:val="18"/>
                      <w:u w:val="none"/>
                    </w:rPr>
                  </w:pPr>
                </w:p>
              </w:tc>
              <w:tc>
                <w:tcPr>
                  <w:tcW w:w="960" w:type="dxa"/>
                  <w:tcBorders>
                    <w:right w:val="single" w:color="000000" w:sz="4" w:space="0"/>
                  </w:tcBorders>
                  <w:noWrap w:val="0"/>
                  <w:vAlign w:val="center"/>
                </w:tcPr>
                <w:p>
                  <w:pPr>
                    <w:jc w:val="center"/>
                    <w:rPr>
                      <w:rFonts w:hint="eastAsia" w:eastAsia="宋体"/>
                      <w:color w:val="auto"/>
                      <w:sz w:val="18"/>
                      <w:szCs w:val="18"/>
                      <w:u w:val="none"/>
                      <w:lang w:eastAsia="zh-CN"/>
                    </w:rPr>
                  </w:pPr>
                  <w:r>
                    <w:rPr>
                      <w:rFonts w:hint="eastAsia"/>
                      <w:color w:val="auto"/>
                      <w:sz w:val="18"/>
                      <w:szCs w:val="18"/>
                      <w:u w:val="none"/>
                      <w:lang w:eastAsia="zh-CN"/>
                    </w:rPr>
                    <w:t>固体废物</w:t>
                  </w:r>
                </w:p>
              </w:tc>
              <w:tc>
                <w:tcPr>
                  <w:tcW w:w="1455" w:type="dxa"/>
                  <w:tcBorders>
                    <w:left w:val="single" w:color="000000" w:sz="4" w:space="0"/>
                  </w:tcBorders>
                  <w:noWrap w:val="0"/>
                  <w:vAlign w:val="center"/>
                </w:tcPr>
                <w:p>
                  <w:pPr>
                    <w:jc w:val="center"/>
                    <w:rPr>
                      <w:color w:val="auto"/>
                      <w:sz w:val="18"/>
                      <w:szCs w:val="18"/>
                      <w:u w:val="none"/>
                    </w:rPr>
                  </w:pPr>
                  <w:r>
                    <w:rPr>
                      <w:color w:val="auto"/>
                      <w:sz w:val="18"/>
                      <w:szCs w:val="18"/>
                      <w:u w:val="none"/>
                    </w:rPr>
                    <w:t>生活垃圾</w:t>
                  </w:r>
                </w:p>
              </w:tc>
              <w:tc>
                <w:tcPr>
                  <w:tcW w:w="4230" w:type="dxa"/>
                  <w:noWrap w:val="0"/>
                  <w:vAlign w:val="center"/>
                </w:tcPr>
                <w:p>
                  <w:pPr>
                    <w:pStyle w:val="2"/>
                    <w:ind w:left="-105" w:leftChars="-50" w:right="-105" w:rightChars="-50"/>
                    <w:jc w:val="center"/>
                    <w:rPr>
                      <w:rFonts w:hint="default" w:ascii="Times New Roman" w:hAnsi="Times New Roman"/>
                      <w:color w:val="auto"/>
                      <w:sz w:val="18"/>
                      <w:szCs w:val="18"/>
                      <w:u w:val="none"/>
                    </w:rPr>
                  </w:pPr>
                  <w:r>
                    <w:rPr>
                      <w:rFonts w:hint="default" w:ascii="Times New Roman" w:hAnsi="Times New Roman"/>
                      <w:color w:val="auto"/>
                      <w:sz w:val="18"/>
                      <w:szCs w:val="18"/>
                      <w:u w:val="none"/>
                    </w:rPr>
                    <w:t>垃圾收集袋收集后由环卫部门统一清运</w:t>
                  </w:r>
                </w:p>
              </w:tc>
              <w:tc>
                <w:tcPr>
                  <w:tcW w:w="773" w:type="dxa"/>
                  <w:noWrap w:val="0"/>
                  <w:vAlign w:val="center"/>
                </w:tcPr>
                <w:p>
                  <w:pPr>
                    <w:pStyle w:val="2"/>
                    <w:ind w:left="-105" w:leftChars="-50" w:right="-105" w:rightChars="-50"/>
                    <w:jc w:val="center"/>
                    <w:rPr>
                      <w:rFonts w:hint="default" w:ascii="Times New Roman" w:hAnsi="Times New Roman" w:eastAsia="宋体"/>
                      <w:color w:val="auto"/>
                      <w:sz w:val="18"/>
                      <w:szCs w:val="18"/>
                      <w:u w:val="none"/>
                      <w:lang w:val="en-US" w:eastAsia="zh-CN"/>
                    </w:rPr>
                  </w:pPr>
                  <w:r>
                    <w:rPr>
                      <w:rFonts w:hint="eastAsia" w:ascii="Times New Roman" w:hAnsi="Times New Roman"/>
                      <w:color w:val="auto"/>
                      <w:sz w:val="18"/>
                      <w:szCs w:val="18"/>
                      <w:u w:val="none"/>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18" w:type="dxa"/>
                  <w:gridSpan w:val="3"/>
                  <w:noWrap w:val="0"/>
                  <w:vAlign w:val="center"/>
                </w:tcPr>
                <w:p>
                  <w:pPr>
                    <w:jc w:val="center"/>
                    <w:rPr>
                      <w:color w:val="auto"/>
                      <w:sz w:val="18"/>
                      <w:szCs w:val="18"/>
                      <w:u w:val="none"/>
                    </w:rPr>
                  </w:pPr>
                  <w:r>
                    <w:rPr>
                      <w:color w:val="auto"/>
                      <w:sz w:val="18"/>
                      <w:szCs w:val="18"/>
                      <w:u w:val="none"/>
                    </w:rPr>
                    <w:t>合计</w:t>
                  </w:r>
                </w:p>
              </w:tc>
              <w:tc>
                <w:tcPr>
                  <w:tcW w:w="4230" w:type="dxa"/>
                  <w:noWrap w:val="0"/>
                  <w:vAlign w:val="center"/>
                </w:tcPr>
                <w:p>
                  <w:pPr>
                    <w:pStyle w:val="2"/>
                    <w:ind w:left="-105" w:leftChars="-50" w:right="-105" w:rightChars="-50"/>
                    <w:jc w:val="center"/>
                    <w:rPr>
                      <w:rFonts w:hint="default" w:ascii="Times New Roman" w:hAnsi="Times New Roman"/>
                      <w:color w:val="auto"/>
                      <w:sz w:val="18"/>
                      <w:szCs w:val="18"/>
                      <w:u w:val="none"/>
                    </w:rPr>
                  </w:pPr>
                  <w:r>
                    <w:rPr>
                      <w:rFonts w:hint="default" w:ascii="Times New Roman" w:hAnsi="Times New Roman"/>
                      <w:color w:val="auto"/>
                      <w:sz w:val="18"/>
                      <w:szCs w:val="18"/>
                      <w:u w:val="none"/>
                    </w:rPr>
                    <w:t>/</w:t>
                  </w:r>
                </w:p>
              </w:tc>
              <w:tc>
                <w:tcPr>
                  <w:tcW w:w="773" w:type="dxa"/>
                  <w:noWrap w:val="0"/>
                  <w:vAlign w:val="center"/>
                </w:tcPr>
                <w:p>
                  <w:pPr>
                    <w:pStyle w:val="2"/>
                    <w:ind w:left="-105" w:leftChars="-50" w:right="-105" w:rightChars="-50"/>
                    <w:jc w:val="center"/>
                    <w:rPr>
                      <w:rFonts w:hint="default" w:ascii="Times New Roman" w:hAnsi="Times New Roman" w:eastAsia="宋体"/>
                      <w:color w:val="auto"/>
                      <w:sz w:val="18"/>
                      <w:szCs w:val="18"/>
                      <w:u w:val="none"/>
                      <w:lang w:val="en-US" w:eastAsia="zh-CN"/>
                    </w:rPr>
                  </w:pPr>
                  <w:r>
                    <w:rPr>
                      <w:rFonts w:hint="eastAsia" w:ascii="Times New Roman" w:hAnsi="Times New Roman"/>
                      <w:color w:val="auto"/>
                      <w:sz w:val="18"/>
                      <w:szCs w:val="18"/>
                      <w:u w:val="none"/>
                      <w:lang w:val="en-US" w:eastAsia="zh-CN"/>
                    </w:rPr>
                    <w:t>101.7</w:t>
                  </w:r>
                </w:p>
              </w:tc>
            </w:tr>
          </w:tbl>
          <w:p>
            <w:pPr>
              <w:adjustRightInd w:val="0"/>
              <w:snapToGrid w:val="0"/>
              <w:spacing w:line="360" w:lineRule="auto"/>
              <w:rPr>
                <w:bCs/>
                <w:color w:val="auto"/>
                <w:spacing w:val="-10"/>
                <w:sz w:val="18"/>
                <w:szCs w:val="18"/>
                <w:u w:val="none"/>
              </w:rPr>
            </w:pPr>
          </w:p>
        </w:tc>
      </w:tr>
    </w:tbl>
    <w:p>
      <w:pPr>
        <w:adjustRightInd w:val="0"/>
        <w:snapToGrid w:val="0"/>
        <w:spacing w:line="360" w:lineRule="auto"/>
        <w:rPr>
          <w:rFonts w:hint="eastAsia" w:cs="宋体"/>
          <w:b/>
          <w:color w:val="FF0000"/>
          <w:kern w:val="0"/>
          <w:sz w:val="28"/>
          <w:szCs w:val="28"/>
          <w:u w:val="none"/>
        </w:rPr>
        <w:sectPr>
          <w:pgSz w:w="11907" w:h="16840"/>
          <w:pgMar w:top="1440" w:right="1417" w:bottom="1440" w:left="1417" w:header="851" w:footer="850" w:gutter="0"/>
          <w:pgBorders>
            <w:top w:val="none" w:sz="0" w:space="0"/>
            <w:left w:val="none" w:sz="0" w:space="0"/>
            <w:bottom w:val="none" w:sz="0" w:space="0"/>
            <w:right w:val="none" w:sz="0" w:space="0"/>
          </w:pgBorders>
          <w:pgNumType w:fmt="decimal"/>
          <w:cols w:space="720" w:num="1"/>
          <w:docGrid w:type="lines" w:linePitch="312" w:charSpace="0"/>
        </w:sectPr>
      </w:pPr>
    </w:p>
    <w:p>
      <w:pPr>
        <w:pStyle w:val="26"/>
        <w:spacing w:before="0" w:beforeAutospacing="0" w:after="0" w:afterAutospacing="0"/>
        <w:jc w:val="center"/>
        <w:outlineLvl w:val="0"/>
        <w:rPr>
          <w:rFonts w:ascii="Times New Roman" w:hAnsi="Times New Roman" w:eastAsia="黑体"/>
          <w:snapToGrid w:val="0"/>
          <w:color w:val="000000"/>
          <w:sz w:val="30"/>
          <w:szCs w:val="30"/>
          <w:u w:val="none"/>
        </w:rPr>
      </w:pPr>
      <w:bookmarkStart w:id="8" w:name="_Toc28592"/>
      <w:r>
        <w:rPr>
          <w:rFonts w:hint="eastAsia" w:ascii="Times New Roman" w:hAnsi="Times New Roman" w:eastAsia="黑体"/>
          <w:snapToGrid w:val="0"/>
          <w:color w:val="000000"/>
          <w:sz w:val="30"/>
          <w:szCs w:val="30"/>
          <w:u w:val="none"/>
        </w:rPr>
        <w:t>五、</w:t>
      </w:r>
      <w:bookmarkStart w:id="9" w:name="_Hlk54167917"/>
      <w:r>
        <w:rPr>
          <w:rFonts w:hint="eastAsia" w:ascii="Times New Roman" w:hAnsi="Times New Roman" w:eastAsia="黑体"/>
          <w:snapToGrid w:val="0"/>
          <w:color w:val="000000"/>
          <w:sz w:val="30"/>
          <w:szCs w:val="30"/>
          <w:u w:val="none"/>
        </w:rPr>
        <w:t>环境保护措施监督检查清单</w:t>
      </w:r>
      <w:bookmarkEnd w:id="8"/>
      <w:bookmarkEnd w:id="9"/>
    </w:p>
    <w:tbl>
      <w:tblPr>
        <w:tblStyle w:val="30"/>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160"/>
        <w:gridCol w:w="1917"/>
        <w:gridCol w:w="1670"/>
        <w:gridCol w:w="2143"/>
        <w:gridCol w:w="2181"/>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1160" w:type="dxa"/>
            <w:tcBorders>
              <w:tl2br w:val="single" w:color="auto" w:sz="4" w:space="0"/>
            </w:tcBorders>
            <w:noWrap w:val="0"/>
            <w:vAlign w:val="top"/>
          </w:tcPr>
          <w:p>
            <w:pPr>
              <w:adjustRightInd w:val="0"/>
              <w:snapToGrid w:val="0"/>
              <w:jc w:val="right"/>
              <w:rPr>
                <w:rFonts w:hint="eastAsia" w:cs="宋体"/>
                <w:color w:val="000000"/>
                <w:szCs w:val="21"/>
                <w:u w:val="none"/>
              </w:rPr>
            </w:pPr>
            <w:r>
              <w:rPr>
                <w:rFonts w:hint="eastAsia" w:cs="宋体"/>
                <w:color w:val="000000"/>
                <w:szCs w:val="21"/>
                <w:u w:val="none"/>
              </w:rPr>
              <w:t>内容</w:t>
            </w:r>
          </w:p>
          <w:p>
            <w:pPr>
              <w:adjustRightInd w:val="0"/>
              <w:snapToGrid w:val="0"/>
              <w:rPr>
                <w:rFonts w:hint="eastAsia" w:cs="宋体"/>
                <w:color w:val="000000"/>
                <w:szCs w:val="21"/>
                <w:u w:val="none"/>
              </w:rPr>
            </w:pPr>
            <w:r>
              <w:rPr>
                <w:rFonts w:hint="eastAsia" w:cs="宋体"/>
                <w:color w:val="000000"/>
                <w:szCs w:val="21"/>
                <w:u w:val="none"/>
              </w:rPr>
              <w:t>要素</w:t>
            </w:r>
          </w:p>
        </w:tc>
        <w:tc>
          <w:tcPr>
            <w:tcW w:w="1917" w:type="dxa"/>
            <w:noWrap w:val="0"/>
            <w:vAlign w:val="center"/>
          </w:tcPr>
          <w:p>
            <w:pPr>
              <w:adjustRightInd w:val="0"/>
              <w:snapToGrid w:val="0"/>
              <w:jc w:val="center"/>
              <w:rPr>
                <w:rFonts w:hint="eastAsia" w:cs="宋体"/>
                <w:color w:val="000000"/>
                <w:szCs w:val="21"/>
                <w:u w:val="none"/>
              </w:rPr>
            </w:pPr>
            <w:r>
              <w:rPr>
                <w:rFonts w:hint="eastAsia" w:cs="宋体"/>
                <w:color w:val="000000"/>
                <w:szCs w:val="21"/>
                <w:u w:val="none"/>
              </w:rPr>
              <w:t>排放口(编号、</w:t>
            </w:r>
          </w:p>
          <w:p>
            <w:pPr>
              <w:adjustRightInd w:val="0"/>
              <w:snapToGrid w:val="0"/>
              <w:jc w:val="center"/>
              <w:rPr>
                <w:rFonts w:hint="eastAsia" w:cs="宋体"/>
                <w:color w:val="000000"/>
                <w:szCs w:val="21"/>
                <w:u w:val="none"/>
              </w:rPr>
            </w:pPr>
            <w:r>
              <w:rPr>
                <w:rFonts w:hint="eastAsia" w:cs="宋体"/>
                <w:color w:val="000000"/>
                <w:szCs w:val="21"/>
                <w:u w:val="none"/>
              </w:rPr>
              <w:t>名称)/污染源</w:t>
            </w:r>
          </w:p>
        </w:tc>
        <w:tc>
          <w:tcPr>
            <w:tcW w:w="1670" w:type="dxa"/>
            <w:noWrap w:val="0"/>
            <w:vAlign w:val="center"/>
          </w:tcPr>
          <w:p>
            <w:pPr>
              <w:adjustRightInd w:val="0"/>
              <w:snapToGrid w:val="0"/>
              <w:jc w:val="center"/>
              <w:rPr>
                <w:rFonts w:hint="eastAsia" w:cs="宋体"/>
                <w:color w:val="000000"/>
                <w:szCs w:val="21"/>
                <w:u w:val="none"/>
              </w:rPr>
            </w:pPr>
            <w:r>
              <w:rPr>
                <w:rFonts w:hint="eastAsia" w:cs="宋体"/>
                <w:color w:val="000000"/>
                <w:szCs w:val="21"/>
                <w:u w:val="none"/>
              </w:rPr>
              <w:t>污染物项目</w:t>
            </w:r>
          </w:p>
        </w:tc>
        <w:tc>
          <w:tcPr>
            <w:tcW w:w="2143" w:type="dxa"/>
            <w:noWrap w:val="0"/>
            <w:vAlign w:val="center"/>
          </w:tcPr>
          <w:p>
            <w:pPr>
              <w:adjustRightInd w:val="0"/>
              <w:snapToGrid w:val="0"/>
              <w:jc w:val="center"/>
              <w:rPr>
                <w:rFonts w:hint="eastAsia" w:cs="宋体"/>
                <w:color w:val="000000"/>
                <w:szCs w:val="21"/>
                <w:u w:val="none"/>
              </w:rPr>
            </w:pPr>
            <w:r>
              <w:rPr>
                <w:rFonts w:hint="eastAsia" w:cs="宋体"/>
                <w:color w:val="000000"/>
                <w:szCs w:val="21"/>
                <w:u w:val="none"/>
              </w:rPr>
              <w:t>环境保护措施</w:t>
            </w:r>
          </w:p>
        </w:tc>
        <w:tc>
          <w:tcPr>
            <w:tcW w:w="2181" w:type="dxa"/>
            <w:noWrap w:val="0"/>
            <w:vAlign w:val="center"/>
          </w:tcPr>
          <w:p>
            <w:pPr>
              <w:adjustRightInd w:val="0"/>
              <w:snapToGrid w:val="0"/>
              <w:jc w:val="center"/>
              <w:rPr>
                <w:rFonts w:hint="eastAsia" w:cs="宋体"/>
                <w:color w:val="000000"/>
                <w:szCs w:val="21"/>
                <w:u w:val="none"/>
              </w:rPr>
            </w:pPr>
            <w:r>
              <w:rPr>
                <w:rFonts w:hint="eastAsia" w:cs="宋体"/>
                <w:color w:val="000000"/>
                <w:szCs w:val="21"/>
                <w:u w:val="none"/>
              </w:rPr>
              <w:t>执行标准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1160" w:type="dxa"/>
            <w:vMerge w:val="restart"/>
            <w:noWrap w:val="0"/>
            <w:vAlign w:val="center"/>
          </w:tcPr>
          <w:p>
            <w:pPr>
              <w:adjustRightInd w:val="0"/>
              <w:snapToGrid w:val="0"/>
              <w:jc w:val="center"/>
              <w:rPr>
                <w:rFonts w:hint="eastAsia" w:cs="宋体"/>
                <w:color w:val="000000"/>
                <w:szCs w:val="21"/>
                <w:u w:val="none"/>
              </w:rPr>
            </w:pPr>
            <w:r>
              <w:rPr>
                <w:rFonts w:hint="eastAsia" w:cs="宋体"/>
                <w:color w:val="000000"/>
                <w:szCs w:val="21"/>
                <w:u w:val="none"/>
              </w:rPr>
              <w:t>大气环境</w:t>
            </w:r>
          </w:p>
        </w:tc>
        <w:tc>
          <w:tcPr>
            <w:tcW w:w="1917" w:type="dxa"/>
            <w:noWrap w:val="0"/>
            <w:vAlign w:val="center"/>
          </w:tcPr>
          <w:p>
            <w:pPr>
              <w:adjustRightInd w:val="0"/>
              <w:snapToGrid w:val="0"/>
              <w:jc w:val="center"/>
              <w:rPr>
                <w:rFonts w:hint="eastAsia"/>
                <w:color w:val="000000"/>
                <w:u w:val="none"/>
              </w:rPr>
            </w:pPr>
            <w:r>
              <w:rPr>
                <w:rFonts w:hint="eastAsia"/>
                <w:color w:val="000000"/>
                <w:u w:val="none"/>
              </w:rPr>
              <w:t>破碎、筛分粉尘（DA001</w:t>
            </w:r>
            <w:r>
              <w:rPr>
                <w:rFonts w:hint="eastAsia"/>
                <w:color w:val="000000"/>
                <w:u w:val="none"/>
                <w:lang w:eastAsia="zh-CN"/>
              </w:rPr>
              <w:t>、</w:t>
            </w:r>
            <w:r>
              <w:rPr>
                <w:rFonts w:hint="eastAsia"/>
                <w:color w:val="000000"/>
                <w:u w:val="none"/>
                <w:lang w:val="en-US" w:eastAsia="zh-CN"/>
              </w:rPr>
              <w:t>DA002</w:t>
            </w:r>
            <w:r>
              <w:rPr>
                <w:rFonts w:hint="eastAsia"/>
                <w:color w:val="000000"/>
                <w:u w:val="none"/>
              </w:rPr>
              <w:t>）</w:t>
            </w:r>
          </w:p>
        </w:tc>
        <w:tc>
          <w:tcPr>
            <w:tcW w:w="1670" w:type="dxa"/>
            <w:noWrap w:val="0"/>
            <w:vAlign w:val="center"/>
          </w:tcPr>
          <w:p>
            <w:pPr>
              <w:adjustRightInd w:val="0"/>
              <w:snapToGrid w:val="0"/>
              <w:jc w:val="center"/>
              <w:rPr>
                <w:rFonts w:hint="eastAsia" w:cs="宋体"/>
                <w:color w:val="000000"/>
                <w:szCs w:val="21"/>
                <w:u w:val="none"/>
              </w:rPr>
            </w:pPr>
            <w:r>
              <w:rPr>
                <w:rFonts w:hint="eastAsia" w:cs="宋体"/>
                <w:color w:val="000000"/>
                <w:szCs w:val="21"/>
                <w:u w:val="none"/>
              </w:rPr>
              <w:t>粉尘</w:t>
            </w:r>
          </w:p>
        </w:tc>
        <w:tc>
          <w:tcPr>
            <w:tcW w:w="2143" w:type="dxa"/>
            <w:noWrap w:val="0"/>
            <w:vAlign w:val="center"/>
          </w:tcPr>
          <w:p>
            <w:pPr>
              <w:adjustRightInd w:val="0"/>
              <w:snapToGrid w:val="0"/>
              <w:jc w:val="center"/>
              <w:rPr>
                <w:rFonts w:hint="eastAsia" w:cs="宋体"/>
                <w:color w:val="000000"/>
                <w:szCs w:val="21"/>
                <w:u w:val="none"/>
              </w:rPr>
            </w:pPr>
            <w:r>
              <w:rPr>
                <w:rFonts w:hint="eastAsia" w:cs="宋体"/>
                <w:color w:val="000000"/>
                <w:szCs w:val="21"/>
                <w:u w:val="none"/>
              </w:rPr>
              <w:t>集尘罩收集后经布袋除尘器+15m高排气筒排放</w:t>
            </w:r>
          </w:p>
        </w:tc>
        <w:tc>
          <w:tcPr>
            <w:tcW w:w="2181" w:type="dxa"/>
            <w:vMerge w:val="restart"/>
            <w:noWrap w:val="0"/>
            <w:vAlign w:val="center"/>
          </w:tcPr>
          <w:p>
            <w:pPr>
              <w:adjustRightInd w:val="0"/>
              <w:snapToGrid w:val="0"/>
              <w:jc w:val="center"/>
              <w:rPr>
                <w:rFonts w:hint="eastAsia" w:cs="宋体"/>
                <w:color w:val="000000"/>
                <w:szCs w:val="21"/>
                <w:u w:val="none"/>
              </w:rPr>
            </w:pPr>
            <w:r>
              <w:rPr>
                <w:rFonts w:hint="eastAsia" w:ascii="Times New Roman" w:hAnsi="Times New Roman" w:eastAsia="宋体" w:cs="Times New Roman"/>
                <w:color w:val="000000"/>
                <w:szCs w:val="21"/>
                <w:highlight w:val="none"/>
                <w:u w:val="none" w:color="auto"/>
                <w:lang w:eastAsia="zh-CN"/>
              </w:rPr>
              <w:t>颗粒物</w:t>
            </w:r>
            <w:r>
              <w:rPr>
                <w:rFonts w:hint="default" w:ascii="Times New Roman" w:hAnsi="Times New Roman" w:eastAsia="宋体" w:cs="Times New Roman"/>
                <w:color w:val="000000"/>
                <w:szCs w:val="21"/>
                <w:highlight w:val="none"/>
                <w:u w:val="none" w:color="auto"/>
              </w:rPr>
              <w:t>、SO</w:t>
            </w:r>
            <w:r>
              <w:rPr>
                <w:rFonts w:hint="default" w:ascii="Times New Roman" w:hAnsi="Times New Roman" w:eastAsia="宋体" w:cs="Times New Roman"/>
                <w:color w:val="000000"/>
                <w:szCs w:val="21"/>
                <w:highlight w:val="none"/>
                <w:u w:val="none" w:color="auto"/>
                <w:vertAlign w:val="subscript"/>
              </w:rPr>
              <w:t>2</w:t>
            </w:r>
            <w:r>
              <w:rPr>
                <w:rFonts w:hint="default" w:ascii="Times New Roman" w:hAnsi="Times New Roman" w:eastAsia="宋体" w:cs="Times New Roman"/>
                <w:color w:val="000000"/>
                <w:szCs w:val="21"/>
                <w:highlight w:val="none"/>
                <w:u w:val="none" w:color="auto"/>
              </w:rPr>
              <w:t>、NO</w:t>
            </w:r>
            <w:r>
              <w:rPr>
                <w:rFonts w:hint="default" w:ascii="Times New Roman" w:hAnsi="Times New Roman" w:eastAsia="宋体" w:cs="Times New Roman"/>
                <w:color w:val="000000"/>
                <w:szCs w:val="21"/>
                <w:highlight w:val="none"/>
                <w:u w:val="none" w:color="auto"/>
                <w:vertAlign w:val="subscript"/>
              </w:rPr>
              <w:t>x</w:t>
            </w:r>
            <w:r>
              <w:rPr>
                <w:rFonts w:hint="eastAsia" w:ascii="Times New Roman" w:hAnsi="Times New Roman" w:eastAsia="宋体" w:cs="Times New Roman"/>
                <w:color w:val="000000"/>
                <w:szCs w:val="21"/>
                <w:highlight w:val="none"/>
                <w:u w:val="none" w:color="auto"/>
                <w:vertAlign w:val="baseline"/>
                <w:lang w:eastAsia="zh-CN"/>
              </w:rPr>
              <w:t>执行</w:t>
            </w:r>
            <w:r>
              <w:rPr>
                <w:rFonts w:hint="default" w:ascii="Times New Roman" w:hAnsi="Times New Roman" w:eastAsia="宋体" w:cs="Times New Roman"/>
                <w:color w:val="000000"/>
                <w:szCs w:val="21"/>
                <w:highlight w:val="none"/>
                <w:u w:val="none" w:color="auto"/>
              </w:rPr>
              <w:t>《工业炉窑主要大气污染物排放标准》（DB43/3082-2024）</w:t>
            </w:r>
            <w:r>
              <w:rPr>
                <w:rFonts w:hint="eastAsia" w:ascii="Times New Roman" w:hAnsi="Times New Roman" w:eastAsia="宋体" w:cs="Times New Roman"/>
                <w:color w:val="000000"/>
                <w:szCs w:val="21"/>
                <w:highlight w:val="none"/>
                <w:u w:val="none" w:color="auto"/>
                <w:lang w:eastAsia="zh-CN"/>
              </w:rPr>
              <w:t>；氟化物执行</w:t>
            </w:r>
            <w:r>
              <w:rPr>
                <w:rFonts w:hint="default" w:ascii="Times New Roman" w:hAnsi="Times New Roman" w:eastAsia="宋体" w:cs="Times New Roman"/>
                <w:color w:val="000000"/>
                <w:szCs w:val="21"/>
                <w:highlight w:val="none"/>
                <w:u w:val="none" w:color="auto"/>
              </w:rPr>
              <w:t>《砖瓦工业大气污染物排放标准》（GB29620-2013）表2中排放限值要求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1160" w:type="dxa"/>
            <w:vMerge w:val="continue"/>
            <w:noWrap w:val="0"/>
            <w:vAlign w:val="center"/>
          </w:tcPr>
          <w:p>
            <w:pPr>
              <w:adjustRightInd w:val="0"/>
              <w:snapToGrid w:val="0"/>
              <w:jc w:val="center"/>
              <w:rPr>
                <w:rFonts w:hint="eastAsia" w:cs="宋体"/>
                <w:color w:val="000000"/>
                <w:szCs w:val="21"/>
                <w:u w:val="none"/>
              </w:rPr>
            </w:pPr>
          </w:p>
        </w:tc>
        <w:tc>
          <w:tcPr>
            <w:tcW w:w="1917" w:type="dxa"/>
            <w:noWrap w:val="0"/>
            <w:vAlign w:val="center"/>
          </w:tcPr>
          <w:p>
            <w:pPr>
              <w:pStyle w:val="11"/>
              <w:ind w:firstLine="0" w:firstLineChars="0"/>
              <w:jc w:val="center"/>
              <w:rPr>
                <w:rFonts w:hint="eastAsia" w:cs="宋体"/>
                <w:color w:val="000000"/>
                <w:szCs w:val="21"/>
                <w:u w:val="none"/>
              </w:rPr>
            </w:pPr>
            <w:r>
              <w:rPr>
                <w:rFonts w:hint="eastAsia" w:cs="宋体"/>
                <w:color w:val="000000"/>
                <w:szCs w:val="21"/>
                <w:u w:val="none"/>
              </w:rPr>
              <w:t>隧道窑烟气</w:t>
            </w:r>
          </w:p>
          <w:p>
            <w:pPr>
              <w:pStyle w:val="11"/>
              <w:ind w:firstLine="0" w:firstLineChars="0"/>
              <w:jc w:val="center"/>
              <w:rPr>
                <w:color w:val="000000"/>
                <w:szCs w:val="21"/>
                <w:u w:val="none"/>
              </w:rPr>
            </w:pPr>
            <w:r>
              <w:rPr>
                <w:rFonts w:hint="eastAsia" w:cs="宋体"/>
                <w:color w:val="000000"/>
                <w:szCs w:val="21"/>
                <w:u w:val="none"/>
              </w:rPr>
              <w:t>（</w:t>
            </w:r>
            <w:r>
              <w:rPr>
                <w:color w:val="000000"/>
                <w:szCs w:val="21"/>
                <w:u w:val="none"/>
              </w:rPr>
              <w:t>DA00</w:t>
            </w:r>
            <w:r>
              <w:rPr>
                <w:rFonts w:hint="eastAsia"/>
                <w:color w:val="000000"/>
                <w:szCs w:val="21"/>
                <w:u w:val="none"/>
                <w:lang w:val="en-US" w:eastAsia="zh-CN"/>
              </w:rPr>
              <w:t>3</w:t>
            </w:r>
            <w:r>
              <w:rPr>
                <w:rFonts w:hint="eastAsia" w:cs="宋体"/>
                <w:color w:val="000000"/>
                <w:szCs w:val="21"/>
                <w:u w:val="none"/>
              </w:rPr>
              <w:t>）</w:t>
            </w:r>
          </w:p>
        </w:tc>
        <w:tc>
          <w:tcPr>
            <w:tcW w:w="1670" w:type="dxa"/>
            <w:noWrap w:val="0"/>
            <w:vAlign w:val="center"/>
          </w:tcPr>
          <w:p>
            <w:pPr>
              <w:adjustRightInd w:val="0"/>
              <w:snapToGrid w:val="0"/>
              <w:jc w:val="center"/>
              <w:rPr>
                <w:rFonts w:hint="eastAsia"/>
                <w:color w:val="000000"/>
                <w:szCs w:val="21"/>
                <w:u w:val="none"/>
              </w:rPr>
            </w:pPr>
            <w:r>
              <w:rPr>
                <w:rFonts w:hint="eastAsia"/>
                <w:color w:val="000000"/>
                <w:szCs w:val="21"/>
                <w:u w:val="none"/>
              </w:rPr>
              <w:t>烟尘、SO</w:t>
            </w:r>
            <w:r>
              <w:rPr>
                <w:rFonts w:hint="eastAsia"/>
                <w:color w:val="000000"/>
                <w:szCs w:val="21"/>
                <w:u w:val="none"/>
                <w:vertAlign w:val="subscript"/>
              </w:rPr>
              <w:t>2</w:t>
            </w:r>
            <w:r>
              <w:rPr>
                <w:rFonts w:hint="eastAsia"/>
                <w:color w:val="000000"/>
                <w:szCs w:val="21"/>
                <w:u w:val="none"/>
              </w:rPr>
              <w:t>、NO</w:t>
            </w:r>
            <w:r>
              <w:rPr>
                <w:rFonts w:hint="eastAsia"/>
                <w:color w:val="000000"/>
                <w:szCs w:val="21"/>
                <w:u w:val="none"/>
                <w:vertAlign w:val="subscript"/>
              </w:rPr>
              <w:t>x</w:t>
            </w:r>
            <w:r>
              <w:rPr>
                <w:rFonts w:hint="eastAsia"/>
                <w:color w:val="000000"/>
                <w:szCs w:val="21"/>
                <w:u w:val="none"/>
              </w:rPr>
              <w:t>、氟化物</w:t>
            </w:r>
          </w:p>
        </w:tc>
        <w:tc>
          <w:tcPr>
            <w:tcW w:w="2143" w:type="dxa"/>
            <w:noWrap w:val="0"/>
            <w:vAlign w:val="center"/>
          </w:tcPr>
          <w:p>
            <w:pPr>
              <w:adjustRightInd w:val="0"/>
              <w:snapToGrid w:val="0"/>
              <w:jc w:val="center"/>
              <w:rPr>
                <w:color w:val="000000"/>
                <w:szCs w:val="21"/>
                <w:u w:val="none"/>
              </w:rPr>
            </w:pPr>
            <w:r>
              <w:rPr>
                <w:rFonts w:hint="eastAsia"/>
                <w:color w:val="000000"/>
                <w:szCs w:val="21"/>
                <w:u w:val="none"/>
              </w:rPr>
              <w:t>经风机引入</w:t>
            </w:r>
            <w:r>
              <w:rPr>
                <w:rFonts w:hint="eastAsia"/>
                <w:color w:val="000000"/>
                <w:szCs w:val="21"/>
                <w:u w:val="none"/>
                <w:lang w:val="en-US" w:eastAsia="zh-CN"/>
              </w:rPr>
              <w:t>双碱法</w:t>
            </w:r>
            <w:r>
              <w:rPr>
                <w:rFonts w:hint="eastAsia"/>
                <w:color w:val="000000"/>
                <w:szCs w:val="21"/>
                <w:u w:val="none"/>
              </w:rPr>
              <w:t>除尘设施处理后经</w:t>
            </w:r>
            <w:r>
              <w:rPr>
                <w:rFonts w:hint="eastAsia"/>
                <w:color w:val="000000"/>
                <w:szCs w:val="21"/>
                <w:u w:val="none"/>
                <w:lang w:val="en-US" w:eastAsia="zh-CN"/>
              </w:rPr>
              <w:t>25</w:t>
            </w:r>
            <w:r>
              <w:rPr>
                <w:rFonts w:hint="eastAsia"/>
                <w:color w:val="000000"/>
                <w:szCs w:val="21"/>
                <w:u w:val="none"/>
              </w:rPr>
              <w:t>m排气筒排放</w:t>
            </w:r>
          </w:p>
        </w:tc>
        <w:tc>
          <w:tcPr>
            <w:tcW w:w="2181" w:type="dxa"/>
            <w:vMerge w:val="continue"/>
            <w:noWrap w:val="0"/>
            <w:vAlign w:val="center"/>
          </w:tcPr>
          <w:p>
            <w:pPr>
              <w:adjustRightInd w:val="0"/>
              <w:snapToGrid w:val="0"/>
              <w:jc w:val="center"/>
              <w:rPr>
                <w:rFonts w:hint="eastAsia"/>
                <w:color w:val="000000"/>
                <w:szCs w:val="21"/>
                <w:u w:val="none"/>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1160" w:type="dxa"/>
            <w:vMerge w:val="continue"/>
            <w:noWrap w:val="0"/>
            <w:vAlign w:val="center"/>
          </w:tcPr>
          <w:p>
            <w:pPr>
              <w:adjustRightInd w:val="0"/>
              <w:snapToGrid w:val="0"/>
              <w:jc w:val="center"/>
              <w:rPr>
                <w:rFonts w:hint="eastAsia" w:cs="宋体"/>
                <w:color w:val="000000"/>
                <w:szCs w:val="21"/>
                <w:u w:val="none"/>
              </w:rPr>
            </w:pPr>
          </w:p>
        </w:tc>
        <w:tc>
          <w:tcPr>
            <w:tcW w:w="1917" w:type="dxa"/>
            <w:noWrap w:val="0"/>
            <w:vAlign w:val="center"/>
          </w:tcPr>
          <w:p>
            <w:pPr>
              <w:adjustRightInd w:val="0"/>
              <w:snapToGrid w:val="0"/>
              <w:jc w:val="center"/>
              <w:rPr>
                <w:rFonts w:hint="eastAsia"/>
                <w:color w:val="000000"/>
                <w:szCs w:val="21"/>
                <w:u w:val="none"/>
              </w:rPr>
            </w:pPr>
            <w:r>
              <w:rPr>
                <w:rFonts w:hint="eastAsia"/>
                <w:color w:val="000000"/>
                <w:szCs w:val="21"/>
                <w:u w:val="none"/>
              </w:rPr>
              <w:t>原料堆场粉尘</w:t>
            </w:r>
          </w:p>
        </w:tc>
        <w:tc>
          <w:tcPr>
            <w:tcW w:w="1670" w:type="dxa"/>
            <w:noWrap w:val="0"/>
            <w:vAlign w:val="center"/>
          </w:tcPr>
          <w:p>
            <w:pPr>
              <w:adjustRightInd w:val="0"/>
              <w:snapToGrid w:val="0"/>
              <w:jc w:val="center"/>
              <w:rPr>
                <w:rFonts w:hint="eastAsia"/>
                <w:color w:val="000000"/>
                <w:szCs w:val="21"/>
                <w:u w:val="none"/>
              </w:rPr>
            </w:pPr>
            <w:r>
              <w:rPr>
                <w:rFonts w:hint="eastAsia"/>
                <w:color w:val="000000"/>
                <w:szCs w:val="21"/>
                <w:u w:val="none"/>
              </w:rPr>
              <w:t>粉尘</w:t>
            </w:r>
          </w:p>
        </w:tc>
        <w:tc>
          <w:tcPr>
            <w:tcW w:w="2143" w:type="dxa"/>
            <w:noWrap w:val="0"/>
            <w:vAlign w:val="center"/>
          </w:tcPr>
          <w:p>
            <w:pPr>
              <w:adjustRightInd w:val="0"/>
              <w:snapToGrid w:val="0"/>
              <w:jc w:val="center"/>
              <w:rPr>
                <w:rFonts w:hint="eastAsia"/>
                <w:color w:val="000000"/>
                <w:szCs w:val="21"/>
                <w:u w:val="none"/>
              </w:rPr>
            </w:pPr>
            <w:r>
              <w:rPr>
                <w:rFonts w:hint="eastAsia"/>
                <w:color w:val="000000"/>
                <w:szCs w:val="21"/>
                <w:u w:val="none"/>
              </w:rPr>
              <w:t>洒水抑尘</w:t>
            </w:r>
          </w:p>
        </w:tc>
        <w:tc>
          <w:tcPr>
            <w:tcW w:w="2181" w:type="dxa"/>
            <w:vMerge w:val="restart"/>
            <w:noWrap w:val="0"/>
            <w:vAlign w:val="center"/>
          </w:tcPr>
          <w:p>
            <w:pPr>
              <w:adjustRightInd w:val="0"/>
              <w:snapToGrid w:val="0"/>
              <w:jc w:val="center"/>
              <w:rPr>
                <w:rFonts w:hint="eastAsia" w:cs="宋体"/>
                <w:color w:val="000000"/>
                <w:szCs w:val="21"/>
                <w:u w:val="none"/>
              </w:rPr>
            </w:pPr>
            <w:r>
              <w:rPr>
                <w:rFonts w:hint="eastAsia" w:cs="宋体"/>
                <w:color w:val="000000"/>
                <w:szCs w:val="21"/>
                <w:u w:val="none"/>
              </w:rPr>
              <w:t>《砖瓦工业大气污染物排放标准》(GB29620-2013)表</w:t>
            </w:r>
          </w:p>
          <w:p>
            <w:pPr>
              <w:adjustRightInd w:val="0"/>
              <w:snapToGrid w:val="0"/>
              <w:jc w:val="center"/>
              <w:rPr>
                <w:rFonts w:hint="eastAsia" w:cs="宋体"/>
                <w:color w:val="000000"/>
                <w:szCs w:val="21"/>
                <w:u w:val="none"/>
              </w:rPr>
            </w:pPr>
            <w:r>
              <w:rPr>
                <w:rFonts w:hint="eastAsia" w:cs="宋体"/>
                <w:color w:val="000000"/>
                <w:szCs w:val="21"/>
                <w:u w:val="none"/>
              </w:rPr>
              <w:t>3中排放限值要求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1160" w:type="dxa"/>
            <w:vMerge w:val="continue"/>
            <w:noWrap w:val="0"/>
            <w:vAlign w:val="center"/>
          </w:tcPr>
          <w:p>
            <w:pPr>
              <w:adjustRightInd w:val="0"/>
              <w:snapToGrid w:val="0"/>
              <w:jc w:val="center"/>
              <w:rPr>
                <w:rFonts w:hint="eastAsia" w:cs="宋体"/>
                <w:color w:val="000000"/>
                <w:szCs w:val="21"/>
                <w:u w:val="none"/>
              </w:rPr>
            </w:pPr>
          </w:p>
        </w:tc>
        <w:tc>
          <w:tcPr>
            <w:tcW w:w="1917" w:type="dxa"/>
            <w:noWrap w:val="0"/>
            <w:vAlign w:val="center"/>
          </w:tcPr>
          <w:p>
            <w:pPr>
              <w:adjustRightInd w:val="0"/>
              <w:snapToGrid w:val="0"/>
              <w:jc w:val="center"/>
              <w:rPr>
                <w:rFonts w:hint="eastAsia"/>
                <w:color w:val="000000"/>
                <w:szCs w:val="21"/>
                <w:u w:val="none"/>
              </w:rPr>
            </w:pPr>
            <w:r>
              <w:rPr>
                <w:rFonts w:hint="eastAsia"/>
                <w:color w:val="000000"/>
                <w:szCs w:val="21"/>
                <w:u w:val="none"/>
              </w:rPr>
              <w:t>运输扬尘</w:t>
            </w:r>
          </w:p>
        </w:tc>
        <w:tc>
          <w:tcPr>
            <w:tcW w:w="1670" w:type="dxa"/>
            <w:noWrap w:val="0"/>
            <w:vAlign w:val="center"/>
          </w:tcPr>
          <w:p>
            <w:pPr>
              <w:adjustRightInd w:val="0"/>
              <w:snapToGrid w:val="0"/>
              <w:jc w:val="center"/>
              <w:rPr>
                <w:rFonts w:hint="eastAsia"/>
                <w:color w:val="000000"/>
                <w:szCs w:val="21"/>
                <w:u w:val="none"/>
              </w:rPr>
            </w:pPr>
            <w:r>
              <w:rPr>
                <w:rFonts w:hint="eastAsia"/>
                <w:color w:val="000000"/>
                <w:szCs w:val="21"/>
                <w:u w:val="none"/>
              </w:rPr>
              <w:t>粉尘</w:t>
            </w:r>
          </w:p>
        </w:tc>
        <w:tc>
          <w:tcPr>
            <w:tcW w:w="2143" w:type="dxa"/>
            <w:noWrap w:val="0"/>
            <w:vAlign w:val="center"/>
          </w:tcPr>
          <w:p>
            <w:pPr>
              <w:adjustRightInd w:val="0"/>
              <w:snapToGrid w:val="0"/>
              <w:jc w:val="center"/>
              <w:rPr>
                <w:rFonts w:hint="eastAsia"/>
                <w:color w:val="000000"/>
                <w:szCs w:val="21"/>
                <w:u w:val="none"/>
              </w:rPr>
            </w:pPr>
            <w:r>
              <w:rPr>
                <w:rFonts w:hint="eastAsia"/>
                <w:color w:val="000000"/>
                <w:szCs w:val="21"/>
                <w:u w:val="none"/>
              </w:rPr>
              <w:t>减速慢行、洒水抑尘、加盖篷布运输</w:t>
            </w:r>
          </w:p>
        </w:tc>
        <w:tc>
          <w:tcPr>
            <w:tcW w:w="2181" w:type="dxa"/>
            <w:vMerge w:val="continue"/>
            <w:noWrap w:val="0"/>
            <w:vAlign w:val="center"/>
          </w:tcPr>
          <w:p>
            <w:pPr>
              <w:adjustRightInd w:val="0"/>
              <w:snapToGrid w:val="0"/>
              <w:jc w:val="center"/>
              <w:rPr>
                <w:rFonts w:hint="eastAsia" w:cs="宋体"/>
                <w:color w:val="000000"/>
                <w:szCs w:val="21"/>
                <w:u w:val="none"/>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1160" w:type="dxa"/>
            <w:vMerge w:val="restart"/>
            <w:noWrap w:val="0"/>
            <w:vAlign w:val="center"/>
          </w:tcPr>
          <w:p>
            <w:pPr>
              <w:adjustRightInd w:val="0"/>
              <w:snapToGrid w:val="0"/>
              <w:jc w:val="center"/>
              <w:rPr>
                <w:rFonts w:hint="eastAsia" w:cs="宋体"/>
                <w:color w:val="000000"/>
                <w:szCs w:val="21"/>
                <w:u w:val="none"/>
              </w:rPr>
            </w:pPr>
            <w:r>
              <w:rPr>
                <w:rFonts w:hint="eastAsia" w:cs="宋体"/>
                <w:color w:val="000000"/>
                <w:szCs w:val="21"/>
                <w:u w:val="none"/>
              </w:rPr>
              <w:t>地表水环境</w:t>
            </w:r>
          </w:p>
        </w:tc>
        <w:tc>
          <w:tcPr>
            <w:tcW w:w="1917" w:type="dxa"/>
            <w:noWrap w:val="0"/>
            <w:vAlign w:val="center"/>
          </w:tcPr>
          <w:p>
            <w:pPr>
              <w:adjustRightInd w:val="0"/>
              <w:snapToGrid w:val="0"/>
              <w:jc w:val="center"/>
              <w:rPr>
                <w:rFonts w:cs="宋体"/>
                <w:color w:val="000000"/>
                <w:szCs w:val="21"/>
                <w:u w:val="none"/>
              </w:rPr>
            </w:pPr>
            <w:r>
              <w:rPr>
                <w:color w:val="000000"/>
                <w:kern w:val="0"/>
                <w:szCs w:val="21"/>
                <w:u w:val="none"/>
              </w:rPr>
              <w:t>生产区初期雨水</w:t>
            </w:r>
          </w:p>
        </w:tc>
        <w:tc>
          <w:tcPr>
            <w:tcW w:w="1670" w:type="dxa"/>
            <w:noWrap w:val="0"/>
            <w:vAlign w:val="center"/>
          </w:tcPr>
          <w:p>
            <w:pPr>
              <w:adjustRightInd w:val="0"/>
              <w:snapToGrid w:val="0"/>
              <w:jc w:val="center"/>
              <w:rPr>
                <w:rFonts w:hint="eastAsia" w:cs="宋体"/>
                <w:color w:val="000000"/>
                <w:szCs w:val="21"/>
                <w:u w:val="none"/>
              </w:rPr>
            </w:pPr>
            <w:r>
              <w:rPr>
                <w:color w:val="000000"/>
                <w:kern w:val="0"/>
                <w:szCs w:val="21"/>
                <w:u w:val="none"/>
              </w:rPr>
              <w:t>SS</w:t>
            </w:r>
          </w:p>
        </w:tc>
        <w:tc>
          <w:tcPr>
            <w:tcW w:w="2143" w:type="dxa"/>
            <w:noWrap w:val="0"/>
            <w:vAlign w:val="center"/>
          </w:tcPr>
          <w:p>
            <w:pPr>
              <w:adjustRightInd w:val="0"/>
              <w:snapToGrid w:val="0"/>
              <w:jc w:val="center"/>
              <w:rPr>
                <w:rFonts w:hint="eastAsia" w:cs="宋体"/>
                <w:color w:val="000000"/>
                <w:szCs w:val="21"/>
                <w:u w:val="none"/>
              </w:rPr>
            </w:pPr>
            <w:r>
              <w:rPr>
                <w:rFonts w:hint="eastAsia"/>
                <w:color w:val="000000"/>
                <w:kern w:val="0"/>
                <w:szCs w:val="21"/>
                <w:u w:val="none"/>
              </w:rPr>
              <w:t>导流沟</w:t>
            </w:r>
            <w:r>
              <w:rPr>
                <w:color w:val="000000"/>
                <w:kern w:val="0"/>
                <w:szCs w:val="21"/>
                <w:u w:val="none"/>
              </w:rPr>
              <w:t>、</w:t>
            </w:r>
            <w:r>
              <w:rPr>
                <w:rFonts w:hint="eastAsia"/>
                <w:color w:val="000000"/>
                <w:kern w:val="0"/>
                <w:szCs w:val="21"/>
                <w:u w:val="none"/>
              </w:rPr>
              <w:t>雨水收集池</w:t>
            </w:r>
            <w:r>
              <w:rPr>
                <w:color w:val="000000"/>
                <w:kern w:val="0"/>
                <w:szCs w:val="21"/>
                <w:u w:val="none"/>
              </w:rPr>
              <w:t>，</w:t>
            </w:r>
            <w:r>
              <w:rPr>
                <w:rFonts w:hint="eastAsia"/>
                <w:color w:val="000000"/>
                <w:kern w:val="0"/>
                <w:szCs w:val="21"/>
                <w:u w:val="none"/>
              </w:rPr>
              <w:t>经</w:t>
            </w:r>
            <w:r>
              <w:rPr>
                <w:color w:val="000000"/>
                <w:kern w:val="0"/>
                <w:szCs w:val="21"/>
                <w:u w:val="none"/>
              </w:rPr>
              <w:t>沉淀后全部回用于生产，不外排。</w:t>
            </w:r>
          </w:p>
        </w:tc>
        <w:tc>
          <w:tcPr>
            <w:tcW w:w="2181" w:type="dxa"/>
            <w:noWrap w:val="0"/>
            <w:vAlign w:val="center"/>
          </w:tcPr>
          <w:p>
            <w:pPr>
              <w:adjustRightInd w:val="0"/>
              <w:snapToGrid w:val="0"/>
              <w:jc w:val="center"/>
              <w:rPr>
                <w:rFonts w:cs="宋体"/>
                <w:color w:val="000000"/>
                <w:szCs w:val="21"/>
                <w:u w:val="none"/>
              </w:rPr>
            </w:pPr>
            <w:r>
              <w:rPr>
                <w:rFonts w:hint="eastAsia" w:cs="宋体"/>
                <w:color w:val="000000"/>
                <w:szCs w:val="21"/>
                <w:u w:val="none"/>
              </w:rPr>
              <w:t>回用不外排</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1160" w:type="dxa"/>
            <w:vMerge w:val="continue"/>
            <w:noWrap w:val="0"/>
            <w:vAlign w:val="center"/>
          </w:tcPr>
          <w:p>
            <w:pPr>
              <w:adjustRightInd w:val="0"/>
              <w:snapToGrid w:val="0"/>
              <w:jc w:val="center"/>
              <w:rPr>
                <w:rFonts w:hint="eastAsia" w:cs="宋体"/>
                <w:color w:val="000000"/>
                <w:szCs w:val="21"/>
                <w:u w:val="none"/>
              </w:rPr>
            </w:pPr>
          </w:p>
        </w:tc>
        <w:tc>
          <w:tcPr>
            <w:tcW w:w="1917" w:type="dxa"/>
            <w:noWrap w:val="0"/>
            <w:vAlign w:val="center"/>
          </w:tcPr>
          <w:p>
            <w:pPr>
              <w:adjustRightInd w:val="0"/>
              <w:snapToGrid w:val="0"/>
              <w:jc w:val="center"/>
              <w:rPr>
                <w:rFonts w:cs="宋体"/>
                <w:color w:val="000000"/>
                <w:szCs w:val="21"/>
                <w:u w:val="none"/>
              </w:rPr>
            </w:pPr>
            <w:r>
              <w:rPr>
                <w:rFonts w:hint="eastAsia"/>
                <w:color w:val="000000"/>
                <w:kern w:val="0"/>
                <w:szCs w:val="21"/>
                <w:u w:val="none"/>
              </w:rPr>
              <w:t>脱硫废水</w:t>
            </w:r>
          </w:p>
        </w:tc>
        <w:tc>
          <w:tcPr>
            <w:tcW w:w="1670" w:type="dxa"/>
            <w:noWrap w:val="0"/>
            <w:vAlign w:val="center"/>
          </w:tcPr>
          <w:p>
            <w:pPr>
              <w:adjustRightInd w:val="0"/>
              <w:snapToGrid w:val="0"/>
              <w:jc w:val="center"/>
              <w:rPr>
                <w:rFonts w:hint="eastAsia" w:cs="宋体"/>
                <w:color w:val="000000"/>
                <w:szCs w:val="21"/>
                <w:u w:val="none"/>
              </w:rPr>
            </w:pPr>
            <w:r>
              <w:rPr>
                <w:rFonts w:hint="eastAsia"/>
                <w:color w:val="000000"/>
                <w:kern w:val="0"/>
                <w:szCs w:val="21"/>
                <w:u w:val="none"/>
              </w:rPr>
              <w:t>硫酸钙、pH等</w:t>
            </w:r>
          </w:p>
        </w:tc>
        <w:tc>
          <w:tcPr>
            <w:tcW w:w="2143" w:type="dxa"/>
            <w:noWrap w:val="0"/>
            <w:vAlign w:val="center"/>
          </w:tcPr>
          <w:p>
            <w:pPr>
              <w:adjustRightInd w:val="0"/>
              <w:snapToGrid w:val="0"/>
              <w:jc w:val="center"/>
              <w:rPr>
                <w:rFonts w:hint="eastAsia" w:cs="宋体"/>
                <w:color w:val="000000"/>
                <w:szCs w:val="21"/>
                <w:u w:val="none"/>
              </w:rPr>
            </w:pPr>
            <w:r>
              <w:rPr>
                <w:rFonts w:hint="eastAsia"/>
                <w:color w:val="000000"/>
                <w:kern w:val="0"/>
                <w:szCs w:val="21"/>
                <w:u w:val="none"/>
              </w:rPr>
              <w:t>中和沉淀池处理后回用，不外排</w:t>
            </w:r>
          </w:p>
        </w:tc>
        <w:tc>
          <w:tcPr>
            <w:tcW w:w="2181" w:type="dxa"/>
            <w:noWrap w:val="0"/>
            <w:vAlign w:val="center"/>
          </w:tcPr>
          <w:p>
            <w:pPr>
              <w:adjustRightInd w:val="0"/>
              <w:snapToGrid w:val="0"/>
              <w:jc w:val="center"/>
              <w:rPr>
                <w:rFonts w:cs="宋体"/>
                <w:color w:val="000000"/>
                <w:szCs w:val="21"/>
                <w:u w:val="none"/>
              </w:rPr>
            </w:pPr>
            <w:r>
              <w:rPr>
                <w:rFonts w:hint="eastAsia" w:cs="宋体"/>
                <w:color w:val="000000"/>
                <w:szCs w:val="21"/>
                <w:u w:val="none"/>
              </w:rPr>
              <w:t>回用不外排</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1160" w:type="dxa"/>
            <w:vMerge w:val="continue"/>
            <w:noWrap w:val="0"/>
            <w:vAlign w:val="center"/>
          </w:tcPr>
          <w:p>
            <w:pPr>
              <w:adjustRightInd w:val="0"/>
              <w:snapToGrid w:val="0"/>
              <w:jc w:val="center"/>
              <w:rPr>
                <w:rFonts w:hint="eastAsia" w:cs="宋体"/>
                <w:color w:val="000000"/>
                <w:szCs w:val="21"/>
                <w:u w:val="none"/>
              </w:rPr>
            </w:pPr>
          </w:p>
        </w:tc>
        <w:tc>
          <w:tcPr>
            <w:tcW w:w="1917" w:type="dxa"/>
            <w:noWrap w:val="0"/>
            <w:vAlign w:val="center"/>
          </w:tcPr>
          <w:p>
            <w:pPr>
              <w:adjustRightInd w:val="0"/>
              <w:snapToGrid w:val="0"/>
              <w:jc w:val="center"/>
              <w:rPr>
                <w:rFonts w:cs="宋体"/>
                <w:color w:val="000000"/>
                <w:szCs w:val="21"/>
                <w:u w:val="none"/>
              </w:rPr>
            </w:pPr>
            <w:r>
              <w:rPr>
                <w:rFonts w:hint="eastAsia"/>
                <w:color w:val="000000"/>
                <w:kern w:val="0"/>
                <w:szCs w:val="21"/>
                <w:u w:val="none"/>
              </w:rPr>
              <w:t>车辆设备冲洗废水</w:t>
            </w:r>
          </w:p>
        </w:tc>
        <w:tc>
          <w:tcPr>
            <w:tcW w:w="1670" w:type="dxa"/>
            <w:noWrap w:val="0"/>
            <w:vAlign w:val="center"/>
          </w:tcPr>
          <w:p>
            <w:pPr>
              <w:adjustRightInd w:val="0"/>
              <w:snapToGrid w:val="0"/>
              <w:jc w:val="center"/>
              <w:rPr>
                <w:rFonts w:hint="eastAsia" w:cs="宋体"/>
                <w:color w:val="000000"/>
                <w:szCs w:val="21"/>
                <w:u w:val="none"/>
              </w:rPr>
            </w:pPr>
            <w:r>
              <w:rPr>
                <w:rFonts w:hint="eastAsia"/>
                <w:color w:val="000000"/>
                <w:kern w:val="0"/>
                <w:szCs w:val="21"/>
                <w:u w:val="none"/>
              </w:rPr>
              <w:t>SS、石油类等</w:t>
            </w:r>
          </w:p>
        </w:tc>
        <w:tc>
          <w:tcPr>
            <w:tcW w:w="2143" w:type="dxa"/>
            <w:noWrap w:val="0"/>
            <w:vAlign w:val="center"/>
          </w:tcPr>
          <w:p>
            <w:pPr>
              <w:adjustRightInd w:val="0"/>
              <w:snapToGrid w:val="0"/>
              <w:jc w:val="center"/>
              <w:rPr>
                <w:rFonts w:hint="eastAsia" w:cs="宋体"/>
                <w:color w:val="000000"/>
                <w:szCs w:val="21"/>
                <w:u w:val="none"/>
              </w:rPr>
            </w:pPr>
            <w:r>
              <w:rPr>
                <w:rFonts w:hint="eastAsia"/>
                <w:color w:val="000000"/>
                <w:kern w:val="0"/>
                <w:szCs w:val="21"/>
                <w:u w:val="none"/>
              </w:rPr>
              <w:t>沉淀池处理后回用，不外排</w:t>
            </w:r>
          </w:p>
        </w:tc>
        <w:tc>
          <w:tcPr>
            <w:tcW w:w="2181" w:type="dxa"/>
            <w:noWrap w:val="0"/>
            <w:vAlign w:val="center"/>
          </w:tcPr>
          <w:p>
            <w:pPr>
              <w:adjustRightInd w:val="0"/>
              <w:snapToGrid w:val="0"/>
              <w:jc w:val="center"/>
              <w:rPr>
                <w:rFonts w:cs="宋体"/>
                <w:color w:val="000000"/>
                <w:szCs w:val="21"/>
                <w:u w:val="none"/>
              </w:rPr>
            </w:pPr>
            <w:r>
              <w:rPr>
                <w:rFonts w:hint="eastAsia" w:cs="宋体"/>
                <w:color w:val="000000"/>
                <w:szCs w:val="21"/>
                <w:u w:val="none"/>
              </w:rPr>
              <w:t>回用不外排</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1160" w:type="dxa"/>
            <w:vMerge w:val="continue"/>
            <w:noWrap w:val="0"/>
            <w:vAlign w:val="center"/>
          </w:tcPr>
          <w:p>
            <w:pPr>
              <w:adjustRightInd w:val="0"/>
              <w:snapToGrid w:val="0"/>
              <w:jc w:val="center"/>
              <w:rPr>
                <w:rFonts w:hint="eastAsia" w:cs="宋体"/>
                <w:color w:val="000000"/>
                <w:szCs w:val="21"/>
                <w:u w:val="none"/>
              </w:rPr>
            </w:pPr>
          </w:p>
        </w:tc>
        <w:tc>
          <w:tcPr>
            <w:tcW w:w="1917" w:type="dxa"/>
            <w:noWrap w:val="0"/>
            <w:vAlign w:val="center"/>
          </w:tcPr>
          <w:p>
            <w:pPr>
              <w:adjustRightInd w:val="0"/>
              <w:snapToGrid w:val="0"/>
              <w:jc w:val="center"/>
              <w:rPr>
                <w:rFonts w:hint="eastAsia"/>
                <w:color w:val="000000"/>
                <w:kern w:val="0"/>
                <w:szCs w:val="21"/>
                <w:u w:val="none"/>
              </w:rPr>
            </w:pPr>
            <w:r>
              <w:rPr>
                <w:rFonts w:hint="eastAsia"/>
                <w:color w:val="000000"/>
                <w:kern w:val="0"/>
                <w:szCs w:val="21"/>
                <w:u w:val="none"/>
              </w:rPr>
              <w:t>生活污水</w:t>
            </w:r>
          </w:p>
        </w:tc>
        <w:tc>
          <w:tcPr>
            <w:tcW w:w="1670" w:type="dxa"/>
            <w:noWrap w:val="0"/>
            <w:vAlign w:val="center"/>
          </w:tcPr>
          <w:p>
            <w:pPr>
              <w:adjustRightInd w:val="0"/>
              <w:snapToGrid w:val="0"/>
              <w:jc w:val="center"/>
              <w:rPr>
                <w:rFonts w:hint="eastAsia"/>
                <w:color w:val="000000"/>
                <w:kern w:val="0"/>
                <w:szCs w:val="21"/>
                <w:u w:val="none"/>
              </w:rPr>
            </w:pPr>
            <w:r>
              <w:rPr>
                <w:rFonts w:hint="eastAsia"/>
                <w:color w:val="000000"/>
                <w:kern w:val="0"/>
                <w:szCs w:val="21"/>
                <w:u w:val="none"/>
              </w:rPr>
              <w:t>pH、COD、BOD</w:t>
            </w:r>
            <w:r>
              <w:rPr>
                <w:rFonts w:hint="eastAsia"/>
                <w:color w:val="000000"/>
                <w:kern w:val="0"/>
                <w:szCs w:val="21"/>
                <w:u w:val="none"/>
                <w:vertAlign w:val="subscript"/>
              </w:rPr>
              <w:t>5</w:t>
            </w:r>
            <w:r>
              <w:rPr>
                <w:rFonts w:hint="eastAsia"/>
                <w:color w:val="000000"/>
                <w:kern w:val="0"/>
                <w:szCs w:val="21"/>
                <w:u w:val="none"/>
              </w:rPr>
              <w:t>、SS、氨氮、动植物油</w:t>
            </w:r>
          </w:p>
        </w:tc>
        <w:tc>
          <w:tcPr>
            <w:tcW w:w="2143" w:type="dxa"/>
            <w:noWrap w:val="0"/>
            <w:vAlign w:val="center"/>
          </w:tcPr>
          <w:p>
            <w:pPr>
              <w:adjustRightInd w:val="0"/>
              <w:snapToGrid w:val="0"/>
              <w:jc w:val="center"/>
              <w:rPr>
                <w:rFonts w:hint="eastAsia"/>
                <w:color w:val="000000"/>
                <w:kern w:val="0"/>
                <w:szCs w:val="21"/>
                <w:u w:val="none"/>
              </w:rPr>
            </w:pPr>
            <w:r>
              <w:rPr>
                <w:rFonts w:hint="eastAsia"/>
                <w:color w:val="000000"/>
                <w:kern w:val="0"/>
                <w:szCs w:val="21"/>
                <w:u w:val="none"/>
              </w:rPr>
              <w:t>化粪池</w:t>
            </w:r>
          </w:p>
        </w:tc>
        <w:tc>
          <w:tcPr>
            <w:tcW w:w="2181" w:type="dxa"/>
            <w:noWrap w:val="0"/>
            <w:vAlign w:val="center"/>
          </w:tcPr>
          <w:p>
            <w:pPr>
              <w:adjustRightInd w:val="0"/>
              <w:snapToGrid w:val="0"/>
              <w:jc w:val="center"/>
              <w:rPr>
                <w:rFonts w:hint="eastAsia" w:cs="宋体"/>
                <w:color w:val="000000"/>
                <w:szCs w:val="21"/>
                <w:u w:val="none"/>
              </w:rPr>
            </w:pPr>
            <w:r>
              <w:rPr>
                <w:rFonts w:hint="eastAsia" w:cs="宋体"/>
                <w:color w:val="000000"/>
                <w:szCs w:val="21"/>
                <w:u w:val="none"/>
              </w:rPr>
              <w:t>用于厂区及周边绿化</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1160" w:type="dxa"/>
            <w:noWrap w:val="0"/>
            <w:vAlign w:val="center"/>
          </w:tcPr>
          <w:p>
            <w:pPr>
              <w:adjustRightInd w:val="0"/>
              <w:snapToGrid w:val="0"/>
              <w:jc w:val="center"/>
              <w:rPr>
                <w:rFonts w:hint="eastAsia" w:cs="宋体"/>
                <w:color w:val="000000"/>
                <w:szCs w:val="21"/>
                <w:u w:val="none"/>
              </w:rPr>
            </w:pPr>
            <w:r>
              <w:rPr>
                <w:rFonts w:hint="eastAsia" w:cs="宋体"/>
                <w:color w:val="000000"/>
                <w:szCs w:val="21"/>
                <w:u w:val="none"/>
              </w:rPr>
              <w:t>声环境</w:t>
            </w:r>
          </w:p>
        </w:tc>
        <w:tc>
          <w:tcPr>
            <w:tcW w:w="1917" w:type="dxa"/>
            <w:noWrap w:val="0"/>
            <w:vAlign w:val="center"/>
          </w:tcPr>
          <w:p>
            <w:pPr>
              <w:adjustRightInd w:val="0"/>
              <w:snapToGrid w:val="0"/>
              <w:jc w:val="center"/>
              <w:rPr>
                <w:rFonts w:cs="宋体"/>
                <w:color w:val="000000"/>
                <w:szCs w:val="21"/>
                <w:u w:val="none"/>
              </w:rPr>
            </w:pPr>
            <w:r>
              <w:rPr>
                <w:rFonts w:hint="eastAsia" w:cs="宋体"/>
                <w:color w:val="000000"/>
                <w:szCs w:val="21"/>
                <w:u w:val="none"/>
              </w:rPr>
              <w:t>生产设备</w:t>
            </w:r>
          </w:p>
        </w:tc>
        <w:tc>
          <w:tcPr>
            <w:tcW w:w="1670" w:type="dxa"/>
            <w:noWrap w:val="0"/>
            <w:vAlign w:val="center"/>
          </w:tcPr>
          <w:p>
            <w:pPr>
              <w:adjustRightInd w:val="0"/>
              <w:snapToGrid w:val="0"/>
              <w:jc w:val="center"/>
              <w:rPr>
                <w:rFonts w:hint="eastAsia" w:cs="宋体"/>
                <w:color w:val="000000"/>
                <w:szCs w:val="21"/>
                <w:u w:val="none"/>
              </w:rPr>
            </w:pPr>
            <w:r>
              <w:rPr>
                <w:bCs/>
                <w:color w:val="000000"/>
                <w:szCs w:val="21"/>
                <w:u w:val="none"/>
              </w:rPr>
              <w:t>dB（A）</w:t>
            </w:r>
          </w:p>
        </w:tc>
        <w:tc>
          <w:tcPr>
            <w:tcW w:w="2143" w:type="dxa"/>
            <w:noWrap w:val="0"/>
            <w:vAlign w:val="center"/>
          </w:tcPr>
          <w:p>
            <w:pPr>
              <w:adjustRightInd w:val="0"/>
              <w:snapToGrid w:val="0"/>
              <w:jc w:val="center"/>
              <w:rPr>
                <w:rFonts w:hint="eastAsia" w:cs="宋体"/>
                <w:color w:val="000000"/>
                <w:szCs w:val="21"/>
                <w:u w:val="none"/>
              </w:rPr>
            </w:pPr>
            <w:r>
              <w:rPr>
                <w:rFonts w:hint="eastAsia"/>
                <w:color w:val="000000"/>
                <w:szCs w:val="21"/>
                <w:u w:val="none"/>
              </w:rPr>
              <w:t>低噪设备、</w:t>
            </w:r>
            <w:r>
              <w:rPr>
                <w:color w:val="000000"/>
                <w:szCs w:val="21"/>
                <w:u w:val="none"/>
              </w:rPr>
              <w:t>减振</w:t>
            </w:r>
            <w:r>
              <w:rPr>
                <w:rFonts w:hint="eastAsia"/>
                <w:color w:val="000000"/>
                <w:szCs w:val="21"/>
                <w:u w:val="none"/>
              </w:rPr>
              <w:t>降噪</w:t>
            </w:r>
            <w:r>
              <w:rPr>
                <w:color w:val="000000"/>
                <w:szCs w:val="21"/>
                <w:u w:val="none"/>
              </w:rPr>
              <w:t>、</w:t>
            </w:r>
            <w:r>
              <w:rPr>
                <w:rFonts w:hint="eastAsia"/>
                <w:color w:val="000000"/>
                <w:szCs w:val="21"/>
                <w:u w:val="none"/>
              </w:rPr>
              <w:t>厂房</w:t>
            </w:r>
            <w:r>
              <w:rPr>
                <w:color w:val="000000"/>
                <w:szCs w:val="21"/>
                <w:u w:val="none"/>
              </w:rPr>
              <w:t>隔声</w:t>
            </w:r>
            <w:r>
              <w:rPr>
                <w:rFonts w:hint="eastAsia"/>
                <w:color w:val="000000"/>
                <w:szCs w:val="21"/>
                <w:u w:val="none"/>
              </w:rPr>
              <w:t>、距离衰减</w:t>
            </w:r>
            <w:r>
              <w:rPr>
                <w:color w:val="000000"/>
                <w:szCs w:val="21"/>
                <w:u w:val="none"/>
              </w:rPr>
              <w:t>等</w:t>
            </w:r>
          </w:p>
        </w:tc>
        <w:tc>
          <w:tcPr>
            <w:tcW w:w="2181" w:type="dxa"/>
            <w:noWrap w:val="0"/>
            <w:vAlign w:val="center"/>
          </w:tcPr>
          <w:p>
            <w:pPr>
              <w:adjustRightInd w:val="0"/>
              <w:snapToGrid w:val="0"/>
              <w:jc w:val="center"/>
              <w:rPr>
                <w:rFonts w:hint="eastAsia" w:cs="宋体"/>
                <w:color w:val="000000"/>
                <w:szCs w:val="21"/>
                <w:u w:val="none"/>
              </w:rPr>
            </w:pPr>
            <w:r>
              <w:rPr>
                <w:rFonts w:hint="eastAsia" w:cs="宋体"/>
                <w:color w:val="000000"/>
                <w:szCs w:val="21"/>
                <w:u w:val="none"/>
              </w:rPr>
              <w:t>《工业企业厂界噪声排放标准》（GB12348-2008）2类标准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1160" w:type="dxa"/>
            <w:noWrap w:val="0"/>
            <w:vAlign w:val="center"/>
          </w:tcPr>
          <w:p>
            <w:pPr>
              <w:adjustRightInd w:val="0"/>
              <w:snapToGrid w:val="0"/>
              <w:jc w:val="center"/>
              <w:rPr>
                <w:rFonts w:hint="eastAsia" w:cs="宋体"/>
                <w:color w:val="000000"/>
                <w:szCs w:val="21"/>
                <w:u w:val="none"/>
              </w:rPr>
            </w:pPr>
            <w:r>
              <w:rPr>
                <w:rFonts w:hint="eastAsia" w:cs="宋体"/>
                <w:color w:val="000000"/>
                <w:szCs w:val="21"/>
                <w:u w:val="none"/>
              </w:rPr>
              <w:t>电磁辐射</w:t>
            </w:r>
          </w:p>
        </w:tc>
        <w:tc>
          <w:tcPr>
            <w:tcW w:w="1917" w:type="dxa"/>
            <w:noWrap w:val="0"/>
            <w:vAlign w:val="center"/>
          </w:tcPr>
          <w:p>
            <w:pPr>
              <w:adjustRightInd w:val="0"/>
              <w:snapToGrid w:val="0"/>
              <w:jc w:val="center"/>
              <w:rPr>
                <w:rFonts w:hint="eastAsia" w:cs="宋体"/>
                <w:color w:val="000000"/>
                <w:szCs w:val="21"/>
                <w:u w:val="none"/>
              </w:rPr>
            </w:pPr>
            <w:r>
              <w:rPr>
                <w:rFonts w:hint="eastAsia" w:cs="宋体"/>
                <w:color w:val="000000"/>
                <w:szCs w:val="21"/>
                <w:u w:val="none"/>
              </w:rPr>
              <w:t>/</w:t>
            </w:r>
          </w:p>
        </w:tc>
        <w:tc>
          <w:tcPr>
            <w:tcW w:w="1670" w:type="dxa"/>
            <w:noWrap w:val="0"/>
            <w:vAlign w:val="center"/>
          </w:tcPr>
          <w:p>
            <w:pPr>
              <w:adjustRightInd w:val="0"/>
              <w:snapToGrid w:val="0"/>
              <w:jc w:val="center"/>
              <w:rPr>
                <w:rFonts w:hint="eastAsia" w:cs="宋体"/>
                <w:color w:val="000000"/>
                <w:szCs w:val="21"/>
                <w:u w:val="none"/>
              </w:rPr>
            </w:pPr>
            <w:r>
              <w:rPr>
                <w:rFonts w:hint="eastAsia" w:cs="宋体"/>
                <w:color w:val="000000"/>
                <w:szCs w:val="21"/>
                <w:u w:val="none"/>
              </w:rPr>
              <w:t>/</w:t>
            </w:r>
          </w:p>
        </w:tc>
        <w:tc>
          <w:tcPr>
            <w:tcW w:w="2143" w:type="dxa"/>
            <w:noWrap w:val="0"/>
            <w:vAlign w:val="center"/>
          </w:tcPr>
          <w:p>
            <w:pPr>
              <w:adjustRightInd w:val="0"/>
              <w:snapToGrid w:val="0"/>
              <w:jc w:val="center"/>
              <w:rPr>
                <w:rFonts w:hint="eastAsia" w:cs="宋体"/>
                <w:color w:val="000000"/>
                <w:szCs w:val="21"/>
                <w:u w:val="none"/>
              </w:rPr>
            </w:pPr>
            <w:r>
              <w:rPr>
                <w:rFonts w:hint="eastAsia" w:cs="宋体"/>
                <w:color w:val="000000"/>
                <w:szCs w:val="21"/>
                <w:u w:val="none"/>
              </w:rPr>
              <w:t>/</w:t>
            </w:r>
          </w:p>
        </w:tc>
        <w:tc>
          <w:tcPr>
            <w:tcW w:w="2181" w:type="dxa"/>
            <w:noWrap w:val="0"/>
            <w:vAlign w:val="center"/>
          </w:tcPr>
          <w:p>
            <w:pPr>
              <w:adjustRightInd w:val="0"/>
              <w:snapToGrid w:val="0"/>
              <w:jc w:val="center"/>
              <w:rPr>
                <w:rFonts w:hint="eastAsia" w:cs="宋体"/>
                <w:color w:val="000000"/>
                <w:szCs w:val="21"/>
                <w:u w:val="none"/>
              </w:rPr>
            </w:pPr>
            <w:r>
              <w:rPr>
                <w:rFonts w:hint="eastAsia" w:cs="宋体"/>
                <w:color w:val="000000"/>
                <w:szCs w:val="21"/>
                <w:u w:val="none"/>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60" w:type="dxa"/>
            <w:noWrap w:val="0"/>
            <w:vAlign w:val="center"/>
          </w:tcPr>
          <w:p>
            <w:pPr>
              <w:adjustRightInd w:val="0"/>
              <w:snapToGrid w:val="0"/>
              <w:jc w:val="center"/>
              <w:rPr>
                <w:rFonts w:hint="eastAsia" w:cs="宋体"/>
                <w:color w:val="000000"/>
                <w:szCs w:val="21"/>
                <w:u w:val="none"/>
              </w:rPr>
            </w:pPr>
            <w:r>
              <w:rPr>
                <w:rFonts w:hint="eastAsia" w:cs="宋体"/>
                <w:color w:val="000000"/>
                <w:szCs w:val="21"/>
                <w:u w:val="none"/>
              </w:rPr>
              <w:t>固体废物</w:t>
            </w:r>
          </w:p>
        </w:tc>
        <w:tc>
          <w:tcPr>
            <w:tcW w:w="7911" w:type="dxa"/>
            <w:gridSpan w:val="4"/>
            <w:noWrap w:val="0"/>
            <w:vAlign w:val="center"/>
          </w:tcPr>
          <w:p>
            <w:pPr>
              <w:adjustRightInd w:val="0"/>
              <w:snapToGrid w:val="0"/>
              <w:spacing w:line="340" w:lineRule="exact"/>
              <w:ind w:firstLine="420" w:firstLineChars="200"/>
              <w:jc w:val="left"/>
              <w:rPr>
                <w:rFonts w:hint="eastAsia"/>
                <w:u w:val="none"/>
              </w:rPr>
            </w:pPr>
            <w:r>
              <w:rPr>
                <w:rFonts w:hint="eastAsia"/>
                <w:u w:val="none"/>
              </w:rPr>
              <w:t>首先从有用物料回收再利用着眼，化废为宝，既回收一部分资源，又减轻处置负荷，对目前还不能回收利用的，应遵循无害化处置原则进行有效处置。</w:t>
            </w:r>
          </w:p>
          <w:p>
            <w:pPr>
              <w:adjustRightInd w:val="0"/>
              <w:snapToGrid w:val="0"/>
              <w:spacing w:line="340" w:lineRule="exact"/>
              <w:ind w:firstLine="420" w:firstLineChars="200"/>
              <w:jc w:val="left"/>
              <w:rPr>
                <w:rFonts w:hint="eastAsia"/>
                <w:u w:val="none"/>
              </w:rPr>
            </w:pPr>
            <w:r>
              <w:rPr>
                <w:rFonts w:hint="eastAsia"/>
                <w:u w:val="none"/>
              </w:rPr>
              <w:t>生活垃圾由当地环卫部门统一清运处理；废砖坯、废砖及除尘器收集的粉尘、沉淀池沉渣等均回用于生产；废机油暂存在危废间，定期委托有资质单位处理。</w:t>
            </w:r>
          </w:p>
          <w:p>
            <w:pPr>
              <w:adjustRightInd w:val="0"/>
              <w:snapToGrid w:val="0"/>
              <w:spacing w:line="340" w:lineRule="exact"/>
              <w:ind w:firstLine="420" w:firstLineChars="200"/>
              <w:jc w:val="left"/>
              <w:rPr>
                <w:rFonts w:hint="eastAsia"/>
                <w:u w:val="none"/>
              </w:rPr>
            </w:pPr>
            <w:r>
              <w:rPr>
                <w:rFonts w:hint="eastAsia"/>
                <w:u w:val="none"/>
              </w:rPr>
              <w:t>一般固废暂存在垃圾库，各类垃圾应分类收集，在垃圾暂存区内分类暂存，垃圾暂存区应防雨、防风、防渗漏，不得随处堆放。</w:t>
            </w:r>
          </w:p>
          <w:p>
            <w:pPr>
              <w:pStyle w:val="2"/>
              <w:keepNext w:val="0"/>
              <w:keepLines w:val="0"/>
              <w:pageBreakBefore w:val="0"/>
              <w:widowControl w:val="0"/>
              <w:kinsoku/>
              <w:wordWrap/>
              <w:overflowPunct/>
              <w:topLinePunct w:val="0"/>
              <w:autoSpaceDE w:val="0"/>
              <w:autoSpaceDN w:val="0"/>
              <w:bidi w:val="0"/>
              <w:adjustRightInd w:val="0"/>
              <w:snapToGrid/>
              <w:ind w:firstLine="420" w:firstLineChars="200"/>
              <w:textAlignment w:val="auto"/>
              <w:rPr>
                <w:rFonts w:hint="eastAsia"/>
                <w:u w:val="none"/>
              </w:rPr>
            </w:pPr>
            <w:r>
              <w:rPr>
                <w:rFonts w:hint="eastAsia" w:ascii="Times New Roman" w:hAnsi="Times New Roman" w:eastAsia="宋体" w:cs="Times New Roman"/>
                <w:color w:val="auto"/>
                <w:kern w:val="2"/>
                <w:sz w:val="21"/>
                <w:szCs w:val="24"/>
                <w:u w:val="none"/>
                <w:lang w:val="en-US" w:eastAsia="zh-CN" w:bidi="ar-SA"/>
              </w:rPr>
              <w:t>危险废物暂存间应按照</w:t>
            </w:r>
            <w:r>
              <w:rPr>
                <w:rFonts w:hint="eastAsia" w:ascii="Times New Roman" w:hAnsi="Times New Roman" w:cs="Times New Roman"/>
                <w:color w:val="auto"/>
                <w:kern w:val="2"/>
                <w:sz w:val="21"/>
                <w:szCs w:val="24"/>
                <w:u w:val="none"/>
                <w:lang w:val="en-US" w:eastAsia="zh-CN" w:bidi="ar-SA"/>
              </w:rPr>
              <w:t>《危险废物贮存污染控制标准》（GB18597-2023）</w:t>
            </w:r>
            <w:r>
              <w:rPr>
                <w:rFonts w:hint="eastAsia" w:ascii="Times New Roman" w:hAnsi="Times New Roman" w:eastAsia="宋体" w:cs="Times New Roman"/>
                <w:color w:val="auto"/>
                <w:kern w:val="2"/>
                <w:sz w:val="21"/>
                <w:szCs w:val="24"/>
                <w:u w:val="none"/>
                <w:lang w:val="en-US" w:eastAsia="zh-CN" w:bidi="ar-SA"/>
              </w:rPr>
              <w:t>的规定，做好防风、防雨、防晒、防渗漏“四防”措施。环评要求：在厂内存放期间，应根据国家（GB18597-20</w:t>
            </w:r>
            <w:r>
              <w:rPr>
                <w:rFonts w:hint="eastAsia" w:ascii="Times New Roman" w:hAnsi="Times New Roman" w:cs="Times New Roman"/>
                <w:color w:val="auto"/>
                <w:kern w:val="2"/>
                <w:sz w:val="21"/>
                <w:szCs w:val="24"/>
                <w:u w:val="none"/>
                <w:lang w:val="en-US" w:eastAsia="zh-CN" w:bidi="ar-SA"/>
              </w:rPr>
              <w:t>23</w:t>
            </w:r>
            <w:r>
              <w:rPr>
                <w:rFonts w:hint="eastAsia" w:ascii="Times New Roman" w:hAnsi="Times New Roman" w:eastAsia="宋体" w:cs="Times New Roman"/>
                <w:color w:val="auto"/>
                <w:kern w:val="2"/>
                <w:sz w:val="21"/>
                <w:szCs w:val="24"/>
                <w:u w:val="none"/>
                <w:lang w:val="en-US" w:eastAsia="zh-CN" w:bidi="ar-SA"/>
              </w:rPr>
              <w:t>）中有关规定，使用完好无损容器盛装危废，存放处必须有耐腐蚀的硬化地面，设有防渗层，且表面无裂痕，储存容器上必须粘贴本标准中规定的危险废物标签。</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49" w:hRule="atLeast"/>
          <w:jc w:val="center"/>
        </w:trPr>
        <w:tc>
          <w:tcPr>
            <w:tcW w:w="1160" w:type="dxa"/>
            <w:noWrap w:val="0"/>
            <w:vAlign w:val="center"/>
          </w:tcPr>
          <w:p>
            <w:pPr>
              <w:adjustRightInd w:val="0"/>
              <w:snapToGrid w:val="0"/>
              <w:jc w:val="center"/>
              <w:rPr>
                <w:rFonts w:hint="eastAsia" w:cs="宋体"/>
                <w:color w:val="000000"/>
                <w:szCs w:val="21"/>
                <w:u w:val="none"/>
              </w:rPr>
            </w:pPr>
            <w:r>
              <w:rPr>
                <w:rFonts w:hint="eastAsia" w:cs="宋体"/>
                <w:color w:val="000000"/>
                <w:szCs w:val="21"/>
                <w:u w:val="none"/>
              </w:rPr>
              <w:t>土壤及地下水污染防治措施</w:t>
            </w:r>
          </w:p>
        </w:tc>
        <w:tc>
          <w:tcPr>
            <w:tcW w:w="7911" w:type="dxa"/>
            <w:gridSpan w:val="4"/>
            <w:noWrap w:val="0"/>
            <w:vAlign w:val="center"/>
          </w:tcPr>
          <w:p>
            <w:pPr>
              <w:adjustRightInd w:val="0"/>
              <w:snapToGrid w:val="0"/>
              <w:spacing w:line="340" w:lineRule="exact"/>
              <w:ind w:firstLine="420" w:firstLineChars="200"/>
              <w:jc w:val="left"/>
              <w:rPr>
                <w:rFonts w:hint="eastAsia"/>
                <w:color w:val="000000"/>
                <w:szCs w:val="21"/>
                <w:u w:val="none"/>
              </w:rPr>
            </w:pPr>
            <w:r>
              <w:rPr>
                <w:rFonts w:hint="eastAsia"/>
                <w:color w:val="000000"/>
                <w:szCs w:val="21"/>
                <w:u w:val="none"/>
              </w:rPr>
              <w:t>应从设计、采购、施工等方面全过程加强对工艺、管道、设备等的质量控制，以防止污染物的跑、冒、滴、漏。</w:t>
            </w:r>
          </w:p>
          <w:p>
            <w:pPr>
              <w:adjustRightInd w:val="0"/>
              <w:snapToGrid w:val="0"/>
              <w:spacing w:line="340" w:lineRule="exact"/>
              <w:ind w:firstLine="420" w:firstLineChars="200"/>
              <w:jc w:val="left"/>
              <w:rPr>
                <w:rFonts w:hint="eastAsia"/>
                <w:color w:val="000000"/>
                <w:szCs w:val="21"/>
                <w:u w:val="none"/>
              </w:rPr>
            </w:pPr>
            <w:r>
              <w:rPr>
                <w:rFonts w:hint="eastAsia"/>
                <w:color w:val="000000"/>
                <w:szCs w:val="21"/>
                <w:u w:val="none"/>
              </w:rPr>
              <w:t>根据本项目可能泄漏至地面区域污染物的性质和生产单元的构筑方式，将厂区划分为重点污染防治区、一般污染防治区和非污染防治区，针对不同的区域提出相应的防渗要求。并要求每年检修一次，发现问题及时解决。</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86" w:hRule="atLeast"/>
          <w:jc w:val="center"/>
        </w:trPr>
        <w:tc>
          <w:tcPr>
            <w:tcW w:w="1160" w:type="dxa"/>
            <w:noWrap w:val="0"/>
            <w:vAlign w:val="center"/>
          </w:tcPr>
          <w:p>
            <w:pPr>
              <w:adjustRightInd w:val="0"/>
              <w:snapToGrid w:val="0"/>
              <w:jc w:val="center"/>
              <w:rPr>
                <w:rFonts w:hint="eastAsia" w:cs="宋体"/>
                <w:color w:val="000000"/>
                <w:szCs w:val="21"/>
                <w:u w:val="none"/>
              </w:rPr>
            </w:pPr>
            <w:r>
              <w:rPr>
                <w:rFonts w:hint="eastAsia" w:cs="宋体"/>
                <w:color w:val="000000"/>
                <w:szCs w:val="21"/>
                <w:u w:val="none"/>
              </w:rPr>
              <w:t>生态保护措施</w:t>
            </w:r>
          </w:p>
        </w:tc>
        <w:tc>
          <w:tcPr>
            <w:tcW w:w="7911" w:type="dxa"/>
            <w:gridSpan w:val="4"/>
            <w:noWrap w:val="0"/>
            <w:vAlign w:val="center"/>
          </w:tcPr>
          <w:p>
            <w:pPr>
              <w:pStyle w:val="68"/>
              <w:spacing w:line="340" w:lineRule="exact"/>
              <w:ind w:firstLine="420"/>
              <w:rPr>
                <w:rFonts w:hint="eastAsia"/>
                <w:color w:val="000000"/>
                <w:sz w:val="21"/>
                <w:szCs w:val="21"/>
                <w:u w:val="none"/>
              </w:rPr>
            </w:pPr>
            <w:r>
              <w:rPr>
                <w:rFonts w:hint="eastAsia"/>
                <w:color w:val="000000"/>
                <w:sz w:val="21"/>
                <w:szCs w:val="21"/>
                <w:u w:val="none"/>
              </w:rPr>
              <w:t>项目生态影响主要是建设期水土流失，为避免水土流失对项目区及周边环境的影响，施工期需采取必要水土保持措施，具体如下：</w:t>
            </w:r>
          </w:p>
          <w:p>
            <w:pPr>
              <w:pStyle w:val="68"/>
              <w:spacing w:line="340" w:lineRule="exact"/>
              <w:ind w:firstLine="420"/>
              <w:rPr>
                <w:rFonts w:hint="eastAsia"/>
                <w:color w:val="000000"/>
                <w:sz w:val="21"/>
                <w:szCs w:val="21"/>
                <w:u w:val="none"/>
              </w:rPr>
            </w:pPr>
            <w:r>
              <w:rPr>
                <w:rFonts w:hint="eastAsia"/>
                <w:color w:val="000000"/>
                <w:sz w:val="21"/>
                <w:szCs w:val="21"/>
                <w:u w:val="none"/>
              </w:rPr>
              <w:t>（1）充分利用少雨季节施工，降雨量少，可大幅度减少水土流失量；</w:t>
            </w:r>
          </w:p>
          <w:p>
            <w:pPr>
              <w:pStyle w:val="68"/>
              <w:spacing w:line="340" w:lineRule="exact"/>
              <w:ind w:firstLine="420"/>
              <w:rPr>
                <w:rFonts w:hint="eastAsia"/>
                <w:color w:val="000000"/>
                <w:sz w:val="21"/>
                <w:szCs w:val="21"/>
                <w:u w:val="none"/>
              </w:rPr>
            </w:pPr>
            <w:r>
              <w:rPr>
                <w:rFonts w:hint="eastAsia"/>
                <w:color w:val="000000"/>
                <w:sz w:val="21"/>
                <w:szCs w:val="21"/>
                <w:u w:val="none"/>
              </w:rPr>
              <w:t>（2）施工开挖中裸露地面，在雨水冲蚀下，极易产生水土流失，因此，在开挖前应做好施工围堰；做好分级开挖，分级防护；</w:t>
            </w:r>
          </w:p>
          <w:p>
            <w:pPr>
              <w:pStyle w:val="68"/>
              <w:spacing w:line="340" w:lineRule="exact"/>
              <w:ind w:firstLine="420"/>
              <w:rPr>
                <w:rFonts w:hint="eastAsia"/>
                <w:color w:val="000000"/>
                <w:sz w:val="21"/>
                <w:szCs w:val="21"/>
                <w:u w:val="none"/>
              </w:rPr>
            </w:pPr>
            <w:r>
              <w:rPr>
                <w:rFonts w:hint="eastAsia"/>
                <w:color w:val="000000"/>
                <w:sz w:val="21"/>
                <w:szCs w:val="21"/>
                <w:u w:val="none"/>
              </w:rPr>
              <w:t>（3）土方填筑时应边上料边碾压，不让疏松土料上堤后搁置，碾压密实的土壤在水流作用下流失量远小于疏松土；土方填筑完成后，应及时进行衬砌或草皮护坡，不让裸露面暴露久置；</w:t>
            </w:r>
          </w:p>
          <w:p>
            <w:pPr>
              <w:pStyle w:val="68"/>
              <w:spacing w:line="340" w:lineRule="exact"/>
              <w:ind w:firstLine="420"/>
              <w:rPr>
                <w:rFonts w:hint="eastAsia"/>
                <w:color w:val="000000"/>
                <w:sz w:val="21"/>
                <w:szCs w:val="21"/>
                <w:u w:val="none"/>
              </w:rPr>
            </w:pPr>
            <w:r>
              <w:rPr>
                <w:rFonts w:hint="eastAsia"/>
                <w:color w:val="000000"/>
                <w:sz w:val="21"/>
                <w:szCs w:val="21"/>
                <w:u w:val="none"/>
              </w:rPr>
              <w:t>（4）进出施工场地的运输道路必须进行硬化，且在出入口处挖设浅沟，对来往的车辆车轮进行冲洗，避免将施工场地内的泥沙带出场外。施工完毕后项目区内裸露的空地应及时进行绿化，通过植树种草，美化环境，保持水土；</w:t>
            </w:r>
          </w:p>
          <w:p>
            <w:pPr>
              <w:pStyle w:val="68"/>
              <w:spacing w:line="340" w:lineRule="exact"/>
              <w:ind w:firstLine="420"/>
              <w:rPr>
                <w:rFonts w:hint="eastAsia"/>
                <w:color w:val="000000"/>
                <w:sz w:val="21"/>
                <w:szCs w:val="21"/>
                <w:u w:val="none"/>
              </w:rPr>
            </w:pPr>
            <w:r>
              <w:rPr>
                <w:rFonts w:hint="eastAsia"/>
                <w:color w:val="000000"/>
                <w:sz w:val="21"/>
                <w:szCs w:val="21"/>
                <w:u w:val="none"/>
              </w:rPr>
              <w:t>（5）合理安排施工进度，统筹规划，施工应分片分区进行，对暂时不进行施工的地块保护其原有植被，防止大片地表裸露，造成水土流失。</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6" w:hRule="atLeast"/>
          <w:jc w:val="center"/>
        </w:trPr>
        <w:tc>
          <w:tcPr>
            <w:tcW w:w="1160" w:type="dxa"/>
            <w:noWrap w:val="0"/>
            <w:vAlign w:val="center"/>
          </w:tcPr>
          <w:p>
            <w:pPr>
              <w:adjustRightInd w:val="0"/>
              <w:snapToGrid w:val="0"/>
              <w:jc w:val="center"/>
              <w:rPr>
                <w:rFonts w:cs="宋体"/>
                <w:color w:val="000000"/>
                <w:spacing w:val="-8"/>
                <w:szCs w:val="21"/>
                <w:u w:val="none"/>
              </w:rPr>
            </w:pPr>
            <w:r>
              <w:rPr>
                <w:rFonts w:hint="eastAsia" w:cs="宋体"/>
                <w:color w:val="000000"/>
                <w:spacing w:val="-8"/>
                <w:szCs w:val="21"/>
                <w:u w:val="none"/>
              </w:rPr>
              <w:t>环境风险</w:t>
            </w:r>
          </w:p>
          <w:p>
            <w:pPr>
              <w:adjustRightInd w:val="0"/>
              <w:snapToGrid w:val="0"/>
              <w:jc w:val="center"/>
              <w:rPr>
                <w:rFonts w:hint="eastAsia" w:cs="宋体"/>
                <w:color w:val="000000"/>
                <w:spacing w:val="-8"/>
                <w:szCs w:val="21"/>
                <w:u w:val="none"/>
              </w:rPr>
            </w:pPr>
            <w:r>
              <w:rPr>
                <w:rFonts w:hint="eastAsia" w:cs="宋体"/>
                <w:color w:val="000000"/>
                <w:spacing w:val="-8"/>
                <w:szCs w:val="21"/>
                <w:u w:val="none"/>
              </w:rPr>
              <w:t>防范措施</w:t>
            </w:r>
          </w:p>
        </w:tc>
        <w:tc>
          <w:tcPr>
            <w:tcW w:w="7911" w:type="dxa"/>
            <w:gridSpan w:val="4"/>
            <w:noWrap w:val="0"/>
            <w:vAlign w:val="center"/>
          </w:tcPr>
          <w:p>
            <w:pPr>
              <w:pStyle w:val="68"/>
              <w:spacing w:line="340" w:lineRule="exact"/>
              <w:ind w:firstLine="420"/>
              <w:rPr>
                <w:rFonts w:hint="eastAsia"/>
                <w:color w:val="000000"/>
                <w:sz w:val="21"/>
                <w:szCs w:val="21"/>
                <w:u w:val="none"/>
              </w:rPr>
            </w:pPr>
            <w:r>
              <w:rPr>
                <w:rFonts w:hint="eastAsia"/>
                <w:color w:val="000000"/>
                <w:sz w:val="21"/>
                <w:szCs w:val="21"/>
                <w:u w:val="none"/>
              </w:rPr>
              <w:t>制定危险化学品储存、使用过程防范措施，工艺设计安全防范措施，设置消防及火灾报警系统，制定实施危废污染防治措施，建立环保设施故障应急措，提高认识，完善制度，严格检查，加强技术培训，提高安全意识，制定应急预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02" w:hRule="atLeast"/>
          <w:jc w:val="center"/>
        </w:trPr>
        <w:tc>
          <w:tcPr>
            <w:tcW w:w="1160" w:type="dxa"/>
            <w:noWrap w:val="0"/>
            <w:vAlign w:val="center"/>
          </w:tcPr>
          <w:p>
            <w:pPr>
              <w:adjustRightInd w:val="0"/>
              <w:snapToGrid w:val="0"/>
              <w:jc w:val="center"/>
              <w:rPr>
                <w:rFonts w:cs="宋体"/>
                <w:color w:val="000000"/>
                <w:spacing w:val="-8"/>
                <w:szCs w:val="21"/>
                <w:u w:val="none"/>
              </w:rPr>
            </w:pPr>
            <w:r>
              <w:rPr>
                <w:rFonts w:hint="eastAsia" w:cs="宋体"/>
                <w:color w:val="000000"/>
                <w:spacing w:val="-8"/>
                <w:szCs w:val="21"/>
                <w:u w:val="none"/>
              </w:rPr>
              <w:t>其他环境</w:t>
            </w:r>
          </w:p>
          <w:p>
            <w:pPr>
              <w:adjustRightInd w:val="0"/>
              <w:snapToGrid w:val="0"/>
              <w:jc w:val="center"/>
              <w:rPr>
                <w:rFonts w:hint="eastAsia" w:cs="宋体"/>
                <w:color w:val="000000"/>
                <w:spacing w:val="-8"/>
                <w:szCs w:val="21"/>
                <w:u w:val="none"/>
              </w:rPr>
            </w:pPr>
            <w:r>
              <w:rPr>
                <w:rFonts w:hint="eastAsia" w:cs="宋体"/>
                <w:color w:val="000000"/>
                <w:spacing w:val="-8"/>
                <w:szCs w:val="21"/>
                <w:u w:val="none"/>
              </w:rPr>
              <w:t>管理要求</w:t>
            </w:r>
          </w:p>
        </w:tc>
        <w:tc>
          <w:tcPr>
            <w:tcW w:w="7911" w:type="dxa"/>
            <w:gridSpan w:val="4"/>
            <w:noWrap w:val="0"/>
            <w:vAlign w:val="center"/>
          </w:tcPr>
          <w:p>
            <w:pPr>
              <w:pStyle w:val="68"/>
              <w:spacing w:line="340" w:lineRule="exact"/>
              <w:ind w:firstLine="420"/>
              <w:rPr>
                <w:rFonts w:hint="eastAsia"/>
                <w:color w:val="000000"/>
                <w:sz w:val="21"/>
                <w:szCs w:val="21"/>
                <w:u w:val="none"/>
              </w:rPr>
            </w:pPr>
            <w:r>
              <w:rPr>
                <w:rFonts w:hint="eastAsia"/>
                <w:color w:val="000000"/>
                <w:sz w:val="21"/>
                <w:szCs w:val="21"/>
                <w:u w:val="none"/>
              </w:rPr>
              <w:t>（1）组织宣传贯彻国家环保方针政策和进行厂内职工环保专业知识的教育。</w:t>
            </w:r>
          </w:p>
          <w:p>
            <w:pPr>
              <w:pStyle w:val="68"/>
              <w:spacing w:line="340" w:lineRule="exact"/>
              <w:ind w:firstLine="420"/>
              <w:rPr>
                <w:rFonts w:hint="eastAsia"/>
                <w:color w:val="000000"/>
                <w:sz w:val="21"/>
                <w:szCs w:val="21"/>
                <w:u w:val="none"/>
              </w:rPr>
            </w:pPr>
            <w:r>
              <w:rPr>
                <w:rFonts w:hint="eastAsia"/>
                <w:color w:val="000000"/>
                <w:sz w:val="21"/>
                <w:szCs w:val="21"/>
                <w:u w:val="none"/>
              </w:rPr>
              <w:t>（2）组织制定全所环保管理制度、年度实施计划和长远规划，并监督贯彻执行。</w:t>
            </w:r>
          </w:p>
          <w:p>
            <w:pPr>
              <w:pStyle w:val="68"/>
              <w:spacing w:line="340" w:lineRule="exact"/>
              <w:ind w:firstLine="420"/>
              <w:rPr>
                <w:rFonts w:hint="eastAsia"/>
                <w:color w:val="000000"/>
                <w:sz w:val="21"/>
                <w:szCs w:val="21"/>
                <w:u w:val="none"/>
              </w:rPr>
            </w:pPr>
            <w:r>
              <w:rPr>
                <w:rFonts w:hint="eastAsia"/>
                <w:color w:val="000000"/>
                <w:sz w:val="21"/>
                <w:szCs w:val="21"/>
                <w:u w:val="none"/>
              </w:rPr>
              <w:t>（3）厂内布局时应充分考虑消防安全。厂区四周、内部区域保持必要的安全距离。</w:t>
            </w:r>
          </w:p>
          <w:p>
            <w:pPr>
              <w:pStyle w:val="68"/>
              <w:spacing w:line="340" w:lineRule="exact"/>
              <w:ind w:firstLine="420"/>
              <w:rPr>
                <w:rFonts w:hint="eastAsia"/>
                <w:color w:val="000000"/>
                <w:sz w:val="21"/>
                <w:szCs w:val="21"/>
                <w:u w:val="none"/>
              </w:rPr>
            </w:pPr>
            <w:r>
              <w:rPr>
                <w:rFonts w:hint="eastAsia"/>
                <w:color w:val="000000"/>
                <w:sz w:val="21"/>
                <w:szCs w:val="21"/>
                <w:u w:val="none"/>
              </w:rPr>
              <w:t>（4）建立环保台账，对厂内各类污染物进行登记管理。</w:t>
            </w:r>
          </w:p>
          <w:p>
            <w:pPr>
              <w:pStyle w:val="68"/>
              <w:spacing w:line="340" w:lineRule="exact"/>
              <w:ind w:firstLine="420"/>
              <w:rPr>
                <w:rFonts w:hint="eastAsia"/>
                <w:color w:val="000000"/>
                <w:sz w:val="21"/>
                <w:szCs w:val="21"/>
                <w:u w:val="none"/>
              </w:rPr>
            </w:pPr>
            <w:r>
              <w:rPr>
                <w:rFonts w:hint="default" w:ascii="Times New Roman" w:hAnsi="Times New Roman" w:eastAsia="宋体" w:cs="Times New Roman"/>
                <w:color w:val="000000"/>
                <w:sz w:val="21"/>
                <w:szCs w:val="21"/>
                <w:u w:val="none"/>
                <w:lang w:eastAsia="zh-CN"/>
              </w:rPr>
              <w:t>（</w:t>
            </w:r>
            <w:r>
              <w:rPr>
                <w:rFonts w:hint="default" w:ascii="Times New Roman" w:hAnsi="Times New Roman" w:eastAsia="宋体" w:cs="Times New Roman"/>
                <w:color w:val="000000"/>
                <w:sz w:val="21"/>
                <w:szCs w:val="21"/>
                <w:u w:val="none"/>
                <w:lang w:val="en-US" w:eastAsia="zh-CN"/>
              </w:rPr>
              <w:t>5）本项目综合利用的一般固废应设置进厂及处置台账。</w:t>
            </w:r>
          </w:p>
        </w:tc>
      </w:tr>
    </w:tbl>
    <w:p>
      <w:pPr>
        <w:pStyle w:val="26"/>
        <w:spacing w:before="0" w:beforeAutospacing="0" w:after="0" w:afterAutospacing="0"/>
        <w:jc w:val="center"/>
        <w:outlineLvl w:val="0"/>
        <w:rPr>
          <w:rFonts w:ascii="Times New Roman" w:hAnsi="Times New Roman" w:eastAsia="黑体"/>
          <w:snapToGrid w:val="0"/>
          <w:color w:val="FF0000"/>
          <w:sz w:val="30"/>
          <w:szCs w:val="30"/>
          <w:u w:val="none"/>
        </w:rPr>
      </w:pPr>
      <w:r>
        <w:rPr>
          <w:rFonts w:ascii="Times New Roman" w:hAnsi="Times New Roman"/>
          <w:snapToGrid w:val="0"/>
          <w:color w:val="FF0000"/>
          <w:u w:val="none"/>
        </w:rPr>
        <w:br w:type="page"/>
      </w:r>
      <w:bookmarkStart w:id="10" w:name="_Toc23272"/>
      <w:r>
        <w:rPr>
          <w:rFonts w:hint="eastAsia" w:ascii="Times New Roman" w:hAnsi="Times New Roman" w:eastAsia="黑体"/>
          <w:snapToGrid w:val="0"/>
          <w:color w:val="000000"/>
          <w:sz w:val="30"/>
          <w:szCs w:val="30"/>
          <w:u w:val="none"/>
        </w:rPr>
        <w:t>六、结论</w:t>
      </w:r>
      <w:bookmarkEnd w:id="10"/>
    </w:p>
    <w:tbl>
      <w:tblPr>
        <w:tblStyle w:val="30"/>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071"/>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9071" w:type="dxa"/>
            <w:noWrap w:val="0"/>
            <w:vAlign w:val="center"/>
          </w:tcPr>
          <w:p>
            <w:pPr>
              <w:pStyle w:val="11"/>
              <w:spacing w:line="360" w:lineRule="auto"/>
              <w:ind w:firstLine="480"/>
              <w:rPr>
                <w:rFonts w:hint="eastAsia"/>
                <w:color w:val="000000"/>
                <w:sz w:val="24"/>
                <w:u w:val="none"/>
              </w:rPr>
            </w:pPr>
            <w:r>
              <w:rPr>
                <w:rFonts w:hint="eastAsia"/>
                <w:color w:val="000000"/>
                <w:sz w:val="24"/>
                <w:u w:val="none"/>
              </w:rPr>
              <w:t>经分析，本建设项目符合国家相关产业政策，项目对废气、废水、噪声和固体废物等污染物采取了妥善的处理处置措施，污染物排放总量较小，在落实各项规定的污染防治措施后，各污染物能达标排放，对周围的环境影响可控制在允许的范围内，周围环境质量能满足功能区划要求。在全面落实各项污染防范措施、"三同时"制度、保证安全生产的前提下，项目的建设整体上符合环境保护和社会可持续发展的要求，从环境保护角度分析，本项目是可行的。</w:t>
            </w:r>
          </w:p>
          <w:p>
            <w:pPr>
              <w:spacing w:line="360" w:lineRule="auto"/>
              <w:ind w:firstLine="480" w:firstLineChars="200"/>
              <w:rPr>
                <w:color w:val="000000"/>
                <w:sz w:val="24"/>
                <w:u w:val="none"/>
              </w:rPr>
            </w:pPr>
            <w:r>
              <w:rPr>
                <w:rFonts w:hint="eastAsia"/>
                <w:color w:val="000000"/>
                <w:sz w:val="24"/>
                <w:u w:val="none"/>
              </w:rPr>
              <w:t>鉴于项目建设会对环境造成一定的影响，除在报告中提出的各项污染处理措施及建议外，从环境保护的角度考虑，本环评提出以下几点建议：</w:t>
            </w:r>
          </w:p>
          <w:p>
            <w:pPr>
              <w:spacing w:line="360" w:lineRule="auto"/>
              <w:ind w:firstLine="480" w:firstLineChars="200"/>
              <w:rPr>
                <w:color w:val="000000"/>
                <w:sz w:val="24"/>
                <w:u w:val="none"/>
              </w:rPr>
            </w:pPr>
            <w:r>
              <w:rPr>
                <w:rFonts w:hint="eastAsia"/>
                <w:color w:val="000000"/>
                <w:sz w:val="24"/>
                <w:u w:val="none"/>
              </w:rPr>
              <w:t>（1）根据环评要求，落实“三废治理”费用，做到专款专用，项目实施后应保证足够的环保资金，确保污染防治措施有效地运行，保证污染物达标排放；</w:t>
            </w:r>
          </w:p>
          <w:p>
            <w:pPr>
              <w:spacing w:line="360" w:lineRule="auto"/>
              <w:ind w:firstLine="480" w:firstLineChars="200"/>
              <w:rPr>
                <w:color w:val="000000"/>
                <w:sz w:val="24"/>
                <w:u w:val="none"/>
              </w:rPr>
            </w:pPr>
            <w:r>
              <w:rPr>
                <w:rFonts w:hint="eastAsia"/>
                <w:color w:val="000000"/>
                <w:sz w:val="24"/>
                <w:u w:val="none"/>
              </w:rPr>
              <w:t>（2）加强职工安全生产及教育，提高职工环保意识，加强环境管理，定期对设备进行检修，保证各设备正常运行；</w:t>
            </w:r>
          </w:p>
          <w:p>
            <w:pPr>
              <w:spacing w:line="360" w:lineRule="auto"/>
              <w:ind w:firstLine="480" w:firstLineChars="200"/>
              <w:rPr>
                <w:color w:val="000000"/>
                <w:sz w:val="24"/>
                <w:u w:val="none"/>
              </w:rPr>
            </w:pPr>
            <w:r>
              <w:rPr>
                <w:rFonts w:hint="eastAsia"/>
                <w:color w:val="000000"/>
                <w:sz w:val="24"/>
                <w:u w:val="none"/>
              </w:rPr>
              <w:t>（3）设置强有力的环境管理机构和环境监测机构，建立健全一套完善的环境管理制度，并严格按管理制度执行；</w:t>
            </w:r>
          </w:p>
          <w:p>
            <w:pPr>
              <w:pStyle w:val="11"/>
              <w:spacing w:line="360" w:lineRule="auto"/>
              <w:ind w:firstLine="480"/>
              <w:rPr>
                <w:rFonts w:hint="eastAsia"/>
                <w:color w:val="000000"/>
                <w:sz w:val="24"/>
                <w:u w:val="none"/>
              </w:rPr>
            </w:pPr>
            <w:r>
              <w:rPr>
                <w:rFonts w:hint="eastAsia"/>
                <w:color w:val="000000"/>
                <w:sz w:val="24"/>
                <w:u w:val="none"/>
              </w:rPr>
              <w:t>（4）关心并积极听取周边居民等人员、单位的反映，定期向当地环保部门汇报项目环境保护工作的情况，同时接受当地环境保护部门的监督和管理。遵守有关环境法律、法规，树立良好的形象，实现经济效益与社会效益、环境效益相统一；</w:t>
            </w:r>
          </w:p>
          <w:p>
            <w:pPr>
              <w:pStyle w:val="11"/>
              <w:spacing w:line="360" w:lineRule="auto"/>
              <w:ind w:firstLine="480"/>
              <w:rPr>
                <w:rFonts w:hint="eastAsia"/>
                <w:color w:val="000000"/>
                <w:sz w:val="24"/>
                <w:u w:val="none"/>
              </w:rPr>
            </w:pPr>
            <w:r>
              <w:rPr>
                <w:rFonts w:hint="eastAsia"/>
                <w:color w:val="000000"/>
                <w:sz w:val="24"/>
                <w:u w:val="none"/>
              </w:rPr>
              <w:t>（5）固体废物要及时收集、清理外运，减少厂内堆积；</w:t>
            </w:r>
          </w:p>
          <w:p>
            <w:pPr>
              <w:pStyle w:val="11"/>
              <w:spacing w:line="360" w:lineRule="auto"/>
              <w:ind w:firstLine="480"/>
              <w:rPr>
                <w:rFonts w:hint="eastAsia"/>
                <w:color w:val="FF0000"/>
                <w:sz w:val="24"/>
                <w:u w:val="none"/>
              </w:rPr>
            </w:pPr>
            <w:r>
              <w:rPr>
                <w:rFonts w:hint="eastAsia"/>
                <w:color w:val="000000"/>
                <w:sz w:val="24"/>
                <w:u w:val="none"/>
              </w:rPr>
              <w:t>（6）加强工人劳动防护，操作人员佩戴卫生口罩，以减轻粉尘对身体健康的影响。</w:t>
            </w:r>
          </w:p>
          <w:p>
            <w:pPr>
              <w:pStyle w:val="11"/>
              <w:spacing w:line="360" w:lineRule="auto"/>
              <w:ind w:firstLine="480"/>
              <w:rPr>
                <w:rFonts w:hint="eastAsia"/>
                <w:color w:val="FF0000"/>
                <w:sz w:val="24"/>
                <w:u w:val="none"/>
              </w:rPr>
            </w:pPr>
          </w:p>
          <w:p>
            <w:pPr>
              <w:pStyle w:val="11"/>
              <w:spacing w:line="360" w:lineRule="auto"/>
              <w:ind w:firstLine="480"/>
              <w:rPr>
                <w:rFonts w:hint="eastAsia"/>
                <w:color w:val="FF0000"/>
                <w:sz w:val="24"/>
                <w:u w:val="none"/>
              </w:rPr>
            </w:pPr>
          </w:p>
          <w:p>
            <w:pPr>
              <w:pStyle w:val="11"/>
              <w:spacing w:line="360" w:lineRule="auto"/>
              <w:ind w:firstLine="480"/>
              <w:rPr>
                <w:rFonts w:hint="eastAsia"/>
                <w:color w:val="FF0000"/>
                <w:sz w:val="24"/>
                <w:u w:val="none"/>
              </w:rPr>
            </w:pPr>
          </w:p>
          <w:p>
            <w:pPr>
              <w:pStyle w:val="11"/>
              <w:spacing w:line="360" w:lineRule="auto"/>
              <w:ind w:firstLine="480"/>
              <w:rPr>
                <w:rFonts w:hint="eastAsia"/>
                <w:color w:val="FF0000"/>
                <w:sz w:val="24"/>
                <w:u w:val="none"/>
              </w:rPr>
            </w:pPr>
          </w:p>
          <w:p>
            <w:pPr>
              <w:pStyle w:val="11"/>
              <w:spacing w:line="360" w:lineRule="auto"/>
              <w:ind w:firstLine="480"/>
              <w:rPr>
                <w:rFonts w:hint="eastAsia"/>
                <w:color w:val="FF0000"/>
                <w:sz w:val="24"/>
                <w:u w:val="none"/>
              </w:rPr>
            </w:pPr>
          </w:p>
          <w:p>
            <w:pPr>
              <w:pStyle w:val="11"/>
              <w:spacing w:line="360" w:lineRule="auto"/>
              <w:ind w:firstLine="480"/>
              <w:rPr>
                <w:rFonts w:hint="eastAsia"/>
                <w:color w:val="FF0000"/>
                <w:sz w:val="24"/>
                <w:u w:val="none"/>
              </w:rPr>
            </w:pPr>
          </w:p>
          <w:p>
            <w:pPr>
              <w:pStyle w:val="11"/>
              <w:spacing w:line="360" w:lineRule="auto"/>
              <w:ind w:firstLine="480"/>
              <w:rPr>
                <w:rFonts w:hint="eastAsia"/>
                <w:color w:val="FF0000"/>
                <w:sz w:val="24"/>
                <w:u w:val="none"/>
              </w:rPr>
            </w:pPr>
          </w:p>
          <w:p>
            <w:pPr>
              <w:pStyle w:val="11"/>
              <w:spacing w:line="360" w:lineRule="auto"/>
              <w:ind w:firstLine="480"/>
              <w:rPr>
                <w:rFonts w:hint="eastAsia"/>
                <w:color w:val="FF0000"/>
                <w:sz w:val="24"/>
                <w:u w:val="none"/>
              </w:rPr>
            </w:pPr>
          </w:p>
        </w:tc>
      </w:tr>
    </w:tbl>
    <w:p>
      <w:pPr>
        <w:rPr>
          <w:color w:val="FF0000"/>
          <w:u w:val="none"/>
        </w:rPr>
        <w:sectPr>
          <w:pgSz w:w="11906" w:h="16838"/>
          <w:pgMar w:top="1440" w:right="1417" w:bottom="1440" w:left="1417" w:header="851" w:footer="850" w:gutter="0"/>
          <w:pgBorders>
            <w:top w:val="none" w:sz="0" w:space="0"/>
            <w:left w:val="none" w:sz="0" w:space="0"/>
            <w:bottom w:val="none" w:sz="0" w:space="0"/>
            <w:right w:val="none" w:sz="0" w:space="0"/>
          </w:pgBorders>
          <w:pgNumType w:fmt="decimal"/>
          <w:cols w:space="720" w:num="1"/>
          <w:docGrid w:type="lines" w:linePitch="312" w:charSpace="0"/>
        </w:sectPr>
      </w:pPr>
    </w:p>
    <w:p>
      <w:pPr>
        <w:pStyle w:val="26"/>
        <w:adjustRightInd w:val="0"/>
        <w:snapToGrid w:val="0"/>
        <w:spacing w:before="0" w:beforeAutospacing="0" w:after="0" w:afterAutospacing="0" w:line="360" w:lineRule="auto"/>
        <w:outlineLvl w:val="0"/>
        <w:rPr>
          <w:rFonts w:ascii="Times New Roman" w:hAnsi="Times New Roman" w:eastAsia="黑体"/>
          <w:snapToGrid w:val="0"/>
          <w:color w:val="000000"/>
          <w:sz w:val="32"/>
          <w:szCs w:val="32"/>
          <w:u w:val="none"/>
        </w:rPr>
      </w:pPr>
      <w:bookmarkStart w:id="11" w:name="_Toc19976"/>
      <w:r>
        <w:rPr>
          <w:rFonts w:hint="eastAsia" w:ascii="Times New Roman" w:hAnsi="Times New Roman" w:eastAsia="黑体"/>
          <w:snapToGrid w:val="0"/>
          <w:color w:val="000000"/>
          <w:sz w:val="32"/>
          <w:szCs w:val="32"/>
          <w:u w:val="none"/>
        </w:rPr>
        <w:t>附表</w:t>
      </w:r>
      <w:bookmarkEnd w:id="11"/>
    </w:p>
    <w:p>
      <w:pPr>
        <w:pStyle w:val="26"/>
        <w:adjustRightInd w:val="0"/>
        <w:snapToGrid w:val="0"/>
        <w:spacing w:before="0" w:beforeAutospacing="0" w:after="0" w:afterAutospacing="0"/>
        <w:jc w:val="center"/>
        <w:outlineLvl w:val="0"/>
        <w:rPr>
          <w:rStyle w:val="46"/>
          <w:rFonts w:hint="eastAsia"/>
        </w:rPr>
      </w:pPr>
      <w:bookmarkStart w:id="12" w:name="_Toc18941"/>
      <w:r>
        <w:rPr>
          <w:rStyle w:val="46"/>
          <w:rFonts w:hint="eastAsia"/>
        </w:rPr>
        <w:t>建设项目污染物排放量汇总表</w:t>
      </w:r>
      <w:bookmarkEnd w:id="12"/>
    </w:p>
    <w:tbl>
      <w:tblPr>
        <w:tblStyle w:val="30"/>
        <w:tblW w:w="0" w:type="auto"/>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588"/>
        <w:gridCol w:w="1417"/>
        <w:gridCol w:w="1701"/>
        <w:gridCol w:w="1276"/>
        <w:gridCol w:w="1701"/>
        <w:gridCol w:w="1559"/>
        <w:gridCol w:w="1761"/>
        <w:gridCol w:w="1652"/>
        <w:gridCol w:w="1133"/>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94" w:hRule="atLeast"/>
        </w:trPr>
        <w:tc>
          <w:tcPr>
            <w:tcW w:w="1588" w:type="dxa"/>
            <w:tcBorders>
              <w:tl2br w:val="single" w:color="auto" w:sz="4" w:space="0"/>
            </w:tcBorders>
            <w:noWrap w:val="0"/>
            <w:tcMar>
              <w:left w:w="28" w:type="dxa"/>
              <w:right w:w="28" w:type="dxa"/>
            </w:tcMar>
            <w:vAlign w:val="center"/>
          </w:tcPr>
          <w:p>
            <w:pPr>
              <w:pStyle w:val="49"/>
              <w:spacing w:beforeLines="0" w:afterLines="0" w:line="240" w:lineRule="auto"/>
              <w:jc w:val="right"/>
              <w:rPr>
                <w:rFonts w:hint="eastAsia" w:ascii="Times New Roman" w:eastAsia="黑体" w:cs="宋体"/>
                <w:snapToGrid w:val="0"/>
                <w:color w:val="auto"/>
                <w:spacing w:val="-6"/>
                <w:kern w:val="21"/>
                <w:szCs w:val="21"/>
                <w:highlight w:val="none"/>
                <w:u w:val="none"/>
              </w:rPr>
            </w:pPr>
            <w:r>
              <w:rPr>
                <w:rFonts w:hint="eastAsia" w:ascii="Times New Roman" w:eastAsia="黑体" w:cs="宋体"/>
                <w:snapToGrid w:val="0"/>
                <w:color w:val="auto"/>
                <w:spacing w:val="-6"/>
                <w:kern w:val="21"/>
                <w:szCs w:val="21"/>
                <w:highlight w:val="none"/>
                <w:u w:val="none"/>
              </w:rPr>
              <w:t>项目</w:t>
            </w:r>
          </w:p>
          <w:p>
            <w:pPr>
              <w:pStyle w:val="49"/>
              <w:spacing w:beforeLines="0" w:afterLines="0" w:line="240" w:lineRule="auto"/>
              <w:jc w:val="left"/>
              <w:rPr>
                <w:rFonts w:hint="eastAsia" w:ascii="Times New Roman" w:eastAsia="黑体" w:cs="宋体"/>
                <w:snapToGrid w:val="0"/>
                <w:color w:val="auto"/>
                <w:spacing w:val="-6"/>
                <w:kern w:val="21"/>
                <w:szCs w:val="21"/>
                <w:highlight w:val="none"/>
                <w:u w:val="none"/>
              </w:rPr>
            </w:pPr>
            <w:r>
              <w:rPr>
                <w:rFonts w:hint="eastAsia" w:ascii="Times New Roman" w:eastAsia="黑体" w:cs="宋体"/>
                <w:snapToGrid w:val="0"/>
                <w:color w:val="auto"/>
                <w:spacing w:val="-6"/>
                <w:kern w:val="21"/>
                <w:szCs w:val="21"/>
                <w:highlight w:val="none"/>
                <w:u w:val="none"/>
              </w:rPr>
              <w:t>分类</w:t>
            </w:r>
          </w:p>
        </w:tc>
        <w:tc>
          <w:tcPr>
            <w:tcW w:w="1417" w:type="dxa"/>
            <w:noWrap w:val="0"/>
            <w:tcMar>
              <w:left w:w="28" w:type="dxa"/>
              <w:right w:w="28" w:type="dxa"/>
            </w:tcMar>
            <w:vAlign w:val="center"/>
          </w:tcPr>
          <w:p>
            <w:pPr>
              <w:pStyle w:val="49"/>
              <w:spacing w:beforeLines="0" w:afterLines="0" w:line="240" w:lineRule="auto"/>
              <w:rPr>
                <w:rFonts w:hint="eastAsia" w:ascii="Times New Roman" w:eastAsia="黑体" w:cs="宋体"/>
                <w:snapToGrid w:val="0"/>
                <w:color w:val="auto"/>
                <w:spacing w:val="-6"/>
                <w:kern w:val="21"/>
                <w:szCs w:val="21"/>
                <w:highlight w:val="none"/>
                <w:u w:val="none"/>
              </w:rPr>
            </w:pPr>
            <w:r>
              <w:rPr>
                <w:rFonts w:hint="eastAsia" w:ascii="Times New Roman" w:eastAsia="黑体" w:cs="宋体"/>
                <w:snapToGrid w:val="0"/>
                <w:color w:val="auto"/>
                <w:spacing w:val="-6"/>
                <w:kern w:val="21"/>
                <w:szCs w:val="21"/>
                <w:highlight w:val="none"/>
                <w:u w:val="none"/>
              </w:rPr>
              <w:t>污染物名称</w:t>
            </w:r>
          </w:p>
        </w:tc>
        <w:tc>
          <w:tcPr>
            <w:tcW w:w="1701" w:type="dxa"/>
            <w:noWrap w:val="0"/>
            <w:tcMar>
              <w:left w:w="28" w:type="dxa"/>
              <w:right w:w="28" w:type="dxa"/>
            </w:tcMar>
            <w:vAlign w:val="center"/>
          </w:tcPr>
          <w:p>
            <w:pPr>
              <w:pStyle w:val="49"/>
              <w:spacing w:beforeLines="0" w:afterLines="0" w:line="240" w:lineRule="auto"/>
              <w:rPr>
                <w:rFonts w:hint="eastAsia" w:ascii="Times New Roman" w:eastAsia="黑体"/>
                <w:snapToGrid w:val="0"/>
                <w:color w:val="auto"/>
                <w:spacing w:val="-6"/>
                <w:kern w:val="21"/>
                <w:szCs w:val="21"/>
                <w:highlight w:val="none"/>
                <w:u w:val="none"/>
              </w:rPr>
            </w:pPr>
            <w:r>
              <w:rPr>
                <w:rFonts w:ascii="Times New Roman" w:eastAsia="黑体"/>
                <w:snapToGrid w:val="0"/>
                <w:color w:val="auto"/>
                <w:spacing w:val="-6"/>
                <w:kern w:val="21"/>
                <w:szCs w:val="21"/>
                <w:highlight w:val="none"/>
                <w:u w:val="none"/>
              </w:rPr>
              <w:t>现有工程</w:t>
            </w:r>
          </w:p>
          <w:p>
            <w:pPr>
              <w:pStyle w:val="49"/>
              <w:spacing w:beforeLines="0" w:afterLines="0" w:line="240" w:lineRule="auto"/>
              <w:rPr>
                <w:rFonts w:ascii="Times New Roman" w:eastAsia="黑体"/>
                <w:snapToGrid w:val="0"/>
                <w:color w:val="auto"/>
                <w:spacing w:val="-6"/>
                <w:kern w:val="21"/>
                <w:szCs w:val="21"/>
                <w:highlight w:val="none"/>
                <w:u w:val="none"/>
              </w:rPr>
            </w:pPr>
            <w:r>
              <w:rPr>
                <w:rFonts w:ascii="Times New Roman" w:eastAsia="黑体"/>
                <w:snapToGrid w:val="0"/>
                <w:color w:val="auto"/>
                <w:spacing w:val="-6"/>
                <w:kern w:val="21"/>
                <w:szCs w:val="21"/>
                <w:highlight w:val="none"/>
                <w:u w:val="none"/>
              </w:rPr>
              <w:t>排放量（固</w:t>
            </w:r>
            <w:r>
              <w:rPr>
                <w:rFonts w:hint="eastAsia" w:ascii="Times New Roman" w:eastAsia="黑体"/>
                <w:snapToGrid w:val="0"/>
                <w:color w:val="auto"/>
                <w:spacing w:val="-6"/>
                <w:kern w:val="21"/>
                <w:szCs w:val="21"/>
                <w:highlight w:val="none"/>
                <w:u w:val="none"/>
              </w:rPr>
              <w:t>体</w:t>
            </w:r>
            <w:r>
              <w:rPr>
                <w:rFonts w:ascii="Times New Roman" w:eastAsia="黑体"/>
                <w:snapToGrid w:val="0"/>
                <w:color w:val="auto"/>
                <w:spacing w:val="-6"/>
                <w:kern w:val="21"/>
                <w:szCs w:val="21"/>
                <w:highlight w:val="none"/>
                <w:u w:val="none"/>
              </w:rPr>
              <w:t>废</w:t>
            </w:r>
            <w:r>
              <w:rPr>
                <w:rFonts w:hint="eastAsia" w:ascii="Times New Roman" w:eastAsia="黑体"/>
                <w:snapToGrid w:val="0"/>
                <w:color w:val="auto"/>
                <w:spacing w:val="-6"/>
                <w:kern w:val="21"/>
                <w:szCs w:val="21"/>
                <w:highlight w:val="none"/>
                <w:u w:val="none"/>
              </w:rPr>
              <w:t>物</w:t>
            </w:r>
            <w:r>
              <w:rPr>
                <w:rFonts w:ascii="Times New Roman" w:eastAsia="黑体"/>
                <w:snapToGrid w:val="0"/>
                <w:color w:val="auto"/>
                <w:spacing w:val="-6"/>
                <w:kern w:val="21"/>
                <w:szCs w:val="21"/>
                <w:highlight w:val="none"/>
                <w:u w:val="none"/>
              </w:rPr>
              <w:t>产生量）</w:t>
            </w:r>
            <w:r>
              <w:rPr>
                <w:rFonts w:ascii="Times New Roman" w:eastAsia="黑体"/>
                <w:snapToGrid w:val="0"/>
                <w:color w:val="auto"/>
                <w:spacing w:val="-6"/>
                <w:kern w:val="21"/>
                <w:szCs w:val="21"/>
                <w:highlight w:val="none"/>
                <w:u w:val="none"/>
              </w:rPr>
              <w:fldChar w:fldCharType="begin"/>
            </w:r>
            <w:r>
              <w:rPr>
                <w:rFonts w:ascii="Times New Roman" w:eastAsia="黑体"/>
                <w:snapToGrid w:val="0"/>
                <w:color w:val="auto"/>
                <w:spacing w:val="-6"/>
                <w:kern w:val="21"/>
                <w:szCs w:val="21"/>
                <w:highlight w:val="none"/>
                <w:u w:val="none"/>
              </w:rPr>
              <w:instrText xml:space="preserve"> = 1 \* GB3 \* MERGEFORMAT </w:instrText>
            </w:r>
            <w:r>
              <w:rPr>
                <w:rFonts w:ascii="Times New Roman" w:eastAsia="黑体"/>
                <w:snapToGrid w:val="0"/>
                <w:color w:val="auto"/>
                <w:spacing w:val="-6"/>
                <w:kern w:val="21"/>
                <w:szCs w:val="21"/>
                <w:highlight w:val="none"/>
                <w:u w:val="none"/>
              </w:rPr>
              <w:fldChar w:fldCharType="separate"/>
            </w:r>
            <w:r>
              <w:rPr>
                <w:rFonts w:hint="eastAsia" w:ascii="Times New Roman" w:eastAsia="黑体" w:cs="宋体"/>
                <w:color w:val="auto"/>
                <w:kern w:val="2"/>
                <w:szCs w:val="21"/>
                <w:highlight w:val="none"/>
                <w:u w:val="none"/>
              </w:rPr>
              <w:t>①</w:t>
            </w:r>
            <w:r>
              <w:rPr>
                <w:rFonts w:ascii="Times New Roman" w:eastAsia="黑体"/>
                <w:snapToGrid w:val="0"/>
                <w:color w:val="auto"/>
                <w:spacing w:val="-6"/>
                <w:kern w:val="21"/>
                <w:szCs w:val="21"/>
                <w:highlight w:val="none"/>
                <w:u w:val="none"/>
              </w:rPr>
              <w:fldChar w:fldCharType="end"/>
            </w:r>
          </w:p>
        </w:tc>
        <w:tc>
          <w:tcPr>
            <w:tcW w:w="1276" w:type="dxa"/>
            <w:noWrap w:val="0"/>
            <w:tcMar>
              <w:left w:w="28" w:type="dxa"/>
              <w:right w:w="28" w:type="dxa"/>
            </w:tcMar>
            <w:vAlign w:val="center"/>
          </w:tcPr>
          <w:p>
            <w:pPr>
              <w:pStyle w:val="49"/>
              <w:spacing w:beforeLines="0" w:afterLines="0" w:line="240" w:lineRule="auto"/>
              <w:rPr>
                <w:rFonts w:ascii="Times New Roman" w:eastAsia="黑体"/>
                <w:snapToGrid w:val="0"/>
                <w:color w:val="auto"/>
                <w:spacing w:val="-6"/>
                <w:kern w:val="21"/>
                <w:szCs w:val="21"/>
                <w:highlight w:val="none"/>
                <w:u w:val="none"/>
              </w:rPr>
            </w:pPr>
            <w:r>
              <w:rPr>
                <w:rFonts w:ascii="Times New Roman" w:eastAsia="黑体"/>
                <w:snapToGrid w:val="0"/>
                <w:color w:val="auto"/>
                <w:spacing w:val="-6"/>
                <w:kern w:val="21"/>
                <w:szCs w:val="21"/>
                <w:highlight w:val="none"/>
                <w:u w:val="none"/>
              </w:rPr>
              <w:t>现有工程</w:t>
            </w:r>
          </w:p>
          <w:p>
            <w:pPr>
              <w:pStyle w:val="49"/>
              <w:spacing w:beforeLines="0" w:afterLines="0" w:line="240" w:lineRule="auto"/>
              <w:rPr>
                <w:rFonts w:ascii="Times New Roman" w:eastAsia="黑体"/>
                <w:snapToGrid w:val="0"/>
                <w:color w:val="auto"/>
                <w:spacing w:val="-6"/>
                <w:kern w:val="21"/>
                <w:szCs w:val="21"/>
                <w:highlight w:val="none"/>
                <w:u w:val="none"/>
              </w:rPr>
            </w:pPr>
            <w:r>
              <w:rPr>
                <w:rFonts w:ascii="Times New Roman" w:eastAsia="黑体"/>
                <w:snapToGrid w:val="0"/>
                <w:color w:val="auto"/>
                <w:spacing w:val="-6"/>
                <w:kern w:val="21"/>
                <w:szCs w:val="21"/>
                <w:highlight w:val="none"/>
                <w:u w:val="none"/>
              </w:rPr>
              <w:t>许可排放量</w:t>
            </w:r>
          </w:p>
          <w:p>
            <w:pPr>
              <w:pStyle w:val="49"/>
              <w:spacing w:beforeLines="0" w:afterLines="0"/>
              <w:rPr>
                <w:rFonts w:ascii="Times New Roman" w:eastAsia="黑体"/>
                <w:snapToGrid w:val="0"/>
                <w:color w:val="auto"/>
                <w:spacing w:val="-6"/>
                <w:kern w:val="21"/>
                <w:szCs w:val="21"/>
                <w:highlight w:val="none"/>
                <w:u w:val="none"/>
              </w:rPr>
            </w:pPr>
            <w:r>
              <w:rPr>
                <w:rFonts w:ascii="Times New Roman" w:eastAsia="黑体"/>
                <w:snapToGrid w:val="0"/>
                <w:color w:val="auto"/>
                <w:spacing w:val="-6"/>
                <w:kern w:val="21"/>
                <w:szCs w:val="21"/>
                <w:highlight w:val="none"/>
                <w:u w:val="none"/>
              </w:rPr>
              <w:fldChar w:fldCharType="begin"/>
            </w:r>
            <w:r>
              <w:rPr>
                <w:rFonts w:ascii="Times New Roman" w:eastAsia="黑体"/>
                <w:snapToGrid w:val="0"/>
                <w:color w:val="auto"/>
                <w:spacing w:val="-6"/>
                <w:kern w:val="21"/>
                <w:szCs w:val="21"/>
                <w:highlight w:val="none"/>
                <w:u w:val="none"/>
              </w:rPr>
              <w:instrText xml:space="preserve"> = 2 \* GB3 \* MERGEFORMAT </w:instrText>
            </w:r>
            <w:r>
              <w:rPr>
                <w:rFonts w:ascii="Times New Roman" w:eastAsia="黑体"/>
                <w:snapToGrid w:val="0"/>
                <w:color w:val="auto"/>
                <w:spacing w:val="-6"/>
                <w:kern w:val="21"/>
                <w:szCs w:val="21"/>
                <w:highlight w:val="none"/>
                <w:u w:val="none"/>
              </w:rPr>
              <w:fldChar w:fldCharType="separate"/>
            </w:r>
            <w:r>
              <w:rPr>
                <w:rFonts w:hint="eastAsia" w:ascii="Times New Roman" w:eastAsia="黑体" w:cs="宋体"/>
                <w:snapToGrid w:val="0"/>
                <w:color w:val="auto"/>
                <w:spacing w:val="-6"/>
                <w:kern w:val="21"/>
                <w:szCs w:val="21"/>
                <w:highlight w:val="none"/>
                <w:u w:val="none"/>
              </w:rPr>
              <w:t>②</w:t>
            </w:r>
            <w:r>
              <w:rPr>
                <w:rFonts w:ascii="Times New Roman" w:eastAsia="黑体"/>
                <w:snapToGrid w:val="0"/>
                <w:color w:val="auto"/>
                <w:spacing w:val="-6"/>
                <w:kern w:val="21"/>
                <w:szCs w:val="21"/>
                <w:highlight w:val="none"/>
                <w:u w:val="none"/>
              </w:rPr>
              <w:fldChar w:fldCharType="end"/>
            </w:r>
          </w:p>
        </w:tc>
        <w:tc>
          <w:tcPr>
            <w:tcW w:w="1701" w:type="dxa"/>
            <w:noWrap w:val="0"/>
            <w:tcMar>
              <w:left w:w="28" w:type="dxa"/>
              <w:right w:w="28" w:type="dxa"/>
            </w:tcMar>
            <w:vAlign w:val="center"/>
          </w:tcPr>
          <w:p>
            <w:pPr>
              <w:pStyle w:val="49"/>
              <w:spacing w:beforeLines="0" w:afterLines="0" w:line="240" w:lineRule="auto"/>
              <w:rPr>
                <w:rFonts w:hint="eastAsia" w:ascii="Times New Roman" w:eastAsia="黑体"/>
                <w:snapToGrid w:val="0"/>
                <w:color w:val="auto"/>
                <w:spacing w:val="-6"/>
                <w:kern w:val="21"/>
                <w:szCs w:val="21"/>
                <w:highlight w:val="none"/>
                <w:u w:val="none"/>
              </w:rPr>
            </w:pPr>
            <w:r>
              <w:rPr>
                <w:rFonts w:ascii="Times New Roman" w:eastAsia="黑体"/>
                <w:snapToGrid w:val="0"/>
                <w:color w:val="auto"/>
                <w:spacing w:val="-6"/>
                <w:kern w:val="21"/>
                <w:szCs w:val="21"/>
                <w:highlight w:val="none"/>
                <w:u w:val="none"/>
              </w:rPr>
              <w:t>在建工程</w:t>
            </w:r>
          </w:p>
          <w:p>
            <w:pPr>
              <w:pStyle w:val="49"/>
              <w:spacing w:beforeLines="0" w:afterLines="0" w:line="240" w:lineRule="auto"/>
              <w:rPr>
                <w:rFonts w:ascii="Times New Roman" w:eastAsia="黑体"/>
                <w:snapToGrid w:val="0"/>
                <w:color w:val="auto"/>
                <w:spacing w:val="-6"/>
                <w:kern w:val="21"/>
                <w:szCs w:val="21"/>
                <w:highlight w:val="none"/>
                <w:u w:val="none"/>
              </w:rPr>
            </w:pPr>
            <w:r>
              <w:rPr>
                <w:rFonts w:ascii="Times New Roman" w:eastAsia="黑体"/>
                <w:snapToGrid w:val="0"/>
                <w:color w:val="auto"/>
                <w:spacing w:val="-6"/>
                <w:kern w:val="21"/>
                <w:szCs w:val="21"/>
                <w:highlight w:val="none"/>
                <w:u w:val="none"/>
              </w:rPr>
              <w:t>排放量（固</w:t>
            </w:r>
            <w:r>
              <w:rPr>
                <w:rFonts w:hint="eastAsia" w:ascii="Times New Roman" w:eastAsia="黑体"/>
                <w:snapToGrid w:val="0"/>
                <w:color w:val="auto"/>
                <w:spacing w:val="-6"/>
                <w:kern w:val="21"/>
                <w:szCs w:val="21"/>
                <w:highlight w:val="none"/>
                <w:u w:val="none"/>
              </w:rPr>
              <w:t>体</w:t>
            </w:r>
            <w:r>
              <w:rPr>
                <w:rFonts w:ascii="Times New Roman" w:eastAsia="黑体"/>
                <w:snapToGrid w:val="0"/>
                <w:color w:val="auto"/>
                <w:spacing w:val="-6"/>
                <w:kern w:val="21"/>
                <w:szCs w:val="21"/>
                <w:highlight w:val="none"/>
                <w:u w:val="none"/>
              </w:rPr>
              <w:t>废</w:t>
            </w:r>
            <w:r>
              <w:rPr>
                <w:rFonts w:hint="eastAsia" w:ascii="Times New Roman" w:eastAsia="黑体"/>
                <w:snapToGrid w:val="0"/>
                <w:color w:val="auto"/>
                <w:spacing w:val="-6"/>
                <w:kern w:val="21"/>
                <w:szCs w:val="21"/>
                <w:highlight w:val="none"/>
                <w:u w:val="none"/>
              </w:rPr>
              <w:t>物</w:t>
            </w:r>
            <w:r>
              <w:rPr>
                <w:rFonts w:ascii="Times New Roman" w:eastAsia="黑体"/>
                <w:snapToGrid w:val="0"/>
                <w:color w:val="auto"/>
                <w:spacing w:val="-6"/>
                <w:kern w:val="21"/>
                <w:szCs w:val="21"/>
                <w:highlight w:val="none"/>
                <w:u w:val="none"/>
              </w:rPr>
              <w:t>产生量）</w:t>
            </w:r>
            <w:r>
              <w:rPr>
                <w:rFonts w:ascii="Times New Roman" w:eastAsia="黑体"/>
                <w:snapToGrid w:val="0"/>
                <w:color w:val="auto"/>
                <w:spacing w:val="-6"/>
                <w:kern w:val="21"/>
                <w:szCs w:val="21"/>
                <w:highlight w:val="none"/>
                <w:u w:val="none"/>
              </w:rPr>
              <w:fldChar w:fldCharType="begin"/>
            </w:r>
            <w:r>
              <w:rPr>
                <w:rFonts w:ascii="Times New Roman" w:eastAsia="黑体"/>
                <w:snapToGrid w:val="0"/>
                <w:color w:val="auto"/>
                <w:spacing w:val="-6"/>
                <w:kern w:val="21"/>
                <w:szCs w:val="21"/>
                <w:highlight w:val="none"/>
                <w:u w:val="none"/>
              </w:rPr>
              <w:instrText xml:space="preserve"> = 3 \* GB3 \* MERGEFORMAT </w:instrText>
            </w:r>
            <w:r>
              <w:rPr>
                <w:rFonts w:ascii="Times New Roman" w:eastAsia="黑体"/>
                <w:snapToGrid w:val="0"/>
                <w:color w:val="auto"/>
                <w:spacing w:val="-6"/>
                <w:kern w:val="21"/>
                <w:szCs w:val="21"/>
                <w:highlight w:val="none"/>
                <w:u w:val="none"/>
              </w:rPr>
              <w:fldChar w:fldCharType="separate"/>
            </w:r>
            <w:r>
              <w:rPr>
                <w:rFonts w:hint="eastAsia" w:ascii="Times New Roman" w:eastAsia="黑体" w:cs="宋体"/>
                <w:color w:val="auto"/>
                <w:kern w:val="2"/>
                <w:szCs w:val="21"/>
                <w:highlight w:val="none"/>
                <w:u w:val="none"/>
              </w:rPr>
              <w:t>③</w:t>
            </w:r>
            <w:r>
              <w:rPr>
                <w:rFonts w:ascii="Times New Roman" w:eastAsia="黑体"/>
                <w:snapToGrid w:val="0"/>
                <w:color w:val="auto"/>
                <w:spacing w:val="-6"/>
                <w:kern w:val="21"/>
                <w:szCs w:val="21"/>
                <w:highlight w:val="none"/>
                <w:u w:val="none"/>
              </w:rPr>
              <w:fldChar w:fldCharType="end"/>
            </w:r>
          </w:p>
        </w:tc>
        <w:tc>
          <w:tcPr>
            <w:tcW w:w="1559" w:type="dxa"/>
            <w:noWrap w:val="0"/>
            <w:tcMar>
              <w:left w:w="28" w:type="dxa"/>
              <w:right w:w="28" w:type="dxa"/>
            </w:tcMar>
            <w:vAlign w:val="center"/>
          </w:tcPr>
          <w:p>
            <w:pPr>
              <w:pStyle w:val="49"/>
              <w:spacing w:beforeLines="0" w:afterLines="0" w:line="240" w:lineRule="auto"/>
              <w:rPr>
                <w:rFonts w:hint="eastAsia" w:ascii="Times New Roman" w:eastAsia="黑体"/>
                <w:snapToGrid w:val="0"/>
                <w:color w:val="auto"/>
                <w:spacing w:val="-6"/>
                <w:kern w:val="21"/>
                <w:szCs w:val="21"/>
                <w:highlight w:val="none"/>
                <w:u w:val="none"/>
              </w:rPr>
            </w:pPr>
            <w:r>
              <w:rPr>
                <w:rFonts w:ascii="Times New Roman" w:eastAsia="黑体"/>
                <w:snapToGrid w:val="0"/>
                <w:color w:val="auto"/>
                <w:spacing w:val="-6"/>
                <w:kern w:val="21"/>
                <w:szCs w:val="21"/>
                <w:highlight w:val="none"/>
                <w:u w:val="none"/>
              </w:rPr>
              <w:t>本项目</w:t>
            </w:r>
          </w:p>
          <w:p>
            <w:pPr>
              <w:pStyle w:val="49"/>
              <w:spacing w:beforeLines="0" w:afterLines="0" w:line="240" w:lineRule="auto"/>
              <w:rPr>
                <w:rFonts w:ascii="Times New Roman" w:eastAsia="黑体"/>
                <w:snapToGrid w:val="0"/>
                <w:color w:val="auto"/>
                <w:spacing w:val="-6"/>
                <w:kern w:val="21"/>
                <w:szCs w:val="21"/>
                <w:highlight w:val="none"/>
                <w:u w:val="none"/>
              </w:rPr>
            </w:pPr>
            <w:r>
              <w:rPr>
                <w:rFonts w:ascii="Times New Roman" w:eastAsia="黑体"/>
                <w:snapToGrid w:val="0"/>
                <w:color w:val="auto"/>
                <w:spacing w:val="-6"/>
                <w:kern w:val="21"/>
                <w:szCs w:val="21"/>
                <w:highlight w:val="none"/>
                <w:u w:val="none"/>
              </w:rPr>
              <w:t>排放量（固</w:t>
            </w:r>
            <w:r>
              <w:rPr>
                <w:rFonts w:hint="eastAsia" w:ascii="Times New Roman" w:eastAsia="黑体"/>
                <w:snapToGrid w:val="0"/>
                <w:color w:val="auto"/>
                <w:spacing w:val="-6"/>
                <w:kern w:val="21"/>
                <w:szCs w:val="21"/>
                <w:highlight w:val="none"/>
                <w:u w:val="none"/>
              </w:rPr>
              <w:t>体</w:t>
            </w:r>
            <w:r>
              <w:rPr>
                <w:rFonts w:ascii="Times New Roman" w:eastAsia="黑体"/>
                <w:snapToGrid w:val="0"/>
                <w:color w:val="auto"/>
                <w:spacing w:val="-6"/>
                <w:kern w:val="21"/>
                <w:szCs w:val="21"/>
                <w:highlight w:val="none"/>
                <w:u w:val="none"/>
              </w:rPr>
              <w:t>废</w:t>
            </w:r>
            <w:r>
              <w:rPr>
                <w:rFonts w:hint="eastAsia" w:ascii="Times New Roman" w:eastAsia="黑体"/>
                <w:snapToGrid w:val="0"/>
                <w:color w:val="auto"/>
                <w:spacing w:val="-6"/>
                <w:kern w:val="21"/>
                <w:szCs w:val="21"/>
                <w:highlight w:val="none"/>
                <w:u w:val="none"/>
              </w:rPr>
              <w:t>物</w:t>
            </w:r>
            <w:r>
              <w:rPr>
                <w:rFonts w:ascii="Times New Roman" w:eastAsia="黑体"/>
                <w:snapToGrid w:val="0"/>
                <w:color w:val="auto"/>
                <w:spacing w:val="-6"/>
                <w:kern w:val="21"/>
                <w:szCs w:val="21"/>
                <w:highlight w:val="none"/>
                <w:u w:val="none"/>
              </w:rPr>
              <w:t>产生量）</w:t>
            </w:r>
            <w:r>
              <w:rPr>
                <w:rFonts w:ascii="Times New Roman" w:eastAsia="黑体"/>
                <w:snapToGrid w:val="0"/>
                <w:color w:val="auto"/>
                <w:spacing w:val="-6"/>
                <w:kern w:val="21"/>
                <w:szCs w:val="21"/>
                <w:highlight w:val="none"/>
                <w:u w:val="none"/>
              </w:rPr>
              <w:fldChar w:fldCharType="begin"/>
            </w:r>
            <w:r>
              <w:rPr>
                <w:rFonts w:ascii="Times New Roman" w:eastAsia="黑体"/>
                <w:snapToGrid w:val="0"/>
                <w:color w:val="auto"/>
                <w:spacing w:val="-6"/>
                <w:kern w:val="21"/>
                <w:szCs w:val="21"/>
                <w:highlight w:val="none"/>
                <w:u w:val="none"/>
              </w:rPr>
              <w:instrText xml:space="preserve"> = 4 \* GB3 \* MERGEFORMAT </w:instrText>
            </w:r>
            <w:r>
              <w:rPr>
                <w:rFonts w:ascii="Times New Roman" w:eastAsia="黑体"/>
                <w:snapToGrid w:val="0"/>
                <w:color w:val="auto"/>
                <w:spacing w:val="-6"/>
                <w:kern w:val="21"/>
                <w:szCs w:val="21"/>
                <w:highlight w:val="none"/>
                <w:u w:val="none"/>
              </w:rPr>
              <w:fldChar w:fldCharType="separate"/>
            </w:r>
            <w:r>
              <w:rPr>
                <w:rFonts w:hint="eastAsia" w:ascii="Times New Roman" w:eastAsia="黑体" w:cs="宋体"/>
                <w:color w:val="auto"/>
                <w:kern w:val="2"/>
                <w:szCs w:val="21"/>
                <w:highlight w:val="none"/>
                <w:u w:val="none"/>
              </w:rPr>
              <w:t>④</w:t>
            </w:r>
            <w:r>
              <w:rPr>
                <w:rFonts w:ascii="Times New Roman" w:eastAsia="黑体"/>
                <w:snapToGrid w:val="0"/>
                <w:color w:val="auto"/>
                <w:spacing w:val="-6"/>
                <w:kern w:val="21"/>
                <w:szCs w:val="21"/>
                <w:highlight w:val="none"/>
                <w:u w:val="none"/>
              </w:rPr>
              <w:fldChar w:fldCharType="end"/>
            </w:r>
          </w:p>
        </w:tc>
        <w:tc>
          <w:tcPr>
            <w:tcW w:w="1761" w:type="dxa"/>
            <w:noWrap w:val="0"/>
            <w:tcMar>
              <w:left w:w="28" w:type="dxa"/>
              <w:right w:w="28" w:type="dxa"/>
            </w:tcMar>
            <w:vAlign w:val="center"/>
          </w:tcPr>
          <w:p>
            <w:pPr>
              <w:pStyle w:val="49"/>
              <w:spacing w:beforeLines="0" w:afterLines="0" w:line="240" w:lineRule="auto"/>
              <w:rPr>
                <w:rFonts w:hint="eastAsia" w:ascii="Times New Roman" w:eastAsia="黑体"/>
                <w:snapToGrid w:val="0"/>
                <w:color w:val="auto"/>
                <w:spacing w:val="-16"/>
                <w:kern w:val="21"/>
                <w:szCs w:val="21"/>
                <w:highlight w:val="none"/>
                <w:u w:val="none"/>
              </w:rPr>
            </w:pPr>
            <w:r>
              <w:rPr>
                <w:rFonts w:ascii="Times New Roman" w:eastAsia="黑体"/>
                <w:snapToGrid w:val="0"/>
                <w:color w:val="auto"/>
                <w:spacing w:val="-16"/>
                <w:kern w:val="21"/>
                <w:szCs w:val="21"/>
                <w:highlight w:val="none"/>
                <w:u w:val="none"/>
              </w:rPr>
              <w:t>以新带老削减量</w:t>
            </w:r>
          </w:p>
          <w:p>
            <w:pPr>
              <w:pStyle w:val="49"/>
              <w:spacing w:beforeLines="0" w:afterLines="0" w:line="240" w:lineRule="auto"/>
              <w:rPr>
                <w:rFonts w:ascii="Times New Roman" w:eastAsia="黑体"/>
                <w:snapToGrid w:val="0"/>
                <w:color w:val="auto"/>
                <w:spacing w:val="-16"/>
                <w:kern w:val="21"/>
                <w:szCs w:val="21"/>
                <w:highlight w:val="none"/>
                <w:u w:val="none"/>
              </w:rPr>
            </w:pPr>
            <w:r>
              <w:rPr>
                <w:rFonts w:ascii="Times New Roman" w:eastAsia="黑体"/>
                <w:snapToGrid w:val="0"/>
                <w:color w:val="auto"/>
                <w:spacing w:val="-16"/>
                <w:kern w:val="21"/>
                <w:szCs w:val="21"/>
                <w:highlight w:val="none"/>
                <w:u w:val="none"/>
              </w:rPr>
              <w:t>（新建项目不填）</w:t>
            </w:r>
            <w:r>
              <w:rPr>
                <w:rFonts w:ascii="Times New Roman" w:eastAsia="黑体"/>
                <w:snapToGrid w:val="0"/>
                <w:color w:val="auto"/>
                <w:spacing w:val="-16"/>
                <w:kern w:val="21"/>
                <w:szCs w:val="21"/>
                <w:highlight w:val="none"/>
                <w:u w:val="none"/>
              </w:rPr>
              <w:fldChar w:fldCharType="begin"/>
            </w:r>
            <w:r>
              <w:rPr>
                <w:rFonts w:ascii="Times New Roman" w:eastAsia="黑体"/>
                <w:snapToGrid w:val="0"/>
                <w:color w:val="auto"/>
                <w:spacing w:val="-16"/>
                <w:kern w:val="21"/>
                <w:szCs w:val="21"/>
                <w:highlight w:val="none"/>
                <w:u w:val="none"/>
              </w:rPr>
              <w:instrText xml:space="preserve"> = 5 \* GB3 \* MERGEFORMAT </w:instrText>
            </w:r>
            <w:r>
              <w:rPr>
                <w:rFonts w:ascii="Times New Roman" w:eastAsia="黑体"/>
                <w:snapToGrid w:val="0"/>
                <w:color w:val="auto"/>
                <w:spacing w:val="-16"/>
                <w:kern w:val="21"/>
                <w:szCs w:val="21"/>
                <w:highlight w:val="none"/>
                <w:u w:val="none"/>
              </w:rPr>
              <w:fldChar w:fldCharType="separate"/>
            </w:r>
            <w:r>
              <w:rPr>
                <w:rFonts w:hint="eastAsia" w:ascii="Times New Roman" w:eastAsia="黑体" w:cs="宋体"/>
                <w:color w:val="auto"/>
                <w:kern w:val="2"/>
                <w:szCs w:val="21"/>
                <w:highlight w:val="none"/>
                <w:u w:val="none"/>
              </w:rPr>
              <w:t>⑤</w:t>
            </w:r>
            <w:r>
              <w:rPr>
                <w:rFonts w:ascii="Times New Roman" w:eastAsia="黑体"/>
                <w:snapToGrid w:val="0"/>
                <w:color w:val="auto"/>
                <w:spacing w:val="-16"/>
                <w:kern w:val="21"/>
                <w:szCs w:val="21"/>
                <w:highlight w:val="none"/>
                <w:u w:val="none"/>
              </w:rPr>
              <w:fldChar w:fldCharType="end"/>
            </w:r>
          </w:p>
        </w:tc>
        <w:tc>
          <w:tcPr>
            <w:tcW w:w="1652" w:type="dxa"/>
            <w:noWrap w:val="0"/>
            <w:tcMar>
              <w:left w:w="28" w:type="dxa"/>
              <w:right w:w="28" w:type="dxa"/>
            </w:tcMar>
            <w:vAlign w:val="center"/>
          </w:tcPr>
          <w:p>
            <w:pPr>
              <w:pStyle w:val="49"/>
              <w:spacing w:beforeLines="0" w:afterLines="0" w:line="240" w:lineRule="auto"/>
              <w:rPr>
                <w:rFonts w:hint="eastAsia" w:ascii="Times New Roman" w:eastAsia="黑体"/>
                <w:snapToGrid w:val="0"/>
                <w:color w:val="auto"/>
                <w:spacing w:val="-16"/>
                <w:kern w:val="21"/>
                <w:szCs w:val="21"/>
                <w:highlight w:val="none"/>
                <w:u w:val="none"/>
              </w:rPr>
            </w:pPr>
            <w:r>
              <w:rPr>
                <w:rFonts w:ascii="Times New Roman" w:eastAsia="黑体"/>
                <w:snapToGrid w:val="0"/>
                <w:color w:val="auto"/>
                <w:spacing w:val="-16"/>
                <w:kern w:val="21"/>
                <w:szCs w:val="21"/>
                <w:highlight w:val="none"/>
                <w:u w:val="none"/>
              </w:rPr>
              <w:t>本项目建成后</w:t>
            </w:r>
          </w:p>
          <w:p>
            <w:pPr>
              <w:pStyle w:val="49"/>
              <w:spacing w:beforeLines="0" w:afterLines="0" w:line="240" w:lineRule="auto"/>
              <w:rPr>
                <w:rFonts w:ascii="Times New Roman" w:eastAsia="黑体"/>
                <w:snapToGrid w:val="0"/>
                <w:color w:val="auto"/>
                <w:spacing w:val="-16"/>
                <w:kern w:val="21"/>
                <w:szCs w:val="21"/>
                <w:highlight w:val="none"/>
                <w:u w:val="none"/>
              </w:rPr>
            </w:pPr>
            <w:r>
              <w:rPr>
                <w:rFonts w:hint="eastAsia" w:ascii="Times New Roman" w:eastAsia="黑体"/>
                <w:snapToGrid w:val="0"/>
                <w:color w:val="auto"/>
                <w:spacing w:val="-16"/>
                <w:kern w:val="21"/>
                <w:szCs w:val="21"/>
                <w:highlight w:val="none"/>
                <w:u w:val="none"/>
              </w:rPr>
              <w:t>全厂</w:t>
            </w:r>
            <w:r>
              <w:rPr>
                <w:rFonts w:ascii="Times New Roman" w:eastAsia="黑体"/>
                <w:snapToGrid w:val="0"/>
                <w:color w:val="auto"/>
                <w:spacing w:val="-16"/>
                <w:kern w:val="21"/>
                <w:szCs w:val="21"/>
                <w:highlight w:val="none"/>
                <w:u w:val="none"/>
              </w:rPr>
              <w:t>排放量（固</w:t>
            </w:r>
            <w:r>
              <w:rPr>
                <w:rFonts w:hint="eastAsia" w:ascii="Times New Roman" w:eastAsia="黑体"/>
                <w:snapToGrid w:val="0"/>
                <w:color w:val="auto"/>
                <w:spacing w:val="-16"/>
                <w:kern w:val="21"/>
                <w:szCs w:val="21"/>
                <w:highlight w:val="none"/>
                <w:u w:val="none"/>
              </w:rPr>
              <w:t>体</w:t>
            </w:r>
            <w:r>
              <w:rPr>
                <w:rFonts w:ascii="Times New Roman" w:eastAsia="黑体"/>
                <w:snapToGrid w:val="0"/>
                <w:color w:val="auto"/>
                <w:spacing w:val="-16"/>
                <w:kern w:val="21"/>
                <w:szCs w:val="21"/>
                <w:highlight w:val="none"/>
                <w:u w:val="none"/>
              </w:rPr>
              <w:t>废</w:t>
            </w:r>
            <w:r>
              <w:rPr>
                <w:rFonts w:hint="eastAsia" w:ascii="Times New Roman" w:eastAsia="黑体"/>
                <w:snapToGrid w:val="0"/>
                <w:color w:val="auto"/>
                <w:spacing w:val="-16"/>
                <w:kern w:val="21"/>
                <w:szCs w:val="21"/>
                <w:highlight w:val="none"/>
                <w:u w:val="none"/>
              </w:rPr>
              <w:t>物</w:t>
            </w:r>
            <w:r>
              <w:rPr>
                <w:rFonts w:ascii="Times New Roman" w:eastAsia="黑体"/>
                <w:snapToGrid w:val="0"/>
                <w:color w:val="auto"/>
                <w:spacing w:val="-16"/>
                <w:kern w:val="21"/>
                <w:szCs w:val="21"/>
                <w:highlight w:val="none"/>
                <w:u w:val="none"/>
              </w:rPr>
              <w:t>产生量）</w:t>
            </w:r>
            <w:r>
              <w:rPr>
                <w:rFonts w:ascii="Times New Roman" w:eastAsia="黑体"/>
                <w:snapToGrid w:val="0"/>
                <w:color w:val="auto"/>
                <w:spacing w:val="-16"/>
                <w:kern w:val="21"/>
                <w:szCs w:val="21"/>
                <w:highlight w:val="none"/>
                <w:u w:val="none"/>
              </w:rPr>
              <w:fldChar w:fldCharType="begin"/>
            </w:r>
            <w:r>
              <w:rPr>
                <w:rFonts w:ascii="Times New Roman" w:eastAsia="黑体"/>
                <w:snapToGrid w:val="0"/>
                <w:color w:val="auto"/>
                <w:spacing w:val="-16"/>
                <w:kern w:val="21"/>
                <w:szCs w:val="21"/>
                <w:highlight w:val="none"/>
                <w:u w:val="none"/>
              </w:rPr>
              <w:instrText xml:space="preserve"> = 6 \* GB3 \* MERGEFORMAT </w:instrText>
            </w:r>
            <w:r>
              <w:rPr>
                <w:rFonts w:ascii="Times New Roman" w:eastAsia="黑体"/>
                <w:snapToGrid w:val="0"/>
                <w:color w:val="auto"/>
                <w:spacing w:val="-16"/>
                <w:kern w:val="21"/>
                <w:szCs w:val="21"/>
                <w:highlight w:val="none"/>
                <w:u w:val="none"/>
              </w:rPr>
              <w:fldChar w:fldCharType="separate"/>
            </w:r>
            <w:r>
              <w:rPr>
                <w:rFonts w:hint="eastAsia" w:ascii="Times New Roman" w:eastAsia="黑体" w:cs="宋体"/>
                <w:color w:val="auto"/>
                <w:kern w:val="2"/>
                <w:szCs w:val="21"/>
                <w:highlight w:val="none"/>
                <w:u w:val="none"/>
              </w:rPr>
              <w:t>⑥</w:t>
            </w:r>
            <w:r>
              <w:rPr>
                <w:rFonts w:ascii="Times New Roman" w:eastAsia="黑体"/>
                <w:snapToGrid w:val="0"/>
                <w:color w:val="auto"/>
                <w:spacing w:val="-16"/>
                <w:kern w:val="21"/>
                <w:szCs w:val="21"/>
                <w:highlight w:val="none"/>
                <w:u w:val="none"/>
              </w:rPr>
              <w:fldChar w:fldCharType="end"/>
            </w:r>
          </w:p>
        </w:tc>
        <w:tc>
          <w:tcPr>
            <w:tcW w:w="1133" w:type="dxa"/>
            <w:noWrap w:val="0"/>
            <w:tcMar>
              <w:left w:w="28" w:type="dxa"/>
              <w:right w:w="28" w:type="dxa"/>
            </w:tcMar>
            <w:vAlign w:val="center"/>
          </w:tcPr>
          <w:p>
            <w:pPr>
              <w:pStyle w:val="49"/>
              <w:spacing w:beforeLines="0" w:afterLines="0" w:line="240" w:lineRule="auto"/>
              <w:rPr>
                <w:rFonts w:ascii="Times New Roman" w:eastAsia="黑体"/>
                <w:snapToGrid w:val="0"/>
                <w:color w:val="auto"/>
                <w:spacing w:val="-6"/>
                <w:kern w:val="21"/>
                <w:szCs w:val="21"/>
                <w:highlight w:val="none"/>
                <w:u w:val="none"/>
              </w:rPr>
            </w:pPr>
            <w:r>
              <w:rPr>
                <w:rFonts w:ascii="Times New Roman" w:eastAsia="黑体"/>
                <w:snapToGrid w:val="0"/>
                <w:color w:val="auto"/>
                <w:spacing w:val="-6"/>
                <w:kern w:val="21"/>
                <w:szCs w:val="21"/>
                <w:highlight w:val="none"/>
                <w:u w:val="none"/>
              </w:rPr>
              <w:t>变化量</w:t>
            </w:r>
          </w:p>
          <w:p>
            <w:pPr>
              <w:pStyle w:val="49"/>
              <w:spacing w:beforeLines="0" w:afterLines="0" w:line="240" w:lineRule="auto"/>
              <w:rPr>
                <w:rFonts w:ascii="Times New Roman" w:eastAsia="黑体"/>
                <w:snapToGrid w:val="0"/>
                <w:color w:val="auto"/>
                <w:spacing w:val="-6"/>
                <w:kern w:val="21"/>
                <w:szCs w:val="21"/>
                <w:highlight w:val="none"/>
                <w:u w:val="none"/>
              </w:rPr>
            </w:pPr>
            <w:r>
              <w:rPr>
                <w:rFonts w:ascii="Times New Roman" w:eastAsia="黑体"/>
                <w:snapToGrid w:val="0"/>
                <w:color w:val="auto"/>
                <w:spacing w:val="-6"/>
                <w:kern w:val="21"/>
                <w:szCs w:val="21"/>
                <w:highlight w:val="none"/>
                <w:u w:val="none"/>
              </w:rPr>
              <w:fldChar w:fldCharType="begin"/>
            </w:r>
            <w:r>
              <w:rPr>
                <w:rFonts w:ascii="Times New Roman" w:eastAsia="黑体"/>
                <w:snapToGrid w:val="0"/>
                <w:color w:val="auto"/>
                <w:spacing w:val="-6"/>
                <w:kern w:val="21"/>
                <w:szCs w:val="21"/>
                <w:highlight w:val="none"/>
                <w:u w:val="none"/>
              </w:rPr>
              <w:instrText xml:space="preserve"> = 7 \* GB3 \* MERGEFORMAT </w:instrText>
            </w:r>
            <w:r>
              <w:rPr>
                <w:rFonts w:ascii="Times New Roman" w:eastAsia="黑体"/>
                <w:snapToGrid w:val="0"/>
                <w:color w:val="auto"/>
                <w:spacing w:val="-6"/>
                <w:kern w:val="21"/>
                <w:szCs w:val="21"/>
                <w:highlight w:val="none"/>
                <w:u w:val="none"/>
              </w:rPr>
              <w:fldChar w:fldCharType="separate"/>
            </w:r>
            <w:r>
              <w:rPr>
                <w:rFonts w:hint="eastAsia" w:ascii="Times New Roman" w:eastAsia="黑体" w:cs="宋体"/>
                <w:color w:val="auto"/>
                <w:kern w:val="2"/>
                <w:szCs w:val="21"/>
                <w:highlight w:val="none"/>
                <w:u w:val="none"/>
              </w:rPr>
              <w:t>⑦</w:t>
            </w:r>
            <w:r>
              <w:rPr>
                <w:rFonts w:ascii="Times New Roman" w:eastAsia="黑体"/>
                <w:snapToGrid w:val="0"/>
                <w:color w:val="auto"/>
                <w:spacing w:val="-6"/>
                <w:kern w:val="21"/>
                <w:szCs w:val="21"/>
                <w:highlight w:val="none"/>
                <w:u w:val="none"/>
              </w:rPr>
              <w:fldChar w:fldCharType="end"/>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restart"/>
            <w:noWrap w:val="0"/>
            <w:vAlign w:val="center"/>
          </w:tcPr>
          <w:p>
            <w:pPr>
              <w:pStyle w:val="49"/>
              <w:spacing w:beforeLines="0" w:afterLines="0" w:line="240" w:lineRule="auto"/>
              <w:rPr>
                <w:rFonts w:hint="eastAsia" w:ascii="Times New Roman" w:cs="宋体"/>
                <w:snapToGrid w:val="0"/>
                <w:color w:val="auto"/>
                <w:kern w:val="21"/>
                <w:szCs w:val="21"/>
                <w:highlight w:val="none"/>
                <w:u w:val="none"/>
              </w:rPr>
            </w:pPr>
            <w:r>
              <w:rPr>
                <w:rFonts w:hint="eastAsia" w:ascii="Times New Roman" w:cs="宋体"/>
                <w:snapToGrid w:val="0"/>
                <w:color w:val="auto"/>
                <w:kern w:val="21"/>
                <w:szCs w:val="21"/>
                <w:highlight w:val="none"/>
                <w:u w:val="none"/>
              </w:rPr>
              <w:t>废气</w:t>
            </w:r>
          </w:p>
        </w:tc>
        <w:tc>
          <w:tcPr>
            <w:tcW w:w="1417" w:type="dxa"/>
            <w:noWrap w:val="0"/>
            <w:vAlign w:val="center"/>
          </w:tcPr>
          <w:p>
            <w:pPr>
              <w:pStyle w:val="49"/>
              <w:spacing w:beforeLines="0" w:afterLines="0" w:line="240" w:lineRule="auto"/>
              <w:rPr>
                <w:rFonts w:ascii="Times New Roman" w:cs="宋体"/>
                <w:snapToGrid w:val="0"/>
                <w:color w:val="auto"/>
                <w:kern w:val="21"/>
                <w:szCs w:val="21"/>
                <w:highlight w:val="none"/>
                <w:u w:val="none"/>
              </w:rPr>
            </w:pPr>
            <w:r>
              <w:rPr>
                <w:rFonts w:hint="eastAsia" w:ascii="Times New Roman" w:cs="宋体"/>
                <w:snapToGrid w:val="0"/>
                <w:color w:val="auto"/>
                <w:kern w:val="21"/>
                <w:szCs w:val="21"/>
                <w:highlight w:val="none"/>
                <w:u w:val="none"/>
              </w:rPr>
              <w:t>粉尘（烟尘）</w:t>
            </w:r>
          </w:p>
        </w:tc>
        <w:tc>
          <w:tcPr>
            <w:tcW w:w="1701" w:type="dxa"/>
            <w:noWrap w:val="0"/>
            <w:vAlign w:val="center"/>
          </w:tcPr>
          <w:p>
            <w:pPr>
              <w:pStyle w:val="49"/>
              <w:spacing w:beforeLines="0" w:afterLines="0" w:line="240" w:lineRule="auto"/>
              <w:rPr>
                <w:rFonts w:hint="default" w:ascii="Times New Roman" w:eastAsia="宋体"/>
                <w:snapToGrid w:val="0"/>
                <w:color w:val="auto"/>
                <w:kern w:val="21"/>
                <w:szCs w:val="21"/>
                <w:highlight w:val="none"/>
                <w:u w:val="none"/>
                <w:lang w:val="en-US" w:eastAsia="zh-CN"/>
              </w:rPr>
            </w:pPr>
            <w:r>
              <w:rPr>
                <w:rFonts w:hint="eastAsia" w:ascii="Times New Roman"/>
                <w:snapToGrid w:val="0"/>
                <w:color w:val="auto"/>
                <w:kern w:val="21"/>
                <w:szCs w:val="21"/>
                <w:highlight w:val="none"/>
                <w:u w:val="none"/>
                <w:lang w:val="en-US" w:eastAsia="zh-CN"/>
              </w:rPr>
              <w:t>0</w:t>
            </w:r>
          </w:p>
        </w:tc>
        <w:tc>
          <w:tcPr>
            <w:tcW w:w="1276" w:type="dxa"/>
            <w:noWrap w:val="0"/>
            <w:vAlign w:val="center"/>
          </w:tcPr>
          <w:p>
            <w:pPr>
              <w:pStyle w:val="49"/>
              <w:spacing w:beforeLines="0" w:afterLines="0" w:line="240" w:lineRule="auto"/>
              <w:rPr>
                <w:rFonts w:hint="default" w:ascii="Times New Roman" w:eastAsia="宋体"/>
                <w:snapToGrid w:val="0"/>
                <w:color w:val="auto"/>
                <w:kern w:val="21"/>
                <w:szCs w:val="21"/>
                <w:highlight w:val="none"/>
                <w:u w:val="none"/>
                <w:lang w:val="en-US" w:eastAsia="zh-CN"/>
              </w:rPr>
            </w:pPr>
            <w:r>
              <w:rPr>
                <w:rFonts w:hint="eastAsia" w:ascii="Times New Roman"/>
                <w:snapToGrid w:val="0"/>
                <w:color w:val="auto"/>
                <w:kern w:val="21"/>
                <w:szCs w:val="21"/>
                <w:highlight w:val="none"/>
                <w:u w:val="none"/>
                <w:lang w:val="en-US" w:eastAsia="zh-CN"/>
              </w:rPr>
              <w:t>0</w:t>
            </w:r>
          </w:p>
        </w:tc>
        <w:tc>
          <w:tcPr>
            <w:tcW w:w="1701" w:type="dxa"/>
            <w:noWrap w:val="0"/>
            <w:vAlign w:val="center"/>
          </w:tcPr>
          <w:p>
            <w:pPr>
              <w:pStyle w:val="49"/>
              <w:spacing w:beforeLines="0" w:afterLines="0" w:line="240" w:lineRule="auto"/>
              <w:rPr>
                <w:rFonts w:ascii="Times New Roman"/>
                <w:snapToGrid w:val="0"/>
                <w:color w:val="auto"/>
                <w:kern w:val="21"/>
                <w:szCs w:val="21"/>
                <w:highlight w:val="none"/>
                <w:u w:val="none"/>
              </w:rPr>
            </w:pPr>
            <w:r>
              <w:rPr>
                <w:rFonts w:hint="eastAsia" w:ascii="Times New Roman"/>
                <w:snapToGrid w:val="0"/>
                <w:color w:val="auto"/>
                <w:kern w:val="21"/>
                <w:szCs w:val="21"/>
                <w:highlight w:val="none"/>
                <w:u w:val="none"/>
              </w:rPr>
              <w:t>/</w:t>
            </w:r>
          </w:p>
        </w:tc>
        <w:tc>
          <w:tcPr>
            <w:tcW w:w="1559" w:type="dxa"/>
            <w:noWrap w:val="0"/>
            <w:vAlign w:val="center"/>
          </w:tcPr>
          <w:p>
            <w:pPr>
              <w:pStyle w:val="49"/>
              <w:spacing w:beforeLines="0" w:afterLines="0" w:line="240" w:lineRule="auto"/>
              <w:rPr>
                <w:rFonts w:hint="default" w:ascii="Times New Roman" w:eastAsia="宋体"/>
                <w:snapToGrid w:val="0"/>
                <w:color w:val="auto"/>
                <w:kern w:val="21"/>
                <w:szCs w:val="21"/>
                <w:highlight w:val="none"/>
                <w:u w:val="none"/>
                <w:lang w:val="en-US" w:eastAsia="zh-CN"/>
              </w:rPr>
            </w:pPr>
            <w:r>
              <w:rPr>
                <w:rFonts w:hint="eastAsia" w:ascii="Times New Roman"/>
                <w:snapToGrid w:val="0"/>
                <w:color w:val="auto"/>
                <w:kern w:val="21"/>
                <w:szCs w:val="21"/>
                <w:highlight w:val="none"/>
                <w:u w:val="none"/>
                <w:lang w:val="en-US" w:eastAsia="zh-CN"/>
              </w:rPr>
              <w:t>0</w:t>
            </w:r>
          </w:p>
        </w:tc>
        <w:tc>
          <w:tcPr>
            <w:tcW w:w="1761" w:type="dxa"/>
            <w:noWrap w:val="0"/>
            <w:vAlign w:val="center"/>
          </w:tcPr>
          <w:p>
            <w:pPr>
              <w:pStyle w:val="49"/>
              <w:spacing w:beforeLines="0" w:afterLines="0" w:line="240" w:lineRule="auto"/>
              <w:rPr>
                <w:rFonts w:hint="default" w:ascii="Times New Roman" w:eastAsia="宋体"/>
                <w:snapToGrid w:val="0"/>
                <w:color w:val="auto"/>
                <w:kern w:val="21"/>
                <w:szCs w:val="21"/>
                <w:highlight w:val="none"/>
                <w:u w:val="none"/>
                <w:lang w:val="en-US" w:eastAsia="zh-CN"/>
              </w:rPr>
            </w:pPr>
            <w:r>
              <w:rPr>
                <w:rFonts w:hint="eastAsia" w:ascii="Times New Roman"/>
                <w:snapToGrid w:val="0"/>
                <w:color w:val="auto"/>
                <w:kern w:val="21"/>
                <w:szCs w:val="21"/>
                <w:highlight w:val="none"/>
                <w:u w:val="none"/>
                <w:lang w:val="en-US" w:eastAsia="zh-CN"/>
              </w:rPr>
              <w:t>0</w:t>
            </w:r>
          </w:p>
        </w:tc>
        <w:tc>
          <w:tcPr>
            <w:tcW w:w="1652" w:type="dxa"/>
            <w:noWrap w:val="0"/>
            <w:vAlign w:val="center"/>
          </w:tcPr>
          <w:p>
            <w:pPr>
              <w:pStyle w:val="49"/>
              <w:spacing w:beforeLines="0" w:afterLines="0" w:line="240" w:lineRule="auto"/>
              <w:rPr>
                <w:rFonts w:hint="default" w:ascii="Times New Roman" w:eastAsia="宋体"/>
                <w:snapToGrid w:val="0"/>
                <w:color w:val="auto"/>
                <w:kern w:val="21"/>
                <w:szCs w:val="21"/>
                <w:highlight w:val="none"/>
                <w:u w:val="none"/>
                <w:lang w:val="en-US" w:eastAsia="zh-CN"/>
              </w:rPr>
            </w:pPr>
            <w:r>
              <w:rPr>
                <w:rFonts w:hint="eastAsia" w:ascii="Times New Roman"/>
                <w:snapToGrid w:val="0"/>
                <w:color w:val="auto"/>
                <w:kern w:val="21"/>
                <w:szCs w:val="21"/>
                <w:highlight w:val="none"/>
                <w:u w:val="none"/>
                <w:lang w:val="en-US" w:eastAsia="zh-CN"/>
              </w:rPr>
              <w:t>3.46</w:t>
            </w:r>
          </w:p>
        </w:tc>
        <w:tc>
          <w:tcPr>
            <w:tcW w:w="1133" w:type="dxa"/>
            <w:noWrap w:val="0"/>
            <w:vAlign w:val="center"/>
          </w:tcPr>
          <w:p>
            <w:pPr>
              <w:pStyle w:val="49"/>
              <w:spacing w:beforeLines="0" w:afterLines="0" w:line="240" w:lineRule="auto"/>
              <w:rPr>
                <w:rFonts w:hint="default" w:ascii="Times New Roman" w:eastAsia="宋体"/>
                <w:snapToGrid w:val="0"/>
                <w:color w:val="auto"/>
                <w:kern w:val="21"/>
                <w:szCs w:val="21"/>
                <w:highlight w:val="none"/>
                <w:u w:val="none"/>
                <w:lang w:val="en-US" w:eastAsia="zh-CN"/>
              </w:rPr>
            </w:pPr>
            <w:r>
              <w:rPr>
                <w:rFonts w:hint="eastAsia" w:ascii="Times New Roman"/>
                <w:snapToGrid w:val="0"/>
                <w:color w:val="auto"/>
                <w:kern w:val="21"/>
                <w:szCs w:val="21"/>
                <w:highlight w:val="none"/>
                <w:u w:val="none"/>
                <w:lang w:val="en-US" w:eastAsia="zh-CN"/>
              </w:rPr>
              <w:t>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noWrap w:val="0"/>
            <w:vAlign w:val="center"/>
          </w:tcPr>
          <w:p>
            <w:pPr>
              <w:pStyle w:val="49"/>
              <w:spacing w:beforeLines="0" w:afterLines="0" w:line="240" w:lineRule="auto"/>
              <w:rPr>
                <w:rFonts w:hint="eastAsia" w:ascii="Times New Roman" w:cs="宋体"/>
                <w:snapToGrid w:val="0"/>
                <w:color w:val="auto"/>
                <w:kern w:val="21"/>
                <w:szCs w:val="21"/>
                <w:highlight w:val="none"/>
                <w:u w:val="none"/>
              </w:rPr>
            </w:pPr>
          </w:p>
        </w:tc>
        <w:tc>
          <w:tcPr>
            <w:tcW w:w="1417" w:type="dxa"/>
            <w:noWrap w:val="0"/>
            <w:vAlign w:val="center"/>
          </w:tcPr>
          <w:p>
            <w:pPr>
              <w:pStyle w:val="61"/>
              <w:ind w:left="-105" w:leftChars="-50" w:right="-105" w:rightChars="-50"/>
              <w:rPr>
                <w:snapToGrid w:val="0"/>
                <w:color w:val="auto"/>
                <w:kern w:val="21"/>
                <w:highlight w:val="none"/>
                <w:u w:val="none"/>
              </w:rPr>
            </w:pPr>
            <w:r>
              <w:rPr>
                <w:rFonts w:hint="eastAsia"/>
                <w:color w:val="auto"/>
                <w:highlight w:val="none"/>
                <w:u w:val="none"/>
              </w:rPr>
              <w:t>SO</w:t>
            </w:r>
            <w:r>
              <w:rPr>
                <w:rFonts w:hint="eastAsia"/>
                <w:color w:val="auto"/>
                <w:highlight w:val="none"/>
                <w:u w:val="none"/>
                <w:vertAlign w:val="subscript"/>
              </w:rPr>
              <w:t>2</w:t>
            </w:r>
          </w:p>
        </w:tc>
        <w:tc>
          <w:tcPr>
            <w:tcW w:w="1701" w:type="dxa"/>
            <w:noWrap w:val="0"/>
            <w:vAlign w:val="center"/>
          </w:tcPr>
          <w:p>
            <w:pPr>
              <w:pStyle w:val="61"/>
              <w:ind w:left="-105" w:leftChars="-50" w:right="-105" w:rightChars="-50"/>
              <w:rPr>
                <w:rFonts w:hint="default" w:eastAsia="宋体"/>
                <w:snapToGrid w:val="0"/>
                <w:color w:val="auto"/>
                <w:kern w:val="21"/>
                <w:highlight w:val="none"/>
                <w:u w:val="none"/>
                <w:lang w:val="en-US" w:eastAsia="zh-CN"/>
              </w:rPr>
            </w:pPr>
            <w:r>
              <w:rPr>
                <w:rFonts w:hint="eastAsia"/>
                <w:color w:val="auto"/>
                <w:highlight w:val="none"/>
                <w:u w:val="none"/>
                <w:lang w:val="en-US" w:eastAsia="zh-CN"/>
              </w:rPr>
              <w:t>0</w:t>
            </w:r>
          </w:p>
        </w:tc>
        <w:tc>
          <w:tcPr>
            <w:tcW w:w="1276" w:type="dxa"/>
            <w:noWrap w:val="0"/>
            <w:vAlign w:val="center"/>
          </w:tcPr>
          <w:p>
            <w:pPr>
              <w:pStyle w:val="49"/>
              <w:spacing w:beforeLines="0" w:afterLines="0" w:line="240" w:lineRule="auto"/>
              <w:rPr>
                <w:rFonts w:hint="default" w:ascii="Times New Roman" w:eastAsia="宋体"/>
                <w:snapToGrid w:val="0"/>
                <w:color w:val="auto"/>
                <w:kern w:val="21"/>
                <w:szCs w:val="21"/>
                <w:highlight w:val="none"/>
                <w:u w:val="none"/>
                <w:lang w:val="en-US" w:eastAsia="zh-CN"/>
              </w:rPr>
            </w:pPr>
            <w:r>
              <w:rPr>
                <w:rFonts w:hint="eastAsia" w:ascii="Times New Roman"/>
                <w:snapToGrid w:val="0"/>
                <w:color w:val="auto"/>
                <w:kern w:val="21"/>
                <w:szCs w:val="21"/>
                <w:highlight w:val="none"/>
                <w:u w:val="none"/>
                <w:lang w:val="en-US" w:eastAsia="zh-CN"/>
              </w:rPr>
              <w:t>0</w:t>
            </w:r>
          </w:p>
        </w:tc>
        <w:tc>
          <w:tcPr>
            <w:tcW w:w="1701" w:type="dxa"/>
            <w:noWrap w:val="0"/>
            <w:vAlign w:val="center"/>
          </w:tcPr>
          <w:p>
            <w:pPr>
              <w:pStyle w:val="49"/>
              <w:spacing w:beforeLines="0" w:afterLines="0" w:line="240" w:lineRule="auto"/>
              <w:rPr>
                <w:rFonts w:ascii="Times New Roman"/>
                <w:snapToGrid w:val="0"/>
                <w:color w:val="auto"/>
                <w:kern w:val="21"/>
                <w:szCs w:val="21"/>
                <w:highlight w:val="none"/>
                <w:u w:val="none"/>
              </w:rPr>
            </w:pPr>
            <w:r>
              <w:rPr>
                <w:rFonts w:hint="eastAsia" w:ascii="Times New Roman"/>
                <w:snapToGrid w:val="0"/>
                <w:color w:val="auto"/>
                <w:kern w:val="21"/>
                <w:szCs w:val="21"/>
                <w:highlight w:val="none"/>
                <w:u w:val="none"/>
              </w:rPr>
              <w:t>/</w:t>
            </w:r>
          </w:p>
        </w:tc>
        <w:tc>
          <w:tcPr>
            <w:tcW w:w="1559" w:type="dxa"/>
            <w:noWrap w:val="0"/>
            <w:vAlign w:val="center"/>
          </w:tcPr>
          <w:p>
            <w:pPr>
              <w:pStyle w:val="2"/>
              <w:jc w:val="center"/>
              <w:rPr>
                <w:rFonts w:hint="default"/>
                <w:color w:val="auto"/>
                <w:highlight w:val="none"/>
                <w:u w:val="none"/>
                <w:lang w:val="en-US" w:eastAsia="zh-CN"/>
              </w:rPr>
            </w:pPr>
            <w:r>
              <w:rPr>
                <w:rFonts w:hint="eastAsia" w:ascii="Times New Roman"/>
                <w:snapToGrid w:val="0"/>
                <w:color w:val="auto"/>
                <w:kern w:val="21"/>
                <w:szCs w:val="21"/>
                <w:highlight w:val="none"/>
                <w:u w:val="none"/>
                <w:lang w:val="en-US" w:eastAsia="zh-CN"/>
              </w:rPr>
              <w:t>0</w:t>
            </w:r>
          </w:p>
        </w:tc>
        <w:tc>
          <w:tcPr>
            <w:tcW w:w="1761" w:type="dxa"/>
            <w:noWrap w:val="0"/>
            <w:vAlign w:val="center"/>
          </w:tcPr>
          <w:p>
            <w:pPr>
              <w:pStyle w:val="2"/>
              <w:ind w:left="-105" w:leftChars="-50" w:right="-105" w:rightChars="-50"/>
              <w:jc w:val="center"/>
              <w:rPr>
                <w:rFonts w:hint="default" w:ascii="Times New Roman" w:hAnsi="Times New Roman" w:eastAsia="宋体"/>
                <w:snapToGrid w:val="0"/>
                <w:color w:val="auto"/>
                <w:kern w:val="21"/>
                <w:sz w:val="21"/>
                <w:szCs w:val="21"/>
                <w:highlight w:val="none"/>
                <w:u w:val="none"/>
                <w:lang w:val="en-US" w:eastAsia="zh-CN"/>
              </w:rPr>
            </w:pPr>
            <w:r>
              <w:rPr>
                <w:rFonts w:hint="eastAsia" w:ascii="Times New Roman" w:hAnsi="Times New Roman"/>
                <w:color w:val="auto"/>
                <w:sz w:val="21"/>
                <w:szCs w:val="21"/>
                <w:highlight w:val="none"/>
                <w:u w:val="none"/>
                <w:lang w:val="en-US" w:eastAsia="zh-CN"/>
              </w:rPr>
              <w:t>0</w:t>
            </w:r>
          </w:p>
        </w:tc>
        <w:tc>
          <w:tcPr>
            <w:tcW w:w="1652" w:type="dxa"/>
            <w:noWrap w:val="0"/>
            <w:vAlign w:val="center"/>
          </w:tcPr>
          <w:p>
            <w:pPr>
              <w:pStyle w:val="2"/>
              <w:ind w:left="-105" w:leftChars="-50" w:right="-105" w:rightChars="-50"/>
              <w:jc w:val="center"/>
              <w:rPr>
                <w:rFonts w:hint="default" w:ascii="Times New Roman" w:hAnsi="Times New Roman" w:eastAsia="宋体"/>
                <w:snapToGrid w:val="0"/>
                <w:color w:val="auto"/>
                <w:kern w:val="21"/>
                <w:sz w:val="21"/>
                <w:szCs w:val="21"/>
                <w:highlight w:val="none"/>
                <w:u w:val="none"/>
                <w:lang w:val="en-US" w:eastAsia="zh-CN"/>
              </w:rPr>
            </w:pPr>
            <w:r>
              <w:rPr>
                <w:rFonts w:hint="eastAsia" w:ascii="Times New Roman"/>
                <w:snapToGrid w:val="0"/>
                <w:color w:val="auto"/>
                <w:kern w:val="21"/>
                <w:szCs w:val="21"/>
                <w:highlight w:val="none"/>
                <w:u w:val="none"/>
                <w:lang w:val="en-US" w:eastAsia="zh-CN"/>
              </w:rPr>
              <w:t>5.04</w:t>
            </w:r>
          </w:p>
        </w:tc>
        <w:tc>
          <w:tcPr>
            <w:tcW w:w="1133" w:type="dxa"/>
            <w:noWrap w:val="0"/>
            <w:vAlign w:val="center"/>
          </w:tcPr>
          <w:p>
            <w:pPr>
              <w:pStyle w:val="2"/>
              <w:ind w:left="-105" w:leftChars="-50" w:right="-105" w:rightChars="-50"/>
              <w:jc w:val="center"/>
              <w:rPr>
                <w:rFonts w:hint="default" w:ascii="Times New Roman" w:hAnsi="Times New Roman" w:eastAsia="宋体"/>
                <w:snapToGrid w:val="0"/>
                <w:color w:val="auto"/>
                <w:kern w:val="21"/>
                <w:sz w:val="21"/>
                <w:szCs w:val="21"/>
                <w:highlight w:val="none"/>
                <w:u w:val="none"/>
                <w:lang w:val="en-US" w:eastAsia="zh-CN"/>
              </w:rPr>
            </w:pPr>
            <w:r>
              <w:rPr>
                <w:rFonts w:hint="eastAsia" w:ascii="Times New Roman" w:hAnsi="Times New Roman"/>
                <w:color w:val="auto"/>
                <w:sz w:val="21"/>
                <w:szCs w:val="21"/>
                <w:highlight w:val="none"/>
                <w:u w:val="none"/>
                <w:lang w:val="en-US" w:eastAsia="zh-CN"/>
              </w:rPr>
              <w:t>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noWrap w:val="0"/>
            <w:vAlign w:val="center"/>
          </w:tcPr>
          <w:p>
            <w:pPr>
              <w:pStyle w:val="49"/>
              <w:spacing w:beforeLines="0" w:afterLines="0" w:line="240" w:lineRule="auto"/>
              <w:rPr>
                <w:rFonts w:hint="eastAsia" w:ascii="Times New Roman" w:cs="宋体"/>
                <w:snapToGrid w:val="0"/>
                <w:color w:val="auto"/>
                <w:kern w:val="21"/>
                <w:szCs w:val="21"/>
                <w:highlight w:val="none"/>
                <w:u w:val="none"/>
              </w:rPr>
            </w:pPr>
          </w:p>
        </w:tc>
        <w:tc>
          <w:tcPr>
            <w:tcW w:w="1417" w:type="dxa"/>
            <w:noWrap w:val="0"/>
            <w:vAlign w:val="center"/>
          </w:tcPr>
          <w:p>
            <w:pPr>
              <w:pStyle w:val="61"/>
              <w:ind w:left="-105" w:leftChars="-50" w:right="-105" w:rightChars="-50"/>
              <w:rPr>
                <w:snapToGrid w:val="0"/>
                <w:color w:val="auto"/>
                <w:kern w:val="21"/>
                <w:highlight w:val="none"/>
                <w:u w:val="none"/>
              </w:rPr>
            </w:pPr>
            <w:r>
              <w:rPr>
                <w:rFonts w:hint="eastAsia"/>
                <w:color w:val="auto"/>
                <w:highlight w:val="none"/>
                <w:u w:val="none"/>
              </w:rPr>
              <w:t>NOx</w:t>
            </w:r>
          </w:p>
        </w:tc>
        <w:tc>
          <w:tcPr>
            <w:tcW w:w="1701" w:type="dxa"/>
            <w:noWrap w:val="0"/>
            <w:vAlign w:val="center"/>
          </w:tcPr>
          <w:p>
            <w:pPr>
              <w:pStyle w:val="61"/>
              <w:ind w:left="-105" w:leftChars="-50" w:right="-105" w:rightChars="-50"/>
              <w:rPr>
                <w:rFonts w:hint="default" w:eastAsia="宋体"/>
                <w:snapToGrid w:val="0"/>
                <w:color w:val="auto"/>
                <w:kern w:val="21"/>
                <w:highlight w:val="none"/>
                <w:u w:val="none"/>
                <w:lang w:val="en-US" w:eastAsia="zh-CN"/>
              </w:rPr>
            </w:pPr>
            <w:r>
              <w:rPr>
                <w:rFonts w:hint="eastAsia"/>
                <w:color w:val="auto"/>
                <w:highlight w:val="none"/>
                <w:u w:val="none"/>
                <w:lang w:val="en-US" w:eastAsia="zh-CN"/>
              </w:rPr>
              <w:t>0</w:t>
            </w:r>
          </w:p>
        </w:tc>
        <w:tc>
          <w:tcPr>
            <w:tcW w:w="1276" w:type="dxa"/>
            <w:noWrap w:val="0"/>
            <w:vAlign w:val="center"/>
          </w:tcPr>
          <w:p>
            <w:pPr>
              <w:pStyle w:val="49"/>
              <w:spacing w:beforeLines="0" w:afterLines="0" w:line="240" w:lineRule="auto"/>
              <w:rPr>
                <w:rFonts w:hint="default" w:ascii="Times New Roman" w:eastAsia="宋体"/>
                <w:snapToGrid w:val="0"/>
                <w:color w:val="auto"/>
                <w:kern w:val="21"/>
                <w:szCs w:val="21"/>
                <w:highlight w:val="none"/>
                <w:u w:val="none"/>
                <w:lang w:val="en-US" w:eastAsia="zh-CN"/>
              </w:rPr>
            </w:pPr>
            <w:r>
              <w:rPr>
                <w:rFonts w:hint="eastAsia" w:ascii="Times New Roman"/>
                <w:snapToGrid w:val="0"/>
                <w:color w:val="auto"/>
                <w:kern w:val="21"/>
                <w:szCs w:val="21"/>
                <w:highlight w:val="none"/>
                <w:u w:val="none"/>
                <w:lang w:val="en-US" w:eastAsia="zh-CN"/>
              </w:rPr>
              <w:t>0</w:t>
            </w:r>
          </w:p>
        </w:tc>
        <w:tc>
          <w:tcPr>
            <w:tcW w:w="1701" w:type="dxa"/>
            <w:noWrap w:val="0"/>
            <w:vAlign w:val="center"/>
          </w:tcPr>
          <w:p>
            <w:pPr>
              <w:pStyle w:val="49"/>
              <w:spacing w:beforeLines="0" w:afterLines="0" w:line="240" w:lineRule="auto"/>
              <w:rPr>
                <w:rFonts w:ascii="Times New Roman"/>
                <w:snapToGrid w:val="0"/>
                <w:color w:val="auto"/>
                <w:kern w:val="21"/>
                <w:szCs w:val="21"/>
                <w:highlight w:val="none"/>
                <w:u w:val="none"/>
              </w:rPr>
            </w:pPr>
            <w:r>
              <w:rPr>
                <w:rFonts w:hint="eastAsia" w:ascii="Times New Roman"/>
                <w:snapToGrid w:val="0"/>
                <w:color w:val="auto"/>
                <w:kern w:val="21"/>
                <w:szCs w:val="21"/>
                <w:highlight w:val="none"/>
                <w:u w:val="none"/>
              </w:rPr>
              <w:t>/</w:t>
            </w:r>
          </w:p>
        </w:tc>
        <w:tc>
          <w:tcPr>
            <w:tcW w:w="1559" w:type="dxa"/>
            <w:noWrap w:val="0"/>
            <w:vAlign w:val="center"/>
          </w:tcPr>
          <w:p>
            <w:pPr>
              <w:ind w:left="-105" w:leftChars="-50" w:right="-105" w:rightChars="-50"/>
              <w:jc w:val="center"/>
              <w:rPr>
                <w:rFonts w:hint="default" w:eastAsia="宋体"/>
                <w:snapToGrid w:val="0"/>
                <w:color w:val="auto"/>
                <w:kern w:val="21"/>
                <w:szCs w:val="21"/>
                <w:highlight w:val="none"/>
                <w:u w:val="none"/>
                <w:lang w:val="en-US" w:eastAsia="zh-CN"/>
              </w:rPr>
            </w:pPr>
            <w:r>
              <w:rPr>
                <w:rFonts w:hint="eastAsia"/>
                <w:color w:val="auto"/>
                <w:highlight w:val="none"/>
                <w:u w:val="none"/>
                <w:lang w:val="en-US" w:eastAsia="zh-CN"/>
              </w:rPr>
              <w:t>0</w:t>
            </w:r>
          </w:p>
        </w:tc>
        <w:tc>
          <w:tcPr>
            <w:tcW w:w="1761" w:type="dxa"/>
            <w:noWrap w:val="0"/>
            <w:vAlign w:val="center"/>
          </w:tcPr>
          <w:p>
            <w:pPr>
              <w:pStyle w:val="2"/>
              <w:ind w:left="-105" w:leftChars="-50" w:right="-105" w:rightChars="-50"/>
              <w:jc w:val="center"/>
              <w:rPr>
                <w:rFonts w:hint="default" w:ascii="Times New Roman" w:hAnsi="Times New Roman" w:eastAsia="宋体"/>
                <w:snapToGrid w:val="0"/>
                <w:color w:val="auto"/>
                <w:kern w:val="21"/>
                <w:sz w:val="21"/>
                <w:szCs w:val="21"/>
                <w:highlight w:val="none"/>
                <w:u w:val="none"/>
                <w:lang w:val="en-US" w:eastAsia="zh-CN"/>
              </w:rPr>
            </w:pPr>
            <w:r>
              <w:rPr>
                <w:rFonts w:hint="eastAsia" w:ascii="Times New Roman" w:hAnsi="Times New Roman"/>
                <w:color w:val="auto"/>
                <w:sz w:val="21"/>
                <w:szCs w:val="21"/>
                <w:highlight w:val="none"/>
                <w:u w:val="none"/>
                <w:lang w:val="en-US" w:eastAsia="zh-CN"/>
              </w:rPr>
              <w:t>0</w:t>
            </w:r>
          </w:p>
        </w:tc>
        <w:tc>
          <w:tcPr>
            <w:tcW w:w="1652" w:type="dxa"/>
            <w:noWrap w:val="0"/>
            <w:vAlign w:val="center"/>
          </w:tcPr>
          <w:p>
            <w:pPr>
              <w:pStyle w:val="2"/>
              <w:ind w:left="-105" w:leftChars="-50" w:right="-105" w:rightChars="-50"/>
              <w:jc w:val="center"/>
              <w:rPr>
                <w:rFonts w:hint="default" w:ascii="Times New Roman" w:hAnsi="Times New Roman" w:eastAsia="宋体"/>
                <w:snapToGrid w:val="0"/>
                <w:color w:val="auto"/>
                <w:kern w:val="21"/>
                <w:sz w:val="21"/>
                <w:szCs w:val="21"/>
                <w:highlight w:val="none"/>
                <w:u w:val="none"/>
                <w:lang w:val="en-US" w:eastAsia="zh-CN"/>
              </w:rPr>
            </w:pPr>
            <w:r>
              <w:rPr>
                <w:rFonts w:hint="eastAsia" w:ascii="Times New Roman" w:hAnsi="Times New Roman"/>
                <w:color w:val="auto"/>
                <w:sz w:val="21"/>
                <w:szCs w:val="21"/>
                <w:highlight w:val="none"/>
                <w:u w:val="none"/>
                <w:lang w:val="en-US" w:eastAsia="zh-CN"/>
              </w:rPr>
              <w:t>9.78</w:t>
            </w:r>
          </w:p>
        </w:tc>
        <w:tc>
          <w:tcPr>
            <w:tcW w:w="1133" w:type="dxa"/>
            <w:noWrap w:val="0"/>
            <w:vAlign w:val="center"/>
          </w:tcPr>
          <w:p>
            <w:pPr>
              <w:pStyle w:val="2"/>
              <w:ind w:left="-105" w:leftChars="-50" w:right="-105" w:rightChars="-50"/>
              <w:jc w:val="center"/>
              <w:rPr>
                <w:rFonts w:hint="default" w:ascii="Times New Roman" w:hAnsi="Times New Roman" w:eastAsia="宋体"/>
                <w:snapToGrid w:val="0"/>
                <w:color w:val="auto"/>
                <w:kern w:val="21"/>
                <w:sz w:val="21"/>
                <w:szCs w:val="21"/>
                <w:highlight w:val="none"/>
                <w:u w:val="none"/>
                <w:lang w:val="en-US" w:eastAsia="zh-CN"/>
              </w:rPr>
            </w:pPr>
            <w:r>
              <w:rPr>
                <w:rFonts w:hint="eastAsia" w:ascii="Times New Roman" w:hAnsi="Times New Roman"/>
                <w:color w:val="auto"/>
                <w:sz w:val="21"/>
                <w:szCs w:val="21"/>
                <w:highlight w:val="none"/>
                <w:u w:val="none"/>
                <w:lang w:val="en-US" w:eastAsia="zh-CN"/>
              </w:rPr>
              <w:t>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noWrap w:val="0"/>
            <w:vAlign w:val="center"/>
          </w:tcPr>
          <w:p>
            <w:pPr>
              <w:pStyle w:val="49"/>
              <w:spacing w:beforeLines="0" w:afterLines="0" w:line="240" w:lineRule="auto"/>
              <w:rPr>
                <w:rFonts w:hint="eastAsia" w:ascii="Times New Roman" w:cs="宋体"/>
                <w:snapToGrid w:val="0"/>
                <w:color w:val="auto"/>
                <w:kern w:val="21"/>
                <w:szCs w:val="21"/>
                <w:highlight w:val="none"/>
                <w:u w:val="none"/>
              </w:rPr>
            </w:pPr>
          </w:p>
        </w:tc>
        <w:tc>
          <w:tcPr>
            <w:tcW w:w="1417" w:type="dxa"/>
            <w:noWrap w:val="0"/>
            <w:vAlign w:val="center"/>
          </w:tcPr>
          <w:p>
            <w:pPr>
              <w:pStyle w:val="61"/>
              <w:ind w:left="-105" w:leftChars="-50" w:right="-105" w:rightChars="-50"/>
              <w:rPr>
                <w:snapToGrid w:val="0"/>
                <w:color w:val="auto"/>
                <w:kern w:val="21"/>
                <w:highlight w:val="none"/>
                <w:u w:val="none"/>
              </w:rPr>
            </w:pPr>
            <w:r>
              <w:rPr>
                <w:rFonts w:hint="eastAsia"/>
                <w:color w:val="auto"/>
                <w:highlight w:val="none"/>
                <w:u w:val="none"/>
              </w:rPr>
              <w:t>氟化物</w:t>
            </w:r>
          </w:p>
        </w:tc>
        <w:tc>
          <w:tcPr>
            <w:tcW w:w="1701" w:type="dxa"/>
            <w:noWrap w:val="0"/>
            <w:vAlign w:val="center"/>
          </w:tcPr>
          <w:p>
            <w:pPr>
              <w:pStyle w:val="61"/>
              <w:ind w:left="-105" w:leftChars="-50" w:right="-105" w:rightChars="-50"/>
              <w:rPr>
                <w:rFonts w:hint="default" w:eastAsia="宋体"/>
                <w:snapToGrid w:val="0"/>
                <w:color w:val="auto"/>
                <w:kern w:val="21"/>
                <w:highlight w:val="none"/>
                <w:u w:val="none"/>
                <w:lang w:val="en-US" w:eastAsia="zh-CN"/>
              </w:rPr>
            </w:pPr>
            <w:r>
              <w:rPr>
                <w:rFonts w:hint="eastAsia"/>
                <w:color w:val="auto"/>
                <w:highlight w:val="none"/>
                <w:u w:val="none"/>
                <w:lang w:val="en-US" w:eastAsia="zh-CN"/>
              </w:rPr>
              <w:t>0</w:t>
            </w:r>
          </w:p>
        </w:tc>
        <w:tc>
          <w:tcPr>
            <w:tcW w:w="1276" w:type="dxa"/>
            <w:noWrap w:val="0"/>
            <w:vAlign w:val="center"/>
          </w:tcPr>
          <w:p>
            <w:pPr>
              <w:pStyle w:val="49"/>
              <w:spacing w:beforeLines="0" w:afterLines="0" w:line="240" w:lineRule="auto"/>
              <w:rPr>
                <w:rFonts w:hint="default" w:ascii="Times New Roman" w:eastAsia="宋体"/>
                <w:snapToGrid w:val="0"/>
                <w:color w:val="auto"/>
                <w:kern w:val="21"/>
                <w:szCs w:val="21"/>
                <w:highlight w:val="none"/>
                <w:u w:val="none"/>
                <w:lang w:val="en-US" w:eastAsia="zh-CN"/>
              </w:rPr>
            </w:pPr>
            <w:r>
              <w:rPr>
                <w:rFonts w:hint="eastAsia" w:ascii="Times New Roman"/>
                <w:snapToGrid w:val="0"/>
                <w:color w:val="auto"/>
                <w:kern w:val="21"/>
                <w:szCs w:val="21"/>
                <w:highlight w:val="none"/>
                <w:u w:val="none"/>
                <w:lang w:val="en-US" w:eastAsia="zh-CN"/>
              </w:rPr>
              <w:t>0</w:t>
            </w:r>
          </w:p>
        </w:tc>
        <w:tc>
          <w:tcPr>
            <w:tcW w:w="1701" w:type="dxa"/>
            <w:noWrap w:val="0"/>
            <w:vAlign w:val="center"/>
          </w:tcPr>
          <w:p>
            <w:pPr>
              <w:pStyle w:val="49"/>
              <w:spacing w:beforeLines="0" w:afterLines="0" w:line="240" w:lineRule="auto"/>
              <w:rPr>
                <w:rFonts w:ascii="Times New Roman"/>
                <w:snapToGrid w:val="0"/>
                <w:color w:val="auto"/>
                <w:kern w:val="21"/>
                <w:szCs w:val="21"/>
                <w:highlight w:val="none"/>
                <w:u w:val="none"/>
              </w:rPr>
            </w:pPr>
            <w:r>
              <w:rPr>
                <w:rFonts w:hint="eastAsia" w:ascii="Times New Roman"/>
                <w:snapToGrid w:val="0"/>
                <w:color w:val="auto"/>
                <w:kern w:val="21"/>
                <w:szCs w:val="21"/>
                <w:highlight w:val="none"/>
                <w:u w:val="none"/>
              </w:rPr>
              <w:t>/</w:t>
            </w:r>
          </w:p>
        </w:tc>
        <w:tc>
          <w:tcPr>
            <w:tcW w:w="1559" w:type="dxa"/>
            <w:noWrap w:val="0"/>
            <w:vAlign w:val="center"/>
          </w:tcPr>
          <w:p>
            <w:pPr>
              <w:ind w:left="-105" w:leftChars="-50" w:right="-105" w:rightChars="-50"/>
              <w:jc w:val="center"/>
              <w:rPr>
                <w:rFonts w:hint="default" w:eastAsia="宋体"/>
                <w:snapToGrid w:val="0"/>
                <w:color w:val="auto"/>
                <w:kern w:val="21"/>
                <w:szCs w:val="21"/>
                <w:highlight w:val="none"/>
                <w:u w:val="none"/>
                <w:lang w:val="en-US" w:eastAsia="zh-CN"/>
              </w:rPr>
            </w:pPr>
            <w:r>
              <w:rPr>
                <w:rFonts w:hint="eastAsia"/>
                <w:color w:val="auto"/>
                <w:szCs w:val="21"/>
                <w:highlight w:val="none"/>
                <w:u w:val="none"/>
                <w:lang w:val="en-US" w:eastAsia="zh-CN"/>
              </w:rPr>
              <w:t>0</w:t>
            </w:r>
          </w:p>
        </w:tc>
        <w:tc>
          <w:tcPr>
            <w:tcW w:w="1761" w:type="dxa"/>
            <w:noWrap w:val="0"/>
            <w:vAlign w:val="center"/>
          </w:tcPr>
          <w:p>
            <w:pPr>
              <w:pStyle w:val="2"/>
              <w:ind w:left="-105" w:leftChars="-50" w:right="-105" w:rightChars="-50"/>
              <w:jc w:val="center"/>
              <w:rPr>
                <w:rFonts w:hint="default" w:ascii="Times New Roman" w:hAnsi="Times New Roman" w:eastAsia="宋体"/>
                <w:snapToGrid w:val="0"/>
                <w:color w:val="auto"/>
                <w:kern w:val="21"/>
                <w:sz w:val="21"/>
                <w:szCs w:val="21"/>
                <w:highlight w:val="none"/>
                <w:u w:val="none"/>
                <w:lang w:val="en-US" w:eastAsia="zh-CN"/>
              </w:rPr>
            </w:pPr>
            <w:r>
              <w:rPr>
                <w:rFonts w:hint="eastAsia" w:ascii="Times New Roman" w:hAnsi="Times New Roman"/>
                <w:color w:val="auto"/>
                <w:sz w:val="21"/>
                <w:szCs w:val="21"/>
                <w:highlight w:val="none"/>
                <w:u w:val="none"/>
                <w:lang w:val="en-US" w:eastAsia="zh-CN"/>
              </w:rPr>
              <w:t>0</w:t>
            </w:r>
          </w:p>
        </w:tc>
        <w:tc>
          <w:tcPr>
            <w:tcW w:w="1652" w:type="dxa"/>
            <w:noWrap w:val="0"/>
            <w:vAlign w:val="center"/>
          </w:tcPr>
          <w:p>
            <w:pPr>
              <w:pStyle w:val="2"/>
              <w:ind w:left="-105" w:leftChars="-50" w:right="-105" w:rightChars="-50"/>
              <w:jc w:val="center"/>
              <w:rPr>
                <w:rFonts w:hint="default" w:ascii="Times New Roman" w:hAnsi="Times New Roman" w:eastAsia="宋体"/>
                <w:snapToGrid w:val="0"/>
                <w:color w:val="auto"/>
                <w:kern w:val="21"/>
                <w:sz w:val="21"/>
                <w:szCs w:val="21"/>
                <w:highlight w:val="none"/>
                <w:u w:val="none"/>
                <w:lang w:val="en-US" w:eastAsia="zh-CN"/>
              </w:rPr>
            </w:pPr>
            <w:r>
              <w:rPr>
                <w:rFonts w:hint="eastAsia" w:ascii="Times New Roman" w:hAnsi="Times New Roman"/>
                <w:color w:val="auto"/>
                <w:sz w:val="21"/>
                <w:szCs w:val="21"/>
                <w:highlight w:val="none"/>
                <w:u w:val="none"/>
                <w:lang w:val="en-US" w:eastAsia="zh-CN"/>
              </w:rPr>
              <w:t>0.18</w:t>
            </w:r>
          </w:p>
        </w:tc>
        <w:tc>
          <w:tcPr>
            <w:tcW w:w="1133" w:type="dxa"/>
            <w:noWrap w:val="0"/>
            <w:vAlign w:val="center"/>
          </w:tcPr>
          <w:p>
            <w:pPr>
              <w:pStyle w:val="2"/>
              <w:ind w:left="-105" w:leftChars="-50" w:right="-105" w:rightChars="-50"/>
              <w:jc w:val="center"/>
              <w:rPr>
                <w:rFonts w:hint="default" w:ascii="Times New Roman" w:hAnsi="Times New Roman" w:eastAsia="宋体"/>
                <w:snapToGrid w:val="0"/>
                <w:color w:val="auto"/>
                <w:kern w:val="21"/>
                <w:sz w:val="21"/>
                <w:szCs w:val="21"/>
                <w:highlight w:val="none"/>
                <w:u w:val="none"/>
                <w:lang w:val="en-US" w:eastAsia="zh-CN"/>
              </w:rPr>
            </w:pPr>
            <w:r>
              <w:rPr>
                <w:rFonts w:hint="eastAsia" w:ascii="Times New Roman" w:hAnsi="Times New Roman"/>
                <w:color w:val="auto"/>
                <w:sz w:val="21"/>
                <w:szCs w:val="21"/>
                <w:highlight w:val="none"/>
                <w:u w:val="none"/>
                <w:lang w:val="en-US" w:eastAsia="zh-CN"/>
              </w:rPr>
              <w:t>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restart"/>
            <w:noWrap w:val="0"/>
            <w:vAlign w:val="center"/>
          </w:tcPr>
          <w:p>
            <w:pPr>
              <w:pStyle w:val="49"/>
              <w:spacing w:beforeLines="0" w:afterLines="0" w:line="240" w:lineRule="auto"/>
              <w:rPr>
                <w:rFonts w:hint="eastAsia" w:ascii="Times New Roman" w:cs="宋体"/>
                <w:snapToGrid w:val="0"/>
                <w:color w:val="auto"/>
                <w:kern w:val="21"/>
                <w:szCs w:val="21"/>
                <w:highlight w:val="none"/>
                <w:u w:val="none"/>
              </w:rPr>
            </w:pPr>
            <w:r>
              <w:rPr>
                <w:rFonts w:hint="eastAsia" w:ascii="Times New Roman" w:cs="宋体"/>
                <w:snapToGrid w:val="0"/>
                <w:color w:val="auto"/>
                <w:kern w:val="21"/>
                <w:szCs w:val="21"/>
                <w:highlight w:val="none"/>
                <w:u w:val="none"/>
              </w:rPr>
              <w:t>废水</w:t>
            </w:r>
          </w:p>
        </w:tc>
        <w:tc>
          <w:tcPr>
            <w:tcW w:w="1417" w:type="dxa"/>
            <w:noWrap w:val="0"/>
            <w:vAlign w:val="center"/>
          </w:tcPr>
          <w:p>
            <w:pPr>
              <w:pStyle w:val="49"/>
              <w:spacing w:beforeLines="0" w:afterLines="0" w:line="240" w:lineRule="auto"/>
              <w:rPr>
                <w:rFonts w:ascii="Times New Roman"/>
                <w:snapToGrid w:val="0"/>
                <w:color w:val="auto"/>
                <w:kern w:val="21"/>
                <w:szCs w:val="21"/>
                <w:highlight w:val="none"/>
                <w:u w:val="none"/>
              </w:rPr>
            </w:pPr>
            <w:r>
              <w:rPr>
                <w:rFonts w:ascii="Times New Roman"/>
                <w:snapToGrid w:val="0"/>
                <w:color w:val="auto"/>
                <w:kern w:val="21"/>
                <w:szCs w:val="21"/>
                <w:highlight w:val="none"/>
                <w:u w:val="none"/>
              </w:rPr>
              <w:t>COD</w:t>
            </w:r>
          </w:p>
        </w:tc>
        <w:tc>
          <w:tcPr>
            <w:tcW w:w="1701" w:type="dxa"/>
            <w:noWrap w:val="0"/>
            <w:vAlign w:val="center"/>
          </w:tcPr>
          <w:p>
            <w:pPr>
              <w:pStyle w:val="49"/>
              <w:spacing w:beforeLines="0" w:afterLines="0" w:line="240" w:lineRule="auto"/>
              <w:rPr>
                <w:rFonts w:ascii="Times New Roman"/>
                <w:snapToGrid w:val="0"/>
                <w:color w:val="auto"/>
                <w:kern w:val="21"/>
                <w:szCs w:val="21"/>
                <w:highlight w:val="none"/>
                <w:u w:val="none"/>
              </w:rPr>
            </w:pPr>
            <w:r>
              <w:rPr>
                <w:rFonts w:ascii="Times New Roman"/>
                <w:snapToGrid w:val="0"/>
                <w:color w:val="auto"/>
                <w:kern w:val="21"/>
                <w:szCs w:val="21"/>
                <w:highlight w:val="none"/>
                <w:u w:val="none"/>
              </w:rPr>
              <w:t>0</w:t>
            </w:r>
          </w:p>
        </w:tc>
        <w:tc>
          <w:tcPr>
            <w:tcW w:w="1276" w:type="dxa"/>
            <w:noWrap w:val="0"/>
            <w:vAlign w:val="center"/>
          </w:tcPr>
          <w:p>
            <w:pPr>
              <w:pStyle w:val="49"/>
              <w:spacing w:beforeLines="0" w:afterLines="0" w:line="240" w:lineRule="auto"/>
              <w:rPr>
                <w:rFonts w:ascii="Times New Roman"/>
                <w:snapToGrid w:val="0"/>
                <w:color w:val="auto"/>
                <w:kern w:val="21"/>
                <w:szCs w:val="21"/>
                <w:highlight w:val="none"/>
                <w:u w:val="none"/>
              </w:rPr>
            </w:pPr>
            <w:r>
              <w:rPr>
                <w:rFonts w:ascii="Times New Roman"/>
                <w:snapToGrid w:val="0"/>
                <w:color w:val="auto"/>
                <w:kern w:val="21"/>
                <w:szCs w:val="21"/>
                <w:highlight w:val="none"/>
                <w:u w:val="none"/>
              </w:rPr>
              <w:t>0</w:t>
            </w:r>
          </w:p>
        </w:tc>
        <w:tc>
          <w:tcPr>
            <w:tcW w:w="1701" w:type="dxa"/>
            <w:noWrap w:val="0"/>
            <w:vAlign w:val="center"/>
          </w:tcPr>
          <w:p>
            <w:pPr>
              <w:pStyle w:val="49"/>
              <w:spacing w:beforeLines="0" w:afterLines="0" w:line="240" w:lineRule="auto"/>
              <w:rPr>
                <w:rFonts w:ascii="Times New Roman"/>
                <w:snapToGrid w:val="0"/>
                <w:color w:val="auto"/>
                <w:kern w:val="21"/>
                <w:szCs w:val="21"/>
                <w:highlight w:val="none"/>
                <w:u w:val="none"/>
              </w:rPr>
            </w:pPr>
            <w:r>
              <w:rPr>
                <w:rFonts w:hint="eastAsia" w:ascii="Times New Roman"/>
                <w:snapToGrid w:val="0"/>
                <w:color w:val="auto"/>
                <w:kern w:val="21"/>
                <w:szCs w:val="21"/>
                <w:highlight w:val="none"/>
                <w:u w:val="none"/>
              </w:rPr>
              <w:t>/</w:t>
            </w:r>
          </w:p>
        </w:tc>
        <w:tc>
          <w:tcPr>
            <w:tcW w:w="1559" w:type="dxa"/>
            <w:noWrap w:val="0"/>
            <w:vAlign w:val="center"/>
          </w:tcPr>
          <w:p>
            <w:pPr>
              <w:pStyle w:val="11"/>
              <w:ind w:firstLine="0" w:firstLineChars="0"/>
              <w:jc w:val="center"/>
              <w:rPr>
                <w:rFonts w:hint="eastAsia"/>
                <w:snapToGrid w:val="0"/>
                <w:color w:val="auto"/>
                <w:kern w:val="21"/>
                <w:szCs w:val="21"/>
                <w:highlight w:val="none"/>
                <w:u w:val="none"/>
              </w:rPr>
            </w:pPr>
            <w:r>
              <w:rPr>
                <w:rFonts w:hint="eastAsia"/>
                <w:snapToGrid w:val="0"/>
                <w:color w:val="auto"/>
                <w:kern w:val="21"/>
                <w:szCs w:val="21"/>
                <w:highlight w:val="none"/>
                <w:u w:val="none"/>
              </w:rPr>
              <w:t>0</w:t>
            </w:r>
          </w:p>
        </w:tc>
        <w:tc>
          <w:tcPr>
            <w:tcW w:w="1761" w:type="dxa"/>
            <w:noWrap w:val="0"/>
            <w:vAlign w:val="center"/>
          </w:tcPr>
          <w:p>
            <w:pPr>
              <w:pStyle w:val="49"/>
              <w:spacing w:beforeLines="0" w:afterLines="0" w:line="240" w:lineRule="auto"/>
              <w:rPr>
                <w:rFonts w:ascii="Times New Roman"/>
                <w:snapToGrid w:val="0"/>
                <w:color w:val="auto"/>
                <w:kern w:val="21"/>
                <w:szCs w:val="21"/>
                <w:highlight w:val="none"/>
                <w:u w:val="none"/>
              </w:rPr>
            </w:pPr>
            <w:r>
              <w:rPr>
                <w:rFonts w:ascii="Times New Roman"/>
                <w:snapToGrid w:val="0"/>
                <w:color w:val="auto"/>
                <w:kern w:val="21"/>
                <w:szCs w:val="21"/>
                <w:highlight w:val="none"/>
                <w:u w:val="none"/>
              </w:rPr>
              <w:t>0</w:t>
            </w:r>
          </w:p>
        </w:tc>
        <w:tc>
          <w:tcPr>
            <w:tcW w:w="1652" w:type="dxa"/>
            <w:noWrap w:val="0"/>
            <w:vAlign w:val="center"/>
          </w:tcPr>
          <w:p>
            <w:pPr>
              <w:pStyle w:val="11"/>
              <w:ind w:firstLine="0" w:firstLineChars="0"/>
              <w:jc w:val="center"/>
              <w:rPr>
                <w:rFonts w:hint="eastAsia"/>
                <w:snapToGrid w:val="0"/>
                <w:color w:val="auto"/>
                <w:kern w:val="21"/>
                <w:szCs w:val="21"/>
                <w:highlight w:val="none"/>
                <w:u w:val="none"/>
              </w:rPr>
            </w:pPr>
            <w:r>
              <w:rPr>
                <w:rFonts w:hint="eastAsia"/>
                <w:snapToGrid w:val="0"/>
                <w:color w:val="auto"/>
                <w:kern w:val="21"/>
                <w:szCs w:val="21"/>
                <w:highlight w:val="none"/>
                <w:u w:val="none"/>
              </w:rPr>
              <w:t>0</w:t>
            </w:r>
          </w:p>
        </w:tc>
        <w:tc>
          <w:tcPr>
            <w:tcW w:w="1133" w:type="dxa"/>
            <w:noWrap w:val="0"/>
            <w:vAlign w:val="center"/>
          </w:tcPr>
          <w:p>
            <w:pPr>
              <w:pStyle w:val="11"/>
              <w:ind w:firstLine="0" w:firstLineChars="0"/>
              <w:jc w:val="center"/>
              <w:rPr>
                <w:rFonts w:hint="eastAsia"/>
                <w:snapToGrid w:val="0"/>
                <w:color w:val="auto"/>
                <w:kern w:val="21"/>
                <w:szCs w:val="21"/>
                <w:highlight w:val="none"/>
                <w:u w:val="none"/>
              </w:rPr>
            </w:pPr>
            <w:r>
              <w:rPr>
                <w:rFonts w:hint="eastAsia"/>
                <w:snapToGrid w:val="0"/>
                <w:color w:val="auto"/>
                <w:kern w:val="21"/>
                <w:szCs w:val="21"/>
                <w:highlight w:val="none"/>
                <w:u w:val="none"/>
              </w:rPr>
              <w:t>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noWrap w:val="0"/>
            <w:vAlign w:val="center"/>
          </w:tcPr>
          <w:p>
            <w:pPr>
              <w:pStyle w:val="49"/>
              <w:spacing w:beforeLines="0" w:afterLines="0" w:line="240" w:lineRule="auto"/>
              <w:rPr>
                <w:rFonts w:hint="eastAsia" w:ascii="Times New Roman" w:cs="宋体"/>
                <w:snapToGrid w:val="0"/>
                <w:color w:val="auto"/>
                <w:kern w:val="21"/>
                <w:szCs w:val="21"/>
                <w:highlight w:val="none"/>
                <w:u w:val="none"/>
              </w:rPr>
            </w:pPr>
          </w:p>
        </w:tc>
        <w:tc>
          <w:tcPr>
            <w:tcW w:w="1417" w:type="dxa"/>
            <w:noWrap w:val="0"/>
            <w:vAlign w:val="center"/>
          </w:tcPr>
          <w:p>
            <w:pPr>
              <w:pStyle w:val="49"/>
              <w:spacing w:beforeLines="0" w:afterLines="0" w:line="240" w:lineRule="auto"/>
              <w:rPr>
                <w:rFonts w:ascii="Times New Roman"/>
                <w:snapToGrid w:val="0"/>
                <w:color w:val="auto"/>
                <w:kern w:val="21"/>
                <w:szCs w:val="21"/>
                <w:highlight w:val="none"/>
                <w:u w:val="none"/>
              </w:rPr>
            </w:pPr>
            <w:r>
              <w:rPr>
                <w:rFonts w:ascii="Times New Roman"/>
                <w:snapToGrid w:val="0"/>
                <w:color w:val="auto"/>
                <w:kern w:val="21"/>
                <w:szCs w:val="21"/>
                <w:highlight w:val="none"/>
                <w:u w:val="none"/>
              </w:rPr>
              <w:t>NH</w:t>
            </w:r>
            <w:r>
              <w:rPr>
                <w:rFonts w:ascii="Times New Roman"/>
                <w:snapToGrid w:val="0"/>
                <w:color w:val="auto"/>
                <w:kern w:val="21"/>
                <w:szCs w:val="21"/>
                <w:highlight w:val="none"/>
                <w:u w:val="none"/>
                <w:vertAlign w:val="subscript"/>
              </w:rPr>
              <w:t>3</w:t>
            </w:r>
            <w:r>
              <w:rPr>
                <w:rFonts w:ascii="Times New Roman"/>
                <w:snapToGrid w:val="0"/>
                <w:color w:val="auto"/>
                <w:kern w:val="21"/>
                <w:szCs w:val="21"/>
                <w:highlight w:val="none"/>
                <w:u w:val="none"/>
              </w:rPr>
              <w:t>-N</w:t>
            </w:r>
          </w:p>
        </w:tc>
        <w:tc>
          <w:tcPr>
            <w:tcW w:w="1701" w:type="dxa"/>
            <w:noWrap w:val="0"/>
            <w:vAlign w:val="center"/>
          </w:tcPr>
          <w:p>
            <w:pPr>
              <w:pStyle w:val="49"/>
              <w:spacing w:beforeLines="0" w:afterLines="0" w:line="240" w:lineRule="auto"/>
              <w:rPr>
                <w:rFonts w:ascii="Times New Roman"/>
                <w:snapToGrid w:val="0"/>
                <w:color w:val="auto"/>
                <w:kern w:val="21"/>
                <w:szCs w:val="21"/>
                <w:highlight w:val="none"/>
                <w:u w:val="none"/>
              </w:rPr>
            </w:pPr>
            <w:r>
              <w:rPr>
                <w:rFonts w:ascii="Times New Roman"/>
                <w:snapToGrid w:val="0"/>
                <w:color w:val="auto"/>
                <w:kern w:val="21"/>
                <w:szCs w:val="21"/>
                <w:highlight w:val="none"/>
                <w:u w:val="none"/>
              </w:rPr>
              <w:t>0</w:t>
            </w:r>
          </w:p>
        </w:tc>
        <w:tc>
          <w:tcPr>
            <w:tcW w:w="1276" w:type="dxa"/>
            <w:noWrap w:val="0"/>
            <w:vAlign w:val="center"/>
          </w:tcPr>
          <w:p>
            <w:pPr>
              <w:pStyle w:val="49"/>
              <w:spacing w:beforeLines="0" w:afterLines="0" w:line="240" w:lineRule="auto"/>
              <w:rPr>
                <w:rFonts w:ascii="Times New Roman"/>
                <w:snapToGrid w:val="0"/>
                <w:color w:val="auto"/>
                <w:kern w:val="21"/>
                <w:szCs w:val="21"/>
                <w:highlight w:val="none"/>
                <w:u w:val="none"/>
              </w:rPr>
            </w:pPr>
            <w:r>
              <w:rPr>
                <w:rFonts w:ascii="Times New Roman"/>
                <w:snapToGrid w:val="0"/>
                <w:color w:val="auto"/>
                <w:kern w:val="21"/>
                <w:szCs w:val="21"/>
                <w:highlight w:val="none"/>
                <w:u w:val="none"/>
              </w:rPr>
              <w:t>0</w:t>
            </w:r>
          </w:p>
        </w:tc>
        <w:tc>
          <w:tcPr>
            <w:tcW w:w="1701" w:type="dxa"/>
            <w:noWrap w:val="0"/>
            <w:vAlign w:val="center"/>
          </w:tcPr>
          <w:p>
            <w:pPr>
              <w:pStyle w:val="49"/>
              <w:spacing w:beforeLines="0" w:afterLines="0" w:line="240" w:lineRule="auto"/>
              <w:rPr>
                <w:rFonts w:ascii="Times New Roman"/>
                <w:snapToGrid w:val="0"/>
                <w:color w:val="auto"/>
                <w:kern w:val="21"/>
                <w:szCs w:val="21"/>
                <w:highlight w:val="none"/>
                <w:u w:val="none"/>
              </w:rPr>
            </w:pPr>
            <w:r>
              <w:rPr>
                <w:rFonts w:hint="eastAsia" w:ascii="Times New Roman"/>
                <w:snapToGrid w:val="0"/>
                <w:color w:val="auto"/>
                <w:kern w:val="21"/>
                <w:szCs w:val="21"/>
                <w:highlight w:val="none"/>
                <w:u w:val="none"/>
              </w:rPr>
              <w:t>/</w:t>
            </w:r>
          </w:p>
        </w:tc>
        <w:tc>
          <w:tcPr>
            <w:tcW w:w="1559" w:type="dxa"/>
            <w:noWrap w:val="0"/>
            <w:vAlign w:val="center"/>
          </w:tcPr>
          <w:p>
            <w:pPr>
              <w:pStyle w:val="11"/>
              <w:ind w:firstLine="0" w:firstLineChars="0"/>
              <w:jc w:val="center"/>
              <w:rPr>
                <w:rFonts w:hint="eastAsia"/>
                <w:snapToGrid w:val="0"/>
                <w:color w:val="auto"/>
                <w:kern w:val="21"/>
                <w:szCs w:val="21"/>
                <w:highlight w:val="none"/>
                <w:u w:val="none"/>
              </w:rPr>
            </w:pPr>
            <w:r>
              <w:rPr>
                <w:rFonts w:hint="eastAsia"/>
                <w:snapToGrid w:val="0"/>
                <w:color w:val="auto"/>
                <w:kern w:val="21"/>
                <w:szCs w:val="21"/>
                <w:highlight w:val="none"/>
                <w:u w:val="none"/>
              </w:rPr>
              <w:t>0</w:t>
            </w:r>
          </w:p>
        </w:tc>
        <w:tc>
          <w:tcPr>
            <w:tcW w:w="1761" w:type="dxa"/>
            <w:noWrap w:val="0"/>
            <w:vAlign w:val="center"/>
          </w:tcPr>
          <w:p>
            <w:pPr>
              <w:pStyle w:val="49"/>
              <w:spacing w:beforeLines="0" w:afterLines="0" w:line="240" w:lineRule="auto"/>
              <w:rPr>
                <w:rFonts w:ascii="Times New Roman"/>
                <w:snapToGrid w:val="0"/>
                <w:color w:val="auto"/>
                <w:kern w:val="21"/>
                <w:szCs w:val="21"/>
                <w:highlight w:val="none"/>
                <w:u w:val="none"/>
              </w:rPr>
            </w:pPr>
            <w:r>
              <w:rPr>
                <w:rFonts w:ascii="Times New Roman"/>
                <w:snapToGrid w:val="0"/>
                <w:color w:val="auto"/>
                <w:kern w:val="21"/>
                <w:szCs w:val="21"/>
                <w:highlight w:val="none"/>
                <w:u w:val="none"/>
              </w:rPr>
              <w:t>0</w:t>
            </w:r>
          </w:p>
        </w:tc>
        <w:tc>
          <w:tcPr>
            <w:tcW w:w="1652" w:type="dxa"/>
            <w:noWrap w:val="0"/>
            <w:vAlign w:val="center"/>
          </w:tcPr>
          <w:p>
            <w:pPr>
              <w:pStyle w:val="11"/>
              <w:ind w:firstLine="0" w:firstLineChars="0"/>
              <w:jc w:val="center"/>
              <w:rPr>
                <w:rFonts w:hint="eastAsia"/>
                <w:snapToGrid w:val="0"/>
                <w:color w:val="auto"/>
                <w:kern w:val="21"/>
                <w:szCs w:val="21"/>
                <w:highlight w:val="none"/>
                <w:u w:val="none"/>
              </w:rPr>
            </w:pPr>
            <w:r>
              <w:rPr>
                <w:rFonts w:hint="eastAsia"/>
                <w:snapToGrid w:val="0"/>
                <w:color w:val="auto"/>
                <w:kern w:val="21"/>
                <w:szCs w:val="21"/>
                <w:highlight w:val="none"/>
                <w:u w:val="none"/>
              </w:rPr>
              <w:t>0</w:t>
            </w:r>
          </w:p>
        </w:tc>
        <w:tc>
          <w:tcPr>
            <w:tcW w:w="1133" w:type="dxa"/>
            <w:noWrap w:val="0"/>
            <w:vAlign w:val="center"/>
          </w:tcPr>
          <w:p>
            <w:pPr>
              <w:pStyle w:val="11"/>
              <w:ind w:firstLine="0" w:firstLineChars="0"/>
              <w:jc w:val="center"/>
              <w:rPr>
                <w:rFonts w:hint="eastAsia"/>
                <w:snapToGrid w:val="0"/>
                <w:color w:val="auto"/>
                <w:kern w:val="21"/>
                <w:szCs w:val="21"/>
                <w:highlight w:val="none"/>
                <w:u w:val="none"/>
              </w:rPr>
            </w:pPr>
            <w:r>
              <w:rPr>
                <w:rFonts w:hint="eastAsia"/>
                <w:snapToGrid w:val="0"/>
                <w:color w:val="auto"/>
                <w:kern w:val="21"/>
                <w:szCs w:val="21"/>
                <w:highlight w:val="none"/>
                <w:u w:val="none"/>
              </w:rPr>
              <w:t>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noWrap w:val="0"/>
            <w:vAlign w:val="center"/>
          </w:tcPr>
          <w:p>
            <w:pPr>
              <w:pStyle w:val="49"/>
              <w:spacing w:beforeLines="0" w:afterLines="0" w:line="240" w:lineRule="auto"/>
              <w:rPr>
                <w:rFonts w:ascii="Times New Roman" w:cs="宋体"/>
                <w:snapToGrid w:val="0"/>
                <w:color w:val="auto"/>
                <w:kern w:val="21"/>
                <w:szCs w:val="21"/>
                <w:highlight w:val="none"/>
                <w:u w:val="none"/>
              </w:rPr>
            </w:pPr>
            <w:r>
              <w:rPr>
                <w:rFonts w:hint="eastAsia" w:ascii="Times New Roman" w:cs="宋体"/>
                <w:snapToGrid w:val="0"/>
                <w:color w:val="auto"/>
                <w:kern w:val="21"/>
                <w:szCs w:val="21"/>
                <w:highlight w:val="none"/>
                <w:u w:val="none"/>
              </w:rPr>
              <w:t>一般工业</w:t>
            </w:r>
          </w:p>
          <w:p>
            <w:pPr>
              <w:pStyle w:val="49"/>
              <w:spacing w:beforeLines="0" w:afterLines="0" w:line="240" w:lineRule="auto"/>
              <w:rPr>
                <w:rFonts w:hint="eastAsia" w:ascii="Times New Roman" w:cs="宋体"/>
                <w:snapToGrid w:val="0"/>
                <w:color w:val="auto"/>
                <w:kern w:val="21"/>
                <w:szCs w:val="21"/>
                <w:highlight w:val="none"/>
                <w:u w:val="none"/>
              </w:rPr>
            </w:pPr>
            <w:r>
              <w:rPr>
                <w:rFonts w:hint="eastAsia" w:ascii="Times New Roman" w:cs="宋体"/>
                <w:snapToGrid w:val="0"/>
                <w:color w:val="auto"/>
                <w:kern w:val="21"/>
                <w:szCs w:val="21"/>
                <w:highlight w:val="none"/>
                <w:u w:val="none"/>
              </w:rPr>
              <w:t>固体废物</w:t>
            </w:r>
          </w:p>
        </w:tc>
        <w:tc>
          <w:tcPr>
            <w:tcW w:w="1417" w:type="dxa"/>
            <w:noWrap w:val="0"/>
            <w:vAlign w:val="center"/>
          </w:tcPr>
          <w:p>
            <w:pPr>
              <w:pStyle w:val="49"/>
              <w:spacing w:beforeLines="0" w:afterLines="0" w:line="240" w:lineRule="auto"/>
              <w:rPr>
                <w:rFonts w:ascii="Times New Roman" w:cs="宋体"/>
                <w:snapToGrid w:val="0"/>
                <w:color w:val="auto"/>
                <w:kern w:val="21"/>
                <w:szCs w:val="21"/>
                <w:highlight w:val="none"/>
                <w:u w:val="none"/>
              </w:rPr>
            </w:pPr>
            <w:r>
              <w:rPr>
                <w:rFonts w:hint="eastAsia" w:ascii="Times New Roman" w:cs="宋体"/>
                <w:snapToGrid w:val="0"/>
                <w:color w:val="auto"/>
                <w:kern w:val="21"/>
                <w:szCs w:val="21"/>
                <w:highlight w:val="none"/>
                <w:u w:val="none"/>
              </w:rPr>
              <w:t>/</w:t>
            </w:r>
          </w:p>
        </w:tc>
        <w:tc>
          <w:tcPr>
            <w:tcW w:w="1701" w:type="dxa"/>
            <w:noWrap w:val="0"/>
            <w:vAlign w:val="center"/>
          </w:tcPr>
          <w:p>
            <w:pPr>
              <w:pStyle w:val="49"/>
              <w:spacing w:beforeLines="0" w:afterLines="0" w:line="240" w:lineRule="auto"/>
              <w:rPr>
                <w:rFonts w:ascii="Times New Roman"/>
                <w:snapToGrid w:val="0"/>
                <w:color w:val="auto"/>
                <w:kern w:val="21"/>
                <w:szCs w:val="21"/>
                <w:highlight w:val="none"/>
                <w:u w:val="none"/>
              </w:rPr>
            </w:pPr>
            <w:r>
              <w:rPr>
                <w:rFonts w:ascii="Times New Roman"/>
                <w:snapToGrid w:val="0"/>
                <w:color w:val="auto"/>
                <w:kern w:val="21"/>
                <w:szCs w:val="21"/>
                <w:highlight w:val="none"/>
                <w:u w:val="none"/>
              </w:rPr>
              <w:t>0</w:t>
            </w:r>
          </w:p>
        </w:tc>
        <w:tc>
          <w:tcPr>
            <w:tcW w:w="1276" w:type="dxa"/>
            <w:noWrap w:val="0"/>
            <w:vAlign w:val="center"/>
          </w:tcPr>
          <w:p>
            <w:pPr>
              <w:pStyle w:val="49"/>
              <w:spacing w:beforeLines="0" w:afterLines="0" w:line="240" w:lineRule="auto"/>
              <w:rPr>
                <w:rFonts w:ascii="Times New Roman"/>
                <w:snapToGrid w:val="0"/>
                <w:color w:val="auto"/>
                <w:kern w:val="21"/>
                <w:szCs w:val="21"/>
                <w:highlight w:val="none"/>
                <w:u w:val="none"/>
              </w:rPr>
            </w:pPr>
            <w:r>
              <w:rPr>
                <w:rFonts w:ascii="Times New Roman"/>
                <w:snapToGrid w:val="0"/>
                <w:color w:val="auto"/>
                <w:kern w:val="21"/>
                <w:szCs w:val="21"/>
                <w:highlight w:val="none"/>
                <w:u w:val="none"/>
              </w:rPr>
              <w:t>0</w:t>
            </w:r>
          </w:p>
        </w:tc>
        <w:tc>
          <w:tcPr>
            <w:tcW w:w="1701" w:type="dxa"/>
            <w:noWrap w:val="0"/>
            <w:vAlign w:val="center"/>
          </w:tcPr>
          <w:p>
            <w:pPr>
              <w:pStyle w:val="49"/>
              <w:spacing w:beforeLines="0" w:afterLines="0" w:line="240" w:lineRule="auto"/>
              <w:rPr>
                <w:rFonts w:ascii="Times New Roman"/>
                <w:snapToGrid w:val="0"/>
                <w:color w:val="auto"/>
                <w:kern w:val="21"/>
                <w:szCs w:val="21"/>
                <w:highlight w:val="none"/>
                <w:u w:val="none"/>
              </w:rPr>
            </w:pPr>
            <w:r>
              <w:rPr>
                <w:rFonts w:hint="eastAsia" w:ascii="Times New Roman"/>
                <w:snapToGrid w:val="0"/>
                <w:color w:val="auto"/>
                <w:kern w:val="21"/>
                <w:szCs w:val="21"/>
                <w:highlight w:val="none"/>
                <w:u w:val="none"/>
              </w:rPr>
              <w:t>/</w:t>
            </w:r>
          </w:p>
        </w:tc>
        <w:tc>
          <w:tcPr>
            <w:tcW w:w="1559" w:type="dxa"/>
            <w:noWrap w:val="0"/>
            <w:vAlign w:val="center"/>
          </w:tcPr>
          <w:p>
            <w:pPr>
              <w:pStyle w:val="49"/>
              <w:spacing w:beforeLines="0" w:afterLines="0" w:line="240" w:lineRule="auto"/>
              <w:rPr>
                <w:rFonts w:ascii="Times New Roman"/>
                <w:snapToGrid w:val="0"/>
                <w:color w:val="auto"/>
                <w:kern w:val="21"/>
                <w:szCs w:val="21"/>
                <w:highlight w:val="none"/>
                <w:u w:val="none"/>
              </w:rPr>
            </w:pPr>
            <w:r>
              <w:rPr>
                <w:rFonts w:hint="eastAsia" w:ascii="Times New Roman"/>
                <w:snapToGrid w:val="0"/>
                <w:color w:val="auto"/>
                <w:kern w:val="21"/>
                <w:szCs w:val="21"/>
                <w:highlight w:val="none"/>
                <w:u w:val="none"/>
              </w:rPr>
              <w:t>0</w:t>
            </w:r>
          </w:p>
        </w:tc>
        <w:tc>
          <w:tcPr>
            <w:tcW w:w="1761" w:type="dxa"/>
            <w:noWrap w:val="0"/>
            <w:vAlign w:val="center"/>
          </w:tcPr>
          <w:p>
            <w:pPr>
              <w:pStyle w:val="49"/>
              <w:spacing w:beforeLines="0" w:afterLines="0" w:line="240" w:lineRule="auto"/>
              <w:rPr>
                <w:rFonts w:ascii="Times New Roman"/>
                <w:snapToGrid w:val="0"/>
                <w:color w:val="auto"/>
                <w:kern w:val="21"/>
                <w:szCs w:val="21"/>
                <w:highlight w:val="none"/>
                <w:u w:val="none"/>
              </w:rPr>
            </w:pPr>
            <w:r>
              <w:rPr>
                <w:rFonts w:ascii="Times New Roman"/>
                <w:snapToGrid w:val="0"/>
                <w:color w:val="auto"/>
                <w:kern w:val="21"/>
                <w:szCs w:val="21"/>
                <w:highlight w:val="none"/>
                <w:u w:val="none"/>
              </w:rPr>
              <w:t>0</w:t>
            </w:r>
          </w:p>
        </w:tc>
        <w:tc>
          <w:tcPr>
            <w:tcW w:w="1652" w:type="dxa"/>
            <w:noWrap w:val="0"/>
            <w:vAlign w:val="center"/>
          </w:tcPr>
          <w:p>
            <w:pPr>
              <w:pStyle w:val="49"/>
              <w:spacing w:beforeLines="0" w:afterLines="0" w:line="240" w:lineRule="auto"/>
              <w:rPr>
                <w:rFonts w:ascii="Times New Roman"/>
                <w:snapToGrid w:val="0"/>
                <w:color w:val="auto"/>
                <w:kern w:val="21"/>
                <w:szCs w:val="21"/>
                <w:highlight w:val="none"/>
                <w:u w:val="none"/>
              </w:rPr>
            </w:pPr>
            <w:r>
              <w:rPr>
                <w:rFonts w:hint="eastAsia" w:ascii="Times New Roman"/>
                <w:snapToGrid w:val="0"/>
                <w:color w:val="auto"/>
                <w:kern w:val="21"/>
                <w:szCs w:val="21"/>
                <w:highlight w:val="none"/>
                <w:u w:val="none"/>
              </w:rPr>
              <w:t>0</w:t>
            </w:r>
          </w:p>
        </w:tc>
        <w:tc>
          <w:tcPr>
            <w:tcW w:w="1133" w:type="dxa"/>
            <w:noWrap w:val="0"/>
            <w:vAlign w:val="center"/>
          </w:tcPr>
          <w:p>
            <w:pPr>
              <w:pStyle w:val="49"/>
              <w:spacing w:beforeLines="0" w:afterLines="0" w:line="240" w:lineRule="auto"/>
              <w:rPr>
                <w:rFonts w:ascii="Times New Roman"/>
                <w:snapToGrid w:val="0"/>
                <w:color w:val="auto"/>
                <w:kern w:val="21"/>
                <w:szCs w:val="21"/>
                <w:highlight w:val="none"/>
                <w:u w:val="none"/>
              </w:rPr>
            </w:pPr>
            <w:r>
              <w:rPr>
                <w:rFonts w:hint="eastAsia" w:ascii="Times New Roman"/>
                <w:snapToGrid w:val="0"/>
                <w:color w:val="auto"/>
                <w:kern w:val="21"/>
                <w:szCs w:val="21"/>
                <w:highlight w:val="none"/>
                <w:u w:val="none"/>
              </w:rPr>
              <w:t>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noWrap w:val="0"/>
            <w:vAlign w:val="center"/>
          </w:tcPr>
          <w:p>
            <w:pPr>
              <w:pStyle w:val="49"/>
              <w:spacing w:beforeLines="0" w:afterLines="0" w:line="240" w:lineRule="auto"/>
              <w:rPr>
                <w:rFonts w:hint="eastAsia" w:ascii="Times New Roman" w:cs="宋体"/>
                <w:snapToGrid w:val="0"/>
                <w:color w:val="auto"/>
                <w:kern w:val="21"/>
                <w:szCs w:val="21"/>
                <w:highlight w:val="none"/>
                <w:u w:val="none"/>
              </w:rPr>
            </w:pPr>
            <w:r>
              <w:rPr>
                <w:rFonts w:hint="eastAsia" w:ascii="Times New Roman" w:cs="宋体"/>
                <w:snapToGrid w:val="0"/>
                <w:color w:val="auto"/>
                <w:kern w:val="21"/>
                <w:szCs w:val="21"/>
                <w:highlight w:val="none"/>
                <w:u w:val="none"/>
              </w:rPr>
              <w:t>危险废物</w:t>
            </w:r>
          </w:p>
        </w:tc>
        <w:tc>
          <w:tcPr>
            <w:tcW w:w="1417" w:type="dxa"/>
            <w:noWrap w:val="0"/>
            <w:vAlign w:val="center"/>
          </w:tcPr>
          <w:p>
            <w:pPr>
              <w:pStyle w:val="49"/>
              <w:spacing w:beforeLines="0" w:afterLines="0" w:line="240" w:lineRule="auto"/>
              <w:rPr>
                <w:rFonts w:hint="eastAsia" w:ascii="Times New Roman" w:eastAsia="宋体" w:cs="宋体"/>
                <w:snapToGrid w:val="0"/>
                <w:color w:val="auto"/>
                <w:kern w:val="21"/>
                <w:szCs w:val="21"/>
                <w:highlight w:val="none"/>
                <w:u w:val="none"/>
                <w:lang w:val="en-US" w:eastAsia="zh-CN"/>
              </w:rPr>
            </w:pPr>
            <w:r>
              <w:rPr>
                <w:rFonts w:hint="eastAsia" w:ascii="Times New Roman" w:cs="宋体"/>
                <w:snapToGrid w:val="0"/>
                <w:color w:val="auto"/>
                <w:kern w:val="21"/>
                <w:szCs w:val="21"/>
                <w:highlight w:val="none"/>
                <w:u w:val="none"/>
                <w:lang w:val="en-US" w:eastAsia="zh-CN"/>
              </w:rPr>
              <w:t>/</w:t>
            </w:r>
          </w:p>
        </w:tc>
        <w:tc>
          <w:tcPr>
            <w:tcW w:w="1701" w:type="dxa"/>
            <w:noWrap w:val="0"/>
            <w:vAlign w:val="center"/>
          </w:tcPr>
          <w:p>
            <w:pPr>
              <w:pStyle w:val="49"/>
              <w:spacing w:beforeLines="0" w:afterLines="0" w:line="240" w:lineRule="auto"/>
              <w:rPr>
                <w:rFonts w:hint="default" w:ascii="Times New Roman" w:eastAsia="宋体"/>
                <w:snapToGrid w:val="0"/>
                <w:color w:val="auto"/>
                <w:kern w:val="21"/>
                <w:szCs w:val="21"/>
                <w:highlight w:val="none"/>
                <w:u w:val="none"/>
                <w:lang w:val="en-US" w:eastAsia="zh-CN"/>
              </w:rPr>
            </w:pPr>
            <w:r>
              <w:rPr>
                <w:rFonts w:hint="eastAsia" w:ascii="Times New Roman"/>
                <w:snapToGrid w:val="0"/>
                <w:color w:val="auto"/>
                <w:kern w:val="21"/>
                <w:szCs w:val="21"/>
                <w:highlight w:val="none"/>
                <w:u w:val="none"/>
                <w:lang w:val="en-US" w:eastAsia="zh-CN"/>
              </w:rPr>
              <w:t>0</w:t>
            </w:r>
          </w:p>
        </w:tc>
        <w:tc>
          <w:tcPr>
            <w:tcW w:w="1276" w:type="dxa"/>
            <w:noWrap w:val="0"/>
            <w:vAlign w:val="center"/>
          </w:tcPr>
          <w:p>
            <w:pPr>
              <w:pStyle w:val="49"/>
              <w:spacing w:beforeLines="0" w:afterLines="0" w:line="240" w:lineRule="auto"/>
              <w:rPr>
                <w:rFonts w:hint="eastAsia" w:ascii="Times New Roman" w:eastAsia="宋体"/>
                <w:snapToGrid w:val="0"/>
                <w:color w:val="auto"/>
                <w:kern w:val="21"/>
                <w:szCs w:val="21"/>
                <w:highlight w:val="none"/>
                <w:u w:val="none"/>
                <w:lang w:val="en-US" w:eastAsia="zh-CN"/>
              </w:rPr>
            </w:pPr>
            <w:r>
              <w:rPr>
                <w:rFonts w:hint="eastAsia" w:ascii="Times New Roman"/>
                <w:snapToGrid w:val="0"/>
                <w:color w:val="auto"/>
                <w:kern w:val="21"/>
                <w:szCs w:val="21"/>
                <w:highlight w:val="none"/>
                <w:u w:val="none"/>
                <w:lang w:val="en-US" w:eastAsia="zh-CN"/>
              </w:rPr>
              <w:t>0</w:t>
            </w:r>
          </w:p>
        </w:tc>
        <w:tc>
          <w:tcPr>
            <w:tcW w:w="1701" w:type="dxa"/>
            <w:noWrap w:val="0"/>
            <w:vAlign w:val="center"/>
          </w:tcPr>
          <w:p>
            <w:pPr>
              <w:pStyle w:val="49"/>
              <w:spacing w:beforeLines="0" w:afterLines="0" w:line="240" w:lineRule="auto"/>
              <w:rPr>
                <w:rFonts w:hint="eastAsia" w:ascii="Times New Roman" w:eastAsia="宋体"/>
                <w:snapToGrid w:val="0"/>
                <w:color w:val="auto"/>
                <w:kern w:val="21"/>
                <w:szCs w:val="21"/>
                <w:highlight w:val="none"/>
                <w:u w:val="none"/>
                <w:lang w:val="en-US" w:eastAsia="zh-CN"/>
              </w:rPr>
            </w:pPr>
            <w:r>
              <w:rPr>
                <w:rFonts w:hint="eastAsia" w:ascii="Times New Roman"/>
                <w:snapToGrid w:val="0"/>
                <w:color w:val="auto"/>
                <w:kern w:val="21"/>
                <w:szCs w:val="21"/>
                <w:highlight w:val="none"/>
                <w:u w:val="none"/>
                <w:lang w:val="en-US" w:eastAsia="zh-CN"/>
              </w:rPr>
              <w:t>/</w:t>
            </w:r>
          </w:p>
        </w:tc>
        <w:tc>
          <w:tcPr>
            <w:tcW w:w="1559" w:type="dxa"/>
            <w:noWrap w:val="0"/>
            <w:vAlign w:val="center"/>
          </w:tcPr>
          <w:p>
            <w:pPr>
              <w:pStyle w:val="49"/>
              <w:spacing w:beforeLines="0" w:afterLines="0" w:line="240" w:lineRule="auto"/>
              <w:rPr>
                <w:rFonts w:hint="eastAsia" w:ascii="Times New Roman" w:eastAsia="宋体"/>
                <w:snapToGrid w:val="0"/>
                <w:color w:val="auto"/>
                <w:kern w:val="21"/>
                <w:szCs w:val="21"/>
                <w:highlight w:val="none"/>
                <w:u w:val="none"/>
                <w:lang w:val="en-US" w:eastAsia="zh-CN"/>
              </w:rPr>
            </w:pPr>
            <w:r>
              <w:rPr>
                <w:rFonts w:hint="eastAsia" w:ascii="Times New Roman"/>
                <w:snapToGrid w:val="0"/>
                <w:color w:val="auto"/>
                <w:kern w:val="21"/>
                <w:szCs w:val="21"/>
                <w:highlight w:val="none"/>
                <w:u w:val="none"/>
                <w:lang w:val="en-US" w:eastAsia="zh-CN"/>
              </w:rPr>
              <w:t>0</w:t>
            </w:r>
          </w:p>
        </w:tc>
        <w:tc>
          <w:tcPr>
            <w:tcW w:w="1761" w:type="dxa"/>
            <w:noWrap w:val="0"/>
            <w:vAlign w:val="center"/>
          </w:tcPr>
          <w:p>
            <w:pPr>
              <w:pStyle w:val="49"/>
              <w:spacing w:beforeLines="0" w:afterLines="0" w:line="240" w:lineRule="auto"/>
              <w:rPr>
                <w:rFonts w:hint="eastAsia" w:ascii="Times New Roman" w:eastAsia="宋体"/>
                <w:snapToGrid w:val="0"/>
                <w:color w:val="auto"/>
                <w:kern w:val="21"/>
                <w:szCs w:val="21"/>
                <w:highlight w:val="none"/>
                <w:u w:val="none"/>
                <w:lang w:val="en-US" w:eastAsia="zh-CN"/>
              </w:rPr>
            </w:pPr>
            <w:r>
              <w:rPr>
                <w:rFonts w:hint="eastAsia" w:ascii="Times New Roman"/>
                <w:snapToGrid w:val="0"/>
                <w:color w:val="auto"/>
                <w:kern w:val="21"/>
                <w:szCs w:val="21"/>
                <w:highlight w:val="none"/>
                <w:u w:val="none"/>
                <w:lang w:val="en-US" w:eastAsia="zh-CN"/>
              </w:rPr>
              <w:t>0</w:t>
            </w:r>
          </w:p>
        </w:tc>
        <w:tc>
          <w:tcPr>
            <w:tcW w:w="1652" w:type="dxa"/>
            <w:noWrap w:val="0"/>
            <w:vAlign w:val="center"/>
          </w:tcPr>
          <w:p>
            <w:pPr>
              <w:pStyle w:val="49"/>
              <w:spacing w:beforeLines="0" w:afterLines="0" w:line="240" w:lineRule="auto"/>
              <w:rPr>
                <w:rFonts w:hint="default" w:ascii="Times New Roman" w:eastAsia="宋体"/>
                <w:snapToGrid w:val="0"/>
                <w:color w:val="auto"/>
                <w:kern w:val="21"/>
                <w:szCs w:val="21"/>
                <w:highlight w:val="none"/>
                <w:u w:val="none"/>
                <w:lang w:val="en-US" w:eastAsia="zh-CN"/>
              </w:rPr>
            </w:pPr>
            <w:r>
              <w:rPr>
                <w:rFonts w:hint="eastAsia" w:ascii="Times New Roman"/>
                <w:snapToGrid w:val="0"/>
                <w:color w:val="auto"/>
                <w:kern w:val="21"/>
                <w:szCs w:val="21"/>
                <w:highlight w:val="none"/>
                <w:u w:val="none"/>
                <w:lang w:val="en-US" w:eastAsia="zh-CN"/>
              </w:rPr>
              <w:t>0.02</w:t>
            </w:r>
          </w:p>
        </w:tc>
        <w:tc>
          <w:tcPr>
            <w:tcW w:w="1133" w:type="dxa"/>
            <w:noWrap w:val="0"/>
            <w:vAlign w:val="center"/>
          </w:tcPr>
          <w:p>
            <w:pPr>
              <w:pStyle w:val="49"/>
              <w:spacing w:beforeLines="0" w:afterLines="0" w:line="240" w:lineRule="auto"/>
              <w:rPr>
                <w:rFonts w:hint="eastAsia" w:ascii="Times New Roman" w:eastAsia="宋体"/>
                <w:snapToGrid w:val="0"/>
                <w:color w:val="auto"/>
                <w:kern w:val="21"/>
                <w:szCs w:val="21"/>
                <w:highlight w:val="none"/>
                <w:u w:val="none"/>
                <w:lang w:val="en-US" w:eastAsia="zh-CN"/>
              </w:rPr>
            </w:pPr>
            <w:r>
              <w:rPr>
                <w:rFonts w:hint="eastAsia" w:ascii="Times New Roman"/>
                <w:snapToGrid w:val="0"/>
                <w:color w:val="auto"/>
                <w:kern w:val="21"/>
                <w:szCs w:val="21"/>
                <w:highlight w:val="none"/>
                <w:u w:val="none"/>
                <w:lang w:val="en-US" w:eastAsia="zh-CN"/>
              </w:rPr>
              <w:t>0</w:t>
            </w:r>
          </w:p>
        </w:tc>
      </w:tr>
    </w:tbl>
    <w:p>
      <w:pPr>
        <w:pStyle w:val="49"/>
        <w:spacing w:before="192" w:beforeLines="80" w:after="24"/>
        <w:jc w:val="left"/>
        <w:rPr>
          <w:rFonts w:ascii="Times New Roman"/>
          <w:snapToGrid w:val="0"/>
          <w:color w:val="000000"/>
          <w:spacing w:val="-6"/>
          <w:kern w:val="21"/>
          <w:szCs w:val="21"/>
          <w:u w:val="none"/>
        </w:rPr>
      </w:pPr>
      <w:r>
        <w:rPr>
          <w:rFonts w:ascii="Times New Roman"/>
          <w:snapToGrid w:val="0"/>
          <w:color w:val="000000"/>
          <w:kern w:val="21"/>
          <w:szCs w:val="21"/>
          <w:u w:val="none"/>
        </w:rPr>
        <w:t>注：</w:t>
      </w:r>
      <w:r>
        <w:rPr>
          <w:rFonts w:ascii="Times New Roman"/>
          <w:snapToGrid w:val="0"/>
          <w:color w:val="000000"/>
          <w:spacing w:val="-16"/>
          <w:kern w:val="21"/>
          <w:szCs w:val="21"/>
          <w:u w:val="none"/>
        </w:rPr>
        <w:fldChar w:fldCharType="begin"/>
      </w:r>
      <w:r>
        <w:rPr>
          <w:rFonts w:ascii="Times New Roman"/>
          <w:snapToGrid w:val="0"/>
          <w:color w:val="000000"/>
          <w:spacing w:val="-16"/>
          <w:kern w:val="21"/>
          <w:szCs w:val="21"/>
          <w:u w:val="none"/>
        </w:rPr>
        <w:instrText xml:space="preserve"> = 6 \* GB3 \* MERGEFORMAT </w:instrText>
      </w:r>
      <w:r>
        <w:rPr>
          <w:rFonts w:ascii="Times New Roman"/>
          <w:snapToGrid w:val="0"/>
          <w:color w:val="000000"/>
          <w:spacing w:val="-16"/>
          <w:kern w:val="21"/>
          <w:szCs w:val="21"/>
          <w:u w:val="none"/>
        </w:rPr>
        <w:fldChar w:fldCharType="separate"/>
      </w:r>
      <w:r>
        <w:rPr>
          <w:rFonts w:hint="eastAsia" w:ascii="Times New Roman"/>
          <w:color w:val="000000"/>
          <w:szCs w:val="21"/>
          <w:u w:val="none"/>
        </w:rPr>
        <w:t>⑥</w:t>
      </w:r>
      <w:r>
        <w:rPr>
          <w:rFonts w:ascii="Times New Roman"/>
          <w:snapToGrid w:val="0"/>
          <w:color w:val="000000"/>
          <w:spacing w:val="-16"/>
          <w:kern w:val="21"/>
          <w:szCs w:val="21"/>
          <w:u w:val="none"/>
        </w:rPr>
        <w:fldChar w:fldCharType="end"/>
      </w:r>
      <w:r>
        <w:rPr>
          <w:rFonts w:ascii="Times New Roman"/>
          <w:snapToGrid w:val="0"/>
          <w:color w:val="000000"/>
          <w:spacing w:val="-16"/>
          <w:kern w:val="21"/>
          <w:szCs w:val="21"/>
          <w:u w:val="none"/>
        </w:rPr>
        <w:t>=</w:t>
      </w:r>
      <w:r>
        <w:rPr>
          <w:rFonts w:ascii="Times New Roman"/>
          <w:snapToGrid w:val="0"/>
          <w:color w:val="000000"/>
          <w:spacing w:val="-6"/>
          <w:kern w:val="21"/>
          <w:szCs w:val="21"/>
          <w:u w:val="none"/>
        </w:rPr>
        <w:fldChar w:fldCharType="begin"/>
      </w:r>
      <w:r>
        <w:rPr>
          <w:rFonts w:ascii="Times New Roman"/>
          <w:snapToGrid w:val="0"/>
          <w:color w:val="000000"/>
          <w:spacing w:val="-6"/>
          <w:kern w:val="21"/>
          <w:szCs w:val="21"/>
          <w:u w:val="none"/>
        </w:rPr>
        <w:instrText xml:space="preserve"> = 1 \* GB3 \* MERGEFORMAT </w:instrText>
      </w:r>
      <w:r>
        <w:rPr>
          <w:rFonts w:ascii="Times New Roman"/>
          <w:snapToGrid w:val="0"/>
          <w:color w:val="000000"/>
          <w:spacing w:val="-6"/>
          <w:kern w:val="21"/>
          <w:szCs w:val="21"/>
          <w:u w:val="none"/>
        </w:rPr>
        <w:fldChar w:fldCharType="separate"/>
      </w:r>
      <w:r>
        <w:rPr>
          <w:rFonts w:hint="eastAsia" w:ascii="Times New Roman"/>
          <w:color w:val="000000"/>
          <w:szCs w:val="21"/>
          <w:u w:val="none"/>
        </w:rPr>
        <w:t>①</w:t>
      </w:r>
      <w:r>
        <w:rPr>
          <w:rFonts w:ascii="Times New Roman"/>
          <w:snapToGrid w:val="0"/>
          <w:color w:val="000000"/>
          <w:spacing w:val="-6"/>
          <w:kern w:val="21"/>
          <w:szCs w:val="21"/>
          <w:u w:val="none"/>
        </w:rPr>
        <w:fldChar w:fldCharType="end"/>
      </w:r>
      <w:r>
        <w:rPr>
          <w:rFonts w:ascii="Times New Roman"/>
          <w:snapToGrid w:val="0"/>
          <w:color w:val="000000"/>
          <w:spacing w:val="-6"/>
          <w:kern w:val="21"/>
          <w:szCs w:val="21"/>
          <w:u w:val="none"/>
        </w:rPr>
        <w:t>+</w:t>
      </w:r>
      <w:r>
        <w:rPr>
          <w:rFonts w:ascii="Times New Roman"/>
          <w:snapToGrid w:val="0"/>
          <w:color w:val="000000"/>
          <w:spacing w:val="-6"/>
          <w:kern w:val="21"/>
          <w:szCs w:val="21"/>
          <w:u w:val="none"/>
        </w:rPr>
        <w:fldChar w:fldCharType="begin"/>
      </w:r>
      <w:r>
        <w:rPr>
          <w:rFonts w:ascii="Times New Roman"/>
          <w:snapToGrid w:val="0"/>
          <w:color w:val="000000"/>
          <w:spacing w:val="-6"/>
          <w:kern w:val="21"/>
          <w:szCs w:val="21"/>
          <w:u w:val="none"/>
        </w:rPr>
        <w:instrText xml:space="preserve"> = 3 \* GB3 \* MERGEFORMAT </w:instrText>
      </w:r>
      <w:r>
        <w:rPr>
          <w:rFonts w:ascii="Times New Roman"/>
          <w:snapToGrid w:val="0"/>
          <w:color w:val="000000"/>
          <w:spacing w:val="-6"/>
          <w:kern w:val="21"/>
          <w:szCs w:val="21"/>
          <w:u w:val="none"/>
        </w:rPr>
        <w:fldChar w:fldCharType="separate"/>
      </w:r>
      <w:r>
        <w:rPr>
          <w:rFonts w:hint="eastAsia" w:ascii="Times New Roman"/>
          <w:color w:val="000000"/>
          <w:szCs w:val="21"/>
          <w:u w:val="none"/>
        </w:rPr>
        <w:t>③</w:t>
      </w:r>
      <w:r>
        <w:rPr>
          <w:rFonts w:ascii="Times New Roman"/>
          <w:snapToGrid w:val="0"/>
          <w:color w:val="000000"/>
          <w:spacing w:val="-6"/>
          <w:kern w:val="21"/>
          <w:szCs w:val="21"/>
          <w:u w:val="none"/>
        </w:rPr>
        <w:fldChar w:fldCharType="end"/>
      </w:r>
      <w:r>
        <w:rPr>
          <w:rFonts w:ascii="Times New Roman"/>
          <w:snapToGrid w:val="0"/>
          <w:color w:val="000000"/>
          <w:spacing w:val="-6"/>
          <w:kern w:val="21"/>
          <w:szCs w:val="21"/>
          <w:u w:val="none"/>
        </w:rPr>
        <w:t>+</w:t>
      </w:r>
      <w:r>
        <w:rPr>
          <w:rFonts w:ascii="Times New Roman"/>
          <w:snapToGrid w:val="0"/>
          <w:color w:val="000000"/>
          <w:spacing w:val="-6"/>
          <w:kern w:val="21"/>
          <w:szCs w:val="21"/>
          <w:u w:val="none"/>
        </w:rPr>
        <w:fldChar w:fldCharType="begin"/>
      </w:r>
      <w:r>
        <w:rPr>
          <w:rFonts w:ascii="Times New Roman"/>
          <w:snapToGrid w:val="0"/>
          <w:color w:val="000000"/>
          <w:spacing w:val="-6"/>
          <w:kern w:val="21"/>
          <w:szCs w:val="21"/>
          <w:u w:val="none"/>
        </w:rPr>
        <w:instrText xml:space="preserve"> = 4 \* GB3 \* MERGEFORMAT </w:instrText>
      </w:r>
      <w:r>
        <w:rPr>
          <w:rFonts w:ascii="Times New Roman"/>
          <w:snapToGrid w:val="0"/>
          <w:color w:val="000000"/>
          <w:spacing w:val="-6"/>
          <w:kern w:val="21"/>
          <w:szCs w:val="21"/>
          <w:u w:val="none"/>
        </w:rPr>
        <w:fldChar w:fldCharType="separate"/>
      </w:r>
      <w:r>
        <w:rPr>
          <w:rFonts w:hint="eastAsia" w:ascii="Times New Roman"/>
          <w:color w:val="000000"/>
          <w:szCs w:val="21"/>
          <w:u w:val="none"/>
        </w:rPr>
        <w:t>④</w:t>
      </w:r>
      <w:r>
        <w:rPr>
          <w:rFonts w:ascii="Times New Roman"/>
          <w:snapToGrid w:val="0"/>
          <w:color w:val="000000"/>
          <w:spacing w:val="-6"/>
          <w:kern w:val="21"/>
          <w:szCs w:val="21"/>
          <w:u w:val="none"/>
        </w:rPr>
        <w:fldChar w:fldCharType="end"/>
      </w:r>
      <w:r>
        <w:rPr>
          <w:rFonts w:ascii="Times New Roman"/>
          <w:snapToGrid w:val="0"/>
          <w:color w:val="000000"/>
          <w:spacing w:val="-6"/>
          <w:kern w:val="21"/>
          <w:szCs w:val="21"/>
          <w:u w:val="none"/>
        </w:rPr>
        <w:t>-</w:t>
      </w:r>
      <w:r>
        <w:rPr>
          <w:rFonts w:ascii="Times New Roman"/>
          <w:snapToGrid w:val="0"/>
          <w:color w:val="000000"/>
          <w:spacing w:val="-16"/>
          <w:kern w:val="21"/>
          <w:szCs w:val="21"/>
          <w:u w:val="none"/>
        </w:rPr>
        <w:fldChar w:fldCharType="begin"/>
      </w:r>
      <w:r>
        <w:rPr>
          <w:rFonts w:ascii="Times New Roman"/>
          <w:snapToGrid w:val="0"/>
          <w:color w:val="000000"/>
          <w:spacing w:val="-16"/>
          <w:kern w:val="21"/>
          <w:szCs w:val="21"/>
          <w:u w:val="none"/>
        </w:rPr>
        <w:instrText xml:space="preserve"> = 5 \* GB3 \* MERGEFORMAT </w:instrText>
      </w:r>
      <w:r>
        <w:rPr>
          <w:rFonts w:ascii="Times New Roman"/>
          <w:snapToGrid w:val="0"/>
          <w:color w:val="000000"/>
          <w:spacing w:val="-16"/>
          <w:kern w:val="21"/>
          <w:szCs w:val="21"/>
          <w:u w:val="none"/>
        </w:rPr>
        <w:fldChar w:fldCharType="separate"/>
      </w:r>
      <w:r>
        <w:rPr>
          <w:rFonts w:hint="eastAsia" w:ascii="Times New Roman"/>
          <w:color w:val="000000"/>
          <w:szCs w:val="21"/>
          <w:u w:val="none"/>
        </w:rPr>
        <w:t>⑤</w:t>
      </w:r>
      <w:r>
        <w:rPr>
          <w:rFonts w:ascii="Times New Roman"/>
          <w:snapToGrid w:val="0"/>
          <w:color w:val="000000"/>
          <w:spacing w:val="-16"/>
          <w:kern w:val="21"/>
          <w:szCs w:val="21"/>
          <w:u w:val="none"/>
        </w:rPr>
        <w:fldChar w:fldCharType="end"/>
      </w:r>
      <w:r>
        <w:rPr>
          <w:rFonts w:ascii="Times New Roman"/>
          <w:snapToGrid w:val="0"/>
          <w:color w:val="000000"/>
          <w:spacing w:val="-16"/>
          <w:kern w:val="21"/>
          <w:szCs w:val="21"/>
          <w:u w:val="none"/>
        </w:rPr>
        <w:t>；</w:t>
      </w:r>
      <w:r>
        <w:rPr>
          <w:rFonts w:ascii="Times New Roman"/>
          <w:snapToGrid w:val="0"/>
          <w:color w:val="000000"/>
          <w:spacing w:val="-6"/>
          <w:kern w:val="21"/>
          <w:szCs w:val="21"/>
          <w:u w:val="none"/>
        </w:rPr>
        <w:fldChar w:fldCharType="begin"/>
      </w:r>
      <w:r>
        <w:rPr>
          <w:rFonts w:ascii="Times New Roman"/>
          <w:snapToGrid w:val="0"/>
          <w:color w:val="000000"/>
          <w:spacing w:val="-6"/>
          <w:kern w:val="21"/>
          <w:szCs w:val="21"/>
          <w:u w:val="none"/>
        </w:rPr>
        <w:instrText xml:space="preserve"> = 7 \* GB3 \* MERGEFORMAT </w:instrText>
      </w:r>
      <w:r>
        <w:rPr>
          <w:rFonts w:ascii="Times New Roman"/>
          <w:snapToGrid w:val="0"/>
          <w:color w:val="000000"/>
          <w:spacing w:val="-6"/>
          <w:kern w:val="21"/>
          <w:szCs w:val="21"/>
          <w:u w:val="none"/>
        </w:rPr>
        <w:fldChar w:fldCharType="separate"/>
      </w:r>
      <w:r>
        <w:rPr>
          <w:rFonts w:hint="eastAsia" w:ascii="Times New Roman"/>
          <w:color w:val="000000"/>
          <w:szCs w:val="21"/>
          <w:u w:val="none"/>
        </w:rPr>
        <w:t>⑦</w:t>
      </w:r>
      <w:r>
        <w:rPr>
          <w:rFonts w:ascii="Times New Roman"/>
          <w:snapToGrid w:val="0"/>
          <w:color w:val="000000"/>
          <w:spacing w:val="-6"/>
          <w:kern w:val="21"/>
          <w:szCs w:val="21"/>
          <w:u w:val="none"/>
        </w:rPr>
        <w:fldChar w:fldCharType="end"/>
      </w:r>
      <w:r>
        <w:rPr>
          <w:rFonts w:ascii="Times New Roman"/>
          <w:snapToGrid w:val="0"/>
          <w:color w:val="000000"/>
          <w:spacing w:val="-6"/>
          <w:kern w:val="21"/>
          <w:szCs w:val="21"/>
          <w:u w:val="none"/>
        </w:rPr>
        <w:t>=</w:t>
      </w:r>
      <w:r>
        <w:rPr>
          <w:rFonts w:ascii="Times New Roman"/>
          <w:snapToGrid w:val="0"/>
          <w:color w:val="000000"/>
          <w:spacing w:val="-16"/>
          <w:kern w:val="21"/>
          <w:szCs w:val="21"/>
          <w:u w:val="none"/>
        </w:rPr>
        <w:fldChar w:fldCharType="begin"/>
      </w:r>
      <w:r>
        <w:rPr>
          <w:rFonts w:ascii="Times New Roman"/>
          <w:snapToGrid w:val="0"/>
          <w:color w:val="000000"/>
          <w:spacing w:val="-16"/>
          <w:kern w:val="21"/>
          <w:szCs w:val="21"/>
          <w:u w:val="none"/>
        </w:rPr>
        <w:instrText xml:space="preserve"> = 6 \* GB3 \* MERGEFORMAT </w:instrText>
      </w:r>
      <w:r>
        <w:rPr>
          <w:rFonts w:ascii="Times New Roman"/>
          <w:snapToGrid w:val="0"/>
          <w:color w:val="000000"/>
          <w:spacing w:val="-16"/>
          <w:kern w:val="21"/>
          <w:szCs w:val="21"/>
          <w:u w:val="none"/>
        </w:rPr>
        <w:fldChar w:fldCharType="separate"/>
      </w:r>
      <w:r>
        <w:rPr>
          <w:rFonts w:hint="eastAsia" w:ascii="Times New Roman"/>
          <w:color w:val="000000"/>
          <w:szCs w:val="21"/>
          <w:u w:val="none"/>
        </w:rPr>
        <w:t>⑥</w:t>
      </w:r>
      <w:r>
        <w:rPr>
          <w:rFonts w:ascii="Times New Roman"/>
          <w:snapToGrid w:val="0"/>
          <w:color w:val="000000"/>
          <w:spacing w:val="-16"/>
          <w:kern w:val="21"/>
          <w:szCs w:val="21"/>
          <w:u w:val="none"/>
        </w:rPr>
        <w:fldChar w:fldCharType="end"/>
      </w:r>
      <w:r>
        <w:rPr>
          <w:rFonts w:ascii="Times New Roman"/>
          <w:snapToGrid w:val="0"/>
          <w:color w:val="000000"/>
          <w:spacing w:val="-16"/>
          <w:kern w:val="21"/>
          <w:szCs w:val="21"/>
          <w:u w:val="none"/>
        </w:rPr>
        <w:t>-</w:t>
      </w:r>
      <w:r>
        <w:rPr>
          <w:rFonts w:ascii="Times New Roman"/>
          <w:snapToGrid w:val="0"/>
          <w:color w:val="000000"/>
          <w:spacing w:val="-6"/>
          <w:kern w:val="21"/>
          <w:szCs w:val="21"/>
          <w:u w:val="none"/>
        </w:rPr>
        <w:fldChar w:fldCharType="begin"/>
      </w:r>
      <w:r>
        <w:rPr>
          <w:rFonts w:ascii="Times New Roman"/>
          <w:snapToGrid w:val="0"/>
          <w:color w:val="000000"/>
          <w:spacing w:val="-6"/>
          <w:kern w:val="21"/>
          <w:szCs w:val="21"/>
          <w:u w:val="none"/>
        </w:rPr>
        <w:instrText xml:space="preserve"> = 1 \* GB3 \* MERGEFORMAT </w:instrText>
      </w:r>
      <w:r>
        <w:rPr>
          <w:rFonts w:ascii="Times New Roman"/>
          <w:snapToGrid w:val="0"/>
          <w:color w:val="000000"/>
          <w:spacing w:val="-6"/>
          <w:kern w:val="21"/>
          <w:szCs w:val="21"/>
          <w:u w:val="none"/>
        </w:rPr>
        <w:fldChar w:fldCharType="separate"/>
      </w:r>
      <w:r>
        <w:rPr>
          <w:rFonts w:hint="eastAsia" w:ascii="Times New Roman"/>
          <w:color w:val="000000"/>
          <w:szCs w:val="21"/>
          <w:u w:val="none"/>
        </w:rPr>
        <w:t>①</w:t>
      </w:r>
      <w:r>
        <w:rPr>
          <w:rFonts w:ascii="Times New Roman"/>
          <w:snapToGrid w:val="0"/>
          <w:color w:val="000000"/>
          <w:spacing w:val="-6"/>
          <w:kern w:val="21"/>
          <w:szCs w:val="21"/>
          <w:u w:val="none"/>
        </w:rPr>
        <w:fldChar w:fldCharType="end"/>
      </w:r>
    </w:p>
    <w:p>
      <w:pPr>
        <w:rPr>
          <w:rFonts w:ascii="Times New Roman"/>
          <w:snapToGrid w:val="0"/>
          <w:color w:val="000000"/>
          <w:spacing w:val="-6"/>
          <w:kern w:val="21"/>
          <w:szCs w:val="21"/>
          <w:u w:val="none"/>
        </w:rPr>
      </w:pPr>
    </w:p>
    <w:p>
      <w:pPr>
        <w:rPr>
          <w:rFonts w:ascii="Times New Roman"/>
          <w:snapToGrid w:val="0"/>
          <w:color w:val="000000"/>
          <w:spacing w:val="-6"/>
          <w:kern w:val="21"/>
          <w:szCs w:val="21"/>
          <w:u w:val="none"/>
        </w:rPr>
      </w:pPr>
    </w:p>
    <w:p>
      <w:pPr>
        <w:rPr>
          <w:rFonts w:ascii="Times New Roman"/>
          <w:snapToGrid w:val="0"/>
          <w:color w:val="000000"/>
          <w:spacing w:val="-6"/>
          <w:kern w:val="21"/>
          <w:szCs w:val="21"/>
          <w:u w:val="none"/>
        </w:rPr>
      </w:pPr>
    </w:p>
    <w:p>
      <w:pPr>
        <w:rPr>
          <w:rFonts w:ascii="Times New Roman"/>
          <w:snapToGrid w:val="0"/>
          <w:color w:val="000000"/>
          <w:spacing w:val="-6"/>
          <w:kern w:val="21"/>
          <w:szCs w:val="21"/>
          <w:u w:val="none"/>
        </w:rPr>
      </w:pPr>
    </w:p>
    <w:p>
      <w:pPr>
        <w:rPr>
          <w:rFonts w:ascii="Times New Roman"/>
          <w:snapToGrid w:val="0"/>
          <w:color w:val="000000"/>
          <w:spacing w:val="-6"/>
          <w:kern w:val="21"/>
          <w:szCs w:val="21"/>
          <w:u w:val="none"/>
        </w:rPr>
      </w:pPr>
    </w:p>
    <w:p>
      <w:pPr>
        <w:rPr>
          <w:rFonts w:ascii="Times New Roman"/>
          <w:snapToGrid w:val="0"/>
          <w:color w:val="000000"/>
          <w:spacing w:val="-6"/>
          <w:kern w:val="21"/>
          <w:szCs w:val="21"/>
          <w:u w:val="none"/>
        </w:rPr>
      </w:pPr>
    </w:p>
    <w:p>
      <w:pPr>
        <w:rPr>
          <w:rFonts w:ascii="Times New Roman"/>
          <w:snapToGrid w:val="0"/>
          <w:color w:val="000000"/>
          <w:spacing w:val="-6"/>
          <w:kern w:val="21"/>
          <w:szCs w:val="21"/>
          <w:u w:val="none"/>
        </w:rPr>
      </w:pPr>
    </w:p>
    <w:p>
      <w:pPr>
        <w:pStyle w:val="2"/>
      </w:pPr>
    </w:p>
    <w:p>
      <w:pPr>
        <w:rPr>
          <w:rFonts w:hint="default" w:ascii="Times New Roman" w:eastAsia="宋体"/>
          <w:snapToGrid w:val="0"/>
          <w:color w:val="000000"/>
          <w:spacing w:val="-6"/>
          <w:kern w:val="21"/>
          <w:szCs w:val="21"/>
          <w:u w:val="none"/>
          <w:lang w:val="en-US" w:eastAsia="zh-CN"/>
        </w:rPr>
      </w:pPr>
      <w:r>
        <w:rPr>
          <w:rFonts w:hint="eastAsia" w:ascii="Times New Roman"/>
          <w:snapToGrid w:val="0"/>
          <w:color w:val="000000"/>
          <w:spacing w:val="-6"/>
          <w:kern w:val="21"/>
          <w:szCs w:val="21"/>
          <w:u w:val="none"/>
          <w:lang w:val="en-US" w:eastAsia="zh-CN"/>
        </w:rPr>
        <w:t>附图1项目地理位置示意图</w:t>
      </w:r>
    </w:p>
    <w:p>
      <w:pPr>
        <w:rPr>
          <w:u w:val="none"/>
        </w:rPr>
      </w:pPr>
      <w:r>
        <w:rPr>
          <w:rFonts w:hint="eastAsia" w:eastAsia="黑体"/>
          <w:color w:val="000000"/>
          <w:u w:val="none"/>
          <w:lang w:eastAsia="zh-CN"/>
        </w:rPr>
        <w:drawing>
          <wp:anchor distT="0" distB="0" distL="114300" distR="114300" simplePos="0" relativeHeight="251661312" behindDoc="0" locked="0" layoutInCell="1" allowOverlap="1">
            <wp:simplePos x="0" y="0"/>
            <wp:positionH relativeFrom="column">
              <wp:posOffset>8128000</wp:posOffset>
            </wp:positionH>
            <wp:positionV relativeFrom="paragraph">
              <wp:posOffset>7620</wp:posOffset>
            </wp:positionV>
            <wp:extent cx="598805" cy="855345"/>
            <wp:effectExtent l="0" t="0" r="0" b="0"/>
            <wp:wrapNone/>
            <wp:docPr id="141" name="图片 1154" descr="指北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154" descr="指北针"/>
                    <pic:cNvPicPr>
                      <a:picLocks noChangeAspect="1"/>
                    </pic:cNvPicPr>
                  </pic:nvPicPr>
                  <pic:blipFill>
                    <a:blip r:embed="rId35"/>
                    <a:stretch>
                      <a:fillRect/>
                    </a:stretch>
                  </pic:blipFill>
                  <pic:spPr>
                    <a:xfrm>
                      <a:off x="0" y="0"/>
                      <a:ext cx="598805" cy="855345"/>
                    </a:xfrm>
                    <a:prstGeom prst="rect">
                      <a:avLst/>
                    </a:prstGeom>
                    <a:noFill/>
                    <a:ln>
                      <a:noFill/>
                    </a:ln>
                  </pic:spPr>
                </pic:pic>
              </a:graphicData>
            </a:graphic>
          </wp:anchor>
        </w:drawing>
      </w:r>
      <w:r>
        <w:drawing>
          <wp:inline distT="0" distB="0" distL="114300" distR="114300">
            <wp:extent cx="8742680" cy="4915535"/>
            <wp:effectExtent l="0" t="0" r="7620" b="12065"/>
            <wp:docPr id="4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
                    <pic:cNvPicPr>
                      <a:picLocks noChangeAspect="1"/>
                    </pic:cNvPicPr>
                  </pic:nvPicPr>
                  <pic:blipFill>
                    <a:blip r:embed="rId36"/>
                    <a:stretch>
                      <a:fillRect/>
                    </a:stretch>
                  </pic:blipFill>
                  <pic:spPr>
                    <a:xfrm>
                      <a:off x="0" y="0"/>
                      <a:ext cx="8742680" cy="4915535"/>
                    </a:xfrm>
                    <a:prstGeom prst="rect">
                      <a:avLst/>
                    </a:prstGeom>
                    <a:noFill/>
                    <a:ln>
                      <a:noFill/>
                    </a:ln>
                  </pic:spPr>
                </pic:pic>
              </a:graphicData>
            </a:graphic>
          </wp:inline>
        </w:drawing>
      </w:r>
    </w:p>
    <w:p>
      <w:pPr>
        <w:rPr>
          <w:u w:val="none"/>
        </w:rPr>
      </w:pPr>
    </w:p>
    <w:p>
      <w:pPr>
        <w:rPr>
          <w:u w:val="none"/>
        </w:rPr>
      </w:pPr>
    </w:p>
    <w:p>
      <w:pPr>
        <w:rPr>
          <w:rFonts w:hint="eastAsia"/>
          <w:u w:val="none"/>
          <w:lang w:val="en-US" w:eastAsia="zh-CN"/>
        </w:rPr>
      </w:pPr>
      <w:r>
        <w:rPr>
          <w:rFonts w:hint="eastAsia"/>
          <w:u w:val="none"/>
          <w:lang w:val="en-US" w:eastAsia="zh-CN"/>
        </w:rPr>
        <w:t>附图2大气环境敏感目标分布图</w:t>
      </w:r>
    </w:p>
    <w:p>
      <w:pPr>
        <w:rPr>
          <w:rFonts w:hint="default"/>
          <w:u w:val="none"/>
          <w:lang w:val="en-US" w:eastAsia="zh-CN"/>
        </w:rPr>
      </w:pPr>
      <w:r>
        <w:drawing>
          <wp:anchor distT="0" distB="0" distL="114300" distR="114300" simplePos="0" relativeHeight="251674624" behindDoc="0" locked="0" layoutInCell="1" allowOverlap="1">
            <wp:simplePos x="0" y="0"/>
            <wp:positionH relativeFrom="column">
              <wp:posOffset>41275</wp:posOffset>
            </wp:positionH>
            <wp:positionV relativeFrom="paragraph">
              <wp:posOffset>3790315</wp:posOffset>
            </wp:positionV>
            <wp:extent cx="2261235" cy="1040765"/>
            <wp:effectExtent l="0" t="0" r="12065" b="635"/>
            <wp:wrapNone/>
            <wp:docPr id="5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3"/>
                    <pic:cNvPicPr>
                      <a:picLocks noChangeAspect="1"/>
                    </pic:cNvPicPr>
                  </pic:nvPicPr>
                  <pic:blipFill>
                    <a:blip r:embed="rId37"/>
                    <a:stretch>
                      <a:fillRect/>
                    </a:stretch>
                  </pic:blipFill>
                  <pic:spPr>
                    <a:xfrm>
                      <a:off x="0" y="0"/>
                      <a:ext cx="2261235" cy="1040765"/>
                    </a:xfrm>
                    <a:prstGeom prst="rect">
                      <a:avLst/>
                    </a:prstGeom>
                    <a:noFill/>
                    <a:ln>
                      <a:noFill/>
                    </a:ln>
                  </pic:spPr>
                </pic:pic>
              </a:graphicData>
            </a:graphic>
          </wp:anchor>
        </w:drawing>
      </w:r>
      <w:r>
        <w:rPr>
          <w:rFonts w:hint="eastAsia" w:eastAsia="黑体"/>
          <w:color w:val="000000"/>
          <w:u w:val="none"/>
          <w:lang w:eastAsia="zh-CN"/>
        </w:rPr>
        <w:drawing>
          <wp:anchor distT="0" distB="0" distL="114300" distR="114300" simplePos="0" relativeHeight="251662336" behindDoc="0" locked="0" layoutInCell="1" allowOverlap="1">
            <wp:simplePos x="0" y="0"/>
            <wp:positionH relativeFrom="column">
              <wp:posOffset>8104505</wp:posOffset>
            </wp:positionH>
            <wp:positionV relativeFrom="paragraph">
              <wp:posOffset>48260</wp:posOffset>
            </wp:positionV>
            <wp:extent cx="598805" cy="855345"/>
            <wp:effectExtent l="0" t="0" r="0" b="0"/>
            <wp:wrapNone/>
            <wp:docPr id="142" name="图片 1155" descr="指北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155" descr="指北针"/>
                    <pic:cNvPicPr>
                      <a:picLocks noChangeAspect="1"/>
                    </pic:cNvPicPr>
                  </pic:nvPicPr>
                  <pic:blipFill>
                    <a:blip r:embed="rId35"/>
                    <a:stretch>
                      <a:fillRect/>
                    </a:stretch>
                  </pic:blipFill>
                  <pic:spPr>
                    <a:xfrm>
                      <a:off x="0" y="0"/>
                      <a:ext cx="598805" cy="855345"/>
                    </a:xfrm>
                    <a:prstGeom prst="rect">
                      <a:avLst/>
                    </a:prstGeom>
                    <a:noFill/>
                    <a:ln>
                      <a:noFill/>
                    </a:ln>
                  </pic:spPr>
                </pic:pic>
              </a:graphicData>
            </a:graphic>
          </wp:anchor>
        </w:drawing>
      </w:r>
      <w:r>
        <w:drawing>
          <wp:inline distT="0" distB="0" distL="114300" distR="114300">
            <wp:extent cx="8745855" cy="4878705"/>
            <wp:effectExtent l="0" t="0" r="4445" b="10795"/>
            <wp:docPr id="5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4"/>
                    <pic:cNvPicPr>
                      <a:picLocks noChangeAspect="1"/>
                    </pic:cNvPicPr>
                  </pic:nvPicPr>
                  <pic:blipFill>
                    <a:blip r:embed="rId38"/>
                    <a:stretch>
                      <a:fillRect/>
                    </a:stretch>
                  </pic:blipFill>
                  <pic:spPr>
                    <a:xfrm>
                      <a:off x="0" y="0"/>
                      <a:ext cx="8745855" cy="4878705"/>
                    </a:xfrm>
                    <a:prstGeom prst="rect">
                      <a:avLst/>
                    </a:prstGeom>
                    <a:noFill/>
                    <a:ln>
                      <a:noFill/>
                    </a:ln>
                  </pic:spPr>
                </pic:pic>
              </a:graphicData>
            </a:graphic>
          </wp:inline>
        </w:drawing>
      </w:r>
    </w:p>
    <w:p>
      <w:pPr>
        <w:rPr>
          <w:rFonts w:hint="default"/>
          <w:u w:val="none"/>
          <w:lang w:val="en-US" w:eastAsia="zh-CN"/>
        </w:rPr>
      </w:pPr>
    </w:p>
    <w:p>
      <w:pPr>
        <w:rPr>
          <w:rFonts w:hint="eastAsia"/>
          <w:u w:val="none"/>
          <w:lang w:val="en-US" w:eastAsia="zh-CN"/>
        </w:rPr>
      </w:pPr>
      <w:r>
        <w:rPr>
          <w:rFonts w:hint="eastAsia"/>
          <w:u w:val="none"/>
          <w:lang w:val="en-US" w:eastAsia="zh-CN"/>
        </w:rPr>
        <w:t>附图3厂区平面布局图</w:t>
      </w:r>
    </w:p>
    <w:p>
      <w:pPr>
        <w:rPr>
          <w:u w:val="none"/>
        </w:rPr>
        <w:sectPr>
          <w:footerReference r:id="rId5" w:type="default"/>
          <w:pgSz w:w="16838" w:h="11906" w:orient="landscape"/>
          <w:pgMar w:top="1701" w:right="1531" w:bottom="1701" w:left="1531" w:header="851" w:footer="850" w:gutter="0"/>
          <w:pgBorders>
            <w:top w:val="none" w:sz="0" w:space="0"/>
            <w:left w:val="none" w:sz="0" w:space="0"/>
            <w:bottom w:val="none" w:sz="0" w:space="0"/>
            <w:right w:val="none" w:sz="0" w:space="0"/>
          </w:pgBorders>
          <w:pgNumType w:fmt="decimal"/>
          <w:cols w:space="720" w:num="1"/>
          <w:docGrid w:linePitch="312" w:charSpace="0"/>
        </w:sectPr>
      </w:pPr>
      <w:r>
        <w:drawing>
          <wp:inline distT="0" distB="0" distL="114300" distR="114300">
            <wp:extent cx="7120890" cy="5158740"/>
            <wp:effectExtent l="0" t="0" r="3810" b="10160"/>
            <wp:docPr id="5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
                    <pic:cNvPicPr>
                      <a:picLocks noChangeAspect="1"/>
                    </pic:cNvPicPr>
                  </pic:nvPicPr>
                  <pic:blipFill>
                    <a:blip r:embed="rId39"/>
                    <a:stretch>
                      <a:fillRect/>
                    </a:stretch>
                  </pic:blipFill>
                  <pic:spPr>
                    <a:xfrm>
                      <a:off x="0" y="0"/>
                      <a:ext cx="7120890" cy="5158740"/>
                    </a:xfrm>
                    <a:prstGeom prst="rect">
                      <a:avLst/>
                    </a:prstGeom>
                    <a:noFill/>
                    <a:ln>
                      <a:noFill/>
                    </a:ln>
                  </pic:spPr>
                </pic:pic>
              </a:graphicData>
            </a:graphic>
          </wp:inline>
        </w:drawing>
      </w:r>
      <w:r>
        <w:rPr>
          <w:rFonts w:hint="eastAsia" w:eastAsia="黑体"/>
          <w:color w:val="000000"/>
          <w:u w:val="none"/>
          <w:lang w:eastAsia="zh-CN"/>
        </w:rPr>
        <w:drawing>
          <wp:anchor distT="0" distB="0" distL="114300" distR="114300" simplePos="0" relativeHeight="251675648" behindDoc="0" locked="0" layoutInCell="1" allowOverlap="1">
            <wp:simplePos x="0" y="0"/>
            <wp:positionH relativeFrom="column">
              <wp:posOffset>8104505</wp:posOffset>
            </wp:positionH>
            <wp:positionV relativeFrom="paragraph">
              <wp:posOffset>201295</wp:posOffset>
            </wp:positionV>
            <wp:extent cx="598805" cy="855345"/>
            <wp:effectExtent l="92710" t="205105" r="93345" b="212090"/>
            <wp:wrapNone/>
            <wp:docPr id="54" name="图片 1155" descr="指北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155" descr="指北针"/>
                    <pic:cNvPicPr>
                      <a:picLocks noChangeAspect="1"/>
                    </pic:cNvPicPr>
                  </pic:nvPicPr>
                  <pic:blipFill>
                    <a:blip r:embed="rId35"/>
                    <a:stretch>
                      <a:fillRect/>
                    </a:stretch>
                  </pic:blipFill>
                  <pic:spPr>
                    <a:xfrm rot="17820000">
                      <a:off x="0" y="0"/>
                      <a:ext cx="598805" cy="855345"/>
                    </a:xfrm>
                    <a:prstGeom prst="rect">
                      <a:avLst/>
                    </a:prstGeom>
                    <a:noFill/>
                    <a:ln>
                      <a:noFill/>
                    </a:ln>
                  </pic:spPr>
                </pic:pic>
              </a:graphicData>
            </a:graphic>
          </wp:anchor>
        </w:drawing>
      </w:r>
    </w:p>
    <w:p>
      <w:pPr>
        <w:pStyle w:val="29"/>
        <w:ind w:left="0" w:leftChars="0" w:firstLine="0" w:firstLineChars="0"/>
        <w:rPr>
          <w:rFonts w:hint="eastAsia"/>
          <w:lang w:val="en-US" w:eastAsia="zh-CN"/>
        </w:rPr>
      </w:pPr>
      <w:r>
        <w:rPr>
          <w:rFonts w:hint="eastAsia"/>
          <w:lang w:val="en-US" w:eastAsia="zh-CN"/>
        </w:rPr>
        <w:t>附图4环境质量现状监测点位图</w:t>
      </w:r>
    </w:p>
    <w:p>
      <w:pPr>
        <w:rPr>
          <w:rFonts w:hint="eastAsia"/>
          <w:lang w:val="en-US" w:eastAsia="zh-CN"/>
        </w:rPr>
      </w:pPr>
      <w:r>
        <w:rPr>
          <w:rFonts w:hint="eastAsia" w:eastAsia="黑体"/>
          <w:color w:val="000000"/>
          <w:u w:val="none"/>
          <w:lang w:eastAsia="zh-CN"/>
        </w:rPr>
        <w:drawing>
          <wp:anchor distT="0" distB="0" distL="114300" distR="114300" simplePos="0" relativeHeight="251687936" behindDoc="0" locked="0" layoutInCell="1" allowOverlap="1">
            <wp:simplePos x="0" y="0"/>
            <wp:positionH relativeFrom="column">
              <wp:posOffset>8144510</wp:posOffset>
            </wp:positionH>
            <wp:positionV relativeFrom="paragraph">
              <wp:posOffset>144780</wp:posOffset>
            </wp:positionV>
            <wp:extent cx="598805" cy="855345"/>
            <wp:effectExtent l="0" t="0" r="10795" b="13335"/>
            <wp:wrapNone/>
            <wp:docPr id="146" name="图片 1157" descr="指北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157" descr="指北针"/>
                    <pic:cNvPicPr>
                      <a:picLocks noChangeAspect="1"/>
                    </pic:cNvPicPr>
                  </pic:nvPicPr>
                  <pic:blipFill>
                    <a:blip r:embed="rId35"/>
                    <a:stretch>
                      <a:fillRect/>
                    </a:stretch>
                  </pic:blipFill>
                  <pic:spPr>
                    <a:xfrm>
                      <a:off x="0" y="0"/>
                      <a:ext cx="598805" cy="855345"/>
                    </a:xfrm>
                    <a:prstGeom prst="rect">
                      <a:avLst/>
                    </a:prstGeom>
                    <a:noFill/>
                    <a:ln>
                      <a:noFill/>
                    </a:ln>
                  </pic:spPr>
                </pic:pic>
              </a:graphicData>
            </a:graphic>
          </wp:anchor>
        </w:drawing>
      </w:r>
    </w:p>
    <w:p>
      <w:pPr>
        <w:pStyle w:val="2"/>
        <w:rPr>
          <w:rFonts w:hint="default"/>
          <w:lang w:val="en-US" w:eastAsia="zh-CN"/>
        </w:rPr>
        <w:sectPr>
          <w:pgSz w:w="16838" w:h="11906" w:orient="landscape"/>
          <w:pgMar w:top="1701" w:right="1531" w:bottom="1701" w:left="1531" w:header="851" w:footer="850" w:gutter="0"/>
          <w:pgBorders>
            <w:top w:val="none" w:sz="0" w:space="0"/>
            <w:left w:val="none" w:sz="0" w:space="0"/>
            <w:bottom w:val="none" w:sz="0" w:space="0"/>
            <w:right w:val="none" w:sz="0" w:space="0"/>
          </w:pgBorders>
          <w:pgNumType w:fmt="decimal"/>
          <w:cols w:space="720" w:num="1"/>
          <w:docGrid w:linePitch="312" w:charSpace="0"/>
        </w:sectPr>
      </w:pPr>
      <w:r>
        <w:rPr>
          <w:sz w:val="24"/>
        </w:rPr>
        <mc:AlternateContent>
          <mc:Choice Requires="wps">
            <w:drawing>
              <wp:anchor distT="0" distB="0" distL="114300" distR="114300" simplePos="0" relativeHeight="251693056" behindDoc="0" locked="0" layoutInCell="1" allowOverlap="1">
                <wp:simplePos x="0" y="0"/>
                <wp:positionH relativeFrom="column">
                  <wp:posOffset>4027805</wp:posOffset>
                </wp:positionH>
                <wp:positionV relativeFrom="paragraph">
                  <wp:posOffset>1968500</wp:posOffset>
                </wp:positionV>
                <wp:extent cx="603885" cy="244475"/>
                <wp:effectExtent l="0" t="0" r="0" b="0"/>
                <wp:wrapNone/>
                <wp:docPr id="126" name="文本框 126"/>
                <wp:cNvGraphicFramePr/>
                <a:graphic xmlns:a="http://schemas.openxmlformats.org/drawingml/2006/main">
                  <a:graphicData uri="http://schemas.microsoft.com/office/word/2010/wordprocessingShape">
                    <wps:wsp>
                      <wps:cNvSpPr txBox="1"/>
                      <wps:spPr>
                        <a:xfrm>
                          <a:off x="0" y="0"/>
                          <a:ext cx="603885" cy="2444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lang w:val="en-US" w:eastAsia="zh-CN"/>
                              </w:rPr>
                            </w:pPr>
                            <w:r>
                              <w:rPr>
                                <w:rFonts w:hint="eastAsia"/>
                                <w:lang w:val="en-US" w:eastAsia="zh-CN"/>
                              </w:rPr>
                              <w:t>DA003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17.15pt;margin-top:155pt;height:19.25pt;width:47.55pt;z-index:251693056;mso-width-relative:page;mso-height-relative:page;" filled="f" stroked="f" coordsize="21600,21600" o:gfxdata="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f9X289wAAAALAQAADwAAAAAAAAABACAAAAAiAAAA&#10;ZHJzL2Rvd25yZXYueG1sUEsBAhQAFAAAAAgAh07iQATimWY8AgAAaQQAAA4AAAAAAAAAAQAgAAAA&#10;KwEAAGRycy9lMm9Eb2MueG1sUEsFBgAAAAAGAAYAWQEAANkFAAAAAA==&#10;">
                <v:fill on="f" focussize="0,0"/>
                <v:stroke on="f" weight="0.5pt"/>
                <v:imagedata o:title=""/>
                <o:lock v:ext="edit" aspectratio="f"/>
                <v:textbox>
                  <w:txbxContent>
                    <w:p>
                      <w:pPr>
                        <w:rPr>
                          <w:rFonts w:hint="default" w:eastAsia="宋体"/>
                          <w:lang w:val="en-US" w:eastAsia="zh-CN"/>
                        </w:rPr>
                      </w:pPr>
                      <w:r>
                        <w:rPr>
                          <w:rFonts w:hint="eastAsia"/>
                          <w:lang w:val="en-US" w:eastAsia="zh-CN"/>
                        </w:rPr>
                        <w:t>DA003</w:t>
                      </w:r>
                    </w:p>
                  </w:txbxContent>
                </v:textbox>
              </v:shape>
            </w:pict>
          </mc:Fallback>
        </mc:AlternateContent>
      </w:r>
      <w:r>
        <w:rPr>
          <w:sz w:val="24"/>
        </w:rPr>
        <mc:AlternateContent>
          <mc:Choice Requires="wps">
            <w:drawing>
              <wp:anchor distT="0" distB="0" distL="114300" distR="114300" simplePos="0" relativeHeight="251692032" behindDoc="0" locked="0" layoutInCell="1" allowOverlap="1">
                <wp:simplePos x="0" y="0"/>
                <wp:positionH relativeFrom="column">
                  <wp:posOffset>4360545</wp:posOffset>
                </wp:positionH>
                <wp:positionV relativeFrom="paragraph">
                  <wp:posOffset>2774315</wp:posOffset>
                </wp:positionV>
                <wp:extent cx="603885" cy="244475"/>
                <wp:effectExtent l="0" t="0" r="0" b="0"/>
                <wp:wrapNone/>
                <wp:docPr id="125" name="文本框 125"/>
                <wp:cNvGraphicFramePr/>
                <a:graphic xmlns:a="http://schemas.openxmlformats.org/drawingml/2006/main">
                  <a:graphicData uri="http://schemas.microsoft.com/office/word/2010/wordprocessingShape">
                    <wps:wsp>
                      <wps:cNvSpPr txBox="1"/>
                      <wps:spPr>
                        <a:xfrm>
                          <a:off x="0" y="0"/>
                          <a:ext cx="603885" cy="2444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lang w:val="en-US" w:eastAsia="zh-CN"/>
                              </w:rPr>
                            </w:pPr>
                            <w:r>
                              <w:rPr>
                                <w:rFonts w:hint="eastAsia"/>
                                <w:lang w:val="en-US" w:eastAsia="zh-CN"/>
                              </w:rPr>
                              <w:t>DA002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43.35pt;margin-top:218.45pt;height:19.25pt;width:47.55pt;z-index:251692032;mso-width-relative:page;mso-height-relative:page;" filled="f" stroked="f" coordsize="21600,21600" o:gfxdata="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K6bsU/cAAAACwEAAA8AAAAAAAAAAQAgAAAAIgAA&#10;AGRycy9kb3ducmV2LnhtbFBLAQIUABQAAAAIAIdO4kCT8rE8PQIAAGkEAAAOAAAAAAAAAAEAIAAA&#10;ACsBAABkcnMvZTJvRG9jLnhtbFBLBQYAAAAABgAGAFkBAADaBQAAAAA=&#10;">
                <v:fill on="f" focussize="0,0"/>
                <v:stroke on="f" weight="0.5pt"/>
                <v:imagedata o:title=""/>
                <o:lock v:ext="edit" aspectratio="f"/>
                <v:textbox>
                  <w:txbxContent>
                    <w:p>
                      <w:pPr>
                        <w:rPr>
                          <w:rFonts w:hint="default" w:eastAsia="宋体"/>
                          <w:lang w:val="en-US" w:eastAsia="zh-CN"/>
                        </w:rPr>
                      </w:pPr>
                      <w:r>
                        <w:rPr>
                          <w:rFonts w:hint="eastAsia"/>
                          <w:lang w:val="en-US" w:eastAsia="zh-CN"/>
                        </w:rPr>
                        <w:t>DA002</w:t>
                      </w:r>
                    </w:p>
                  </w:txbxContent>
                </v:textbox>
              </v:shape>
            </w:pict>
          </mc:Fallback>
        </mc:AlternateContent>
      </w:r>
      <w:r>
        <w:rPr>
          <w:sz w:val="24"/>
        </w:rPr>
        <mc:AlternateContent>
          <mc:Choice Requires="wps">
            <w:drawing>
              <wp:anchor distT="0" distB="0" distL="114300" distR="114300" simplePos="0" relativeHeight="251691008" behindDoc="0" locked="0" layoutInCell="1" allowOverlap="1">
                <wp:simplePos x="0" y="0"/>
                <wp:positionH relativeFrom="column">
                  <wp:posOffset>3980180</wp:posOffset>
                </wp:positionH>
                <wp:positionV relativeFrom="paragraph">
                  <wp:posOffset>2875915</wp:posOffset>
                </wp:positionV>
                <wp:extent cx="603885" cy="244475"/>
                <wp:effectExtent l="0" t="0" r="0" b="0"/>
                <wp:wrapNone/>
                <wp:docPr id="85" name="文本框 85"/>
                <wp:cNvGraphicFramePr/>
                <a:graphic xmlns:a="http://schemas.openxmlformats.org/drawingml/2006/main">
                  <a:graphicData uri="http://schemas.microsoft.com/office/word/2010/wordprocessingShape">
                    <wps:wsp>
                      <wps:cNvSpPr txBox="1"/>
                      <wps:spPr>
                        <a:xfrm>
                          <a:off x="4952365" y="4358005"/>
                          <a:ext cx="603885" cy="2444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lang w:val="en-US" w:eastAsia="zh-CN"/>
                              </w:rPr>
                            </w:pPr>
                            <w:r>
                              <w:rPr>
                                <w:rFonts w:hint="eastAsia"/>
                                <w:lang w:val="en-US" w:eastAsia="zh-CN"/>
                              </w:rPr>
                              <w:t>DA001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13.4pt;margin-top:226.45pt;height:19.25pt;width:47.55pt;z-index:251691008;mso-width-relative:page;mso-height-relative:page;" filled="f" stroked="f" coordsize="21600,21600" o:gfxdata="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DDZYFdwAAAALAQAADwAAAAAA&#10;AAABACAAAAAiAAAAZHJzL2Rvd25yZXYueG1sUEsBAhQAFAAAAAgAh07iQN7KyZJIAgAAcwQAAA4A&#10;AAAAAAAAAQAgAAAAKwEAAGRycy9lMm9Eb2MueG1sUEsFBgAAAAAGAAYAWQEAAOUFAAAAAA==&#10;">
                <v:fill on="f" focussize="0,0"/>
                <v:stroke on="f" weight="0.5pt"/>
                <v:imagedata o:title=""/>
                <o:lock v:ext="edit" aspectratio="f"/>
                <v:textbox>
                  <w:txbxContent>
                    <w:p>
                      <w:pPr>
                        <w:rPr>
                          <w:rFonts w:hint="default" w:eastAsia="宋体"/>
                          <w:lang w:val="en-US" w:eastAsia="zh-CN"/>
                        </w:rPr>
                      </w:pPr>
                      <w:r>
                        <w:rPr>
                          <w:rFonts w:hint="eastAsia"/>
                          <w:lang w:val="en-US" w:eastAsia="zh-CN"/>
                        </w:rPr>
                        <w:t>DA001</w:t>
                      </w:r>
                    </w:p>
                  </w:txbxContent>
                </v:textbox>
              </v:shape>
            </w:pict>
          </mc:Fallback>
        </mc:AlternateContent>
      </w:r>
      <w:r>
        <w:rPr>
          <w:sz w:val="24"/>
        </w:rPr>
        <mc:AlternateContent>
          <mc:Choice Requires="wps">
            <w:drawing>
              <wp:anchor distT="0" distB="0" distL="114300" distR="114300" simplePos="0" relativeHeight="251689984" behindDoc="0" locked="0" layoutInCell="1" allowOverlap="1">
                <wp:simplePos x="0" y="0"/>
                <wp:positionH relativeFrom="column">
                  <wp:posOffset>4291965</wp:posOffset>
                </wp:positionH>
                <wp:positionV relativeFrom="paragraph">
                  <wp:posOffset>2599055</wp:posOffset>
                </wp:positionV>
                <wp:extent cx="92075" cy="218440"/>
                <wp:effectExtent l="12700" t="12700" r="17145" b="12700"/>
                <wp:wrapNone/>
                <wp:docPr id="84" name="圆柱形 84"/>
                <wp:cNvGraphicFramePr/>
                <a:graphic xmlns:a="http://schemas.openxmlformats.org/drawingml/2006/main">
                  <a:graphicData uri="http://schemas.microsoft.com/office/word/2010/wordprocessingShape">
                    <wps:wsp>
                      <wps:cNvSpPr/>
                      <wps:spPr>
                        <a:xfrm>
                          <a:off x="0" y="0"/>
                          <a:ext cx="92075" cy="218440"/>
                        </a:xfrm>
                        <a:prstGeom prst="can">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22" type="#_x0000_t22" style="position:absolute;left:0pt;margin-left:337.95pt;margin-top:204.65pt;height:17.2pt;width:7.25pt;z-index:251689984;v-text-anchor:middle;mso-width-relative:page;mso-height-relative:page;" fillcolor="#FF0000" filled="t" stroked="t" coordsize="21600,21600" o:gfxdata="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BXLkFH2QAAAAsBAAAPAAAAAAAAAAEAIAAAACIAAABkcnMvZG93bnJldi54bWxQSwEC&#10;FAAUAAAACACHTuJAZ1lxdGUCAADfBAAADgAAAAAAAAABACAAAAAoAQAAZHJzL2Uyb0RvYy54bWxQ&#10;SwUGAAAAAAYABgBZAQAA/wUAAAAA&#10;" adj="2276">
                <v:fill on="t" focussize="0,0"/>
                <v:stroke weight="2pt" color="#FF0000 [2404]" joinstyle="round"/>
                <v:imagedata o:title=""/>
                <o:lock v:ext="edit" aspectratio="f"/>
              </v:shape>
            </w:pict>
          </mc:Fallback>
        </mc:AlternateContent>
      </w:r>
      <w:r>
        <w:rPr>
          <w:sz w:val="24"/>
        </w:rPr>
        <mc:AlternateContent>
          <mc:Choice Requires="wps">
            <w:drawing>
              <wp:anchor distT="0" distB="0" distL="114300" distR="114300" simplePos="0" relativeHeight="251688960" behindDoc="0" locked="0" layoutInCell="1" allowOverlap="1">
                <wp:simplePos x="0" y="0"/>
                <wp:positionH relativeFrom="column">
                  <wp:posOffset>4139565</wp:posOffset>
                </wp:positionH>
                <wp:positionV relativeFrom="paragraph">
                  <wp:posOffset>2656840</wp:posOffset>
                </wp:positionV>
                <wp:extent cx="92075" cy="218440"/>
                <wp:effectExtent l="12700" t="12700" r="17145" b="12700"/>
                <wp:wrapNone/>
                <wp:docPr id="55" name="圆柱形 55"/>
                <wp:cNvGraphicFramePr/>
                <a:graphic xmlns:a="http://schemas.openxmlformats.org/drawingml/2006/main">
                  <a:graphicData uri="http://schemas.microsoft.com/office/word/2010/wordprocessingShape">
                    <wps:wsp>
                      <wps:cNvSpPr/>
                      <wps:spPr>
                        <a:xfrm>
                          <a:off x="0" y="0"/>
                          <a:ext cx="92075" cy="218440"/>
                        </a:xfrm>
                        <a:prstGeom prst="can">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22" type="#_x0000_t22" style="position:absolute;left:0pt;margin-left:325.95pt;margin-top:209.2pt;height:17.2pt;width:7.25pt;z-index:251688960;v-text-anchor:middle;mso-width-relative:page;mso-height-relative:page;" fillcolor="#FF0000" filled="t" stroked="t" coordsize="21600,21600" o:gfxdata="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BgKkxDYAAAACwEAAA8AAAAAAAAAAQAgAAAAIgAAAGRycy9kb3ducmV2LnhtbFBLAQIU&#10;ABQAAAAIAIdO4kCFc7MAZQIAAN8EAAAOAAAAAAAAAAEAIAAAACcBAABkcnMvZTJvRG9jLnhtbFBL&#10;BQYAAAAABgAGAFkBAAD+BQAAAAA=&#10;" adj="2276">
                <v:fill on="t" focussize="0,0"/>
                <v:stroke weight="2pt" color="#FF0000 [2404]" joinstyle="round"/>
                <v:imagedata o:title=""/>
                <o:lock v:ext="edit" aspectratio="f"/>
              </v:shape>
            </w:pict>
          </mc:Fallback>
        </mc:AlternateContent>
      </w:r>
      <w:r>
        <w:drawing>
          <wp:inline distT="0" distB="0" distL="114300" distR="114300">
            <wp:extent cx="8747760" cy="4269105"/>
            <wp:effectExtent l="0" t="0" r="0" b="13335"/>
            <wp:docPr id="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
                    <pic:cNvPicPr>
                      <a:picLocks noChangeAspect="1"/>
                    </pic:cNvPicPr>
                  </pic:nvPicPr>
                  <pic:blipFill>
                    <a:blip r:embed="rId40"/>
                    <a:stretch>
                      <a:fillRect/>
                    </a:stretch>
                  </pic:blipFill>
                  <pic:spPr>
                    <a:xfrm>
                      <a:off x="0" y="0"/>
                      <a:ext cx="8747760" cy="4269105"/>
                    </a:xfrm>
                    <a:prstGeom prst="rect">
                      <a:avLst/>
                    </a:prstGeom>
                    <a:noFill/>
                    <a:ln>
                      <a:noFill/>
                    </a:ln>
                  </pic:spPr>
                </pic:pic>
              </a:graphicData>
            </a:graphic>
          </wp:inline>
        </w:drawing>
      </w:r>
      <w:r>
        <w:rPr>
          <w:sz w:val="24"/>
        </w:rPr>
        <mc:AlternateContent>
          <mc:Choice Requires="wps">
            <w:drawing>
              <wp:anchor distT="0" distB="0" distL="114300" distR="114300" simplePos="0" relativeHeight="251686912" behindDoc="0" locked="0" layoutInCell="1" allowOverlap="1">
                <wp:simplePos x="0" y="0"/>
                <wp:positionH relativeFrom="column">
                  <wp:posOffset>113030</wp:posOffset>
                </wp:positionH>
                <wp:positionV relativeFrom="paragraph">
                  <wp:posOffset>3921125</wp:posOffset>
                </wp:positionV>
                <wp:extent cx="144780" cy="213995"/>
                <wp:effectExtent l="12700" t="12700" r="25400" b="17145"/>
                <wp:wrapNone/>
                <wp:docPr id="145" name="太阳形 145"/>
                <wp:cNvGraphicFramePr/>
                <a:graphic xmlns:a="http://schemas.openxmlformats.org/drawingml/2006/main">
                  <a:graphicData uri="http://schemas.microsoft.com/office/word/2010/wordprocessingShape">
                    <wps:wsp>
                      <wps:cNvSpPr/>
                      <wps:spPr>
                        <a:xfrm>
                          <a:off x="0" y="0"/>
                          <a:ext cx="144780" cy="213995"/>
                        </a:xfrm>
                        <a:prstGeom prst="sun">
                          <a:avLst/>
                        </a:prstGeom>
                        <a:solidFill>
                          <a:srgbClr val="FFFF00"/>
                        </a:solid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83" type="#_x0000_t183" style="position:absolute;left:0pt;margin-left:8.9pt;margin-top:308.75pt;height:16.85pt;width:11.4pt;z-index:251686912;v-text-anchor:middle;mso-width-relative:page;mso-height-relative:page;" fillcolor="#FFFF00" filled="t" stroked="t" coordsize="21600,21600" o:gfxdata="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MIlIBvYAAAACQEAAA8AAAAAAAAAAQAgAAAAIgAAAGRycy9kb3ducmV2LnhtbFBLAQIU&#10;ABQAAAAIAIdO4kDbhvssZQIAAOIEAAAOAAAAAAAAAAEAIAAAACcBAABkcnMvZTJvRG9jLnhtbFBL&#10;BQYAAAAABgAGAFkBAAD+BQAAAAA=&#10;" adj="5400">
                <v:fill on="t" focussize="0,0"/>
                <v:stroke weight="2pt" color="#FFFF00 [2404]" joinstyle="round"/>
                <v:imagedata o:title=""/>
                <o:lock v:ext="edit" aspectratio="f"/>
              </v:shape>
            </w:pict>
          </mc:Fallback>
        </mc:AlternateContent>
      </w:r>
      <w:r>
        <w:rPr>
          <w:sz w:val="24"/>
        </w:rPr>
        <mc:AlternateContent>
          <mc:Choice Requires="wps">
            <w:drawing>
              <wp:anchor distT="0" distB="0" distL="114300" distR="114300" simplePos="0" relativeHeight="251685888" behindDoc="0" locked="0" layoutInCell="1" allowOverlap="1">
                <wp:simplePos x="0" y="0"/>
                <wp:positionH relativeFrom="column">
                  <wp:posOffset>89535</wp:posOffset>
                </wp:positionH>
                <wp:positionV relativeFrom="paragraph">
                  <wp:posOffset>3623310</wp:posOffset>
                </wp:positionV>
                <wp:extent cx="92075" cy="218440"/>
                <wp:effectExtent l="12700" t="12700" r="17145" b="12700"/>
                <wp:wrapNone/>
                <wp:docPr id="144" name="圆柱形 144"/>
                <wp:cNvGraphicFramePr/>
                <a:graphic xmlns:a="http://schemas.openxmlformats.org/drawingml/2006/main">
                  <a:graphicData uri="http://schemas.microsoft.com/office/word/2010/wordprocessingShape">
                    <wps:wsp>
                      <wps:cNvSpPr/>
                      <wps:spPr>
                        <a:xfrm>
                          <a:off x="0" y="0"/>
                          <a:ext cx="92075" cy="218440"/>
                        </a:xfrm>
                        <a:prstGeom prst="can">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22" type="#_x0000_t22" style="position:absolute;left:0pt;margin-left:7.05pt;margin-top:285.3pt;height:17.2pt;width:7.25pt;z-index:251685888;v-text-anchor:middle;mso-width-relative:page;mso-height-relative:page;" fillcolor="#FF0000" filled="t" stroked="t" coordsize="21600,21600" o:gfxdata="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ClZzmd1gAAAAkBAAAPAAAAAAAAAAEAIAAAACIAAABkcnMvZG93bnJldi54bWxQSwECFAAU&#10;AAAACACHTuJAK+7jFWUCAADhBAAADgAAAAAAAAABACAAAAAlAQAAZHJzL2Uyb0RvYy54bWxQSwUG&#10;AAAAAAYABgBZAQAA/AUAAAAA&#10;" adj="2276">
                <v:fill on="t" focussize="0,0"/>
                <v:stroke weight="2pt" color="#FF0000 [2404]" joinstyle="round"/>
                <v:imagedata o:title=""/>
                <o:lock v:ext="edit" aspectratio="f"/>
              </v:shape>
            </w:pict>
          </mc:Fallback>
        </mc:AlternateContent>
      </w:r>
      <w:r>
        <w:rPr>
          <w:sz w:val="24"/>
        </w:rPr>
        <mc:AlternateContent>
          <mc:Choice Requires="wps">
            <w:drawing>
              <wp:anchor distT="0" distB="0" distL="114300" distR="114300" simplePos="0" relativeHeight="251684864" behindDoc="0" locked="0" layoutInCell="1" allowOverlap="1">
                <wp:simplePos x="0" y="0"/>
                <wp:positionH relativeFrom="column">
                  <wp:posOffset>4074795</wp:posOffset>
                </wp:positionH>
                <wp:positionV relativeFrom="paragraph">
                  <wp:posOffset>1847850</wp:posOffset>
                </wp:positionV>
                <wp:extent cx="92075" cy="218440"/>
                <wp:effectExtent l="12700" t="12700" r="17145" b="12700"/>
                <wp:wrapNone/>
                <wp:docPr id="140" name="圆柱形 140"/>
                <wp:cNvGraphicFramePr/>
                <a:graphic xmlns:a="http://schemas.openxmlformats.org/drawingml/2006/main">
                  <a:graphicData uri="http://schemas.microsoft.com/office/word/2010/wordprocessingShape">
                    <wps:wsp>
                      <wps:cNvSpPr/>
                      <wps:spPr>
                        <a:xfrm>
                          <a:off x="5131435" y="3489960"/>
                          <a:ext cx="92075" cy="218440"/>
                        </a:xfrm>
                        <a:prstGeom prst="can">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22" type="#_x0000_t22" style="position:absolute;left:0pt;margin-left:320.85pt;margin-top:145.5pt;height:17.2pt;width:7.25pt;z-index:251684864;v-text-anchor:middle;mso-width-relative:page;mso-height-relative:page;" fillcolor="#FF0000" filled="t" stroked="t" coordsize="21600,21600" o:gfxdata="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B8r/urZAAAACwEAAA8AAAAAAAAAAQAgAAAAIgAAAGRycy9k&#10;b3ducmV2LnhtbFBLAQIUABQAAAAIAIdO4kCjvOrocwIAAO0EAAAOAAAAAAAAAAEAIAAAACgBAABk&#10;cnMvZTJvRG9jLnhtbFBLBQYAAAAABgAGAFkBAAANBgAAAAA=&#10;" adj="2276">
                <v:fill on="t" focussize="0,0"/>
                <v:stroke weight="2pt" color="#FF0000 [2404]" joinstyle="round"/>
                <v:imagedata o:title=""/>
                <o:lock v:ext="edit" aspectratio="f"/>
              </v:shape>
            </w:pict>
          </mc:Fallback>
        </mc:AlternateContent>
      </w:r>
      <w:r>
        <w:rPr>
          <w:sz w:val="24"/>
        </w:rPr>
        <mc:AlternateContent>
          <mc:Choice Requires="wps">
            <w:drawing>
              <wp:anchor distT="0" distB="0" distL="114300" distR="114300" simplePos="0" relativeHeight="251683840" behindDoc="0" locked="0" layoutInCell="1" allowOverlap="1">
                <wp:simplePos x="0" y="0"/>
                <wp:positionH relativeFrom="column">
                  <wp:posOffset>44450</wp:posOffset>
                </wp:positionH>
                <wp:positionV relativeFrom="paragraph">
                  <wp:posOffset>3322320</wp:posOffset>
                </wp:positionV>
                <wp:extent cx="1089025" cy="952500"/>
                <wp:effectExtent l="4445" t="4445" r="19050" b="18415"/>
                <wp:wrapNone/>
                <wp:docPr id="139" name="文本框 139"/>
                <wp:cNvGraphicFramePr/>
                <a:graphic xmlns:a="http://schemas.openxmlformats.org/drawingml/2006/main">
                  <a:graphicData uri="http://schemas.microsoft.com/office/word/2010/wordprocessingShape">
                    <wps:wsp>
                      <wps:cNvSpPr txBox="1"/>
                      <wps:spPr>
                        <a:xfrm>
                          <a:off x="1016635" y="4804410"/>
                          <a:ext cx="1089025" cy="95250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ind w:firstLine="210" w:firstLineChars="100"/>
                              <w:rPr>
                                <w:rFonts w:hint="eastAsia"/>
                                <w:lang w:val="en-US" w:eastAsia="zh-CN"/>
                              </w:rPr>
                            </w:pPr>
                            <w:r>
                              <w:rPr>
                                <w:rFonts w:hint="eastAsia"/>
                                <w:lang w:val="en-US" w:eastAsia="zh-CN"/>
                              </w:rPr>
                              <w:t>图例</w:t>
                            </w:r>
                          </w:p>
                          <w:p>
                            <w:pPr>
                              <w:pStyle w:val="2"/>
                              <w:rPr>
                                <w:rFonts w:hint="eastAsia"/>
                                <w:sz w:val="18"/>
                                <w:szCs w:val="18"/>
                                <w:lang w:val="en-US" w:eastAsia="zh-CN"/>
                              </w:rPr>
                            </w:pPr>
                          </w:p>
                          <w:p>
                            <w:pPr>
                              <w:pStyle w:val="2"/>
                              <w:ind w:firstLine="180" w:firstLineChars="100"/>
                              <w:rPr>
                                <w:rFonts w:hint="eastAsia"/>
                                <w:sz w:val="18"/>
                                <w:szCs w:val="18"/>
                                <w:lang w:val="en-US" w:eastAsia="zh-CN"/>
                              </w:rPr>
                            </w:pPr>
                            <w:r>
                              <w:rPr>
                                <w:rFonts w:hint="eastAsia"/>
                                <w:sz w:val="18"/>
                                <w:szCs w:val="18"/>
                                <w:lang w:val="en-US" w:eastAsia="zh-CN"/>
                              </w:rPr>
                              <w:t>废气监测点</w:t>
                            </w:r>
                          </w:p>
                          <w:p>
                            <w:pPr>
                              <w:rPr>
                                <w:rFonts w:hint="eastAsia"/>
                                <w:sz w:val="18"/>
                                <w:szCs w:val="18"/>
                                <w:lang w:val="en-US" w:eastAsia="zh-CN"/>
                              </w:rPr>
                            </w:pPr>
                          </w:p>
                          <w:p>
                            <w:pPr>
                              <w:ind w:firstLine="360" w:firstLineChars="200"/>
                              <w:rPr>
                                <w:rFonts w:hint="default"/>
                                <w:sz w:val="18"/>
                                <w:szCs w:val="18"/>
                                <w:lang w:val="en-US" w:eastAsia="zh-CN"/>
                              </w:rPr>
                            </w:pPr>
                            <w:r>
                              <w:rPr>
                                <w:rFonts w:hint="eastAsia"/>
                                <w:sz w:val="18"/>
                                <w:szCs w:val="18"/>
                                <w:lang w:val="en-US" w:eastAsia="zh-CN"/>
                              </w:rPr>
                              <w:t>噪声监测点</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5pt;margin-top:261.6pt;height:75pt;width:85.75pt;z-index:251683840;mso-width-relative:page;mso-height-relative:page;" fillcolor="#FFFFFF [3201]" filled="t" stroked="t" coordsize="21600,21600" o:gfxdata="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B4c5Ao1gAAAAkBAAAPAAAAAAAAAAEAIAAAACIAAABkcnMvZG93bnJldi54bWxQSwECFAAU&#10;AAAACACHTuJA0aGx9mUCAADHBAAADgAAAAAAAAABACAAAAAlAQAAZHJzL2Uyb0RvYy54bWxQSwUG&#10;AAAAAAYABgBZAQAA/AUAAAAA&#10;">
                <v:fill on="t" focussize="0,0"/>
                <v:stroke weight="0.5pt" color="#000000 [3204]" joinstyle="round"/>
                <v:imagedata o:title=""/>
                <o:lock v:ext="edit" aspectratio="f"/>
                <v:textbox>
                  <w:txbxContent>
                    <w:p>
                      <w:pPr>
                        <w:ind w:firstLine="210" w:firstLineChars="100"/>
                        <w:rPr>
                          <w:rFonts w:hint="eastAsia"/>
                          <w:lang w:val="en-US" w:eastAsia="zh-CN"/>
                        </w:rPr>
                      </w:pPr>
                      <w:r>
                        <w:rPr>
                          <w:rFonts w:hint="eastAsia"/>
                          <w:lang w:val="en-US" w:eastAsia="zh-CN"/>
                        </w:rPr>
                        <w:t>图例</w:t>
                      </w:r>
                    </w:p>
                    <w:p>
                      <w:pPr>
                        <w:pStyle w:val="2"/>
                        <w:rPr>
                          <w:rFonts w:hint="eastAsia"/>
                          <w:sz w:val="18"/>
                          <w:szCs w:val="18"/>
                          <w:lang w:val="en-US" w:eastAsia="zh-CN"/>
                        </w:rPr>
                      </w:pPr>
                    </w:p>
                    <w:p>
                      <w:pPr>
                        <w:pStyle w:val="2"/>
                        <w:ind w:firstLine="180" w:firstLineChars="100"/>
                        <w:rPr>
                          <w:rFonts w:hint="eastAsia"/>
                          <w:sz w:val="18"/>
                          <w:szCs w:val="18"/>
                          <w:lang w:val="en-US" w:eastAsia="zh-CN"/>
                        </w:rPr>
                      </w:pPr>
                      <w:r>
                        <w:rPr>
                          <w:rFonts w:hint="eastAsia"/>
                          <w:sz w:val="18"/>
                          <w:szCs w:val="18"/>
                          <w:lang w:val="en-US" w:eastAsia="zh-CN"/>
                        </w:rPr>
                        <w:t>废气监测点</w:t>
                      </w:r>
                    </w:p>
                    <w:p>
                      <w:pPr>
                        <w:rPr>
                          <w:rFonts w:hint="eastAsia"/>
                          <w:sz w:val="18"/>
                          <w:szCs w:val="18"/>
                          <w:lang w:val="en-US" w:eastAsia="zh-CN"/>
                        </w:rPr>
                      </w:pPr>
                    </w:p>
                    <w:p>
                      <w:pPr>
                        <w:ind w:firstLine="360" w:firstLineChars="200"/>
                        <w:rPr>
                          <w:rFonts w:hint="default"/>
                          <w:sz w:val="18"/>
                          <w:szCs w:val="18"/>
                          <w:lang w:val="en-US" w:eastAsia="zh-CN"/>
                        </w:rPr>
                      </w:pPr>
                      <w:r>
                        <w:rPr>
                          <w:rFonts w:hint="eastAsia"/>
                          <w:sz w:val="18"/>
                          <w:szCs w:val="18"/>
                          <w:lang w:val="en-US" w:eastAsia="zh-CN"/>
                        </w:rPr>
                        <w:t>噪声监测点</w:t>
                      </w:r>
                    </w:p>
                  </w:txbxContent>
                </v:textbox>
              </v:shape>
            </w:pict>
          </mc:Fallback>
        </mc:AlternateContent>
      </w:r>
      <w:r>
        <w:rPr>
          <w:sz w:val="24"/>
        </w:rPr>
        <mc:AlternateContent>
          <mc:Choice Requires="wps">
            <w:drawing>
              <wp:anchor distT="0" distB="0" distL="114300" distR="114300" simplePos="0" relativeHeight="251682816" behindDoc="0" locked="0" layoutInCell="1" allowOverlap="1">
                <wp:simplePos x="0" y="0"/>
                <wp:positionH relativeFrom="column">
                  <wp:posOffset>4662170</wp:posOffset>
                </wp:positionH>
                <wp:positionV relativeFrom="paragraph">
                  <wp:posOffset>3273425</wp:posOffset>
                </wp:positionV>
                <wp:extent cx="144780" cy="213995"/>
                <wp:effectExtent l="12700" t="12700" r="25400" b="17145"/>
                <wp:wrapNone/>
                <wp:docPr id="137" name="太阳形 137"/>
                <wp:cNvGraphicFramePr/>
                <a:graphic xmlns:a="http://schemas.openxmlformats.org/drawingml/2006/main">
                  <a:graphicData uri="http://schemas.microsoft.com/office/word/2010/wordprocessingShape">
                    <wps:wsp>
                      <wps:cNvSpPr/>
                      <wps:spPr>
                        <a:xfrm>
                          <a:off x="0" y="0"/>
                          <a:ext cx="144780" cy="213995"/>
                        </a:xfrm>
                        <a:prstGeom prst="sun">
                          <a:avLst/>
                        </a:prstGeom>
                        <a:solidFill>
                          <a:srgbClr val="FFFF00"/>
                        </a:solid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83" type="#_x0000_t183" style="position:absolute;left:0pt;margin-left:367.1pt;margin-top:257.75pt;height:16.85pt;width:11.4pt;z-index:251682816;v-text-anchor:middle;mso-width-relative:page;mso-height-relative:page;" fillcolor="#FFFF00" filled="t" stroked="t" coordsize="21600,21600" o:gfxdata="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BYs1rf2gAAAAsBAAAPAAAAAAAAAAEAIAAAACIAAABkcnMvZG93bnJldi54bWxQSwEC&#10;FAAUAAAACACHTuJAjYrXW2QCAADiBAAADgAAAAAAAAABACAAAAApAQAAZHJzL2Uyb0RvYy54bWxQ&#10;SwUGAAAAAAYABgBZAQAA/wUAAAAA&#10;" adj="5400">
                <v:fill on="t" focussize="0,0"/>
                <v:stroke weight="2pt" color="#FFFF00 [2404]" joinstyle="round"/>
                <v:imagedata o:title=""/>
                <o:lock v:ext="edit" aspectratio="f"/>
              </v:shape>
            </w:pict>
          </mc:Fallback>
        </mc:AlternateContent>
      </w:r>
      <w:r>
        <w:rPr>
          <w:sz w:val="24"/>
        </w:rPr>
        <mc:AlternateContent>
          <mc:Choice Requires="wps">
            <w:drawing>
              <wp:anchor distT="0" distB="0" distL="114300" distR="114300" simplePos="0" relativeHeight="251681792" behindDoc="0" locked="0" layoutInCell="1" allowOverlap="1">
                <wp:simplePos x="0" y="0"/>
                <wp:positionH relativeFrom="column">
                  <wp:posOffset>3420110</wp:posOffset>
                </wp:positionH>
                <wp:positionV relativeFrom="paragraph">
                  <wp:posOffset>1170305</wp:posOffset>
                </wp:positionV>
                <wp:extent cx="144780" cy="213995"/>
                <wp:effectExtent l="12700" t="12700" r="25400" b="17145"/>
                <wp:wrapNone/>
                <wp:docPr id="136" name="太阳形 136"/>
                <wp:cNvGraphicFramePr/>
                <a:graphic xmlns:a="http://schemas.openxmlformats.org/drawingml/2006/main">
                  <a:graphicData uri="http://schemas.microsoft.com/office/word/2010/wordprocessingShape">
                    <wps:wsp>
                      <wps:cNvSpPr/>
                      <wps:spPr>
                        <a:xfrm>
                          <a:off x="0" y="0"/>
                          <a:ext cx="144780" cy="213995"/>
                        </a:xfrm>
                        <a:prstGeom prst="sun">
                          <a:avLst/>
                        </a:prstGeom>
                        <a:solidFill>
                          <a:srgbClr val="FFFF00"/>
                        </a:solid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83" type="#_x0000_t183" style="position:absolute;left:0pt;margin-left:269.3pt;margin-top:92.15pt;height:16.85pt;width:11.4pt;z-index:251681792;v-text-anchor:middle;mso-width-relative:page;mso-height-relative:page;" fillcolor="#FFFF00" filled="t" stroked="t" coordsize="21600,21600" o:gfxdata="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Bc3GzTZAAAACwEAAA8AAAAAAAAAAQAgAAAAIgAAAGRycy9kb3ducmV2LnhtbFBLAQIU&#10;ABQAAAAIAIdO4kBueEc3ZAIAAOIEAAAOAAAAAAAAAAEAIAAAACgBAABkcnMvZTJvRG9jLnhtbFBL&#10;BQYAAAAABgAGAFkBAAD+BQAAAAA=&#10;" adj="5400">
                <v:fill on="t" focussize="0,0"/>
                <v:stroke weight="2pt" color="#FFFF00 [2404]" joinstyle="round"/>
                <v:imagedata o:title=""/>
                <o:lock v:ext="edit" aspectratio="f"/>
              </v:shape>
            </w:pict>
          </mc:Fallback>
        </mc:AlternateContent>
      </w:r>
      <w:r>
        <w:rPr>
          <w:sz w:val="24"/>
        </w:rPr>
        <mc:AlternateContent>
          <mc:Choice Requires="wps">
            <w:drawing>
              <wp:anchor distT="0" distB="0" distL="114300" distR="114300" simplePos="0" relativeHeight="251680768" behindDoc="0" locked="0" layoutInCell="1" allowOverlap="1">
                <wp:simplePos x="0" y="0"/>
                <wp:positionH relativeFrom="column">
                  <wp:posOffset>3420110</wp:posOffset>
                </wp:positionH>
                <wp:positionV relativeFrom="paragraph">
                  <wp:posOffset>2381885</wp:posOffset>
                </wp:positionV>
                <wp:extent cx="144780" cy="213995"/>
                <wp:effectExtent l="12700" t="12700" r="25400" b="17145"/>
                <wp:wrapNone/>
                <wp:docPr id="135" name="太阳形 135"/>
                <wp:cNvGraphicFramePr/>
                <a:graphic xmlns:a="http://schemas.openxmlformats.org/drawingml/2006/main">
                  <a:graphicData uri="http://schemas.microsoft.com/office/word/2010/wordprocessingShape">
                    <wps:wsp>
                      <wps:cNvSpPr/>
                      <wps:spPr>
                        <a:xfrm>
                          <a:off x="0" y="0"/>
                          <a:ext cx="144780" cy="213995"/>
                        </a:xfrm>
                        <a:prstGeom prst="sun">
                          <a:avLst/>
                        </a:prstGeom>
                        <a:solidFill>
                          <a:srgbClr val="FFFF00"/>
                        </a:solid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83" type="#_x0000_t183" style="position:absolute;left:0pt;margin-left:269.3pt;margin-top:187.55pt;height:16.85pt;width:11.4pt;z-index:251680768;v-text-anchor:middle;mso-width-relative:page;mso-height-relative:page;" fillcolor="#FFFF00" filled="t" stroked="t" coordsize="21600,21600" o:gfxdata="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EtnZSnbAAAACwEAAA8AAAAAAAAAAQAgAAAAIgAAAGRycy9kb3ducmV2LnhtbFBL&#10;AQIUABQAAAAIAIdO4kBLb/aCZQIAAOIEAAAOAAAAAAAAAAEAIAAAACoBAABkcnMvZTJvRG9jLnht&#10;bFBLBQYAAAAABgAGAFkBAAABBgAAAAA=&#10;" adj="5400">
                <v:fill on="t" focussize="0,0"/>
                <v:stroke weight="2pt" color="#FFFF00 [2404]" joinstyle="round"/>
                <v:imagedata o:title=""/>
                <o:lock v:ext="edit" aspectratio="f"/>
              </v:shape>
            </w:pict>
          </mc:Fallback>
        </mc:AlternateContent>
      </w:r>
      <w:r>
        <w:rPr>
          <w:sz w:val="24"/>
        </w:rPr>
        <mc:AlternateContent>
          <mc:Choice Requires="wps">
            <w:drawing>
              <wp:anchor distT="0" distB="0" distL="114300" distR="114300" simplePos="0" relativeHeight="251679744" behindDoc="0" locked="0" layoutInCell="1" allowOverlap="1">
                <wp:simplePos x="0" y="0"/>
                <wp:positionH relativeFrom="column">
                  <wp:posOffset>4479290</wp:posOffset>
                </wp:positionH>
                <wp:positionV relativeFrom="paragraph">
                  <wp:posOffset>1810385</wp:posOffset>
                </wp:positionV>
                <wp:extent cx="144780" cy="213995"/>
                <wp:effectExtent l="12700" t="12700" r="25400" b="17145"/>
                <wp:wrapNone/>
                <wp:docPr id="134" name="太阳形 134"/>
                <wp:cNvGraphicFramePr/>
                <a:graphic xmlns:a="http://schemas.openxmlformats.org/drawingml/2006/main">
                  <a:graphicData uri="http://schemas.microsoft.com/office/word/2010/wordprocessingShape">
                    <wps:wsp>
                      <wps:cNvSpPr/>
                      <wps:spPr>
                        <a:xfrm>
                          <a:off x="6259195" y="3102610"/>
                          <a:ext cx="144780" cy="213995"/>
                        </a:xfrm>
                        <a:prstGeom prst="sun">
                          <a:avLst/>
                        </a:prstGeom>
                        <a:solidFill>
                          <a:srgbClr val="FFFF00"/>
                        </a:solid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83" type="#_x0000_t183" style="position:absolute;left:0pt;margin-left:352.7pt;margin-top:142.55pt;height:16.85pt;width:11.4pt;z-index:251679744;v-text-anchor:middle;mso-width-relative:page;mso-height-relative:page;" fillcolor="#FFFF00" filled="t" stroked="t" coordsize="21600,21600" o:gfxdata="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Mkla5doAAAALAQAADwAAAAAAAAABACAAAAAiAAAAZHJzL2Rv&#10;d25yZXYueG1sUEsBAhQAFAAAAAgAh07iQBuXmgRxAgAA7gQAAA4AAAAAAAAAAQAgAAAAKQEAAGRy&#10;cy9lMm9Eb2MueG1sUEsFBgAAAAAGAAYAWQEAAAwGAAAAAA==&#10;" adj="5400">
                <v:fill on="t" focussize="0,0"/>
                <v:stroke weight="2pt" color="#FFFF00 [2404]" joinstyle="round"/>
                <v:imagedata o:title=""/>
                <o:lock v:ext="edit" aspectratio="f"/>
              </v:shape>
            </w:pict>
          </mc:Fallback>
        </mc:AlternateContent>
      </w:r>
    </w:p>
    <w:p>
      <w:pPr>
        <w:pStyle w:val="29"/>
      </w:pPr>
    </w:p>
    <w:p>
      <w:r>
        <w:rPr>
          <w:rFonts w:hint="eastAsia"/>
          <w:u w:val="none"/>
          <w:lang w:val="en-US" w:eastAsia="zh-CN"/>
        </w:rPr>
        <w:t>附图5区域水系图</w:t>
      </w:r>
    </w:p>
    <w:p>
      <w:pPr>
        <w:rPr>
          <w:rFonts w:hint="default"/>
          <w:u w:val="none"/>
          <w:lang w:val="en-US" w:eastAsia="zh-CN"/>
        </w:rPr>
      </w:pPr>
      <w:r>
        <w:rPr>
          <w:sz w:val="21"/>
        </w:rPr>
        <mc:AlternateContent>
          <mc:Choice Requires="wps">
            <w:drawing>
              <wp:anchor distT="0" distB="0" distL="114300" distR="114300" simplePos="0" relativeHeight="251678720" behindDoc="0" locked="0" layoutInCell="1" allowOverlap="1">
                <wp:simplePos x="0" y="0"/>
                <wp:positionH relativeFrom="column">
                  <wp:posOffset>158115</wp:posOffset>
                </wp:positionH>
                <wp:positionV relativeFrom="paragraph">
                  <wp:posOffset>4332605</wp:posOffset>
                </wp:positionV>
                <wp:extent cx="485140" cy="86995"/>
                <wp:effectExtent l="0" t="12700" r="10160" b="14605"/>
                <wp:wrapNone/>
                <wp:docPr id="110" name="曲线连接符 110"/>
                <wp:cNvGraphicFramePr/>
                <a:graphic xmlns:a="http://schemas.openxmlformats.org/drawingml/2006/main">
                  <a:graphicData uri="http://schemas.microsoft.com/office/word/2010/wordprocessingShape">
                    <wps:wsp>
                      <wps:cNvCnPr/>
                      <wps:spPr>
                        <a:xfrm>
                          <a:off x="1130300" y="5892165"/>
                          <a:ext cx="485140" cy="86995"/>
                        </a:xfrm>
                        <a:prstGeom prst="curvedConnector3">
                          <a:avLst>
                            <a:gd name="adj1" fmla="val 50131"/>
                          </a:avLst>
                        </a:prstGeom>
                        <a:ln>
                          <a:solidFill>
                            <a:srgbClr val="13F9DB"/>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8" type="#_x0000_t38" style="position:absolute;left:0pt;margin-left:12.45pt;margin-top:341.15pt;height:6.85pt;width:38.2pt;z-index:251678720;mso-width-relative:page;mso-height-relative:page;" filled="f" stroked="t" coordsize="21600,21600" o:gfxdata="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IihUADYAAAACgEAAA8AAAAAAAAAAQAg&#10;AAAAIgAAAGRycy9kb3ducmV2LnhtbFBLAQIUABQAAAAIAIdO4kDMyKSCDgIAAOcDAAAOAAAAAAAA&#10;AAEAIAAAACcBAABkcnMvZTJvRG9jLnhtbFBLBQYAAAAABgAGAFkBAACnBQAAAAA=&#10;" adj="10828">
                <v:fill on="f" focussize="0,0"/>
                <v:stroke weight="2pt" color="#13F9DB [3204]" joinstyle="round"/>
                <v:imagedata o:title=""/>
                <o:lock v:ext="edit" aspectratio="f"/>
              </v:shape>
            </w:pict>
          </mc:Fallback>
        </mc:AlternateContent>
      </w:r>
      <w:r>
        <w:rPr>
          <w:sz w:val="21"/>
        </w:rPr>
        <mc:AlternateContent>
          <mc:Choice Requires="wps">
            <w:drawing>
              <wp:anchor distT="0" distB="0" distL="114300" distR="114300" simplePos="0" relativeHeight="251677696" behindDoc="0" locked="0" layoutInCell="1" allowOverlap="1">
                <wp:simplePos x="0" y="0"/>
                <wp:positionH relativeFrom="column">
                  <wp:posOffset>187325</wp:posOffset>
                </wp:positionH>
                <wp:positionV relativeFrom="paragraph">
                  <wp:posOffset>4041775</wp:posOffset>
                </wp:positionV>
                <wp:extent cx="467360" cy="81280"/>
                <wp:effectExtent l="0" t="12700" r="2540" b="20320"/>
                <wp:wrapNone/>
                <wp:docPr id="56" name="曲线连接符 56"/>
                <wp:cNvGraphicFramePr/>
                <a:graphic xmlns:a="http://schemas.openxmlformats.org/drawingml/2006/main">
                  <a:graphicData uri="http://schemas.microsoft.com/office/word/2010/wordprocessingShape">
                    <wps:wsp>
                      <wps:cNvCnPr/>
                      <wps:spPr>
                        <a:xfrm>
                          <a:off x="1159510" y="5441950"/>
                          <a:ext cx="467360" cy="81280"/>
                        </a:xfrm>
                        <a:prstGeom prst="curvedConnector3">
                          <a:avLst>
                            <a:gd name="adj1" fmla="val 50136"/>
                          </a:avLst>
                        </a:prstGeom>
                        <a:ln>
                          <a:solidFill>
                            <a:srgbClr val="FF000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8" type="#_x0000_t38" style="position:absolute;left:0pt;margin-left:14.75pt;margin-top:318.25pt;height:6.4pt;width:36.8pt;z-index:251677696;mso-width-relative:page;mso-height-relative:page;" filled="f" stroked="t" coordsize="21600,21600" o:gfxdata="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COf2nv2QAAAAoBAAAPAAAAAAAAAAEA&#10;IAAAACIAAABkcnMvZG93bnJldi54bWxQSwECFAAUAAAACACHTuJAlXNVxg4CAADlAwAADgAAAAAA&#10;AAABACAAAAAoAQAAZHJzL2Uyb0RvYy54bWxQSwUGAAAAAAYABgBZAQAAqAUAAAAA&#10;" adj="10829">
                <v:fill on="f" focussize="0,0"/>
                <v:stroke weight="2pt" color="#FF0000 [3204]" joinstyle="round"/>
                <v:imagedata o:title=""/>
                <o:lock v:ext="edit" aspectratio="f"/>
              </v:shape>
            </w:pict>
          </mc:Fallback>
        </mc:AlternateContent>
      </w:r>
      <w:r>
        <w:rPr>
          <w:sz w:val="21"/>
        </w:rPr>
        <mc:AlternateContent>
          <mc:Choice Requires="wps">
            <w:drawing>
              <wp:anchor distT="0" distB="0" distL="114300" distR="114300" simplePos="0" relativeHeight="251676672" behindDoc="0" locked="0" layoutInCell="1" allowOverlap="1">
                <wp:simplePos x="0" y="0"/>
                <wp:positionH relativeFrom="column">
                  <wp:posOffset>71755</wp:posOffset>
                </wp:positionH>
                <wp:positionV relativeFrom="paragraph">
                  <wp:posOffset>3770630</wp:posOffset>
                </wp:positionV>
                <wp:extent cx="1338580" cy="779145"/>
                <wp:effectExtent l="5080" t="4445" r="15240" b="16510"/>
                <wp:wrapNone/>
                <wp:docPr id="50" name="文本框 50"/>
                <wp:cNvGraphicFramePr/>
                <a:graphic xmlns:a="http://schemas.openxmlformats.org/drawingml/2006/main">
                  <a:graphicData uri="http://schemas.microsoft.com/office/word/2010/wordprocessingShape">
                    <wps:wsp>
                      <wps:cNvSpPr txBox="1"/>
                      <wps:spPr>
                        <a:xfrm>
                          <a:off x="1043940" y="5176520"/>
                          <a:ext cx="1338580" cy="77914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lang w:val="en-US" w:eastAsia="zh-CN"/>
                              </w:rPr>
                            </w:pPr>
                            <w:r>
                              <w:rPr>
                                <w:rFonts w:hint="eastAsia"/>
                                <w:lang w:val="en-US" w:eastAsia="zh-CN"/>
                              </w:rPr>
                              <w:t>图例</w:t>
                            </w:r>
                          </w:p>
                          <w:p>
                            <w:pPr>
                              <w:rPr>
                                <w:rFonts w:hint="eastAsia"/>
                                <w:lang w:val="en-US" w:eastAsia="zh-CN"/>
                              </w:rPr>
                            </w:pPr>
                            <w:r>
                              <w:rPr>
                                <w:rFonts w:hint="eastAsia"/>
                                <w:lang w:val="en-US" w:eastAsia="zh-CN"/>
                              </w:rPr>
                              <w:t>演水</w:t>
                            </w:r>
                          </w:p>
                          <w:p>
                            <w:pPr>
                              <w:rPr>
                                <w:rFonts w:hint="eastAsia"/>
                                <w:lang w:val="en-US" w:eastAsia="zh-CN"/>
                              </w:rPr>
                            </w:pPr>
                          </w:p>
                          <w:p>
                            <w:pPr>
                              <w:rPr>
                                <w:rFonts w:hint="default"/>
                                <w:lang w:val="en-US" w:eastAsia="zh-CN"/>
                              </w:rPr>
                            </w:pPr>
                            <w:r>
                              <w:rPr>
                                <w:rFonts w:hint="eastAsia"/>
                                <w:lang w:val="en-US" w:eastAsia="zh-CN"/>
                              </w:rPr>
                              <w:t>蒸水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65pt;margin-top:296.9pt;height:61.35pt;width:105.4pt;z-index:251676672;mso-width-relative:page;mso-height-relative:page;" fillcolor="#FFFFFF [3201]" filled="t" stroked="t" coordsize="21600,21600" o:gfxdata="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tdnY6tYAAAAKAQAADwAAAAAAAAABACAAAAAiAAAAZHJzL2Rvd25yZXYueG1sUEsBAhQAFAAAAAgA&#10;h07iQEz84GRgAgAAxQQAAA4AAAAAAAAAAQAgAAAAJQEAAGRycy9lMm9Eb2MueG1sUEsFBgAAAAAG&#10;AAYAWQEAAPcFAAAAAA==&#10;">
                <v:fill on="t" focussize="0,0"/>
                <v:stroke weight="0.5pt" color="#000000 [3204]" joinstyle="round"/>
                <v:imagedata o:title=""/>
                <o:lock v:ext="edit" aspectratio="f"/>
                <v:textbox>
                  <w:txbxContent>
                    <w:p>
                      <w:pPr>
                        <w:jc w:val="center"/>
                        <w:rPr>
                          <w:rFonts w:hint="eastAsia"/>
                          <w:lang w:val="en-US" w:eastAsia="zh-CN"/>
                        </w:rPr>
                      </w:pPr>
                      <w:r>
                        <w:rPr>
                          <w:rFonts w:hint="eastAsia"/>
                          <w:lang w:val="en-US" w:eastAsia="zh-CN"/>
                        </w:rPr>
                        <w:t>图例</w:t>
                      </w:r>
                    </w:p>
                    <w:p>
                      <w:pPr>
                        <w:rPr>
                          <w:rFonts w:hint="eastAsia"/>
                          <w:lang w:val="en-US" w:eastAsia="zh-CN"/>
                        </w:rPr>
                      </w:pPr>
                      <w:r>
                        <w:rPr>
                          <w:rFonts w:hint="eastAsia"/>
                          <w:lang w:val="en-US" w:eastAsia="zh-CN"/>
                        </w:rPr>
                        <w:t>演水</w:t>
                      </w:r>
                    </w:p>
                    <w:p>
                      <w:pPr>
                        <w:rPr>
                          <w:rFonts w:hint="eastAsia"/>
                          <w:lang w:val="en-US" w:eastAsia="zh-CN"/>
                        </w:rPr>
                      </w:pPr>
                    </w:p>
                    <w:p>
                      <w:pPr>
                        <w:rPr>
                          <w:rFonts w:hint="default"/>
                          <w:lang w:val="en-US" w:eastAsia="zh-CN"/>
                        </w:rPr>
                      </w:pPr>
                      <w:r>
                        <w:rPr>
                          <w:rFonts w:hint="eastAsia"/>
                          <w:lang w:val="en-US" w:eastAsia="zh-CN"/>
                        </w:rPr>
                        <w:t>蒸水</w:t>
                      </w:r>
                    </w:p>
                  </w:txbxContent>
                </v:textbox>
              </v:shape>
            </w:pict>
          </mc:Fallback>
        </mc:AlternateContent>
      </w:r>
      <w:r>
        <w:rPr>
          <w:rFonts w:hint="eastAsia" w:eastAsia="黑体"/>
          <w:color w:val="000000"/>
          <w:u w:val="none"/>
          <w:lang w:eastAsia="zh-CN"/>
        </w:rPr>
        <w:drawing>
          <wp:anchor distT="0" distB="0" distL="114300" distR="114300" simplePos="0" relativeHeight="251663360" behindDoc="0" locked="0" layoutInCell="1" allowOverlap="1">
            <wp:simplePos x="0" y="0"/>
            <wp:positionH relativeFrom="column">
              <wp:posOffset>8098790</wp:posOffset>
            </wp:positionH>
            <wp:positionV relativeFrom="paragraph">
              <wp:posOffset>-15875</wp:posOffset>
            </wp:positionV>
            <wp:extent cx="598805" cy="855345"/>
            <wp:effectExtent l="0" t="0" r="0" b="0"/>
            <wp:wrapNone/>
            <wp:docPr id="143" name="图片 1157" descr="指北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157" descr="指北针"/>
                    <pic:cNvPicPr>
                      <a:picLocks noChangeAspect="1"/>
                    </pic:cNvPicPr>
                  </pic:nvPicPr>
                  <pic:blipFill>
                    <a:blip r:embed="rId35"/>
                    <a:stretch>
                      <a:fillRect/>
                    </a:stretch>
                  </pic:blipFill>
                  <pic:spPr>
                    <a:xfrm>
                      <a:off x="0" y="0"/>
                      <a:ext cx="598805" cy="855345"/>
                    </a:xfrm>
                    <a:prstGeom prst="rect">
                      <a:avLst/>
                    </a:prstGeom>
                    <a:noFill/>
                    <a:ln>
                      <a:noFill/>
                    </a:ln>
                  </pic:spPr>
                </pic:pic>
              </a:graphicData>
            </a:graphic>
          </wp:anchor>
        </w:drawing>
      </w:r>
      <w:r>
        <w:drawing>
          <wp:inline distT="0" distB="0" distL="114300" distR="114300">
            <wp:extent cx="8747125" cy="4545965"/>
            <wp:effectExtent l="0" t="0" r="3175" b="635"/>
            <wp:docPr id="4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2"/>
                    <pic:cNvPicPr>
                      <a:picLocks noChangeAspect="1"/>
                    </pic:cNvPicPr>
                  </pic:nvPicPr>
                  <pic:blipFill>
                    <a:blip r:embed="rId41"/>
                    <a:stretch>
                      <a:fillRect/>
                    </a:stretch>
                  </pic:blipFill>
                  <pic:spPr>
                    <a:xfrm>
                      <a:off x="0" y="0"/>
                      <a:ext cx="8747125" cy="4545965"/>
                    </a:xfrm>
                    <a:prstGeom prst="rect">
                      <a:avLst/>
                    </a:prstGeom>
                    <a:noFill/>
                    <a:ln>
                      <a:noFill/>
                    </a:ln>
                  </pic:spPr>
                </pic:pic>
              </a:graphicData>
            </a:graphic>
          </wp:inline>
        </w:drawing>
      </w:r>
    </w:p>
    <w:p>
      <w:pPr>
        <w:rPr>
          <w:u w:val="none"/>
        </w:rPr>
      </w:pPr>
    </w:p>
    <w:p>
      <w:pPr>
        <w:rPr>
          <w:rFonts w:hint="eastAsia"/>
          <w:u w:val="none"/>
          <w:lang w:val="en-US" w:eastAsia="zh-CN"/>
        </w:rPr>
      </w:pPr>
    </w:p>
    <w:p>
      <w:pPr>
        <w:rPr>
          <w:rFonts w:hint="eastAsia"/>
          <w:u w:val="none"/>
          <w:lang w:val="en-US" w:eastAsia="zh-CN"/>
        </w:rPr>
      </w:pPr>
      <w:r>
        <w:rPr>
          <w:rFonts w:hint="eastAsia"/>
          <w:u w:val="none"/>
          <w:lang w:val="en-US" w:eastAsia="zh-CN"/>
        </w:rPr>
        <w:t>附图6项目所在衡阳市环境管控单元控制位置图</w:t>
      </w:r>
    </w:p>
    <w:p>
      <w:pPr>
        <w:jc w:val="center"/>
        <w:rPr>
          <w:rFonts w:hint="eastAsia" w:eastAsia="宋体"/>
          <w:u w:val="none"/>
          <w:lang w:eastAsia="zh-CN"/>
        </w:rPr>
      </w:pPr>
      <w:r>
        <w:rPr>
          <w:sz w:val="24"/>
          <w:u w:val="none"/>
        </w:rPr>
        <mc:AlternateContent>
          <mc:Choice Requires="wps">
            <w:drawing>
              <wp:anchor distT="0" distB="0" distL="114300" distR="114300" simplePos="0" relativeHeight="251665408" behindDoc="0" locked="0" layoutInCell="1" allowOverlap="1">
                <wp:simplePos x="0" y="0"/>
                <wp:positionH relativeFrom="column">
                  <wp:posOffset>4304665</wp:posOffset>
                </wp:positionH>
                <wp:positionV relativeFrom="paragraph">
                  <wp:posOffset>1226185</wp:posOffset>
                </wp:positionV>
                <wp:extent cx="880110" cy="254000"/>
                <wp:effectExtent l="0" t="0" r="0" b="0"/>
                <wp:wrapNone/>
                <wp:docPr id="163" name="自选图形 1180"/>
                <wp:cNvGraphicFramePr/>
                <a:graphic xmlns:a="http://schemas.openxmlformats.org/drawingml/2006/main">
                  <a:graphicData uri="http://schemas.microsoft.com/office/word/2010/wordprocessingShape">
                    <wps:wsp>
                      <wps:cNvSpPr/>
                      <wps:spPr>
                        <a:xfrm>
                          <a:off x="0" y="0"/>
                          <a:ext cx="880110" cy="254000"/>
                        </a:xfrm>
                        <a:prstGeom prst="wedgeRectCallout">
                          <a:avLst>
                            <a:gd name="adj1" fmla="val -48630"/>
                            <a:gd name="adj2" fmla="val 204750"/>
                          </a:avLst>
                        </a:prstGeom>
                        <a:solidFill>
                          <a:srgbClr val="FFFFFF"/>
                        </a:solidFill>
                        <a:ln w="9525" cap="flat" cmpd="sng">
                          <a:solidFill>
                            <a:srgbClr val="000000"/>
                          </a:solidFill>
                          <a:prstDash val="solid"/>
                          <a:miter/>
                          <a:headEnd type="none" w="med" len="med"/>
                          <a:tailEnd type="none" w="med" len="med"/>
                        </a:ln>
                      </wps:spPr>
                      <wps:txbx>
                        <w:txbxContent>
                          <w:p>
                            <w:pPr>
                              <w:rPr>
                                <w:rFonts w:hint="eastAsia" w:eastAsia="宋体"/>
                                <w:color w:val="FF0000"/>
                                <w:lang w:val="en-US" w:eastAsia="zh-CN"/>
                              </w:rPr>
                            </w:pPr>
                            <w:r>
                              <w:rPr>
                                <w:rFonts w:hint="eastAsia"/>
                                <w:color w:val="FF0000"/>
                                <w:lang w:val="en-US" w:eastAsia="zh-CN"/>
                              </w:rPr>
                              <w:t>项目所在地</w:t>
                            </w:r>
                          </w:p>
                        </w:txbxContent>
                      </wps:txbx>
                      <wps:bodyPr wrap="square" upright="1"/>
                    </wps:wsp>
                  </a:graphicData>
                </a:graphic>
              </wp:anchor>
            </w:drawing>
          </mc:Choice>
          <mc:Fallback>
            <w:pict>
              <v:shape id="自选图形 1180" o:spid="_x0000_s1026" o:spt="61" type="#_x0000_t61" style="position:absolute;left:0pt;margin-left:338.95pt;margin-top:96.55pt;height:20pt;width:69.3pt;z-index:251665408;mso-width-relative:page;mso-height-relative:page;" fillcolor="#FFFFFF" filled="t" stroked="t" coordsize="21600,21600" o:gfxdata="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HiJUVraAAAACwEAAA8AAAAAAAAA&#10;AQAgAAAAIgAAAGRycy9kb3ducmV2LnhtbFBLAQIUABQAAAAIAIdO4kCeNCNdSAIAAKAEAAAOAAAA&#10;AAAAAAEAIAAAACkBAABkcnMvZTJvRG9jLnhtbFBLBQYAAAAABgAGAFkBAADjBQAAAAA=&#10;" adj="296,55026">
                <v:fill on="t" focussize="0,0"/>
                <v:stroke color="#000000" joinstyle="miter"/>
                <v:imagedata o:title=""/>
                <o:lock v:ext="edit" aspectratio="f"/>
                <v:textbox>
                  <w:txbxContent>
                    <w:p>
                      <w:pPr>
                        <w:rPr>
                          <w:rFonts w:hint="eastAsia" w:eastAsia="宋体"/>
                          <w:color w:val="FF0000"/>
                          <w:lang w:val="en-US" w:eastAsia="zh-CN"/>
                        </w:rPr>
                      </w:pPr>
                      <w:r>
                        <w:rPr>
                          <w:rFonts w:hint="eastAsia"/>
                          <w:color w:val="FF0000"/>
                          <w:lang w:val="en-US" w:eastAsia="zh-CN"/>
                        </w:rPr>
                        <w:t>项目所在地</w:t>
                      </w:r>
                    </w:p>
                  </w:txbxContent>
                </v:textbox>
              </v:shape>
            </w:pict>
          </mc:Fallback>
        </mc:AlternateContent>
      </w:r>
      <w:r>
        <w:rPr>
          <w:sz w:val="24"/>
          <w:u w:val="none"/>
        </w:rPr>
        <mc:AlternateContent>
          <mc:Choice Requires="wps">
            <w:drawing>
              <wp:anchor distT="0" distB="0" distL="114300" distR="114300" simplePos="0" relativeHeight="251664384" behindDoc="0" locked="0" layoutInCell="1" allowOverlap="1">
                <wp:simplePos x="0" y="0"/>
                <wp:positionH relativeFrom="column">
                  <wp:posOffset>4219575</wp:posOffset>
                </wp:positionH>
                <wp:positionV relativeFrom="paragraph">
                  <wp:posOffset>1865630</wp:posOffset>
                </wp:positionV>
                <wp:extent cx="75565" cy="75565"/>
                <wp:effectExtent l="0" t="0" r="0" b="0"/>
                <wp:wrapNone/>
                <wp:docPr id="162" name="自选图形 1179"/>
                <wp:cNvGraphicFramePr/>
                <a:graphic xmlns:a="http://schemas.openxmlformats.org/drawingml/2006/main">
                  <a:graphicData uri="http://schemas.microsoft.com/office/word/2010/wordprocessingShape">
                    <wps:wsp>
                      <wps:cNvSpPr/>
                      <wps:spPr>
                        <a:xfrm>
                          <a:off x="0" y="0"/>
                          <a:ext cx="75565" cy="75565"/>
                        </a:xfrm>
                        <a:prstGeom prst="triangle">
                          <a:avLst>
                            <a:gd name="adj" fmla="val 50000"/>
                          </a:avLst>
                        </a:prstGeom>
                        <a:solidFill>
                          <a:srgbClr val="FF0000"/>
                        </a:solidFill>
                        <a:ln w="9525" cap="flat" cmpd="sng">
                          <a:solidFill>
                            <a:srgbClr val="000000"/>
                          </a:solidFill>
                          <a:prstDash val="solid"/>
                          <a:miter/>
                          <a:headEnd type="none" w="med" len="med"/>
                          <a:tailEnd type="none" w="med" len="med"/>
                        </a:ln>
                      </wps:spPr>
                      <wps:bodyPr wrap="square" upright="1"/>
                    </wps:wsp>
                  </a:graphicData>
                </a:graphic>
              </wp:anchor>
            </w:drawing>
          </mc:Choice>
          <mc:Fallback>
            <w:pict>
              <v:shape id="自选图形 1179" o:spid="_x0000_s1026" o:spt="5" type="#_x0000_t5" style="position:absolute;left:0pt;margin-left:332.25pt;margin-top:146.9pt;height:5.95pt;width:5.95pt;z-index:251664384;mso-width-relative:page;mso-height-relative:page;" fillcolor="#FF0000" filled="t" stroked="t" coordsize="21600,21600" o:gfxdata="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ryRuWtsAAAALAQAADwAAAAAAAAABACAAAAAiAAAAZHJzL2Rvd25yZXYueG1sUEsBAhQA&#10;FAAAAAgAh07iQDJ8u1soAgAAZAQAAA4AAAAAAAAAAQAgAAAAKgEAAGRycy9lMm9Eb2MueG1sUEsF&#10;BgAAAAAGAAYAWQEAAMQFAAAAAA==&#10;" adj="10800">
                <v:fill on="t" focussize="0,0"/>
                <v:stroke color="#000000" joinstyle="miter"/>
                <v:imagedata o:title=""/>
                <o:lock v:ext="edit" aspectratio="f"/>
              </v:shape>
            </w:pict>
          </mc:Fallback>
        </mc:AlternateContent>
      </w:r>
      <w:r>
        <w:rPr>
          <w:rFonts w:hint="eastAsia" w:eastAsia="宋体"/>
          <w:u w:val="none"/>
          <w:lang w:eastAsia="zh-CN"/>
        </w:rPr>
        <w:drawing>
          <wp:inline distT="0" distB="0" distL="114300" distR="114300">
            <wp:extent cx="6117590" cy="5113655"/>
            <wp:effectExtent l="0" t="0" r="0" b="0"/>
            <wp:docPr id="195" name="图片 42" descr="衡阳市环境管控单元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42" descr="衡阳市环境管控单元图"/>
                    <pic:cNvPicPr>
                      <a:picLocks noChangeAspect="1"/>
                    </pic:cNvPicPr>
                  </pic:nvPicPr>
                  <pic:blipFill>
                    <a:blip r:embed="rId42"/>
                    <a:stretch>
                      <a:fillRect/>
                    </a:stretch>
                  </pic:blipFill>
                  <pic:spPr>
                    <a:xfrm>
                      <a:off x="0" y="0"/>
                      <a:ext cx="6117590" cy="5113655"/>
                    </a:xfrm>
                    <a:prstGeom prst="rect">
                      <a:avLst/>
                    </a:prstGeom>
                    <a:noFill/>
                    <a:ln>
                      <a:noFill/>
                    </a:ln>
                  </pic:spPr>
                </pic:pic>
              </a:graphicData>
            </a:graphic>
          </wp:inline>
        </w:drawing>
      </w:r>
    </w:p>
    <w:p>
      <w:pPr>
        <w:pStyle w:val="29"/>
        <w:ind w:left="0" w:leftChars="0" w:firstLine="0" w:firstLineChars="0"/>
        <w:rPr>
          <w:rFonts w:hint="default"/>
          <w:u w:val="none"/>
          <w:lang w:val="en-US" w:eastAsia="zh-CN"/>
        </w:rPr>
      </w:pPr>
      <w:r>
        <w:rPr>
          <w:rFonts w:hint="eastAsia"/>
          <w:u w:val="none"/>
          <w:lang w:val="en-US" w:eastAsia="zh-CN"/>
        </w:rPr>
        <w:t>附图7废渣运输路线</w:t>
      </w:r>
    </w:p>
    <w:p>
      <w:pPr>
        <w:pStyle w:val="2"/>
      </w:pPr>
      <w:r>
        <w:rPr>
          <w:sz w:val="24"/>
        </w:rPr>
        <mc:AlternateContent>
          <mc:Choice Requires="wps">
            <w:drawing>
              <wp:anchor distT="0" distB="0" distL="114300" distR="114300" simplePos="0" relativeHeight="251670528" behindDoc="0" locked="0" layoutInCell="1" allowOverlap="1">
                <wp:simplePos x="0" y="0"/>
                <wp:positionH relativeFrom="column">
                  <wp:posOffset>2190115</wp:posOffset>
                </wp:positionH>
                <wp:positionV relativeFrom="paragraph">
                  <wp:posOffset>1279525</wp:posOffset>
                </wp:positionV>
                <wp:extent cx="482600" cy="306705"/>
                <wp:effectExtent l="0" t="0" r="12700" b="10795"/>
                <wp:wrapNone/>
                <wp:docPr id="48" name="直接箭头连接符 48"/>
                <wp:cNvGraphicFramePr/>
                <a:graphic xmlns:a="http://schemas.openxmlformats.org/drawingml/2006/main">
                  <a:graphicData uri="http://schemas.microsoft.com/office/word/2010/wordprocessingShape">
                    <wps:wsp>
                      <wps:cNvCnPr/>
                      <wps:spPr>
                        <a:xfrm flipH="1" flipV="1">
                          <a:off x="0" y="0"/>
                          <a:ext cx="482600" cy="306705"/>
                        </a:xfrm>
                        <a:prstGeom prst="straightConnector1">
                          <a:avLst/>
                        </a:prstGeom>
                        <a:ln>
                          <a:solidFill>
                            <a:srgbClr val="FF00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 y;margin-left:172.45pt;margin-top:100.75pt;height:24.15pt;width:38pt;z-index:251670528;mso-width-relative:page;mso-height-relative:page;" filled="f" stroked="t" coordsize="21600,21600" o:gfxdata="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BO/+Au2QAAAAsBAAAPAAAAAAAAAAEAIAAA&#10;ACIAAABkcnMvZG93bnJldi54bWxQSwECFAAUAAAACACHTuJA5WZpSAsCAADiAwAADgAAAAAAAAAB&#10;ACAAAAAoAQAAZHJzL2Uyb0RvYy54bWxQSwUGAAAAAAYABgBZAQAApQUAAAAA&#10;">
                <v:fill on="f" focussize="0,0"/>
                <v:stroke weight="2pt" color="#FF0000 [3204]" joinstyle="round" endarrow="open"/>
                <v:imagedata o:title=""/>
                <o:lock v:ext="edit" aspectratio="f"/>
              </v:shape>
            </w:pict>
          </mc:Fallback>
        </mc:AlternateContent>
      </w:r>
      <w:r>
        <w:rPr>
          <w:sz w:val="24"/>
        </w:rPr>
        <mc:AlternateContent>
          <mc:Choice Requires="wps">
            <w:drawing>
              <wp:anchor distT="0" distB="0" distL="114300" distR="114300" simplePos="0" relativeHeight="251668480" behindDoc="0" locked="0" layoutInCell="1" allowOverlap="1">
                <wp:simplePos x="0" y="0"/>
                <wp:positionH relativeFrom="column">
                  <wp:posOffset>3769995</wp:posOffset>
                </wp:positionH>
                <wp:positionV relativeFrom="paragraph">
                  <wp:posOffset>1880235</wp:posOffset>
                </wp:positionV>
                <wp:extent cx="542290" cy="173990"/>
                <wp:effectExtent l="0" t="24130" r="3810" b="17780"/>
                <wp:wrapNone/>
                <wp:docPr id="45" name="直接箭头连接符 45"/>
                <wp:cNvGraphicFramePr/>
                <a:graphic xmlns:a="http://schemas.openxmlformats.org/drawingml/2006/main">
                  <a:graphicData uri="http://schemas.microsoft.com/office/word/2010/wordprocessingShape">
                    <wps:wsp>
                      <wps:cNvCnPr/>
                      <wps:spPr>
                        <a:xfrm flipH="1" flipV="1">
                          <a:off x="4885690" y="5270500"/>
                          <a:ext cx="542290" cy="173990"/>
                        </a:xfrm>
                        <a:prstGeom prst="straightConnector1">
                          <a:avLst/>
                        </a:prstGeom>
                        <a:ln>
                          <a:solidFill>
                            <a:srgbClr val="FF00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 y;margin-left:296.85pt;margin-top:148.05pt;height:13.7pt;width:42.7pt;z-index:251668480;mso-width-relative:page;mso-height-relative:page;" filled="f" stroked="t" coordsize="21600,21600" o:gfxdata="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LJ7BK7aAAAACwEA&#10;AA8AAAAAAAAAAQAgAAAAIgAAAGRycy9kb3ducmV2LnhtbFBLAQIUABQAAAAIAIdO4kCxMRmLGAIA&#10;AO4DAAAOAAAAAAAAAAEAIAAAACkBAABkcnMvZTJvRG9jLnhtbFBLBQYAAAAABgAGAFkBAACzBQAA&#10;AAA=&#10;">
                <v:fill on="f" focussize="0,0"/>
                <v:stroke weight="2pt" color="#FF0000 [3204]" joinstyle="round" endarrow="open"/>
                <v:imagedata o:title=""/>
                <o:lock v:ext="edit" aspectratio="f"/>
              </v:shape>
            </w:pict>
          </mc:Fallback>
        </mc:AlternateContent>
      </w:r>
      <w:r>
        <w:drawing>
          <wp:inline distT="0" distB="0" distL="114300" distR="114300">
            <wp:extent cx="8736965" cy="4687570"/>
            <wp:effectExtent l="0" t="0" r="635" b="11430"/>
            <wp:docPr id="13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3"/>
                    <pic:cNvPicPr>
                      <a:picLocks noChangeAspect="1"/>
                    </pic:cNvPicPr>
                  </pic:nvPicPr>
                  <pic:blipFill>
                    <a:blip r:embed="rId43"/>
                    <a:stretch>
                      <a:fillRect/>
                    </a:stretch>
                  </pic:blipFill>
                  <pic:spPr>
                    <a:xfrm>
                      <a:off x="0" y="0"/>
                      <a:ext cx="8736965" cy="4687570"/>
                    </a:xfrm>
                    <a:prstGeom prst="rect">
                      <a:avLst/>
                    </a:prstGeom>
                    <a:noFill/>
                    <a:ln>
                      <a:noFill/>
                    </a:ln>
                  </pic:spPr>
                </pic:pic>
              </a:graphicData>
            </a:graphic>
          </wp:inline>
        </w:drawing>
      </w:r>
      <w:r>
        <w:rPr>
          <w:sz w:val="24"/>
        </w:rPr>
        <mc:AlternateContent>
          <mc:Choice Requires="wps">
            <w:drawing>
              <wp:anchor distT="0" distB="0" distL="114300" distR="114300" simplePos="0" relativeHeight="251672576" behindDoc="0" locked="0" layoutInCell="1" allowOverlap="1">
                <wp:simplePos x="0" y="0"/>
                <wp:positionH relativeFrom="column">
                  <wp:posOffset>3451860</wp:posOffset>
                </wp:positionH>
                <wp:positionV relativeFrom="paragraph">
                  <wp:posOffset>1396365</wp:posOffset>
                </wp:positionV>
                <wp:extent cx="819150" cy="374650"/>
                <wp:effectExtent l="0" t="10795" r="6350" b="20955"/>
                <wp:wrapNone/>
                <wp:docPr id="59" name="直接箭头连接符 59"/>
                <wp:cNvGraphicFramePr/>
                <a:graphic xmlns:a="http://schemas.openxmlformats.org/drawingml/2006/main">
                  <a:graphicData uri="http://schemas.microsoft.com/office/word/2010/wordprocessingShape">
                    <wps:wsp>
                      <wps:cNvCnPr/>
                      <wps:spPr>
                        <a:xfrm flipH="1" flipV="1">
                          <a:off x="0" y="0"/>
                          <a:ext cx="819150" cy="374650"/>
                        </a:xfrm>
                        <a:prstGeom prst="straightConnector1">
                          <a:avLst/>
                        </a:prstGeom>
                        <a:ln>
                          <a:solidFill>
                            <a:srgbClr val="0000FF"/>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 y;margin-left:271.8pt;margin-top:109.95pt;height:29.5pt;width:64.5pt;z-index:251672576;mso-width-relative:page;mso-height-relative:page;" filled="f" stroked="t" coordsize="21600,21600" o:gfxdata="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RjC5FNoAAAALAQAADwAAAAAAAAABACAA&#10;AAAiAAAAZHJzL2Rvd25yZXYueG1sUEsBAhQAFAAAAAgAh07iQJ2vhw0LAgAA4gMAAA4AAAAAAAAA&#10;AQAgAAAAKQEAAGRycy9lMm9Eb2MueG1sUEsFBgAAAAAGAAYAWQEAAKYFAAAAAA==&#10;">
                <v:fill on="f" focussize="0,0"/>
                <v:stroke weight="2pt" color="#0000FF [3204]" joinstyle="round" endarrow="open"/>
                <v:imagedata o:title=""/>
                <o:lock v:ext="edit" aspectratio="f"/>
              </v:shape>
            </w:pict>
          </mc:Fallback>
        </mc:AlternateContent>
      </w:r>
      <w:r>
        <w:rPr>
          <w:sz w:val="24"/>
        </w:rPr>
        <mc:AlternateContent>
          <mc:Choice Requires="wps">
            <w:drawing>
              <wp:anchor distT="0" distB="0" distL="114300" distR="114300" simplePos="0" relativeHeight="251671552" behindDoc="0" locked="0" layoutInCell="1" allowOverlap="1">
                <wp:simplePos x="0" y="0"/>
                <wp:positionH relativeFrom="column">
                  <wp:posOffset>4675505</wp:posOffset>
                </wp:positionH>
                <wp:positionV relativeFrom="paragraph">
                  <wp:posOffset>1499235</wp:posOffset>
                </wp:positionV>
                <wp:extent cx="675640" cy="294640"/>
                <wp:effectExtent l="0" t="12700" r="10160" b="22860"/>
                <wp:wrapNone/>
                <wp:docPr id="58" name="直接箭头连接符 58"/>
                <wp:cNvGraphicFramePr/>
                <a:graphic xmlns:a="http://schemas.openxmlformats.org/drawingml/2006/main">
                  <a:graphicData uri="http://schemas.microsoft.com/office/word/2010/wordprocessingShape">
                    <wps:wsp>
                      <wps:cNvCnPr/>
                      <wps:spPr>
                        <a:xfrm flipH="1" flipV="1">
                          <a:off x="4923790" y="2764790"/>
                          <a:ext cx="675640" cy="294640"/>
                        </a:xfrm>
                        <a:prstGeom prst="straightConnector1">
                          <a:avLst/>
                        </a:prstGeom>
                        <a:ln>
                          <a:solidFill>
                            <a:srgbClr val="0000FF"/>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 y;margin-left:368.15pt;margin-top:118.05pt;height:23.2pt;width:53.2pt;z-index:251671552;mso-width-relative:page;mso-height-relative:page;" filled="f" stroked="t" coordsize="21600,21600" o:gfxdata="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CRUyAi2wAAAAsBAAAPAAAA&#10;AAAAAAEAIAAAACIAAABkcnMvZG93bnJldi54bWxQSwECFAAUAAAACACHTuJAmT/u+RICAADuAwAA&#10;DgAAAAAAAAABACAAAAAqAQAAZHJzL2Uyb0RvYy54bWxQSwUGAAAAAAYABgBZAQAArgUAAAAA&#10;">
                <v:fill on="f" focussize="0,0"/>
                <v:stroke weight="2pt" color="#0000FF [3204]" joinstyle="round" endarrow="open"/>
                <v:imagedata o:title=""/>
                <o:lock v:ext="edit" aspectratio="f"/>
              </v:shape>
            </w:pict>
          </mc:Fallback>
        </mc:AlternateContent>
      </w:r>
      <w:r>
        <w:drawing>
          <wp:anchor distT="0" distB="0" distL="114300" distR="114300" simplePos="0" relativeHeight="251673600" behindDoc="0" locked="0" layoutInCell="1" allowOverlap="1">
            <wp:simplePos x="0" y="0"/>
            <wp:positionH relativeFrom="column">
              <wp:posOffset>65405</wp:posOffset>
            </wp:positionH>
            <wp:positionV relativeFrom="paragraph">
              <wp:posOffset>3399155</wp:posOffset>
            </wp:positionV>
            <wp:extent cx="3282315" cy="1143000"/>
            <wp:effectExtent l="0" t="0" r="6985" b="0"/>
            <wp:wrapNone/>
            <wp:docPr id="6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4"/>
                    <pic:cNvPicPr>
                      <a:picLocks noChangeAspect="1"/>
                    </pic:cNvPicPr>
                  </pic:nvPicPr>
                  <pic:blipFill>
                    <a:blip r:embed="rId44"/>
                    <a:stretch>
                      <a:fillRect/>
                    </a:stretch>
                  </pic:blipFill>
                  <pic:spPr>
                    <a:xfrm>
                      <a:off x="0" y="0"/>
                      <a:ext cx="3282315" cy="1143000"/>
                    </a:xfrm>
                    <a:prstGeom prst="rect">
                      <a:avLst/>
                    </a:prstGeom>
                    <a:noFill/>
                    <a:ln>
                      <a:noFill/>
                    </a:ln>
                  </pic:spPr>
                </pic:pic>
              </a:graphicData>
            </a:graphic>
          </wp:anchor>
        </w:drawing>
      </w:r>
      <w:r>
        <w:rPr>
          <w:sz w:val="24"/>
        </w:rPr>
        <mc:AlternateContent>
          <mc:Choice Requires="wps">
            <w:drawing>
              <wp:anchor distT="0" distB="0" distL="114300" distR="114300" simplePos="0" relativeHeight="251669504" behindDoc="0" locked="0" layoutInCell="1" allowOverlap="1">
                <wp:simplePos x="0" y="0"/>
                <wp:positionH relativeFrom="column">
                  <wp:posOffset>4798060</wp:posOffset>
                </wp:positionH>
                <wp:positionV relativeFrom="paragraph">
                  <wp:posOffset>2821305</wp:posOffset>
                </wp:positionV>
                <wp:extent cx="339090" cy="525780"/>
                <wp:effectExtent l="0" t="0" r="16510" b="7620"/>
                <wp:wrapNone/>
                <wp:docPr id="46" name="直接箭头连接符 46"/>
                <wp:cNvGraphicFramePr/>
                <a:graphic xmlns:a="http://schemas.openxmlformats.org/drawingml/2006/main">
                  <a:graphicData uri="http://schemas.microsoft.com/office/word/2010/wordprocessingShape">
                    <wps:wsp>
                      <wps:cNvCnPr/>
                      <wps:spPr>
                        <a:xfrm flipH="1" flipV="1">
                          <a:off x="0" y="0"/>
                          <a:ext cx="339090" cy="525780"/>
                        </a:xfrm>
                        <a:prstGeom prst="straightConnector1">
                          <a:avLst/>
                        </a:prstGeom>
                        <a:ln>
                          <a:solidFill>
                            <a:srgbClr val="FF00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 y;margin-left:377.8pt;margin-top:222.15pt;height:41.4pt;width:26.7pt;z-index:251669504;mso-width-relative:page;mso-height-relative:page;" filled="f" stroked="t" coordsize="21600,21600" o:gfxdata="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VSlGx2gAAAAsBAAAPAAAAAAAAAAEA&#10;IAAAACIAAABkcnMvZG93bnJldi54bWxQSwECFAAUAAAACACHTuJAkbhp2w0CAADiAwAADgAAAAAA&#10;AAABACAAAAApAQAAZHJzL2Uyb0RvYy54bWxQSwUGAAAAAAYABgBZAQAAqAUAAAAA&#10;">
                <v:fill on="f" focussize="0,0"/>
                <v:stroke weight="2pt" color="#FF0000 [3204]" joinstyle="round" endarrow="open"/>
                <v:imagedata o:title=""/>
                <o:lock v:ext="edit" aspectratio="f"/>
              </v:shape>
            </w:pict>
          </mc:Fallback>
        </mc:AlternateContent>
      </w:r>
      <w:r>
        <w:rPr>
          <w:rFonts w:hint="eastAsia" w:eastAsia="黑体"/>
          <w:color w:val="000000"/>
          <w:u w:val="none"/>
          <w:lang w:eastAsia="zh-CN"/>
        </w:rPr>
        <w:drawing>
          <wp:anchor distT="0" distB="0" distL="114300" distR="114300" simplePos="0" relativeHeight="251667456" behindDoc="0" locked="0" layoutInCell="1" allowOverlap="1">
            <wp:simplePos x="0" y="0"/>
            <wp:positionH relativeFrom="column">
              <wp:posOffset>8054340</wp:posOffset>
            </wp:positionH>
            <wp:positionV relativeFrom="paragraph">
              <wp:posOffset>48260</wp:posOffset>
            </wp:positionV>
            <wp:extent cx="598805" cy="855345"/>
            <wp:effectExtent l="0" t="0" r="10795" b="8255"/>
            <wp:wrapNone/>
            <wp:docPr id="43" name="图片 1157" descr="指北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157" descr="指北针"/>
                    <pic:cNvPicPr>
                      <a:picLocks noChangeAspect="1"/>
                    </pic:cNvPicPr>
                  </pic:nvPicPr>
                  <pic:blipFill>
                    <a:blip r:embed="rId35"/>
                    <a:stretch>
                      <a:fillRect/>
                    </a:stretch>
                  </pic:blipFill>
                  <pic:spPr>
                    <a:xfrm>
                      <a:off x="0" y="0"/>
                      <a:ext cx="598805" cy="855345"/>
                    </a:xfrm>
                    <a:prstGeom prst="rect">
                      <a:avLst/>
                    </a:prstGeom>
                    <a:noFill/>
                    <a:ln>
                      <a:noFill/>
                    </a:ln>
                  </pic:spPr>
                </pic:pic>
              </a:graphicData>
            </a:graphic>
          </wp:anchor>
        </w:drawing>
      </w:r>
    </w:p>
    <w:p>
      <w:pPr>
        <w:pStyle w:val="29"/>
        <w:rPr>
          <w:rFonts w:hint="default"/>
          <w:lang w:val="en-US" w:eastAsia="zh-CN"/>
        </w:rPr>
      </w:pPr>
    </w:p>
    <w:p>
      <w:pPr>
        <w:pStyle w:val="2"/>
        <w:jc w:val="both"/>
        <w:rPr>
          <w:rFonts w:hint="default"/>
          <w:lang w:val="en-US" w:eastAsia="zh-CN"/>
        </w:rPr>
        <w:sectPr>
          <w:pgSz w:w="16838" w:h="11906" w:orient="landscape"/>
          <w:pgMar w:top="1701" w:right="1531" w:bottom="1701" w:left="1531" w:header="851" w:footer="850" w:gutter="0"/>
          <w:pgBorders>
            <w:top w:val="none" w:sz="0" w:space="0"/>
            <w:left w:val="none" w:sz="0" w:space="0"/>
            <w:bottom w:val="none" w:sz="0" w:space="0"/>
            <w:right w:val="none" w:sz="0" w:space="0"/>
          </w:pgBorders>
          <w:pgNumType w:fmt="decimal"/>
          <w:cols w:space="720" w:num="1"/>
          <w:docGrid w:linePitch="312" w:charSpace="0"/>
        </w:sectPr>
      </w:pPr>
    </w:p>
    <w:p>
      <w:pPr>
        <w:jc w:val="center"/>
        <w:rPr>
          <w:rFonts w:hint="eastAsia" w:eastAsia="宋体"/>
          <w:u w:val="none"/>
          <w:lang w:eastAsia="zh-CN"/>
        </w:rPr>
      </w:pPr>
    </w:p>
    <w:p>
      <w:pPr>
        <w:jc w:val="both"/>
        <w:rPr>
          <w:rFonts w:hint="eastAsia" w:eastAsia="宋体"/>
          <w:u w:val="none"/>
          <w:lang w:eastAsia="zh-CN"/>
        </w:rPr>
      </w:pPr>
    </w:p>
    <w:p>
      <w:pPr>
        <w:jc w:val="left"/>
        <w:rPr>
          <w:rFonts w:hint="eastAsia" w:eastAsia="宋体"/>
          <w:u w:val="none"/>
          <w:lang w:val="en-US" w:eastAsia="zh-CN"/>
        </w:rPr>
      </w:pPr>
      <w:r>
        <w:rPr>
          <w:rFonts w:hint="eastAsia" w:eastAsia="宋体"/>
          <w:u w:val="none"/>
          <w:lang w:val="en-US" w:eastAsia="zh-CN"/>
        </w:rPr>
        <w:t>附件1委托书</w:t>
      </w:r>
    </w:p>
    <w:p>
      <w:pPr>
        <w:ind w:firstLine="4200" w:firstLineChars="1500"/>
        <w:rPr>
          <w:sz w:val="28"/>
          <w:u w:val="none"/>
        </w:rPr>
      </w:pPr>
    </w:p>
    <w:p>
      <w:pPr>
        <w:jc w:val="both"/>
        <w:rPr>
          <w:rFonts w:hint="eastAsia" w:eastAsia="宋体"/>
          <w:sz w:val="28"/>
          <w:u w:val="none"/>
          <w:lang w:eastAsia="zh-CN"/>
        </w:rPr>
      </w:pPr>
      <w:r>
        <w:rPr>
          <w:rFonts w:hint="eastAsia" w:eastAsia="宋体"/>
          <w:sz w:val="28"/>
          <w:u w:val="none"/>
          <w:lang w:eastAsia="zh-CN"/>
        </w:rPr>
        <w:drawing>
          <wp:inline distT="0" distB="0" distL="114300" distR="114300">
            <wp:extent cx="5399405" cy="7632065"/>
            <wp:effectExtent l="0" t="0" r="10795" b="3175"/>
            <wp:docPr id="133" name="图片 133" descr="委托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descr="委托书"/>
                    <pic:cNvPicPr>
                      <a:picLocks noChangeAspect="1"/>
                    </pic:cNvPicPr>
                  </pic:nvPicPr>
                  <pic:blipFill>
                    <a:blip r:embed="rId45"/>
                    <a:stretch>
                      <a:fillRect/>
                    </a:stretch>
                  </pic:blipFill>
                  <pic:spPr>
                    <a:xfrm>
                      <a:off x="0" y="0"/>
                      <a:ext cx="5399405" cy="7632065"/>
                    </a:xfrm>
                    <a:prstGeom prst="rect">
                      <a:avLst/>
                    </a:prstGeom>
                  </pic:spPr>
                </pic:pic>
              </a:graphicData>
            </a:graphic>
          </wp:inline>
        </w:drawing>
      </w:r>
    </w:p>
    <w:p>
      <w:pPr>
        <w:jc w:val="both"/>
        <w:rPr>
          <w:rFonts w:hint="eastAsia"/>
          <w:sz w:val="28"/>
          <w:u w:val="none"/>
          <w:lang w:val="en-US" w:eastAsia="zh-CN"/>
        </w:rPr>
      </w:pPr>
    </w:p>
    <w:p>
      <w:pPr>
        <w:jc w:val="both"/>
        <w:rPr>
          <w:rFonts w:hint="eastAsia"/>
          <w:sz w:val="28"/>
          <w:u w:val="none"/>
          <w:lang w:val="en-US" w:eastAsia="zh-CN"/>
        </w:rPr>
      </w:pPr>
    </w:p>
    <w:p>
      <w:pPr>
        <w:jc w:val="both"/>
        <w:rPr>
          <w:rFonts w:hint="eastAsia"/>
          <w:sz w:val="28"/>
          <w:u w:val="none"/>
          <w:lang w:val="en-US" w:eastAsia="zh-CN"/>
        </w:rPr>
      </w:pPr>
    </w:p>
    <w:p>
      <w:pPr>
        <w:jc w:val="both"/>
        <w:rPr>
          <w:rFonts w:hint="eastAsia"/>
          <w:sz w:val="28"/>
          <w:u w:val="none"/>
          <w:lang w:val="en-US" w:eastAsia="zh-CN"/>
        </w:rPr>
      </w:pPr>
    </w:p>
    <w:p>
      <w:pPr>
        <w:jc w:val="both"/>
        <w:rPr>
          <w:rFonts w:hint="default" w:eastAsia="宋体"/>
          <w:sz w:val="28"/>
          <w:u w:val="none"/>
          <w:lang w:val="en-US" w:eastAsia="zh-CN"/>
        </w:rPr>
      </w:pPr>
      <w:r>
        <w:rPr>
          <w:rFonts w:hint="eastAsia"/>
          <w:sz w:val="28"/>
          <w:u w:val="none"/>
          <w:lang w:val="en-US" w:eastAsia="zh-CN"/>
        </w:rPr>
        <w:t>附件2营业执照</w:t>
      </w:r>
    </w:p>
    <w:p>
      <w:pPr>
        <w:jc w:val="center"/>
      </w:pPr>
    </w:p>
    <w:p>
      <w:pPr>
        <w:jc w:val="center"/>
      </w:pPr>
    </w:p>
    <w:p>
      <w:pPr>
        <w:jc w:val="both"/>
        <w:rPr>
          <w:rFonts w:hint="default"/>
          <w:u w:val="none"/>
          <w:lang w:val="en-US" w:eastAsia="zh-CN"/>
        </w:rPr>
      </w:pPr>
      <w:r>
        <w:drawing>
          <wp:inline distT="0" distB="0" distL="114300" distR="114300">
            <wp:extent cx="7747635" cy="5431155"/>
            <wp:effectExtent l="0" t="0" r="4445" b="12065"/>
            <wp:docPr id="5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7"/>
                    <pic:cNvPicPr>
                      <a:picLocks noChangeAspect="1"/>
                    </pic:cNvPicPr>
                  </pic:nvPicPr>
                  <pic:blipFill>
                    <a:blip r:embed="rId46"/>
                    <a:stretch>
                      <a:fillRect/>
                    </a:stretch>
                  </pic:blipFill>
                  <pic:spPr>
                    <a:xfrm rot="16200000">
                      <a:off x="0" y="0"/>
                      <a:ext cx="7747635" cy="5431155"/>
                    </a:xfrm>
                    <a:prstGeom prst="rect">
                      <a:avLst/>
                    </a:prstGeom>
                    <a:noFill/>
                    <a:ln>
                      <a:noFill/>
                    </a:ln>
                  </pic:spPr>
                </pic:pic>
              </a:graphicData>
            </a:graphic>
          </wp:inline>
        </w:drawing>
      </w:r>
    </w:p>
    <w:p>
      <w:pPr>
        <w:jc w:val="center"/>
        <w:rPr>
          <w:rFonts w:hint="default"/>
          <w:u w:val="none"/>
          <w:lang w:val="en-US" w:eastAsia="zh-CN"/>
        </w:rPr>
      </w:pPr>
    </w:p>
    <w:p>
      <w:pPr>
        <w:jc w:val="left"/>
        <w:rPr>
          <w:rFonts w:hint="eastAsia"/>
          <w:u w:val="none"/>
          <w:lang w:val="en-US" w:eastAsia="zh-CN"/>
        </w:rPr>
      </w:pPr>
      <w:r>
        <w:rPr>
          <w:rFonts w:hint="eastAsia"/>
          <w:u w:val="none"/>
          <w:lang w:val="en-US" w:eastAsia="zh-CN"/>
        </w:rPr>
        <w:t>附件3原项目排污许可证</w:t>
      </w:r>
    </w:p>
    <w:p>
      <w:pPr>
        <w:jc w:val="left"/>
        <w:rPr>
          <w:u w:val="none"/>
        </w:rPr>
      </w:pPr>
      <w:r>
        <w:drawing>
          <wp:inline distT="0" distB="0" distL="114300" distR="114300">
            <wp:extent cx="5264150" cy="6934200"/>
            <wp:effectExtent l="0" t="0" r="6350" b="0"/>
            <wp:docPr id="6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8"/>
                    <pic:cNvPicPr>
                      <a:picLocks noChangeAspect="1"/>
                    </pic:cNvPicPr>
                  </pic:nvPicPr>
                  <pic:blipFill>
                    <a:blip r:embed="rId47"/>
                    <a:stretch>
                      <a:fillRect/>
                    </a:stretch>
                  </pic:blipFill>
                  <pic:spPr>
                    <a:xfrm>
                      <a:off x="0" y="0"/>
                      <a:ext cx="5264150" cy="6934200"/>
                    </a:xfrm>
                    <a:prstGeom prst="rect">
                      <a:avLst/>
                    </a:prstGeom>
                    <a:noFill/>
                    <a:ln>
                      <a:noFill/>
                    </a:ln>
                  </pic:spPr>
                </pic:pic>
              </a:graphicData>
            </a:graphic>
          </wp:inline>
        </w:drawing>
      </w:r>
    </w:p>
    <w:p>
      <w:pPr>
        <w:jc w:val="left"/>
        <w:rPr>
          <w:u w:val="none"/>
        </w:rPr>
      </w:pPr>
    </w:p>
    <w:p>
      <w:pPr>
        <w:jc w:val="left"/>
        <w:rPr>
          <w:u w:val="none"/>
        </w:rPr>
      </w:pPr>
    </w:p>
    <w:p>
      <w:pPr>
        <w:jc w:val="left"/>
        <w:rPr>
          <w:u w:val="none"/>
        </w:rPr>
      </w:pPr>
    </w:p>
    <w:p>
      <w:pPr>
        <w:jc w:val="left"/>
        <w:rPr>
          <w:u w:val="none"/>
        </w:rPr>
      </w:pPr>
    </w:p>
    <w:p>
      <w:pPr>
        <w:jc w:val="left"/>
        <w:rPr>
          <w:u w:val="none"/>
        </w:rPr>
      </w:pPr>
    </w:p>
    <w:p>
      <w:pPr>
        <w:jc w:val="left"/>
        <w:rPr>
          <w:u w:val="none"/>
        </w:rPr>
      </w:pPr>
    </w:p>
    <w:p>
      <w:pPr>
        <w:jc w:val="left"/>
        <w:rPr>
          <w:u w:val="none"/>
        </w:rPr>
      </w:pPr>
    </w:p>
    <w:p>
      <w:pPr>
        <w:jc w:val="left"/>
        <w:rPr>
          <w:u w:val="none"/>
        </w:rPr>
      </w:pPr>
    </w:p>
    <w:p>
      <w:pPr>
        <w:jc w:val="left"/>
        <w:rPr>
          <w:u w:val="none"/>
        </w:rPr>
      </w:pPr>
    </w:p>
    <w:p>
      <w:pPr>
        <w:jc w:val="left"/>
        <w:rPr>
          <w:rFonts w:hint="default"/>
          <w:u w:val="none"/>
          <w:lang w:val="en-US" w:eastAsia="zh-CN"/>
        </w:rPr>
      </w:pPr>
    </w:p>
    <w:p>
      <w:pPr>
        <w:jc w:val="left"/>
        <w:rPr>
          <w:rFonts w:hint="default"/>
          <w:u w:val="none"/>
          <w:lang w:val="en-US" w:eastAsia="zh-CN"/>
        </w:rPr>
      </w:pPr>
    </w:p>
    <w:p>
      <w:pPr>
        <w:jc w:val="left"/>
        <w:rPr>
          <w:rFonts w:hint="eastAsia" w:eastAsia="宋体"/>
          <w:u w:val="none"/>
          <w:lang w:eastAsia="zh-CN"/>
        </w:rPr>
      </w:pPr>
      <w:r>
        <w:rPr>
          <w:rFonts w:hint="eastAsia"/>
          <w:u w:val="none"/>
          <w:lang w:val="en-US" w:eastAsia="zh-CN"/>
        </w:rPr>
        <w:t>附件4原环评批文</w:t>
      </w:r>
      <w:r>
        <w:rPr>
          <w:rFonts w:hint="eastAsia" w:eastAsia="宋体"/>
          <w:u w:val="none"/>
          <w:lang w:eastAsia="zh-CN"/>
        </w:rPr>
        <w:drawing>
          <wp:inline distT="0" distB="0" distL="114300" distR="114300">
            <wp:extent cx="5399405" cy="7632065"/>
            <wp:effectExtent l="0" t="0" r="10795" b="635"/>
            <wp:docPr id="62" name="图片 62" descr="年产3000万块环境影响报告表的批复_页面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年产3000万块环境影响报告表的批复_页面_1"/>
                    <pic:cNvPicPr>
                      <a:picLocks noChangeAspect="1"/>
                    </pic:cNvPicPr>
                  </pic:nvPicPr>
                  <pic:blipFill>
                    <a:blip r:embed="rId48"/>
                    <a:stretch>
                      <a:fillRect/>
                    </a:stretch>
                  </pic:blipFill>
                  <pic:spPr>
                    <a:xfrm>
                      <a:off x="0" y="0"/>
                      <a:ext cx="5399405" cy="7632065"/>
                    </a:xfrm>
                    <a:prstGeom prst="rect">
                      <a:avLst/>
                    </a:prstGeom>
                  </pic:spPr>
                </pic:pic>
              </a:graphicData>
            </a:graphic>
          </wp:inline>
        </w:drawing>
      </w:r>
    </w:p>
    <w:p>
      <w:pPr>
        <w:jc w:val="left"/>
        <w:rPr>
          <w:u w:val="none"/>
        </w:rPr>
      </w:pPr>
    </w:p>
    <w:p>
      <w:pPr>
        <w:jc w:val="left"/>
        <w:rPr>
          <w:rFonts w:hint="eastAsia" w:eastAsia="宋体"/>
          <w:u w:val="none"/>
          <w:lang w:eastAsia="zh-CN"/>
        </w:rPr>
      </w:pPr>
      <w:r>
        <w:rPr>
          <w:rFonts w:hint="eastAsia" w:eastAsia="宋体"/>
          <w:u w:val="none"/>
          <w:lang w:eastAsia="zh-CN"/>
        </w:rPr>
        <w:drawing>
          <wp:inline distT="0" distB="0" distL="114300" distR="114300">
            <wp:extent cx="5399405" cy="7632065"/>
            <wp:effectExtent l="0" t="0" r="10795" b="635"/>
            <wp:docPr id="127" name="图片 127" descr="年产3000万块环境影响报告表的批复_页面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descr="年产3000万块环境影响报告表的批复_页面_2"/>
                    <pic:cNvPicPr>
                      <a:picLocks noChangeAspect="1"/>
                    </pic:cNvPicPr>
                  </pic:nvPicPr>
                  <pic:blipFill>
                    <a:blip r:embed="rId49"/>
                    <a:stretch>
                      <a:fillRect/>
                    </a:stretch>
                  </pic:blipFill>
                  <pic:spPr>
                    <a:xfrm>
                      <a:off x="0" y="0"/>
                      <a:ext cx="5399405" cy="7632065"/>
                    </a:xfrm>
                    <a:prstGeom prst="rect">
                      <a:avLst/>
                    </a:prstGeom>
                  </pic:spPr>
                </pic:pic>
              </a:graphicData>
            </a:graphic>
          </wp:inline>
        </w:drawing>
      </w:r>
    </w:p>
    <w:p>
      <w:pPr>
        <w:jc w:val="left"/>
        <w:rPr>
          <w:rFonts w:hint="eastAsia" w:eastAsia="宋体"/>
          <w:u w:val="none"/>
          <w:lang w:eastAsia="zh-CN"/>
        </w:rPr>
      </w:pPr>
      <w:r>
        <w:rPr>
          <w:rFonts w:hint="eastAsia" w:eastAsia="宋体"/>
          <w:u w:val="none"/>
          <w:lang w:eastAsia="zh-CN"/>
        </w:rPr>
        <w:drawing>
          <wp:inline distT="0" distB="0" distL="114300" distR="114300">
            <wp:extent cx="5399405" cy="7632065"/>
            <wp:effectExtent l="0" t="0" r="10795" b="635"/>
            <wp:docPr id="128" name="图片 128" descr="年产3000万块环境影响报告表的批复_页面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descr="年产3000万块环境影响报告表的批复_页面_3"/>
                    <pic:cNvPicPr>
                      <a:picLocks noChangeAspect="1"/>
                    </pic:cNvPicPr>
                  </pic:nvPicPr>
                  <pic:blipFill>
                    <a:blip r:embed="rId50"/>
                    <a:stretch>
                      <a:fillRect/>
                    </a:stretch>
                  </pic:blipFill>
                  <pic:spPr>
                    <a:xfrm>
                      <a:off x="0" y="0"/>
                      <a:ext cx="5399405" cy="7632065"/>
                    </a:xfrm>
                    <a:prstGeom prst="rect">
                      <a:avLst/>
                    </a:prstGeom>
                  </pic:spPr>
                </pic:pic>
              </a:graphicData>
            </a:graphic>
          </wp:inline>
        </w:drawing>
      </w:r>
    </w:p>
    <w:p>
      <w:pPr>
        <w:jc w:val="left"/>
        <w:rPr>
          <w:u w:val="none"/>
        </w:rPr>
      </w:pPr>
    </w:p>
    <w:p>
      <w:pPr>
        <w:jc w:val="left"/>
        <w:rPr>
          <w:u w:val="none"/>
        </w:rPr>
      </w:pPr>
    </w:p>
    <w:p>
      <w:pPr>
        <w:jc w:val="left"/>
        <w:rPr>
          <w:u w:val="none"/>
        </w:rPr>
      </w:pPr>
    </w:p>
    <w:p>
      <w:pPr>
        <w:jc w:val="left"/>
        <w:rPr>
          <w:u w:val="none"/>
        </w:rPr>
      </w:pPr>
    </w:p>
    <w:p>
      <w:pPr>
        <w:jc w:val="left"/>
        <w:rPr>
          <w:u w:val="none"/>
        </w:rPr>
      </w:pPr>
    </w:p>
    <w:p>
      <w:pPr>
        <w:jc w:val="left"/>
        <w:rPr>
          <w:u w:val="none"/>
        </w:rPr>
      </w:pPr>
    </w:p>
    <w:p>
      <w:pPr>
        <w:jc w:val="left"/>
        <w:rPr>
          <w:u w:val="none"/>
        </w:rPr>
      </w:pPr>
    </w:p>
    <w:p>
      <w:pPr>
        <w:jc w:val="left"/>
        <w:rPr>
          <w:u w:val="none"/>
        </w:rPr>
      </w:pPr>
    </w:p>
    <w:p>
      <w:pPr>
        <w:jc w:val="left"/>
        <w:rPr>
          <w:rFonts w:hint="default"/>
          <w:color w:val="FF0000"/>
          <w:u w:val="none"/>
          <w:lang w:val="en-US" w:eastAsia="zh-CN"/>
        </w:rPr>
      </w:pPr>
      <w:r>
        <w:rPr>
          <w:rFonts w:hint="eastAsia"/>
          <w:color w:val="FF0000"/>
          <w:u w:val="none"/>
          <w:lang w:val="en-US" w:eastAsia="zh-CN"/>
        </w:rPr>
        <w:t>附件5原项目验收专家意见</w:t>
      </w:r>
    </w:p>
    <w:p>
      <w:pPr>
        <w:jc w:val="left"/>
        <w:rPr>
          <w:rFonts w:hint="eastAsia" w:eastAsia="宋体"/>
          <w:u w:val="none"/>
          <w:lang w:eastAsia="zh-CN"/>
        </w:rPr>
      </w:pPr>
      <w:r>
        <w:rPr>
          <w:rFonts w:hint="eastAsia" w:eastAsia="宋体"/>
          <w:u w:val="none"/>
          <w:lang w:eastAsia="zh-CN"/>
        </w:rPr>
        <w:drawing>
          <wp:inline distT="0" distB="0" distL="114300" distR="114300">
            <wp:extent cx="5399405" cy="7632065"/>
            <wp:effectExtent l="0" t="0" r="10795" b="3175"/>
            <wp:docPr id="147" name="图片 147" descr="财源年产3000万块竣工环境保护验收意见_页面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descr="财源年产3000万块竣工环境保护验收意见_页面_1"/>
                    <pic:cNvPicPr>
                      <a:picLocks noChangeAspect="1"/>
                    </pic:cNvPicPr>
                  </pic:nvPicPr>
                  <pic:blipFill>
                    <a:blip r:embed="rId51"/>
                    <a:stretch>
                      <a:fillRect/>
                    </a:stretch>
                  </pic:blipFill>
                  <pic:spPr>
                    <a:xfrm>
                      <a:off x="0" y="0"/>
                      <a:ext cx="5399405" cy="7632065"/>
                    </a:xfrm>
                    <a:prstGeom prst="rect">
                      <a:avLst/>
                    </a:prstGeom>
                  </pic:spPr>
                </pic:pic>
              </a:graphicData>
            </a:graphic>
          </wp:inline>
        </w:drawing>
      </w:r>
    </w:p>
    <w:p>
      <w:pPr>
        <w:jc w:val="left"/>
        <w:rPr>
          <w:rFonts w:hint="eastAsia" w:eastAsia="宋体"/>
          <w:u w:val="none"/>
          <w:lang w:eastAsia="zh-CN"/>
        </w:rPr>
      </w:pPr>
      <w:r>
        <w:rPr>
          <w:rFonts w:hint="eastAsia" w:eastAsia="宋体"/>
          <w:u w:val="none"/>
          <w:lang w:eastAsia="zh-CN"/>
        </w:rPr>
        <w:drawing>
          <wp:inline distT="0" distB="0" distL="114300" distR="114300">
            <wp:extent cx="5399405" cy="7632065"/>
            <wp:effectExtent l="0" t="0" r="10795" b="3175"/>
            <wp:docPr id="148" name="图片 148" descr="财源年产3000万块竣工环境保护验收意见_页面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48" descr="财源年产3000万块竣工环境保护验收意见_页面_2"/>
                    <pic:cNvPicPr>
                      <a:picLocks noChangeAspect="1"/>
                    </pic:cNvPicPr>
                  </pic:nvPicPr>
                  <pic:blipFill>
                    <a:blip r:embed="rId52"/>
                    <a:stretch>
                      <a:fillRect/>
                    </a:stretch>
                  </pic:blipFill>
                  <pic:spPr>
                    <a:xfrm>
                      <a:off x="0" y="0"/>
                      <a:ext cx="5399405" cy="7632065"/>
                    </a:xfrm>
                    <a:prstGeom prst="rect">
                      <a:avLst/>
                    </a:prstGeom>
                  </pic:spPr>
                </pic:pic>
              </a:graphicData>
            </a:graphic>
          </wp:inline>
        </w:drawing>
      </w:r>
      <w:r>
        <w:rPr>
          <w:rFonts w:hint="eastAsia" w:eastAsia="宋体"/>
          <w:u w:val="none"/>
          <w:lang w:eastAsia="zh-CN"/>
        </w:rPr>
        <w:drawing>
          <wp:inline distT="0" distB="0" distL="114300" distR="114300">
            <wp:extent cx="5399405" cy="7632065"/>
            <wp:effectExtent l="0" t="0" r="10795" b="3175"/>
            <wp:docPr id="149" name="图片 149" descr="财源年产3000万块竣工环境保护验收意见_页面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9" descr="财源年产3000万块竣工环境保护验收意见_页面_3"/>
                    <pic:cNvPicPr>
                      <a:picLocks noChangeAspect="1"/>
                    </pic:cNvPicPr>
                  </pic:nvPicPr>
                  <pic:blipFill>
                    <a:blip r:embed="rId53"/>
                    <a:stretch>
                      <a:fillRect/>
                    </a:stretch>
                  </pic:blipFill>
                  <pic:spPr>
                    <a:xfrm>
                      <a:off x="0" y="0"/>
                      <a:ext cx="5399405" cy="7632065"/>
                    </a:xfrm>
                    <a:prstGeom prst="rect">
                      <a:avLst/>
                    </a:prstGeom>
                  </pic:spPr>
                </pic:pic>
              </a:graphicData>
            </a:graphic>
          </wp:inline>
        </w:drawing>
      </w:r>
      <w:r>
        <w:rPr>
          <w:rFonts w:hint="eastAsia" w:eastAsia="宋体"/>
          <w:u w:val="none"/>
          <w:lang w:eastAsia="zh-CN"/>
        </w:rPr>
        <w:drawing>
          <wp:inline distT="0" distB="0" distL="114300" distR="114300">
            <wp:extent cx="5399405" cy="7632065"/>
            <wp:effectExtent l="0" t="0" r="10795" b="3175"/>
            <wp:docPr id="150" name="图片 150" descr="财源年产3000万块竣工环境保护验收意见_页面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50" descr="财源年产3000万块竣工环境保护验收意见_页面_4"/>
                    <pic:cNvPicPr>
                      <a:picLocks noChangeAspect="1"/>
                    </pic:cNvPicPr>
                  </pic:nvPicPr>
                  <pic:blipFill>
                    <a:blip r:embed="rId54"/>
                    <a:stretch>
                      <a:fillRect/>
                    </a:stretch>
                  </pic:blipFill>
                  <pic:spPr>
                    <a:xfrm>
                      <a:off x="0" y="0"/>
                      <a:ext cx="5399405" cy="7632065"/>
                    </a:xfrm>
                    <a:prstGeom prst="rect">
                      <a:avLst/>
                    </a:prstGeom>
                  </pic:spPr>
                </pic:pic>
              </a:graphicData>
            </a:graphic>
          </wp:inline>
        </w:drawing>
      </w:r>
      <w:r>
        <w:rPr>
          <w:rFonts w:hint="eastAsia" w:eastAsia="宋体"/>
          <w:u w:val="none"/>
          <w:lang w:eastAsia="zh-CN"/>
        </w:rPr>
        <w:drawing>
          <wp:inline distT="0" distB="0" distL="114300" distR="114300">
            <wp:extent cx="5399405" cy="7632065"/>
            <wp:effectExtent l="0" t="0" r="10795" b="3175"/>
            <wp:docPr id="151" name="图片 151" descr="财源年产3000万块竣工环境保护验收意见_页面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1" descr="财源年产3000万块竣工环境保护验收意见_页面_5"/>
                    <pic:cNvPicPr>
                      <a:picLocks noChangeAspect="1"/>
                    </pic:cNvPicPr>
                  </pic:nvPicPr>
                  <pic:blipFill>
                    <a:blip r:embed="rId55"/>
                    <a:stretch>
                      <a:fillRect/>
                    </a:stretch>
                  </pic:blipFill>
                  <pic:spPr>
                    <a:xfrm>
                      <a:off x="0" y="0"/>
                      <a:ext cx="5399405" cy="7632065"/>
                    </a:xfrm>
                    <a:prstGeom prst="rect">
                      <a:avLst/>
                    </a:prstGeom>
                  </pic:spPr>
                </pic:pic>
              </a:graphicData>
            </a:graphic>
          </wp:inline>
        </w:drawing>
      </w:r>
      <w:r>
        <w:rPr>
          <w:rFonts w:hint="eastAsia" w:eastAsia="宋体"/>
          <w:u w:val="none"/>
          <w:lang w:eastAsia="zh-CN"/>
        </w:rPr>
        <w:drawing>
          <wp:inline distT="0" distB="0" distL="114300" distR="114300">
            <wp:extent cx="5399405" cy="7632065"/>
            <wp:effectExtent l="0" t="0" r="10795" b="3175"/>
            <wp:docPr id="152" name="图片 152" descr="财源年产3000万块竣工环境保护验收意见_页面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descr="财源年产3000万块竣工环境保护验收意见_页面_6"/>
                    <pic:cNvPicPr>
                      <a:picLocks noChangeAspect="1"/>
                    </pic:cNvPicPr>
                  </pic:nvPicPr>
                  <pic:blipFill>
                    <a:blip r:embed="rId56"/>
                    <a:stretch>
                      <a:fillRect/>
                    </a:stretch>
                  </pic:blipFill>
                  <pic:spPr>
                    <a:xfrm>
                      <a:off x="0" y="0"/>
                      <a:ext cx="5399405" cy="7632065"/>
                    </a:xfrm>
                    <a:prstGeom prst="rect">
                      <a:avLst/>
                    </a:prstGeom>
                  </pic:spPr>
                </pic:pic>
              </a:graphicData>
            </a:graphic>
          </wp:inline>
        </w:drawing>
      </w:r>
    </w:p>
    <w:p>
      <w:pPr>
        <w:pStyle w:val="2"/>
        <w:rPr>
          <w:rFonts w:hint="eastAsia" w:eastAsia="宋体"/>
          <w:u w:val="none"/>
          <w:lang w:eastAsia="zh-CN"/>
        </w:rPr>
      </w:pPr>
    </w:p>
    <w:p>
      <w:pPr>
        <w:pStyle w:val="29"/>
        <w:rPr>
          <w:rFonts w:hint="eastAsia" w:eastAsia="宋体"/>
          <w:u w:val="none"/>
          <w:lang w:eastAsia="zh-CN"/>
        </w:rPr>
      </w:pPr>
    </w:p>
    <w:p>
      <w:pPr>
        <w:rPr>
          <w:rFonts w:hint="eastAsia" w:eastAsia="宋体"/>
          <w:u w:val="none"/>
          <w:lang w:eastAsia="zh-CN"/>
        </w:rPr>
      </w:pPr>
    </w:p>
    <w:p>
      <w:pPr>
        <w:pStyle w:val="2"/>
        <w:rPr>
          <w:rFonts w:hint="eastAsia" w:eastAsia="宋体"/>
          <w:u w:val="none"/>
          <w:lang w:eastAsia="zh-CN"/>
        </w:rPr>
      </w:pPr>
    </w:p>
    <w:p>
      <w:pPr>
        <w:pStyle w:val="29"/>
        <w:rPr>
          <w:rFonts w:hint="eastAsia" w:eastAsia="宋体"/>
          <w:u w:val="none"/>
          <w:lang w:eastAsia="zh-CN"/>
        </w:rPr>
      </w:pPr>
    </w:p>
    <w:p>
      <w:pPr>
        <w:rPr>
          <w:rFonts w:hint="eastAsia"/>
          <w:lang w:eastAsia="zh-CN"/>
        </w:rPr>
      </w:pPr>
    </w:p>
    <w:p>
      <w:pPr>
        <w:jc w:val="left"/>
        <w:rPr>
          <w:rFonts w:hint="eastAsia"/>
          <w:u w:val="none"/>
          <w:lang w:val="en-US" w:eastAsia="zh-CN"/>
        </w:rPr>
      </w:pPr>
      <w:r>
        <w:rPr>
          <w:rFonts w:hint="eastAsia"/>
          <w:u w:val="none"/>
          <w:lang w:val="en-US" w:eastAsia="zh-CN"/>
        </w:rPr>
        <w:t>附件6土地租赁合同</w:t>
      </w:r>
    </w:p>
    <w:p>
      <w:pPr>
        <w:jc w:val="left"/>
        <w:rPr>
          <w:rFonts w:hint="eastAsia" w:eastAsia="宋体"/>
          <w:u w:val="none"/>
          <w:lang w:eastAsia="zh-CN"/>
        </w:rPr>
      </w:pPr>
      <w:r>
        <w:rPr>
          <w:rFonts w:hint="eastAsia" w:eastAsia="宋体"/>
          <w:u w:val="none"/>
          <w:lang w:eastAsia="zh-CN"/>
        </w:rPr>
        <w:drawing>
          <wp:inline distT="0" distB="0" distL="114300" distR="114300">
            <wp:extent cx="5399405" cy="7632065"/>
            <wp:effectExtent l="0" t="0" r="10795" b="635"/>
            <wp:docPr id="129" name="图片 129" descr="砖厂山地租赁合同_页面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descr="砖厂山地租赁合同_页面_1"/>
                    <pic:cNvPicPr>
                      <a:picLocks noChangeAspect="1"/>
                    </pic:cNvPicPr>
                  </pic:nvPicPr>
                  <pic:blipFill>
                    <a:blip r:embed="rId57"/>
                    <a:stretch>
                      <a:fillRect/>
                    </a:stretch>
                  </pic:blipFill>
                  <pic:spPr>
                    <a:xfrm>
                      <a:off x="0" y="0"/>
                      <a:ext cx="5399405" cy="7632065"/>
                    </a:xfrm>
                    <a:prstGeom prst="rect">
                      <a:avLst/>
                    </a:prstGeom>
                  </pic:spPr>
                </pic:pic>
              </a:graphicData>
            </a:graphic>
          </wp:inline>
        </w:drawing>
      </w:r>
    </w:p>
    <w:p>
      <w:pPr>
        <w:jc w:val="left"/>
        <w:rPr>
          <w:u w:val="none"/>
        </w:rPr>
      </w:pPr>
    </w:p>
    <w:p>
      <w:pPr>
        <w:jc w:val="left"/>
        <w:rPr>
          <w:u w:val="none"/>
        </w:rPr>
      </w:pPr>
    </w:p>
    <w:p>
      <w:pPr>
        <w:jc w:val="left"/>
        <w:rPr>
          <w:rFonts w:hint="eastAsia" w:eastAsia="宋体"/>
          <w:u w:val="none"/>
          <w:lang w:eastAsia="zh-CN"/>
        </w:rPr>
      </w:pPr>
      <w:r>
        <w:rPr>
          <w:rFonts w:hint="eastAsia" w:eastAsia="宋体"/>
          <w:u w:val="none"/>
          <w:lang w:eastAsia="zh-CN"/>
        </w:rPr>
        <w:drawing>
          <wp:inline distT="0" distB="0" distL="114300" distR="114300">
            <wp:extent cx="5399405" cy="7632065"/>
            <wp:effectExtent l="0" t="0" r="10795" b="635"/>
            <wp:docPr id="130" name="图片 130" descr="砖厂山地租赁合同_页面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descr="砖厂山地租赁合同_页面_2"/>
                    <pic:cNvPicPr>
                      <a:picLocks noChangeAspect="1"/>
                    </pic:cNvPicPr>
                  </pic:nvPicPr>
                  <pic:blipFill>
                    <a:blip r:embed="rId58"/>
                    <a:stretch>
                      <a:fillRect/>
                    </a:stretch>
                  </pic:blipFill>
                  <pic:spPr>
                    <a:xfrm>
                      <a:off x="0" y="0"/>
                      <a:ext cx="5399405" cy="7632065"/>
                    </a:xfrm>
                    <a:prstGeom prst="rect">
                      <a:avLst/>
                    </a:prstGeom>
                  </pic:spPr>
                </pic:pic>
              </a:graphicData>
            </a:graphic>
          </wp:inline>
        </w:drawing>
      </w:r>
    </w:p>
    <w:p>
      <w:pPr>
        <w:jc w:val="left"/>
        <w:rPr>
          <w:rFonts w:hint="eastAsia" w:eastAsia="宋体"/>
          <w:u w:val="none"/>
          <w:lang w:eastAsia="zh-CN"/>
        </w:rPr>
      </w:pPr>
      <w:r>
        <w:rPr>
          <w:rFonts w:hint="eastAsia" w:eastAsia="宋体"/>
          <w:u w:val="none"/>
          <w:lang w:eastAsia="zh-CN"/>
        </w:rPr>
        <w:drawing>
          <wp:inline distT="0" distB="0" distL="114300" distR="114300">
            <wp:extent cx="5399405" cy="7632065"/>
            <wp:effectExtent l="0" t="0" r="10795" b="635"/>
            <wp:docPr id="131" name="图片 131" descr="砖厂山地租赁合同_页面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descr="砖厂山地租赁合同_页面_3"/>
                    <pic:cNvPicPr>
                      <a:picLocks noChangeAspect="1"/>
                    </pic:cNvPicPr>
                  </pic:nvPicPr>
                  <pic:blipFill>
                    <a:blip r:embed="rId59"/>
                    <a:stretch>
                      <a:fillRect/>
                    </a:stretch>
                  </pic:blipFill>
                  <pic:spPr>
                    <a:xfrm>
                      <a:off x="0" y="0"/>
                      <a:ext cx="5399405" cy="7632065"/>
                    </a:xfrm>
                    <a:prstGeom prst="rect">
                      <a:avLst/>
                    </a:prstGeom>
                  </pic:spPr>
                </pic:pic>
              </a:graphicData>
            </a:graphic>
          </wp:inline>
        </w:drawing>
      </w:r>
    </w:p>
    <w:p>
      <w:pPr>
        <w:jc w:val="left"/>
        <w:rPr>
          <w:rFonts w:hint="eastAsia" w:eastAsia="宋体"/>
          <w:u w:val="none"/>
          <w:lang w:eastAsia="zh-CN"/>
        </w:rPr>
      </w:pPr>
    </w:p>
    <w:p>
      <w:pPr>
        <w:jc w:val="left"/>
        <w:rPr>
          <w:rFonts w:hint="eastAsia" w:eastAsia="宋体"/>
          <w:u w:val="none"/>
          <w:lang w:eastAsia="zh-CN"/>
        </w:rPr>
      </w:pPr>
    </w:p>
    <w:p>
      <w:pPr>
        <w:jc w:val="left"/>
        <w:rPr>
          <w:rFonts w:hint="eastAsia" w:eastAsia="宋体"/>
          <w:u w:val="none"/>
          <w:lang w:eastAsia="zh-CN"/>
        </w:rPr>
      </w:pPr>
    </w:p>
    <w:p>
      <w:pPr>
        <w:jc w:val="left"/>
        <w:rPr>
          <w:rFonts w:hint="eastAsia" w:eastAsia="宋体"/>
          <w:u w:val="none"/>
          <w:lang w:eastAsia="zh-CN"/>
        </w:rPr>
      </w:pPr>
    </w:p>
    <w:p>
      <w:pPr>
        <w:jc w:val="left"/>
        <w:rPr>
          <w:rFonts w:hint="eastAsia" w:eastAsia="宋体"/>
          <w:u w:val="none"/>
          <w:lang w:eastAsia="zh-CN"/>
        </w:rPr>
      </w:pPr>
    </w:p>
    <w:p>
      <w:pPr>
        <w:jc w:val="left"/>
        <w:rPr>
          <w:rFonts w:hint="eastAsia" w:eastAsia="宋体"/>
          <w:u w:val="none"/>
          <w:lang w:eastAsia="zh-CN"/>
        </w:rPr>
      </w:pPr>
    </w:p>
    <w:p>
      <w:pPr>
        <w:jc w:val="left"/>
        <w:rPr>
          <w:rFonts w:hint="eastAsia" w:eastAsia="宋体"/>
          <w:u w:val="none"/>
          <w:lang w:eastAsia="zh-CN"/>
        </w:rPr>
      </w:pPr>
    </w:p>
    <w:p>
      <w:pPr>
        <w:rPr>
          <w:rFonts w:hint="default"/>
          <w:lang w:val="en-US" w:eastAsia="zh-CN"/>
        </w:rPr>
      </w:pPr>
    </w:p>
    <w:p>
      <w:pPr>
        <w:rPr>
          <w:rFonts w:hint="default"/>
          <w:lang w:val="en-US" w:eastAsia="zh-CN"/>
        </w:rPr>
      </w:pPr>
      <w:r>
        <w:rPr>
          <w:rFonts w:hint="eastAsia"/>
          <w:lang w:val="en-US" w:eastAsia="zh-CN"/>
        </w:rPr>
        <w:t>附件7衡阳市生态环境局关于《衡阳市珠晖区原中盐天友化工有限公司及学宫路附近遗留废渣整治项目实施方案》的审查意见</w:t>
      </w:r>
    </w:p>
    <w:p>
      <w:pPr>
        <w:pStyle w:val="2"/>
        <w:jc w:val="center"/>
        <w:rPr>
          <w:rFonts w:hint="default" w:ascii="Times New Roman" w:hAnsi="Times New Roman" w:eastAsia="宋体" w:cs="Times New Roman"/>
          <w:lang w:eastAsia="zh-CN"/>
        </w:rPr>
      </w:pPr>
      <w:r>
        <w:rPr>
          <w:rFonts w:hint="default" w:ascii="Times New Roman" w:hAnsi="Times New Roman" w:eastAsia="宋体" w:cs="Times New Roman"/>
          <w:lang w:eastAsia="zh-CN"/>
        </w:rPr>
        <w:drawing>
          <wp:inline distT="0" distB="0" distL="114300" distR="114300">
            <wp:extent cx="5394325" cy="7634605"/>
            <wp:effectExtent l="0" t="0" r="3175" b="10795"/>
            <wp:docPr id="71" name="图片 5" descr="实施方案批复(1)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5" descr="实施方案批复(1)_00"/>
                    <pic:cNvPicPr>
                      <a:picLocks noChangeAspect="1"/>
                    </pic:cNvPicPr>
                  </pic:nvPicPr>
                  <pic:blipFill>
                    <a:blip r:embed="rId60"/>
                    <a:stretch>
                      <a:fillRect/>
                    </a:stretch>
                  </pic:blipFill>
                  <pic:spPr>
                    <a:xfrm>
                      <a:off x="0" y="0"/>
                      <a:ext cx="5394325" cy="7634605"/>
                    </a:xfrm>
                    <a:prstGeom prst="rect">
                      <a:avLst/>
                    </a:prstGeom>
                    <a:noFill/>
                    <a:ln>
                      <a:noFill/>
                    </a:ln>
                  </pic:spPr>
                </pic:pic>
              </a:graphicData>
            </a:graphic>
          </wp:inline>
        </w:drawing>
      </w:r>
      <w:r>
        <w:rPr>
          <w:rFonts w:hint="default" w:ascii="Times New Roman" w:hAnsi="Times New Roman" w:eastAsia="宋体" w:cs="Times New Roman"/>
          <w:lang w:eastAsia="zh-CN"/>
        </w:rPr>
        <w:drawing>
          <wp:inline distT="0" distB="0" distL="114300" distR="114300">
            <wp:extent cx="5394325" cy="7634605"/>
            <wp:effectExtent l="0" t="0" r="3175" b="10795"/>
            <wp:docPr id="74" name="图片 6" descr="实施方案批复(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6" descr="实施方案批复(1)_01"/>
                    <pic:cNvPicPr>
                      <a:picLocks noChangeAspect="1"/>
                    </pic:cNvPicPr>
                  </pic:nvPicPr>
                  <pic:blipFill>
                    <a:blip r:embed="rId61"/>
                    <a:stretch>
                      <a:fillRect/>
                    </a:stretch>
                  </pic:blipFill>
                  <pic:spPr>
                    <a:xfrm>
                      <a:off x="0" y="0"/>
                      <a:ext cx="5394325" cy="7634605"/>
                    </a:xfrm>
                    <a:prstGeom prst="rect">
                      <a:avLst/>
                    </a:prstGeom>
                    <a:noFill/>
                    <a:ln>
                      <a:noFill/>
                    </a:ln>
                  </pic:spPr>
                </pic:pic>
              </a:graphicData>
            </a:graphic>
          </wp:inline>
        </w:drawing>
      </w:r>
      <w:r>
        <w:rPr>
          <w:rFonts w:hint="default" w:ascii="Times New Roman" w:hAnsi="Times New Roman" w:eastAsia="宋体" w:cs="Times New Roman"/>
          <w:lang w:eastAsia="zh-CN"/>
        </w:rPr>
        <w:drawing>
          <wp:inline distT="0" distB="0" distL="114300" distR="114300">
            <wp:extent cx="5394325" cy="7634605"/>
            <wp:effectExtent l="0" t="0" r="3175" b="10795"/>
            <wp:docPr id="72" name="图片 7" descr="实施方案批复(1)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 descr="实施方案批复(1)_02"/>
                    <pic:cNvPicPr>
                      <a:picLocks noChangeAspect="1"/>
                    </pic:cNvPicPr>
                  </pic:nvPicPr>
                  <pic:blipFill>
                    <a:blip r:embed="rId62"/>
                    <a:stretch>
                      <a:fillRect/>
                    </a:stretch>
                  </pic:blipFill>
                  <pic:spPr>
                    <a:xfrm>
                      <a:off x="0" y="0"/>
                      <a:ext cx="5394325" cy="7634605"/>
                    </a:xfrm>
                    <a:prstGeom prst="rect">
                      <a:avLst/>
                    </a:prstGeom>
                    <a:noFill/>
                    <a:ln>
                      <a:noFill/>
                    </a:ln>
                  </pic:spPr>
                </pic:pic>
              </a:graphicData>
            </a:graphic>
          </wp:inline>
        </w:drawing>
      </w:r>
      <w:r>
        <w:rPr>
          <w:rFonts w:hint="default" w:ascii="Times New Roman" w:hAnsi="Times New Roman" w:eastAsia="宋体" w:cs="Times New Roman"/>
          <w:lang w:eastAsia="zh-CN"/>
        </w:rPr>
        <w:drawing>
          <wp:inline distT="0" distB="0" distL="114300" distR="114300">
            <wp:extent cx="5394325" cy="7634605"/>
            <wp:effectExtent l="0" t="0" r="3175" b="10795"/>
            <wp:docPr id="73" name="图片 8" descr="实施方案批复(1)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8" descr="实施方案批复(1)_03"/>
                    <pic:cNvPicPr>
                      <a:picLocks noChangeAspect="1"/>
                    </pic:cNvPicPr>
                  </pic:nvPicPr>
                  <pic:blipFill>
                    <a:blip r:embed="rId63"/>
                    <a:stretch>
                      <a:fillRect/>
                    </a:stretch>
                  </pic:blipFill>
                  <pic:spPr>
                    <a:xfrm>
                      <a:off x="0" y="0"/>
                      <a:ext cx="5394325" cy="7634605"/>
                    </a:xfrm>
                    <a:prstGeom prst="rect">
                      <a:avLst/>
                    </a:prstGeom>
                    <a:noFill/>
                    <a:ln>
                      <a:noFill/>
                    </a:ln>
                  </pic:spPr>
                </pic:pic>
              </a:graphicData>
            </a:graphic>
          </wp:inline>
        </w:drawing>
      </w:r>
      <w:r>
        <w:rPr>
          <w:rFonts w:hint="default" w:ascii="Times New Roman" w:hAnsi="Times New Roman" w:eastAsia="宋体" w:cs="Times New Roman"/>
          <w:lang w:eastAsia="zh-CN"/>
        </w:rPr>
        <w:drawing>
          <wp:inline distT="0" distB="0" distL="114300" distR="114300">
            <wp:extent cx="5394325" cy="7634605"/>
            <wp:effectExtent l="0" t="0" r="3175" b="10795"/>
            <wp:docPr id="83" name="图片 9" descr="实施方案批复(1)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9" descr="实施方案批复(1)_04"/>
                    <pic:cNvPicPr>
                      <a:picLocks noChangeAspect="1"/>
                    </pic:cNvPicPr>
                  </pic:nvPicPr>
                  <pic:blipFill>
                    <a:blip r:embed="rId64"/>
                    <a:stretch>
                      <a:fillRect/>
                    </a:stretch>
                  </pic:blipFill>
                  <pic:spPr>
                    <a:xfrm>
                      <a:off x="0" y="0"/>
                      <a:ext cx="5394325" cy="7634605"/>
                    </a:xfrm>
                    <a:prstGeom prst="rect">
                      <a:avLst/>
                    </a:prstGeom>
                    <a:noFill/>
                    <a:ln>
                      <a:noFill/>
                    </a:ln>
                  </pic:spPr>
                </pic:pic>
              </a:graphicData>
            </a:graphic>
          </wp:inline>
        </w:drawing>
      </w:r>
    </w:p>
    <w:p>
      <w:pPr>
        <w:pStyle w:val="29"/>
        <w:ind w:left="0" w:leftChars="0" w:firstLine="0" w:firstLineChars="0"/>
        <w:jc w:val="center"/>
        <w:rPr>
          <w:rFonts w:hint="default" w:ascii="Times New Roman" w:hAnsi="Times New Roman" w:eastAsia="宋体" w:cs="Times New Roman"/>
          <w:lang w:eastAsia="zh-CN"/>
        </w:rPr>
      </w:pPr>
      <w:r>
        <w:rPr>
          <w:rFonts w:hint="default" w:ascii="Times New Roman" w:hAnsi="Times New Roman" w:eastAsia="宋体" w:cs="Times New Roman"/>
          <w:lang w:eastAsia="zh-CN"/>
        </w:rPr>
        <w:br w:type="page"/>
      </w:r>
    </w:p>
    <w:p>
      <w:pPr>
        <w:keepNext w:val="0"/>
        <w:keepLines w:val="0"/>
        <w:pageBreakBefore w:val="0"/>
        <w:widowControl w:val="0"/>
        <w:kinsoku/>
        <w:wordWrap/>
        <w:overflowPunct/>
        <w:topLinePunct w:val="0"/>
        <w:autoSpaceDE/>
        <w:autoSpaceDN/>
        <w:bidi w:val="0"/>
        <w:adjustRightInd/>
        <w:snapToGrid/>
        <w:jc w:val="left"/>
        <w:textAlignment w:val="auto"/>
        <w:rPr>
          <w:rFonts w:hint="eastAsia" w:ascii="Times New Roman" w:hAnsi="Times New Roman" w:eastAsia="宋体" w:cs="Times New Roman"/>
          <w:color w:val="0D0D0D"/>
          <w:sz w:val="24"/>
          <w:szCs w:val="20"/>
          <w:lang w:eastAsia="zh-CN"/>
        </w:rPr>
      </w:pPr>
      <w:bookmarkStart w:id="13" w:name="_Toc23186"/>
      <w:bookmarkStart w:id="14" w:name="_Toc20356"/>
      <w:r>
        <w:rPr>
          <w:rFonts w:hint="default" w:ascii="Times New Roman"/>
          <w:snapToGrid w:val="0"/>
          <w:color w:val="000000"/>
          <w:spacing w:val="-6"/>
          <w:kern w:val="21"/>
          <w:szCs w:val="21"/>
          <w:u w:val="none"/>
          <w:lang w:val="en-US" w:eastAsia="zh-CN"/>
        </w:rPr>
        <w:t>附件</w:t>
      </w:r>
      <w:r>
        <w:rPr>
          <w:rFonts w:hint="eastAsia"/>
          <w:snapToGrid w:val="0"/>
          <w:color w:val="000000"/>
          <w:spacing w:val="-6"/>
          <w:kern w:val="21"/>
          <w:szCs w:val="21"/>
          <w:u w:val="none"/>
          <w:lang w:val="en-US" w:eastAsia="zh-CN"/>
        </w:rPr>
        <w:t>8</w:t>
      </w:r>
      <w:r>
        <w:rPr>
          <w:rFonts w:hint="default" w:ascii="Times New Roman"/>
          <w:snapToGrid w:val="0"/>
          <w:color w:val="000000"/>
          <w:spacing w:val="-6"/>
          <w:kern w:val="21"/>
          <w:szCs w:val="21"/>
          <w:u w:val="none"/>
          <w:lang w:val="en-US" w:eastAsia="zh-CN"/>
        </w:rPr>
        <w:t>：</w:t>
      </w:r>
      <w:r>
        <w:rPr>
          <w:rFonts w:hint="eastAsia" w:ascii="Times New Roman"/>
          <w:snapToGrid w:val="0"/>
          <w:color w:val="000000"/>
          <w:spacing w:val="-6"/>
          <w:kern w:val="21"/>
          <w:szCs w:val="21"/>
          <w:u w:val="none"/>
          <w:lang w:val="en-US" w:eastAsia="zh-CN"/>
        </w:rPr>
        <w:t>学宫路遗留废渣酸浸、水浸检测结果</w:t>
      </w:r>
      <w:r>
        <w:rPr>
          <w:rFonts w:hint="eastAsia" w:ascii="Times New Roman" w:hAnsi="Times New Roman" w:eastAsia="宋体" w:cs="Times New Roman"/>
          <w:color w:val="0D0D0D"/>
          <w:sz w:val="24"/>
          <w:szCs w:val="20"/>
          <w:lang w:eastAsia="zh-CN"/>
        </w:rPr>
        <w:drawing>
          <wp:inline distT="0" distB="0" distL="114300" distR="114300">
            <wp:extent cx="5271135" cy="7341870"/>
            <wp:effectExtent l="0" t="0" r="12065" b="11430"/>
            <wp:docPr id="87" name="图片 12" descr="HYZA-HJC-2405065 固废检测 衡阳市珠晖区农业文旅经营有限公司（湖南财经工业职业技术学院东北187米珠晖区学宫路附近）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12" descr="HYZA-HJC-2405065 固废检测 衡阳市珠晖区农业文旅经营有限公司（湖南财经工业职业技术学院东北187米珠晖区学宫路附近）_00"/>
                    <pic:cNvPicPr>
                      <a:picLocks noChangeAspect="1"/>
                    </pic:cNvPicPr>
                  </pic:nvPicPr>
                  <pic:blipFill>
                    <a:blip r:embed="rId65"/>
                    <a:stretch>
                      <a:fillRect/>
                    </a:stretch>
                  </pic:blipFill>
                  <pic:spPr>
                    <a:xfrm>
                      <a:off x="0" y="0"/>
                      <a:ext cx="5271135" cy="7341870"/>
                    </a:xfrm>
                    <a:prstGeom prst="rect">
                      <a:avLst/>
                    </a:prstGeom>
                    <a:noFill/>
                    <a:ln>
                      <a:noFill/>
                    </a:ln>
                  </pic:spPr>
                </pic:pic>
              </a:graphicData>
            </a:graphic>
          </wp:inline>
        </w:drawing>
      </w:r>
      <w:bookmarkEnd w:id="13"/>
      <w:bookmarkEnd w:id="14"/>
    </w:p>
    <w:p>
      <w:pPr>
        <w:autoSpaceDE w:val="0"/>
        <w:autoSpaceDN w:val="0"/>
        <w:adjustRightInd w:val="0"/>
        <w:snapToGrid w:val="0"/>
        <w:spacing w:line="360" w:lineRule="auto"/>
        <w:rPr>
          <w:rFonts w:hint="eastAsia" w:ascii="Times New Roman" w:hAnsi="Times New Roman" w:eastAsia="宋体" w:cs="Times New Roman"/>
          <w:color w:val="0D0D0D"/>
          <w:sz w:val="24"/>
          <w:szCs w:val="20"/>
          <w:lang w:eastAsia="zh-CN"/>
        </w:rPr>
      </w:pPr>
      <w:r>
        <w:rPr>
          <w:rFonts w:hint="eastAsia" w:ascii="Times New Roman" w:hAnsi="Times New Roman" w:eastAsia="宋体" w:cs="Times New Roman"/>
          <w:color w:val="0D0D0D"/>
          <w:sz w:val="24"/>
          <w:szCs w:val="20"/>
          <w:lang w:eastAsia="zh-CN"/>
        </w:rPr>
        <w:drawing>
          <wp:inline distT="0" distB="0" distL="114300" distR="114300">
            <wp:extent cx="5271135" cy="7341870"/>
            <wp:effectExtent l="0" t="0" r="12065" b="11430"/>
            <wp:docPr id="89" name="图片 13" descr="HYZA-HJC-2405065 固废检测 衡阳市珠晖区农业文旅经营有限公司（湖南财经工业职业技术学院东北187米珠晖区学宫路附近）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13" descr="HYZA-HJC-2405065 固废检测 衡阳市珠晖区农业文旅经营有限公司（湖南财经工业职业技术学院东北187米珠晖区学宫路附近）_01"/>
                    <pic:cNvPicPr>
                      <a:picLocks noChangeAspect="1"/>
                    </pic:cNvPicPr>
                  </pic:nvPicPr>
                  <pic:blipFill>
                    <a:blip r:embed="rId66"/>
                    <a:stretch>
                      <a:fillRect/>
                    </a:stretch>
                  </pic:blipFill>
                  <pic:spPr>
                    <a:xfrm>
                      <a:off x="0" y="0"/>
                      <a:ext cx="5271135" cy="7341870"/>
                    </a:xfrm>
                    <a:prstGeom prst="rect">
                      <a:avLst/>
                    </a:prstGeom>
                    <a:noFill/>
                    <a:ln>
                      <a:noFill/>
                    </a:ln>
                  </pic:spPr>
                </pic:pic>
              </a:graphicData>
            </a:graphic>
          </wp:inline>
        </w:drawing>
      </w:r>
      <w:r>
        <w:rPr>
          <w:rFonts w:hint="eastAsia" w:ascii="Times New Roman" w:hAnsi="Times New Roman" w:eastAsia="宋体" w:cs="Times New Roman"/>
          <w:color w:val="0D0D0D"/>
          <w:sz w:val="24"/>
          <w:szCs w:val="20"/>
          <w:lang w:eastAsia="zh-CN"/>
        </w:rPr>
        <w:drawing>
          <wp:inline distT="0" distB="0" distL="114300" distR="114300">
            <wp:extent cx="5271135" cy="7351395"/>
            <wp:effectExtent l="0" t="0" r="12065" b="1905"/>
            <wp:docPr id="88" name="图片 14" descr="HYZA-HJC-2405065 固废检测 衡阳市珠晖区农业文旅经营有限公司（湖南财经工业职业技术学院东北187米珠晖区学宫路附近）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14" descr="HYZA-HJC-2405065 固废检测 衡阳市珠晖区农业文旅经营有限公司（湖南财经工业职业技术学院东北187米珠晖区学宫路附近）_02"/>
                    <pic:cNvPicPr>
                      <a:picLocks noChangeAspect="1"/>
                    </pic:cNvPicPr>
                  </pic:nvPicPr>
                  <pic:blipFill>
                    <a:blip r:embed="rId67"/>
                    <a:stretch>
                      <a:fillRect/>
                    </a:stretch>
                  </pic:blipFill>
                  <pic:spPr>
                    <a:xfrm>
                      <a:off x="0" y="0"/>
                      <a:ext cx="5271135" cy="7351395"/>
                    </a:xfrm>
                    <a:prstGeom prst="rect">
                      <a:avLst/>
                    </a:prstGeom>
                    <a:noFill/>
                    <a:ln>
                      <a:noFill/>
                    </a:ln>
                  </pic:spPr>
                </pic:pic>
              </a:graphicData>
            </a:graphic>
          </wp:inline>
        </w:drawing>
      </w:r>
      <w:r>
        <w:rPr>
          <w:rFonts w:hint="eastAsia" w:ascii="Times New Roman" w:hAnsi="Times New Roman" w:eastAsia="宋体" w:cs="Times New Roman"/>
          <w:color w:val="0D0D0D"/>
          <w:sz w:val="24"/>
          <w:szCs w:val="20"/>
          <w:lang w:eastAsia="zh-CN"/>
        </w:rPr>
        <w:drawing>
          <wp:inline distT="0" distB="0" distL="114300" distR="114300">
            <wp:extent cx="5271135" cy="7351395"/>
            <wp:effectExtent l="0" t="0" r="12065" b="1905"/>
            <wp:docPr id="86" name="图片 15" descr="HYZA-HJC-2405065 固废检测 衡阳市珠晖区农业文旅经营有限公司（湖南财经工业职业技术学院东北187米珠晖区学宫路附近）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15" descr="HYZA-HJC-2405065 固废检测 衡阳市珠晖区农业文旅经营有限公司（湖南财经工业职业技术学院东北187米珠晖区学宫路附近）_03"/>
                    <pic:cNvPicPr>
                      <a:picLocks noChangeAspect="1"/>
                    </pic:cNvPicPr>
                  </pic:nvPicPr>
                  <pic:blipFill>
                    <a:blip r:embed="rId68"/>
                    <a:stretch>
                      <a:fillRect/>
                    </a:stretch>
                  </pic:blipFill>
                  <pic:spPr>
                    <a:xfrm>
                      <a:off x="0" y="0"/>
                      <a:ext cx="5271135" cy="7351395"/>
                    </a:xfrm>
                    <a:prstGeom prst="rect">
                      <a:avLst/>
                    </a:prstGeom>
                    <a:noFill/>
                    <a:ln>
                      <a:noFill/>
                    </a:ln>
                  </pic:spPr>
                </pic:pic>
              </a:graphicData>
            </a:graphic>
          </wp:inline>
        </w:drawing>
      </w:r>
      <w:r>
        <w:rPr>
          <w:rFonts w:hint="eastAsia" w:ascii="Times New Roman" w:hAnsi="Times New Roman" w:eastAsia="宋体" w:cs="Times New Roman"/>
          <w:color w:val="0D0D0D"/>
          <w:sz w:val="24"/>
          <w:szCs w:val="20"/>
          <w:lang w:eastAsia="zh-CN"/>
        </w:rPr>
        <w:drawing>
          <wp:inline distT="0" distB="0" distL="114300" distR="114300">
            <wp:extent cx="5271135" cy="7351395"/>
            <wp:effectExtent l="0" t="0" r="12065" b="1905"/>
            <wp:docPr id="95" name="图片 16" descr="HYZA-HJC-2405065 固废检测 衡阳市珠晖区农业文旅经营有限公司（湖南财经工业职业技术学院东北187米珠晖区学宫路附近）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16" descr="HYZA-HJC-2405065 固废检测 衡阳市珠晖区农业文旅经营有限公司（湖南财经工业职业技术学院东北187米珠晖区学宫路附近）_03"/>
                    <pic:cNvPicPr>
                      <a:picLocks noChangeAspect="1"/>
                    </pic:cNvPicPr>
                  </pic:nvPicPr>
                  <pic:blipFill>
                    <a:blip r:embed="rId68"/>
                    <a:stretch>
                      <a:fillRect/>
                    </a:stretch>
                  </pic:blipFill>
                  <pic:spPr>
                    <a:xfrm>
                      <a:off x="0" y="0"/>
                      <a:ext cx="5271135" cy="7351395"/>
                    </a:xfrm>
                    <a:prstGeom prst="rect">
                      <a:avLst/>
                    </a:prstGeom>
                    <a:noFill/>
                    <a:ln>
                      <a:noFill/>
                    </a:ln>
                  </pic:spPr>
                </pic:pic>
              </a:graphicData>
            </a:graphic>
          </wp:inline>
        </w:drawing>
      </w:r>
    </w:p>
    <w:p>
      <w:pPr>
        <w:autoSpaceDE w:val="0"/>
        <w:autoSpaceDN w:val="0"/>
        <w:adjustRightInd w:val="0"/>
        <w:snapToGrid w:val="0"/>
        <w:spacing w:line="360" w:lineRule="auto"/>
        <w:rPr>
          <w:rFonts w:hint="eastAsia" w:ascii="Times New Roman" w:hAnsi="Times New Roman" w:eastAsia="宋体" w:cs="Times New Roman"/>
          <w:color w:val="0D0D0D"/>
          <w:sz w:val="24"/>
          <w:szCs w:val="20"/>
          <w:lang w:eastAsia="zh-CN"/>
        </w:rPr>
      </w:pPr>
      <w:r>
        <w:rPr>
          <w:rFonts w:hint="eastAsia" w:ascii="Times New Roman" w:hAnsi="Times New Roman" w:eastAsia="宋体" w:cs="Times New Roman"/>
          <w:color w:val="0D0D0D"/>
          <w:sz w:val="24"/>
          <w:szCs w:val="20"/>
          <w:lang w:eastAsia="zh-CN"/>
        </w:rPr>
        <w:drawing>
          <wp:inline distT="0" distB="0" distL="114300" distR="114300">
            <wp:extent cx="5271135" cy="7334885"/>
            <wp:effectExtent l="0" t="0" r="12065" b="5715"/>
            <wp:docPr id="67" name="图片 17" descr="HYZA-HJC-2405065 固废检测 衡阳市珠晖区农业文旅经营有限公司（湖南财经工业职业技术学院东北187米珠晖区学宫路附近）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17" descr="HYZA-HJC-2405065 固废检测 衡阳市珠晖区农业文旅经营有限公司（湖南财经工业职业技术学院东北187米珠晖区学宫路附近）_05"/>
                    <pic:cNvPicPr>
                      <a:picLocks noChangeAspect="1"/>
                    </pic:cNvPicPr>
                  </pic:nvPicPr>
                  <pic:blipFill>
                    <a:blip r:embed="rId69"/>
                    <a:stretch>
                      <a:fillRect/>
                    </a:stretch>
                  </pic:blipFill>
                  <pic:spPr>
                    <a:xfrm>
                      <a:off x="0" y="0"/>
                      <a:ext cx="5271135" cy="7334885"/>
                    </a:xfrm>
                    <a:prstGeom prst="rect">
                      <a:avLst/>
                    </a:prstGeom>
                    <a:noFill/>
                    <a:ln>
                      <a:noFill/>
                    </a:ln>
                  </pic:spPr>
                </pic:pic>
              </a:graphicData>
            </a:graphic>
          </wp:inline>
        </w:drawing>
      </w:r>
    </w:p>
    <w:p>
      <w:pPr>
        <w:autoSpaceDE w:val="0"/>
        <w:autoSpaceDN w:val="0"/>
        <w:adjustRightInd w:val="0"/>
        <w:snapToGrid w:val="0"/>
        <w:spacing w:line="360" w:lineRule="auto"/>
        <w:rPr>
          <w:rFonts w:hint="eastAsia" w:ascii="Times New Roman" w:hAnsi="Times New Roman" w:eastAsia="宋体" w:cs="Times New Roman"/>
          <w:color w:val="0D0D0D"/>
          <w:sz w:val="24"/>
          <w:szCs w:val="20"/>
          <w:lang w:eastAsia="zh-CN"/>
        </w:rPr>
      </w:pPr>
      <w:r>
        <w:rPr>
          <w:rFonts w:hint="eastAsia" w:ascii="Times New Roman" w:hAnsi="Times New Roman" w:eastAsia="宋体" w:cs="Times New Roman"/>
          <w:color w:val="0D0D0D"/>
          <w:sz w:val="24"/>
          <w:szCs w:val="20"/>
          <w:lang w:eastAsia="zh-CN"/>
        </w:rPr>
        <w:drawing>
          <wp:inline distT="0" distB="0" distL="114300" distR="114300">
            <wp:extent cx="5271135" cy="7341870"/>
            <wp:effectExtent l="0" t="0" r="12065" b="11430"/>
            <wp:docPr id="64" name="图片 18" descr="HYZA-HJC-2405065 固废检测 衡阳市珠晖区农业文旅经营有限公司（湖南财经工业职业技术学院东北187米珠晖区学宫路附近）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18" descr="HYZA-HJC-2405065 固废检测 衡阳市珠晖区农业文旅经营有限公司（湖南财经工业职业技术学院东北187米珠晖区学宫路附近）_06"/>
                    <pic:cNvPicPr>
                      <a:picLocks noChangeAspect="1"/>
                    </pic:cNvPicPr>
                  </pic:nvPicPr>
                  <pic:blipFill>
                    <a:blip r:embed="rId70"/>
                    <a:stretch>
                      <a:fillRect/>
                    </a:stretch>
                  </pic:blipFill>
                  <pic:spPr>
                    <a:xfrm>
                      <a:off x="0" y="0"/>
                      <a:ext cx="5271135" cy="7341870"/>
                    </a:xfrm>
                    <a:prstGeom prst="rect">
                      <a:avLst/>
                    </a:prstGeom>
                    <a:noFill/>
                    <a:ln>
                      <a:noFill/>
                    </a:ln>
                  </pic:spPr>
                </pic:pic>
              </a:graphicData>
            </a:graphic>
          </wp:inline>
        </w:drawing>
      </w:r>
    </w:p>
    <w:p>
      <w:pPr>
        <w:autoSpaceDE w:val="0"/>
        <w:autoSpaceDN w:val="0"/>
        <w:adjustRightInd w:val="0"/>
        <w:snapToGrid w:val="0"/>
        <w:spacing w:line="360" w:lineRule="auto"/>
        <w:rPr>
          <w:rFonts w:hint="eastAsia" w:ascii="Times New Roman" w:hAnsi="Times New Roman" w:eastAsia="宋体" w:cs="Times New Roman"/>
          <w:color w:val="0D0D0D"/>
          <w:sz w:val="24"/>
          <w:szCs w:val="20"/>
          <w:lang w:eastAsia="zh-CN"/>
        </w:rPr>
      </w:pPr>
      <w:r>
        <w:rPr>
          <w:rFonts w:hint="eastAsia" w:ascii="Times New Roman" w:hAnsi="Times New Roman" w:eastAsia="宋体" w:cs="Times New Roman"/>
          <w:color w:val="0D0D0D"/>
          <w:sz w:val="24"/>
          <w:szCs w:val="20"/>
          <w:lang w:eastAsia="zh-CN"/>
        </w:rPr>
        <w:drawing>
          <wp:inline distT="0" distB="0" distL="114300" distR="114300">
            <wp:extent cx="5271135" cy="7341870"/>
            <wp:effectExtent l="0" t="0" r="12065" b="11430"/>
            <wp:docPr id="68" name="图片 19" descr="HYZA-HJC-2405065 固废检测 衡阳市珠晖区农业文旅经营有限公司（湖南财经工业职业技术学院东北187米珠晖区学宫路附近）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19" descr="HYZA-HJC-2405065 固废检测 衡阳市珠晖区农业文旅经营有限公司（湖南财经工业职业技术学院东北187米珠晖区学宫路附近）_07"/>
                    <pic:cNvPicPr>
                      <a:picLocks noChangeAspect="1"/>
                    </pic:cNvPicPr>
                  </pic:nvPicPr>
                  <pic:blipFill>
                    <a:blip r:embed="rId71"/>
                    <a:stretch>
                      <a:fillRect/>
                    </a:stretch>
                  </pic:blipFill>
                  <pic:spPr>
                    <a:xfrm>
                      <a:off x="0" y="0"/>
                      <a:ext cx="5271135" cy="7341870"/>
                    </a:xfrm>
                    <a:prstGeom prst="rect">
                      <a:avLst/>
                    </a:prstGeom>
                    <a:noFill/>
                    <a:ln>
                      <a:noFill/>
                    </a:ln>
                  </pic:spPr>
                </pic:pic>
              </a:graphicData>
            </a:graphic>
          </wp:inline>
        </w:drawing>
      </w:r>
      <w:r>
        <w:rPr>
          <w:rFonts w:hint="eastAsia" w:ascii="Times New Roman" w:hAnsi="Times New Roman" w:eastAsia="宋体" w:cs="Times New Roman"/>
          <w:color w:val="0D0D0D"/>
          <w:sz w:val="24"/>
          <w:szCs w:val="20"/>
          <w:lang w:eastAsia="zh-CN"/>
        </w:rPr>
        <w:drawing>
          <wp:inline distT="0" distB="0" distL="114300" distR="114300">
            <wp:extent cx="5276850" cy="7362825"/>
            <wp:effectExtent l="0" t="0" r="6350" b="3175"/>
            <wp:docPr id="69" name="图片 20" descr="HYZA-HJC-2405065 固废检测 衡阳市珠晖区农业文旅经营有限公司（湖南财经工业职业技术学院东北187米珠晖区学宫路附近）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20" descr="HYZA-HJC-2405065 固废检测 衡阳市珠晖区农业文旅经营有限公司（湖南财经工业职业技术学院东北187米珠晖区学宫路附近）_08"/>
                    <pic:cNvPicPr>
                      <a:picLocks noChangeAspect="1"/>
                    </pic:cNvPicPr>
                  </pic:nvPicPr>
                  <pic:blipFill>
                    <a:blip r:embed="rId72"/>
                    <a:stretch>
                      <a:fillRect/>
                    </a:stretch>
                  </pic:blipFill>
                  <pic:spPr>
                    <a:xfrm>
                      <a:off x="0" y="0"/>
                      <a:ext cx="5276850" cy="7362825"/>
                    </a:xfrm>
                    <a:prstGeom prst="rect">
                      <a:avLst/>
                    </a:prstGeom>
                    <a:noFill/>
                    <a:ln>
                      <a:noFill/>
                    </a:ln>
                  </pic:spPr>
                </pic:pic>
              </a:graphicData>
            </a:graphic>
          </wp:inline>
        </w:drawing>
      </w:r>
      <w:r>
        <w:rPr>
          <w:rFonts w:hint="eastAsia" w:ascii="Times New Roman" w:hAnsi="Times New Roman" w:eastAsia="宋体" w:cs="Times New Roman"/>
          <w:color w:val="0D0D0D"/>
          <w:sz w:val="24"/>
          <w:szCs w:val="20"/>
          <w:lang w:eastAsia="zh-CN"/>
        </w:rPr>
        <w:drawing>
          <wp:inline distT="0" distB="0" distL="114300" distR="114300">
            <wp:extent cx="5276850" cy="7362825"/>
            <wp:effectExtent l="0" t="0" r="6350" b="3175"/>
            <wp:docPr id="70" name="图片 21" descr="HYZA-HJC-2405065 固废检测 衡阳市珠晖区农业文旅经营有限公司（湖南财经工业职业技术学院东北187米珠晖区学宫路附近）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21" descr="HYZA-HJC-2405065 固废检测 衡阳市珠晖区农业文旅经营有限公司（湖南财经工业职业技术学院东北187米珠晖区学宫路附近）_09"/>
                    <pic:cNvPicPr>
                      <a:picLocks noChangeAspect="1"/>
                    </pic:cNvPicPr>
                  </pic:nvPicPr>
                  <pic:blipFill>
                    <a:blip r:embed="rId73"/>
                    <a:stretch>
                      <a:fillRect/>
                    </a:stretch>
                  </pic:blipFill>
                  <pic:spPr>
                    <a:xfrm>
                      <a:off x="0" y="0"/>
                      <a:ext cx="5276850" cy="7362825"/>
                    </a:xfrm>
                    <a:prstGeom prst="rect">
                      <a:avLst/>
                    </a:prstGeom>
                    <a:noFill/>
                    <a:ln>
                      <a:noFill/>
                    </a:ln>
                  </pic:spPr>
                </pic:pic>
              </a:graphicData>
            </a:graphic>
          </wp:inline>
        </w:drawing>
      </w:r>
      <w:r>
        <w:rPr>
          <w:rFonts w:hint="eastAsia" w:ascii="Times New Roman" w:hAnsi="Times New Roman" w:eastAsia="宋体" w:cs="Times New Roman"/>
          <w:color w:val="0D0D0D"/>
          <w:sz w:val="24"/>
          <w:szCs w:val="20"/>
          <w:lang w:eastAsia="zh-CN"/>
        </w:rPr>
        <w:drawing>
          <wp:inline distT="0" distB="0" distL="114300" distR="114300">
            <wp:extent cx="5271135" cy="7334885"/>
            <wp:effectExtent l="0" t="0" r="12065" b="5715"/>
            <wp:docPr id="63" name="图片 22" descr="HYZA-HJC-2405065 固废检测 衡阳市珠晖区农业文旅经营有限公司（湖南财经工业职业技术学院东北187米珠晖区学宫路附近）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22" descr="HYZA-HJC-2405065 固废检测 衡阳市珠晖区农业文旅经营有限公司（湖南财经工业职业技术学院东北187米珠晖区学宫路附近）_10"/>
                    <pic:cNvPicPr>
                      <a:picLocks noChangeAspect="1"/>
                    </pic:cNvPicPr>
                  </pic:nvPicPr>
                  <pic:blipFill>
                    <a:blip r:embed="rId74"/>
                    <a:stretch>
                      <a:fillRect/>
                    </a:stretch>
                  </pic:blipFill>
                  <pic:spPr>
                    <a:xfrm>
                      <a:off x="0" y="0"/>
                      <a:ext cx="5271135" cy="7334885"/>
                    </a:xfrm>
                    <a:prstGeom prst="rect">
                      <a:avLst/>
                    </a:prstGeom>
                    <a:noFill/>
                    <a:ln>
                      <a:noFill/>
                    </a:ln>
                  </pic:spPr>
                </pic:pic>
              </a:graphicData>
            </a:graphic>
          </wp:inline>
        </w:drawing>
      </w:r>
      <w:r>
        <w:rPr>
          <w:rFonts w:hint="eastAsia" w:ascii="Times New Roman" w:hAnsi="Times New Roman" w:eastAsia="宋体" w:cs="Times New Roman"/>
          <w:color w:val="0D0D0D"/>
          <w:sz w:val="24"/>
          <w:szCs w:val="20"/>
          <w:lang w:eastAsia="zh-CN"/>
        </w:rPr>
        <w:drawing>
          <wp:inline distT="0" distB="0" distL="114300" distR="114300">
            <wp:extent cx="5271135" cy="7334885"/>
            <wp:effectExtent l="0" t="0" r="12065" b="5715"/>
            <wp:docPr id="65" name="图片 23" descr="HYZA-HJC-2405065 固废检测 衡阳市珠晖区农业文旅经营有限公司（湖南财经工业职业技术学院东北187米珠晖区学宫路附近）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23" descr="HYZA-HJC-2405065 固废检测 衡阳市珠晖区农业文旅经营有限公司（湖南财经工业职业技术学院东北187米珠晖区学宫路附近）_11"/>
                    <pic:cNvPicPr>
                      <a:picLocks noChangeAspect="1"/>
                    </pic:cNvPicPr>
                  </pic:nvPicPr>
                  <pic:blipFill>
                    <a:blip r:embed="rId75"/>
                    <a:stretch>
                      <a:fillRect/>
                    </a:stretch>
                  </pic:blipFill>
                  <pic:spPr>
                    <a:xfrm>
                      <a:off x="0" y="0"/>
                      <a:ext cx="5271135" cy="7334885"/>
                    </a:xfrm>
                    <a:prstGeom prst="rect">
                      <a:avLst/>
                    </a:prstGeom>
                    <a:noFill/>
                    <a:ln>
                      <a:noFill/>
                    </a:ln>
                  </pic:spPr>
                </pic:pic>
              </a:graphicData>
            </a:graphic>
          </wp:inline>
        </w:drawing>
      </w:r>
      <w:r>
        <w:rPr>
          <w:rFonts w:hint="eastAsia" w:ascii="Times New Roman" w:hAnsi="Times New Roman" w:eastAsia="宋体" w:cs="Times New Roman"/>
          <w:color w:val="0D0D0D"/>
          <w:sz w:val="24"/>
          <w:szCs w:val="20"/>
          <w:lang w:eastAsia="zh-CN"/>
        </w:rPr>
        <w:drawing>
          <wp:inline distT="0" distB="0" distL="114300" distR="114300">
            <wp:extent cx="5271135" cy="7341870"/>
            <wp:effectExtent l="0" t="0" r="12065" b="11430"/>
            <wp:docPr id="66" name="图片 24" descr="HYZA-HJC-2405065 固废检测 衡阳市珠晖区农业文旅经营有限公司（湖南财经工业职业技术学院东北187米珠晖区学宫路附近）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24" descr="HYZA-HJC-2405065 固废检测 衡阳市珠晖区农业文旅经营有限公司（湖南财经工业职业技术学院东北187米珠晖区学宫路附近）_12"/>
                    <pic:cNvPicPr>
                      <a:picLocks noChangeAspect="1"/>
                    </pic:cNvPicPr>
                  </pic:nvPicPr>
                  <pic:blipFill>
                    <a:blip r:embed="rId76"/>
                    <a:stretch>
                      <a:fillRect/>
                    </a:stretch>
                  </pic:blipFill>
                  <pic:spPr>
                    <a:xfrm>
                      <a:off x="0" y="0"/>
                      <a:ext cx="5271135" cy="7341870"/>
                    </a:xfrm>
                    <a:prstGeom prst="rect">
                      <a:avLst/>
                    </a:prstGeom>
                    <a:noFill/>
                    <a:ln>
                      <a:noFill/>
                    </a:ln>
                  </pic:spPr>
                </pic:pic>
              </a:graphicData>
            </a:graphic>
          </wp:inline>
        </w:drawing>
      </w:r>
      <w:r>
        <w:rPr>
          <w:rFonts w:hint="eastAsia" w:ascii="Times New Roman" w:hAnsi="Times New Roman" w:eastAsia="宋体" w:cs="Times New Roman"/>
          <w:color w:val="0D0D0D"/>
          <w:sz w:val="24"/>
          <w:szCs w:val="20"/>
          <w:lang w:eastAsia="zh-CN"/>
        </w:rPr>
        <w:drawing>
          <wp:inline distT="0" distB="0" distL="114300" distR="114300">
            <wp:extent cx="5271135" cy="7341870"/>
            <wp:effectExtent l="0" t="0" r="12065" b="11430"/>
            <wp:docPr id="77" name="图片 25" descr="HYZA-HJC-2405065 固废检测 衡阳市珠晖区农业文旅经营有限公司（湖南财经工业职业技术学院东北187米珠晖区学宫路附近）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25" descr="HYZA-HJC-2405065 固废检测 衡阳市珠晖区农业文旅经营有限公司（湖南财经工业职业技术学院东北187米珠晖区学宫路附近）_13"/>
                    <pic:cNvPicPr>
                      <a:picLocks noChangeAspect="1"/>
                    </pic:cNvPicPr>
                  </pic:nvPicPr>
                  <pic:blipFill>
                    <a:blip r:embed="rId77"/>
                    <a:stretch>
                      <a:fillRect/>
                    </a:stretch>
                  </pic:blipFill>
                  <pic:spPr>
                    <a:xfrm>
                      <a:off x="0" y="0"/>
                      <a:ext cx="5271135" cy="7341870"/>
                    </a:xfrm>
                    <a:prstGeom prst="rect">
                      <a:avLst/>
                    </a:prstGeom>
                    <a:noFill/>
                    <a:ln>
                      <a:noFill/>
                    </a:ln>
                  </pic:spPr>
                </pic:pic>
              </a:graphicData>
            </a:graphic>
          </wp:inline>
        </w:drawing>
      </w:r>
      <w:r>
        <w:rPr>
          <w:rFonts w:hint="eastAsia" w:ascii="Times New Roman" w:hAnsi="Times New Roman" w:eastAsia="宋体" w:cs="Times New Roman"/>
          <w:color w:val="0D0D0D"/>
          <w:sz w:val="24"/>
          <w:szCs w:val="20"/>
          <w:lang w:eastAsia="zh-CN"/>
        </w:rPr>
        <w:drawing>
          <wp:inline distT="0" distB="0" distL="114300" distR="114300">
            <wp:extent cx="5276850" cy="7346950"/>
            <wp:effectExtent l="0" t="0" r="6350" b="6350"/>
            <wp:docPr id="76" name="图片 26" descr="HYZA-HJC-2405065 固废检测 衡阳市珠晖区农业文旅经营有限公司（湖南财经工业职业技术学院东北187米珠晖区学宫路附近）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26" descr="HYZA-HJC-2405065 固废检测 衡阳市珠晖区农业文旅经营有限公司（湖南财经工业职业技术学院东北187米珠晖区学宫路附近）_14"/>
                    <pic:cNvPicPr>
                      <a:picLocks noChangeAspect="1"/>
                    </pic:cNvPicPr>
                  </pic:nvPicPr>
                  <pic:blipFill>
                    <a:blip r:embed="rId78"/>
                    <a:stretch>
                      <a:fillRect/>
                    </a:stretch>
                  </pic:blipFill>
                  <pic:spPr>
                    <a:xfrm>
                      <a:off x="0" y="0"/>
                      <a:ext cx="5276850" cy="7346950"/>
                    </a:xfrm>
                    <a:prstGeom prst="rect">
                      <a:avLst/>
                    </a:prstGeom>
                    <a:noFill/>
                    <a:ln>
                      <a:noFill/>
                    </a:ln>
                  </pic:spPr>
                </pic:pic>
              </a:graphicData>
            </a:graphic>
          </wp:inline>
        </w:drawing>
      </w:r>
    </w:p>
    <w:p>
      <w:pPr>
        <w:rPr>
          <w:rFonts w:hint="eastAsia"/>
        </w:rPr>
      </w:pPr>
    </w:p>
    <w:p>
      <w:pPr>
        <w:rPr>
          <w:rFonts w:hint="default" w:ascii="Times New Roman" w:hAnsi="Times New Roman" w:eastAsia="宋体" w:cs="Times New Roman"/>
          <w:b/>
          <w:bCs/>
          <w:snapToGrid w:val="0"/>
          <w:color w:val="000000"/>
          <w:kern w:val="44"/>
          <w:sz w:val="21"/>
          <w:szCs w:val="16"/>
          <w:lang w:val="en-US" w:eastAsia="zh-CN" w:bidi="ar-SA"/>
        </w:rPr>
      </w:pPr>
    </w:p>
    <w:p>
      <w:pPr>
        <w:rPr>
          <w:rFonts w:hint="default" w:ascii="Times New Roman" w:hAnsi="Times New Roman" w:eastAsia="宋体" w:cs="Times New Roman"/>
          <w:b/>
          <w:bCs/>
          <w:snapToGrid w:val="0"/>
          <w:color w:val="000000"/>
          <w:kern w:val="44"/>
          <w:sz w:val="21"/>
          <w:szCs w:val="16"/>
          <w:lang w:val="en-US" w:eastAsia="zh-CN" w:bidi="ar-SA"/>
        </w:rPr>
      </w:pPr>
    </w:p>
    <w:p>
      <w:pPr>
        <w:rPr>
          <w:rFonts w:hint="default" w:ascii="Times New Roman" w:hAnsi="Times New Roman" w:eastAsia="宋体" w:cs="Times New Roman"/>
          <w:b/>
          <w:bCs/>
          <w:snapToGrid w:val="0"/>
          <w:color w:val="000000"/>
          <w:kern w:val="44"/>
          <w:sz w:val="21"/>
          <w:szCs w:val="16"/>
          <w:lang w:val="en-US" w:eastAsia="zh-CN" w:bidi="ar-SA"/>
        </w:rPr>
      </w:pPr>
    </w:p>
    <w:p>
      <w:pPr>
        <w:rPr>
          <w:rFonts w:hint="default" w:ascii="Times New Roman" w:hAnsi="Times New Roman" w:eastAsia="宋体" w:cs="Times New Roman"/>
          <w:b/>
          <w:bCs/>
          <w:snapToGrid w:val="0"/>
          <w:color w:val="000000"/>
          <w:kern w:val="44"/>
          <w:sz w:val="21"/>
          <w:szCs w:val="16"/>
          <w:lang w:val="en-US" w:eastAsia="zh-CN" w:bidi="ar-SA"/>
        </w:rPr>
      </w:pPr>
    </w:p>
    <w:p>
      <w:pPr>
        <w:rPr>
          <w:rFonts w:hint="default" w:ascii="Times New Roman" w:hAnsi="Times New Roman" w:eastAsia="宋体" w:cs="Times New Roman"/>
          <w:b/>
          <w:bCs/>
          <w:snapToGrid w:val="0"/>
          <w:color w:val="000000"/>
          <w:kern w:val="44"/>
          <w:sz w:val="21"/>
          <w:szCs w:val="16"/>
          <w:lang w:val="en-US" w:eastAsia="zh-CN" w:bidi="ar-SA"/>
        </w:rPr>
      </w:pPr>
    </w:p>
    <w:p>
      <w:pPr>
        <w:rPr>
          <w:rFonts w:hint="default" w:ascii="Times New Roman" w:hAnsi="Times New Roman" w:eastAsia="宋体" w:cs="Times New Roman"/>
          <w:b/>
          <w:bCs/>
          <w:snapToGrid w:val="0"/>
          <w:color w:val="000000"/>
          <w:kern w:val="44"/>
          <w:sz w:val="21"/>
          <w:szCs w:val="16"/>
          <w:lang w:val="en-US" w:eastAsia="zh-CN" w:bidi="ar-SA"/>
        </w:rPr>
      </w:pPr>
    </w:p>
    <w:p>
      <w:pPr>
        <w:rPr>
          <w:rFonts w:hint="default" w:ascii="Times New Roman" w:hAnsi="Times New Roman" w:eastAsia="宋体" w:cs="Times New Roman"/>
          <w:b/>
          <w:bCs/>
          <w:snapToGrid w:val="0"/>
          <w:color w:val="000000"/>
          <w:kern w:val="44"/>
          <w:sz w:val="21"/>
          <w:szCs w:val="16"/>
          <w:lang w:val="en-US" w:eastAsia="zh-CN" w:bidi="ar-SA"/>
        </w:rPr>
      </w:pPr>
    </w:p>
    <w:p>
      <w:pPr>
        <w:keepNext w:val="0"/>
        <w:keepLines w:val="0"/>
        <w:pageBreakBefore w:val="0"/>
        <w:widowControl w:val="0"/>
        <w:kinsoku/>
        <w:wordWrap/>
        <w:overflowPunct/>
        <w:topLinePunct w:val="0"/>
        <w:autoSpaceDE/>
        <w:autoSpaceDN/>
        <w:bidi w:val="0"/>
        <w:adjustRightInd/>
        <w:snapToGrid/>
        <w:jc w:val="left"/>
        <w:textAlignment w:val="auto"/>
        <w:outlineLvl w:val="9"/>
        <w:rPr>
          <w:rFonts w:hint="eastAsia"/>
        </w:rPr>
      </w:pPr>
      <w:bookmarkStart w:id="15" w:name="_Toc31632"/>
      <w:bookmarkStart w:id="16" w:name="_Toc30551"/>
      <w:r>
        <w:rPr>
          <w:rFonts w:hint="default" w:ascii="Times New Roman"/>
          <w:snapToGrid w:val="0"/>
          <w:color w:val="000000"/>
          <w:spacing w:val="-6"/>
          <w:kern w:val="21"/>
          <w:szCs w:val="21"/>
          <w:u w:val="none"/>
          <w:lang w:val="en-US" w:eastAsia="zh-CN"/>
        </w:rPr>
        <w:t>附件</w:t>
      </w:r>
      <w:r>
        <w:rPr>
          <w:rFonts w:hint="eastAsia"/>
          <w:snapToGrid w:val="0"/>
          <w:color w:val="000000"/>
          <w:spacing w:val="-6"/>
          <w:kern w:val="21"/>
          <w:szCs w:val="21"/>
          <w:u w:val="none"/>
          <w:lang w:val="en-US" w:eastAsia="zh-CN"/>
        </w:rPr>
        <w:t>9</w:t>
      </w:r>
      <w:r>
        <w:rPr>
          <w:rFonts w:hint="default" w:ascii="Times New Roman"/>
          <w:snapToGrid w:val="0"/>
          <w:color w:val="000000"/>
          <w:spacing w:val="-6"/>
          <w:kern w:val="21"/>
          <w:szCs w:val="21"/>
          <w:u w:val="none"/>
          <w:lang w:val="en-US" w:eastAsia="zh-CN"/>
        </w:rPr>
        <w:t>：</w:t>
      </w:r>
      <w:r>
        <w:rPr>
          <w:rFonts w:hint="eastAsia" w:ascii="Times New Roman"/>
          <w:snapToGrid w:val="0"/>
          <w:color w:val="000000"/>
          <w:spacing w:val="-6"/>
          <w:kern w:val="21"/>
          <w:szCs w:val="21"/>
          <w:u w:val="none"/>
          <w:lang w:val="en-US" w:eastAsia="zh-CN"/>
        </w:rPr>
        <w:t>原中盐天友遗留废渣酸浸、水浸检测结果</w:t>
      </w:r>
      <w:r>
        <w:rPr>
          <w:rFonts w:hint="eastAsia"/>
        </w:rPr>
        <w:drawing>
          <wp:inline distT="0" distB="0" distL="114300" distR="114300">
            <wp:extent cx="5275580" cy="7320915"/>
            <wp:effectExtent l="0" t="0" r="7620" b="6985"/>
            <wp:docPr id="79" name="图片 27" descr="HYZA-HJC-2405087 固废检测  衡阳市珠晖区农业文旅经营有限公司（原中盐天友化工有限公司）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27" descr="HYZA-HJC-2405087 固废检测  衡阳市珠晖区农业文旅经营有限公司（原中盐天友化工有限公司）_00"/>
                    <pic:cNvPicPr>
                      <a:picLocks noChangeAspect="1"/>
                    </pic:cNvPicPr>
                  </pic:nvPicPr>
                  <pic:blipFill>
                    <a:blip r:embed="rId79"/>
                    <a:stretch>
                      <a:fillRect/>
                    </a:stretch>
                  </pic:blipFill>
                  <pic:spPr>
                    <a:xfrm>
                      <a:off x="0" y="0"/>
                      <a:ext cx="5275580" cy="7320915"/>
                    </a:xfrm>
                    <a:prstGeom prst="rect">
                      <a:avLst/>
                    </a:prstGeom>
                    <a:noFill/>
                    <a:ln>
                      <a:noFill/>
                    </a:ln>
                  </pic:spPr>
                </pic:pic>
              </a:graphicData>
            </a:graphic>
          </wp:inline>
        </w:drawing>
      </w:r>
      <w:r>
        <w:rPr>
          <w:rFonts w:hint="eastAsia"/>
        </w:rPr>
        <w:drawing>
          <wp:inline distT="0" distB="0" distL="114300" distR="114300">
            <wp:extent cx="5275580" cy="7320915"/>
            <wp:effectExtent l="0" t="0" r="7620" b="6985"/>
            <wp:docPr id="78" name="图片 28" descr="HYZA-HJC-2405087 固废检测  衡阳市珠晖区农业文旅经营有限公司（原中盐天友化工有限公司）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28" descr="HYZA-HJC-2405087 固废检测  衡阳市珠晖区农业文旅经营有限公司（原中盐天友化工有限公司）_01"/>
                    <pic:cNvPicPr>
                      <a:picLocks noChangeAspect="1"/>
                    </pic:cNvPicPr>
                  </pic:nvPicPr>
                  <pic:blipFill>
                    <a:blip r:embed="rId80"/>
                    <a:stretch>
                      <a:fillRect/>
                    </a:stretch>
                  </pic:blipFill>
                  <pic:spPr>
                    <a:xfrm>
                      <a:off x="0" y="0"/>
                      <a:ext cx="5275580" cy="7320915"/>
                    </a:xfrm>
                    <a:prstGeom prst="rect">
                      <a:avLst/>
                    </a:prstGeom>
                    <a:noFill/>
                    <a:ln>
                      <a:noFill/>
                    </a:ln>
                  </pic:spPr>
                </pic:pic>
              </a:graphicData>
            </a:graphic>
          </wp:inline>
        </w:drawing>
      </w:r>
      <w:r>
        <w:rPr>
          <w:rFonts w:hint="eastAsia"/>
        </w:rPr>
        <w:drawing>
          <wp:inline distT="0" distB="0" distL="114300" distR="114300">
            <wp:extent cx="5276850" cy="7319645"/>
            <wp:effectExtent l="0" t="0" r="6350" b="8255"/>
            <wp:docPr id="82" name="图片 29" descr="HYZA-HJC-2405087 固废检测  衡阳市珠晖区农业文旅经营有限公司（原中盐天友化工有限公司）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29" descr="HYZA-HJC-2405087 固废检测  衡阳市珠晖区农业文旅经营有限公司（原中盐天友化工有限公司）_02"/>
                    <pic:cNvPicPr>
                      <a:picLocks noChangeAspect="1"/>
                    </pic:cNvPicPr>
                  </pic:nvPicPr>
                  <pic:blipFill>
                    <a:blip r:embed="rId81"/>
                    <a:stretch>
                      <a:fillRect/>
                    </a:stretch>
                  </pic:blipFill>
                  <pic:spPr>
                    <a:xfrm>
                      <a:off x="0" y="0"/>
                      <a:ext cx="5276850" cy="7319645"/>
                    </a:xfrm>
                    <a:prstGeom prst="rect">
                      <a:avLst/>
                    </a:prstGeom>
                    <a:noFill/>
                    <a:ln>
                      <a:noFill/>
                    </a:ln>
                  </pic:spPr>
                </pic:pic>
              </a:graphicData>
            </a:graphic>
          </wp:inline>
        </w:drawing>
      </w:r>
      <w:r>
        <w:rPr>
          <w:rFonts w:hint="eastAsia"/>
        </w:rPr>
        <w:drawing>
          <wp:inline distT="0" distB="0" distL="114300" distR="114300">
            <wp:extent cx="5276850" cy="7319645"/>
            <wp:effectExtent l="0" t="0" r="6350" b="8255"/>
            <wp:docPr id="80" name="图片 30" descr="HYZA-HJC-2405087 固废检测  衡阳市珠晖区农业文旅经营有限公司（原中盐天友化工有限公司）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30" descr="HYZA-HJC-2405087 固废检测  衡阳市珠晖区农业文旅经营有限公司（原中盐天友化工有限公司）_03"/>
                    <pic:cNvPicPr>
                      <a:picLocks noChangeAspect="1"/>
                    </pic:cNvPicPr>
                  </pic:nvPicPr>
                  <pic:blipFill>
                    <a:blip r:embed="rId82"/>
                    <a:stretch>
                      <a:fillRect/>
                    </a:stretch>
                  </pic:blipFill>
                  <pic:spPr>
                    <a:xfrm>
                      <a:off x="0" y="0"/>
                      <a:ext cx="5276850" cy="7319645"/>
                    </a:xfrm>
                    <a:prstGeom prst="rect">
                      <a:avLst/>
                    </a:prstGeom>
                    <a:noFill/>
                    <a:ln>
                      <a:noFill/>
                    </a:ln>
                  </pic:spPr>
                </pic:pic>
              </a:graphicData>
            </a:graphic>
          </wp:inline>
        </w:drawing>
      </w:r>
      <w:r>
        <w:rPr>
          <w:rFonts w:hint="eastAsia"/>
        </w:rPr>
        <w:drawing>
          <wp:inline distT="0" distB="0" distL="114300" distR="114300">
            <wp:extent cx="5276850" cy="7319645"/>
            <wp:effectExtent l="0" t="0" r="6350" b="8255"/>
            <wp:docPr id="81" name="图片 31" descr="HYZA-HJC-2405087 固废检测  衡阳市珠晖区农业文旅经营有限公司（原中盐天友化工有限公司）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31" descr="HYZA-HJC-2405087 固废检测  衡阳市珠晖区农业文旅经营有限公司（原中盐天友化工有限公司）_04"/>
                    <pic:cNvPicPr>
                      <a:picLocks noChangeAspect="1"/>
                    </pic:cNvPicPr>
                  </pic:nvPicPr>
                  <pic:blipFill>
                    <a:blip r:embed="rId83"/>
                    <a:stretch>
                      <a:fillRect/>
                    </a:stretch>
                  </pic:blipFill>
                  <pic:spPr>
                    <a:xfrm>
                      <a:off x="0" y="0"/>
                      <a:ext cx="5276850" cy="7319645"/>
                    </a:xfrm>
                    <a:prstGeom prst="rect">
                      <a:avLst/>
                    </a:prstGeom>
                    <a:noFill/>
                    <a:ln>
                      <a:noFill/>
                    </a:ln>
                  </pic:spPr>
                </pic:pic>
              </a:graphicData>
            </a:graphic>
          </wp:inline>
        </w:drawing>
      </w:r>
      <w:r>
        <w:rPr>
          <w:rFonts w:hint="eastAsia"/>
        </w:rPr>
        <w:drawing>
          <wp:inline distT="0" distB="0" distL="114300" distR="114300">
            <wp:extent cx="5276850" cy="7319645"/>
            <wp:effectExtent l="0" t="0" r="6350" b="8255"/>
            <wp:docPr id="75" name="图片 32" descr="HYZA-HJC-2405087 固废检测  衡阳市珠晖区农业文旅经营有限公司（原中盐天友化工有限公司）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32" descr="HYZA-HJC-2405087 固废检测  衡阳市珠晖区农业文旅经营有限公司（原中盐天友化工有限公司）_05"/>
                    <pic:cNvPicPr>
                      <a:picLocks noChangeAspect="1"/>
                    </pic:cNvPicPr>
                  </pic:nvPicPr>
                  <pic:blipFill>
                    <a:blip r:embed="rId84"/>
                    <a:stretch>
                      <a:fillRect/>
                    </a:stretch>
                  </pic:blipFill>
                  <pic:spPr>
                    <a:xfrm>
                      <a:off x="0" y="0"/>
                      <a:ext cx="5276850" cy="7319645"/>
                    </a:xfrm>
                    <a:prstGeom prst="rect">
                      <a:avLst/>
                    </a:prstGeom>
                    <a:noFill/>
                    <a:ln>
                      <a:noFill/>
                    </a:ln>
                  </pic:spPr>
                </pic:pic>
              </a:graphicData>
            </a:graphic>
          </wp:inline>
        </w:drawing>
      </w:r>
      <w:r>
        <w:rPr>
          <w:rFonts w:hint="eastAsia"/>
        </w:rPr>
        <w:drawing>
          <wp:inline distT="0" distB="0" distL="114300" distR="114300">
            <wp:extent cx="5275580" cy="7320915"/>
            <wp:effectExtent l="0" t="0" r="7620" b="6985"/>
            <wp:docPr id="124" name="图片 33" descr="HYZA-HJC-2405087 固废检测  衡阳市珠晖区农业文旅经营有限公司（原中盐天友化工有限公司）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33" descr="HYZA-HJC-2405087 固废检测  衡阳市珠晖区农业文旅经营有限公司（原中盐天友化工有限公司）_06"/>
                    <pic:cNvPicPr>
                      <a:picLocks noChangeAspect="1"/>
                    </pic:cNvPicPr>
                  </pic:nvPicPr>
                  <pic:blipFill>
                    <a:blip r:embed="rId85"/>
                    <a:stretch>
                      <a:fillRect/>
                    </a:stretch>
                  </pic:blipFill>
                  <pic:spPr>
                    <a:xfrm>
                      <a:off x="0" y="0"/>
                      <a:ext cx="5275580" cy="7320915"/>
                    </a:xfrm>
                    <a:prstGeom prst="rect">
                      <a:avLst/>
                    </a:prstGeom>
                    <a:noFill/>
                    <a:ln>
                      <a:noFill/>
                    </a:ln>
                  </pic:spPr>
                </pic:pic>
              </a:graphicData>
            </a:graphic>
          </wp:inline>
        </w:drawing>
      </w:r>
      <w:r>
        <w:rPr>
          <w:rFonts w:hint="eastAsia"/>
        </w:rPr>
        <w:drawing>
          <wp:inline distT="0" distB="0" distL="114300" distR="114300">
            <wp:extent cx="5275580" cy="7320915"/>
            <wp:effectExtent l="0" t="0" r="7620" b="6985"/>
            <wp:docPr id="108" name="图片 34" descr="HYZA-HJC-2405087 固废检测  衡阳市珠晖区农业文旅经营有限公司（原中盐天友化工有限公司）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34" descr="HYZA-HJC-2405087 固废检测  衡阳市珠晖区农业文旅经营有限公司（原中盐天友化工有限公司）_07"/>
                    <pic:cNvPicPr>
                      <a:picLocks noChangeAspect="1"/>
                    </pic:cNvPicPr>
                  </pic:nvPicPr>
                  <pic:blipFill>
                    <a:blip r:embed="rId86"/>
                    <a:stretch>
                      <a:fillRect/>
                    </a:stretch>
                  </pic:blipFill>
                  <pic:spPr>
                    <a:xfrm>
                      <a:off x="0" y="0"/>
                      <a:ext cx="5275580" cy="7320915"/>
                    </a:xfrm>
                    <a:prstGeom prst="rect">
                      <a:avLst/>
                    </a:prstGeom>
                    <a:noFill/>
                    <a:ln>
                      <a:noFill/>
                    </a:ln>
                  </pic:spPr>
                </pic:pic>
              </a:graphicData>
            </a:graphic>
          </wp:inline>
        </w:drawing>
      </w:r>
      <w:r>
        <w:rPr>
          <w:rFonts w:hint="eastAsia"/>
        </w:rPr>
        <w:drawing>
          <wp:inline distT="0" distB="0" distL="114300" distR="114300">
            <wp:extent cx="5275580" cy="7320915"/>
            <wp:effectExtent l="0" t="0" r="7620" b="6985"/>
            <wp:docPr id="96" name="图片 35" descr="HYZA-HJC-2405087 固废检测  衡阳市珠晖区农业文旅经营有限公司（原中盐天友化工有限公司）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35" descr="HYZA-HJC-2405087 固废检测  衡阳市珠晖区农业文旅经营有限公司（原中盐天友化工有限公司）_10"/>
                    <pic:cNvPicPr>
                      <a:picLocks noChangeAspect="1"/>
                    </pic:cNvPicPr>
                  </pic:nvPicPr>
                  <pic:blipFill>
                    <a:blip r:embed="rId87"/>
                    <a:stretch>
                      <a:fillRect/>
                    </a:stretch>
                  </pic:blipFill>
                  <pic:spPr>
                    <a:xfrm>
                      <a:off x="0" y="0"/>
                      <a:ext cx="5275580" cy="7320915"/>
                    </a:xfrm>
                    <a:prstGeom prst="rect">
                      <a:avLst/>
                    </a:prstGeom>
                    <a:noFill/>
                    <a:ln>
                      <a:noFill/>
                    </a:ln>
                  </pic:spPr>
                </pic:pic>
              </a:graphicData>
            </a:graphic>
          </wp:inline>
        </w:drawing>
      </w:r>
      <w:r>
        <w:rPr>
          <w:rFonts w:hint="eastAsia"/>
        </w:rPr>
        <w:drawing>
          <wp:inline distT="0" distB="0" distL="114300" distR="114300">
            <wp:extent cx="5275580" cy="7320915"/>
            <wp:effectExtent l="0" t="0" r="7620" b="6985"/>
            <wp:docPr id="111" name="图片 36" descr="HYZA-HJC-2405087 固废检测  衡阳市珠晖区农业文旅经营有限公司（原中盐天友化工有限公司）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36" descr="HYZA-HJC-2405087 固废检测  衡阳市珠晖区农业文旅经营有限公司（原中盐天友化工有限公司）_11"/>
                    <pic:cNvPicPr>
                      <a:picLocks noChangeAspect="1"/>
                    </pic:cNvPicPr>
                  </pic:nvPicPr>
                  <pic:blipFill>
                    <a:blip r:embed="rId88"/>
                    <a:stretch>
                      <a:fillRect/>
                    </a:stretch>
                  </pic:blipFill>
                  <pic:spPr>
                    <a:xfrm>
                      <a:off x="0" y="0"/>
                      <a:ext cx="5275580" cy="7320915"/>
                    </a:xfrm>
                    <a:prstGeom prst="rect">
                      <a:avLst/>
                    </a:prstGeom>
                    <a:noFill/>
                    <a:ln>
                      <a:noFill/>
                    </a:ln>
                  </pic:spPr>
                </pic:pic>
              </a:graphicData>
            </a:graphic>
          </wp:inline>
        </w:drawing>
      </w:r>
      <w:r>
        <w:rPr>
          <w:rFonts w:hint="eastAsia"/>
        </w:rPr>
        <w:drawing>
          <wp:inline distT="0" distB="0" distL="114300" distR="114300">
            <wp:extent cx="5275580" cy="7330440"/>
            <wp:effectExtent l="0" t="0" r="7620" b="10160"/>
            <wp:docPr id="106" name="图片 37" descr="HYZA-HJC-2405087 固废检测  衡阳市珠晖区农业文旅经营有限公司（原中盐天友化工有限公司）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37" descr="HYZA-HJC-2405087 固废检测  衡阳市珠晖区农业文旅经营有限公司（原中盐天友化工有限公司）_12"/>
                    <pic:cNvPicPr>
                      <a:picLocks noChangeAspect="1"/>
                    </pic:cNvPicPr>
                  </pic:nvPicPr>
                  <pic:blipFill>
                    <a:blip r:embed="rId89"/>
                    <a:stretch>
                      <a:fillRect/>
                    </a:stretch>
                  </pic:blipFill>
                  <pic:spPr>
                    <a:xfrm>
                      <a:off x="0" y="0"/>
                      <a:ext cx="5275580" cy="7330440"/>
                    </a:xfrm>
                    <a:prstGeom prst="rect">
                      <a:avLst/>
                    </a:prstGeom>
                    <a:noFill/>
                    <a:ln>
                      <a:noFill/>
                    </a:ln>
                  </pic:spPr>
                </pic:pic>
              </a:graphicData>
            </a:graphic>
          </wp:inline>
        </w:drawing>
      </w:r>
      <w:r>
        <w:rPr>
          <w:rFonts w:hint="eastAsia"/>
        </w:rPr>
        <w:drawing>
          <wp:inline distT="0" distB="0" distL="114300" distR="114300">
            <wp:extent cx="5275580" cy="7320915"/>
            <wp:effectExtent l="0" t="0" r="7620" b="6985"/>
            <wp:docPr id="112" name="图片 38" descr="HYZA-HJC-2405087 固废检测  衡阳市珠晖区农业文旅经营有限公司（原中盐天友化工有限公司）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38" descr="HYZA-HJC-2405087 固废检测  衡阳市珠晖区农业文旅经营有限公司（原中盐天友化工有限公司）_08"/>
                    <pic:cNvPicPr>
                      <a:picLocks noChangeAspect="1"/>
                    </pic:cNvPicPr>
                  </pic:nvPicPr>
                  <pic:blipFill>
                    <a:blip r:embed="rId90"/>
                    <a:stretch>
                      <a:fillRect/>
                    </a:stretch>
                  </pic:blipFill>
                  <pic:spPr>
                    <a:xfrm>
                      <a:off x="0" y="0"/>
                      <a:ext cx="5275580" cy="7320915"/>
                    </a:xfrm>
                    <a:prstGeom prst="rect">
                      <a:avLst/>
                    </a:prstGeom>
                    <a:noFill/>
                    <a:ln>
                      <a:noFill/>
                    </a:ln>
                  </pic:spPr>
                </pic:pic>
              </a:graphicData>
            </a:graphic>
          </wp:inline>
        </w:drawing>
      </w:r>
      <w:r>
        <w:rPr>
          <w:rFonts w:hint="eastAsia"/>
        </w:rPr>
        <w:drawing>
          <wp:inline distT="0" distB="0" distL="114300" distR="114300">
            <wp:extent cx="5275580" cy="7320915"/>
            <wp:effectExtent l="0" t="0" r="7620" b="6985"/>
            <wp:docPr id="107" name="图片 39" descr="HYZA-HJC-2405087 固废检测  衡阳市珠晖区农业文旅经营有限公司（原中盐天友化工有限公司）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39" descr="HYZA-HJC-2405087 固废检测  衡阳市珠晖区农业文旅经营有限公司（原中盐天友化工有限公司）_09"/>
                    <pic:cNvPicPr>
                      <a:picLocks noChangeAspect="1"/>
                    </pic:cNvPicPr>
                  </pic:nvPicPr>
                  <pic:blipFill>
                    <a:blip r:embed="rId91"/>
                    <a:stretch>
                      <a:fillRect/>
                    </a:stretch>
                  </pic:blipFill>
                  <pic:spPr>
                    <a:xfrm>
                      <a:off x="0" y="0"/>
                      <a:ext cx="5275580" cy="7320915"/>
                    </a:xfrm>
                    <a:prstGeom prst="rect">
                      <a:avLst/>
                    </a:prstGeom>
                    <a:noFill/>
                    <a:ln>
                      <a:noFill/>
                    </a:ln>
                  </pic:spPr>
                </pic:pic>
              </a:graphicData>
            </a:graphic>
          </wp:inline>
        </w:drawing>
      </w:r>
      <w:r>
        <w:rPr>
          <w:rFonts w:hint="eastAsia"/>
        </w:rPr>
        <w:drawing>
          <wp:inline distT="0" distB="0" distL="114300" distR="114300">
            <wp:extent cx="5275580" cy="7330440"/>
            <wp:effectExtent l="0" t="0" r="7620" b="10160"/>
            <wp:docPr id="97" name="图片 40" descr="HYZA-HJC-2405087 固废检测  衡阳市珠晖区农业文旅经营有限公司（原中盐天友化工有限公司）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40" descr="HYZA-HJC-2405087 固废检测  衡阳市珠晖区农业文旅经营有限公司（原中盐天友化工有限公司）_13"/>
                    <pic:cNvPicPr>
                      <a:picLocks noChangeAspect="1"/>
                    </pic:cNvPicPr>
                  </pic:nvPicPr>
                  <pic:blipFill>
                    <a:blip r:embed="rId92"/>
                    <a:stretch>
                      <a:fillRect/>
                    </a:stretch>
                  </pic:blipFill>
                  <pic:spPr>
                    <a:xfrm>
                      <a:off x="0" y="0"/>
                      <a:ext cx="5275580" cy="7330440"/>
                    </a:xfrm>
                    <a:prstGeom prst="rect">
                      <a:avLst/>
                    </a:prstGeom>
                    <a:noFill/>
                    <a:ln>
                      <a:noFill/>
                    </a:ln>
                  </pic:spPr>
                </pic:pic>
              </a:graphicData>
            </a:graphic>
          </wp:inline>
        </w:drawing>
      </w:r>
      <w:r>
        <w:rPr>
          <w:rFonts w:hint="eastAsia"/>
        </w:rPr>
        <w:drawing>
          <wp:inline distT="0" distB="0" distL="114300" distR="114300">
            <wp:extent cx="5275580" cy="7330440"/>
            <wp:effectExtent l="0" t="0" r="7620" b="10160"/>
            <wp:docPr id="115" name="图片 41" descr="HYZA-HJC-2405087 固废检测  衡阳市珠晖区农业文旅经营有限公司（原中盐天友化工有限公司）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41" descr="HYZA-HJC-2405087 固废检测  衡阳市珠晖区农业文旅经营有限公司（原中盐天友化工有限公司）_14"/>
                    <pic:cNvPicPr>
                      <a:picLocks noChangeAspect="1"/>
                    </pic:cNvPicPr>
                  </pic:nvPicPr>
                  <pic:blipFill>
                    <a:blip r:embed="rId93"/>
                    <a:stretch>
                      <a:fillRect/>
                    </a:stretch>
                  </pic:blipFill>
                  <pic:spPr>
                    <a:xfrm>
                      <a:off x="0" y="0"/>
                      <a:ext cx="5275580" cy="7330440"/>
                    </a:xfrm>
                    <a:prstGeom prst="rect">
                      <a:avLst/>
                    </a:prstGeom>
                    <a:noFill/>
                    <a:ln>
                      <a:noFill/>
                    </a:ln>
                  </pic:spPr>
                </pic:pic>
              </a:graphicData>
            </a:graphic>
          </wp:inline>
        </w:drawing>
      </w:r>
      <w:r>
        <w:rPr>
          <w:rFonts w:hint="eastAsia"/>
        </w:rPr>
        <w:drawing>
          <wp:inline distT="0" distB="0" distL="114300" distR="114300">
            <wp:extent cx="5275580" cy="7330440"/>
            <wp:effectExtent l="0" t="0" r="7620" b="10160"/>
            <wp:docPr id="113" name="图片 42" descr="HYZA-HJC-2405087 固废检测  衡阳市珠晖区农业文旅经营有限公司（原中盐天友化工有限公司）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42" descr="HYZA-HJC-2405087 固废检测  衡阳市珠晖区农业文旅经营有限公司（原中盐天友化工有限公司）_15"/>
                    <pic:cNvPicPr>
                      <a:picLocks noChangeAspect="1"/>
                    </pic:cNvPicPr>
                  </pic:nvPicPr>
                  <pic:blipFill>
                    <a:blip r:embed="rId94"/>
                    <a:stretch>
                      <a:fillRect/>
                    </a:stretch>
                  </pic:blipFill>
                  <pic:spPr>
                    <a:xfrm>
                      <a:off x="0" y="0"/>
                      <a:ext cx="5275580" cy="7330440"/>
                    </a:xfrm>
                    <a:prstGeom prst="rect">
                      <a:avLst/>
                    </a:prstGeom>
                    <a:noFill/>
                    <a:ln>
                      <a:noFill/>
                    </a:ln>
                  </pic:spPr>
                </pic:pic>
              </a:graphicData>
            </a:graphic>
          </wp:inline>
        </w:drawing>
      </w:r>
      <w:r>
        <w:rPr>
          <w:rFonts w:hint="eastAsia"/>
        </w:rPr>
        <w:drawing>
          <wp:inline distT="0" distB="0" distL="114300" distR="114300">
            <wp:extent cx="5275580" cy="7320915"/>
            <wp:effectExtent l="0" t="0" r="7620" b="6985"/>
            <wp:docPr id="98" name="图片 43" descr="HYZA-HJC-2405087 固废检测  衡阳市珠晖区农业文旅经营有限公司（原中盐天友化工有限公司）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43" descr="HYZA-HJC-2405087 固废检测  衡阳市珠晖区农业文旅经营有限公司（原中盐天友化工有限公司）_16"/>
                    <pic:cNvPicPr>
                      <a:picLocks noChangeAspect="1"/>
                    </pic:cNvPicPr>
                  </pic:nvPicPr>
                  <pic:blipFill>
                    <a:blip r:embed="rId95"/>
                    <a:stretch>
                      <a:fillRect/>
                    </a:stretch>
                  </pic:blipFill>
                  <pic:spPr>
                    <a:xfrm>
                      <a:off x="0" y="0"/>
                      <a:ext cx="5275580" cy="7320915"/>
                    </a:xfrm>
                    <a:prstGeom prst="rect">
                      <a:avLst/>
                    </a:prstGeom>
                    <a:noFill/>
                    <a:ln>
                      <a:noFill/>
                    </a:ln>
                  </pic:spPr>
                </pic:pic>
              </a:graphicData>
            </a:graphic>
          </wp:inline>
        </w:drawing>
      </w:r>
      <w:r>
        <w:rPr>
          <w:rFonts w:hint="eastAsia"/>
        </w:rPr>
        <w:drawing>
          <wp:inline distT="0" distB="0" distL="114300" distR="114300">
            <wp:extent cx="5275580" cy="7320915"/>
            <wp:effectExtent l="0" t="0" r="7620" b="6985"/>
            <wp:docPr id="120" name="图片 44" descr="HYZA-HJC-2405087 固废检测  衡阳市珠晖区农业文旅经营有限公司（原中盐天友化工有限公司）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44" descr="HYZA-HJC-2405087 固废检测  衡阳市珠晖区农业文旅经营有限公司（原中盐天友化工有限公司）_17"/>
                    <pic:cNvPicPr>
                      <a:picLocks noChangeAspect="1"/>
                    </pic:cNvPicPr>
                  </pic:nvPicPr>
                  <pic:blipFill>
                    <a:blip r:embed="rId96"/>
                    <a:stretch>
                      <a:fillRect/>
                    </a:stretch>
                  </pic:blipFill>
                  <pic:spPr>
                    <a:xfrm>
                      <a:off x="0" y="0"/>
                      <a:ext cx="5275580" cy="7320915"/>
                    </a:xfrm>
                    <a:prstGeom prst="rect">
                      <a:avLst/>
                    </a:prstGeom>
                    <a:noFill/>
                    <a:ln>
                      <a:noFill/>
                    </a:ln>
                  </pic:spPr>
                </pic:pic>
              </a:graphicData>
            </a:graphic>
          </wp:inline>
        </w:drawing>
      </w:r>
      <w:r>
        <w:rPr>
          <w:rFonts w:hint="eastAsia"/>
        </w:rPr>
        <w:drawing>
          <wp:inline distT="0" distB="0" distL="114300" distR="114300">
            <wp:extent cx="5276850" cy="7310120"/>
            <wp:effectExtent l="0" t="0" r="6350" b="5080"/>
            <wp:docPr id="114" name="图片 45" descr="HYZA-HJC-2405087 固废检测  衡阳市珠晖区农业文旅经营有限公司（原中盐天友化工有限公司）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45" descr="HYZA-HJC-2405087 固废检测  衡阳市珠晖区农业文旅经营有限公司（原中盐天友化工有限公司）_18"/>
                    <pic:cNvPicPr>
                      <a:picLocks noChangeAspect="1"/>
                    </pic:cNvPicPr>
                  </pic:nvPicPr>
                  <pic:blipFill>
                    <a:blip r:embed="rId97"/>
                    <a:stretch>
                      <a:fillRect/>
                    </a:stretch>
                  </pic:blipFill>
                  <pic:spPr>
                    <a:xfrm>
                      <a:off x="0" y="0"/>
                      <a:ext cx="5276850" cy="7310120"/>
                    </a:xfrm>
                    <a:prstGeom prst="rect">
                      <a:avLst/>
                    </a:prstGeom>
                    <a:noFill/>
                    <a:ln>
                      <a:noFill/>
                    </a:ln>
                  </pic:spPr>
                </pic:pic>
              </a:graphicData>
            </a:graphic>
          </wp:inline>
        </w:drawing>
      </w:r>
      <w:bookmarkEnd w:id="15"/>
      <w:bookmarkEnd w:id="16"/>
    </w:p>
    <w:p>
      <w:pPr>
        <w:rPr>
          <w:rFonts w:hint="eastAsia" w:eastAsia="宋体"/>
          <w:lang w:eastAsia="zh-CN"/>
        </w:rPr>
      </w:pPr>
    </w:p>
    <w:p>
      <w:pPr>
        <w:rPr>
          <w:rFonts w:hint="default" w:ascii="Times New Roman" w:hAnsi="Times New Roman" w:eastAsia="宋体" w:cs="Times New Roman"/>
          <w:lang w:eastAsia="zh-CN"/>
        </w:rPr>
      </w:pPr>
    </w:p>
    <w:p>
      <w:pPr>
        <w:pStyle w:val="4"/>
        <w:rPr>
          <w:rFonts w:hint="default"/>
          <w:lang w:eastAsia="zh-CN"/>
        </w:rPr>
        <w:sectPr>
          <w:pgSz w:w="11906" w:h="16838"/>
          <w:pgMar w:top="1531" w:right="1701" w:bottom="1531" w:left="1701" w:header="851" w:footer="850" w:gutter="0"/>
          <w:pgBorders>
            <w:top w:val="none" w:sz="0" w:space="0"/>
            <w:left w:val="none" w:sz="0" w:space="0"/>
            <w:bottom w:val="none" w:sz="0" w:space="0"/>
            <w:right w:val="none" w:sz="0" w:space="0"/>
          </w:pgBorders>
          <w:cols w:space="720" w:num="1"/>
          <w:rtlGutter w:val="0"/>
          <w:docGrid w:linePitch="312" w:charSpace="0"/>
        </w:sectPr>
      </w:pPr>
    </w:p>
    <w:p>
      <w:pPr>
        <w:pStyle w:val="29"/>
        <w:ind w:left="0" w:leftChars="0" w:firstLine="0" w:firstLineChars="0"/>
        <w:rPr>
          <w:rFonts w:hint="eastAsia"/>
          <w:lang w:val="en-US" w:eastAsia="zh-CN"/>
        </w:rPr>
      </w:pPr>
      <w:bookmarkStart w:id="17" w:name="_Toc5909"/>
      <w:bookmarkStart w:id="18" w:name="_Toc15797"/>
      <w:r>
        <w:rPr>
          <w:rFonts w:hint="eastAsia"/>
          <w:lang w:val="en-US" w:eastAsia="zh-CN"/>
        </w:rPr>
        <w:t>附件10：原中盐天友废渣表层样放射性核素监测结果</w:t>
      </w:r>
      <w:bookmarkEnd w:id="17"/>
      <w:bookmarkEnd w:id="18"/>
    </w:p>
    <w:p>
      <w:pPr>
        <w:spacing w:line="360" w:lineRule="auto"/>
        <w:jc w:val="both"/>
        <w:rPr>
          <w:rFonts w:hint="default" w:ascii="Times New Roman" w:hAnsi="Times New Roman" w:eastAsia="黑体" w:cs="Times New Roman"/>
          <w:kern w:val="44"/>
          <w:sz w:val="32"/>
          <w:lang w:val="en-US" w:eastAsia="zh-CN"/>
        </w:rPr>
      </w:pPr>
      <w:r>
        <w:rPr>
          <w:rFonts w:hint="default" w:ascii="Times New Roman" w:hAnsi="Times New Roman" w:eastAsia="黑体" w:cs="Times New Roman"/>
          <w:kern w:val="44"/>
          <w:sz w:val="32"/>
          <w:lang w:val="en-US" w:eastAsia="zh-CN"/>
        </w:rPr>
        <w:drawing>
          <wp:inline distT="0" distB="0" distL="114300" distR="114300">
            <wp:extent cx="5269230" cy="7439660"/>
            <wp:effectExtent l="0" t="0" r="1270" b="2540"/>
            <wp:docPr id="99" name="图片 46" descr="废渣样品检测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46" descr="废渣样品检测_00"/>
                    <pic:cNvPicPr>
                      <a:picLocks noChangeAspect="1"/>
                    </pic:cNvPicPr>
                  </pic:nvPicPr>
                  <pic:blipFill>
                    <a:blip r:embed="rId98"/>
                    <a:stretch>
                      <a:fillRect/>
                    </a:stretch>
                  </pic:blipFill>
                  <pic:spPr>
                    <a:xfrm>
                      <a:off x="0" y="0"/>
                      <a:ext cx="5269230" cy="7439660"/>
                    </a:xfrm>
                    <a:prstGeom prst="rect">
                      <a:avLst/>
                    </a:prstGeom>
                    <a:noFill/>
                    <a:ln>
                      <a:noFill/>
                    </a:ln>
                  </pic:spPr>
                </pic:pic>
              </a:graphicData>
            </a:graphic>
          </wp:inline>
        </w:drawing>
      </w:r>
      <w:r>
        <w:rPr>
          <w:rFonts w:hint="default" w:ascii="Times New Roman" w:hAnsi="Times New Roman" w:eastAsia="黑体" w:cs="Times New Roman"/>
          <w:kern w:val="44"/>
          <w:sz w:val="32"/>
          <w:lang w:val="en-US" w:eastAsia="zh-CN"/>
        </w:rPr>
        <w:drawing>
          <wp:inline distT="0" distB="0" distL="114300" distR="114300">
            <wp:extent cx="5269230" cy="7439660"/>
            <wp:effectExtent l="0" t="0" r="1270" b="2540"/>
            <wp:docPr id="118" name="图片 47" descr="废渣样品检测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47" descr="废渣样品检测_01"/>
                    <pic:cNvPicPr>
                      <a:picLocks noChangeAspect="1"/>
                    </pic:cNvPicPr>
                  </pic:nvPicPr>
                  <pic:blipFill>
                    <a:blip r:embed="rId99"/>
                    <a:stretch>
                      <a:fillRect/>
                    </a:stretch>
                  </pic:blipFill>
                  <pic:spPr>
                    <a:xfrm>
                      <a:off x="0" y="0"/>
                      <a:ext cx="5269230" cy="7439660"/>
                    </a:xfrm>
                    <a:prstGeom prst="rect">
                      <a:avLst/>
                    </a:prstGeom>
                    <a:noFill/>
                    <a:ln>
                      <a:noFill/>
                    </a:ln>
                  </pic:spPr>
                </pic:pic>
              </a:graphicData>
            </a:graphic>
          </wp:inline>
        </w:drawing>
      </w:r>
      <w:r>
        <w:rPr>
          <w:rFonts w:hint="default" w:ascii="Times New Roman" w:hAnsi="Times New Roman" w:eastAsia="黑体" w:cs="Times New Roman"/>
          <w:kern w:val="44"/>
          <w:sz w:val="32"/>
          <w:lang w:val="en-US" w:eastAsia="zh-CN"/>
        </w:rPr>
        <w:drawing>
          <wp:inline distT="0" distB="0" distL="114300" distR="114300">
            <wp:extent cx="5269230" cy="7439660"/>
            <wp:effectExtent l="0" t="0" r="1270" b="2540"/>
            <wp:docPr id="121" name="图片 48" descr="废渣样品检测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48" descr="废渣样品检测_02"/>
                    <pic:cNvPicPr>
                      <a:picLocks noChangeAspect="1"/>
                    </pic:cNvPicPr>
                  </pic:nvPicPr>
                  <pic:blipFill>
                    <a:blip r:embed="rId100"/>
                    <a:stretch>
                      <a:fillRect/>
                    </a:stretch>
                  </pic:blipFill>
                  <pic:spPr>
                    <a:xfrm>
                      <a:off x="0" y="0"/>
                      <a:ext cx="5269230" cy="7439660"/>
                    </a:xfrm>
                    <a:prstGeom prst="rect">
                      <a:avLst/>
                    </a:prstGeom>
                    <a:noFill/>
                    <a:ln>
                      <a:noFill/>
                    </a:ln>
                  </pic:spPr>
                </pic:pic>
              </a:graphicData>
            </a:graphic>
          </wp:inline>
        </w:drawing>
      </w:r>
      <w:r>
        <w:rPr>
          <w:rFonts w:hint="default" w:ascii="Times New Roman" w:hAnsi="Times New Roman" w:eastAsia="黑体" w:cs="Times New Roman"/>
          <w:kern w:val="44"/>
          <w:sz w:val="32"/>
          <w:lang w:val="en-US" w:eastAsia="zh-CN"/>
        </w:rPr>
        <w:drawing>
          <wp:inline distT="0" distB="0" distL="114300" distR="114300">
            <wp:extent cx="5269230" cy="7439660"/>
            <wp:effectExtent l="0" t="0" r="1270" b="2540"/>
            <wp:docPr id="116" name="图片 49" descr="废渣样品检测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49" descr="废渣样品检测_03"/>
                    <pic:cNvPicPr>
                      <a:picLocks noChangeAspect="1"/>
                    </pic:cNvPicPr>
                  </pic:nvPicPr>
                  <pic:blipFill>
                    <a:blip r:embed="rId101"/>
                    <a:stretch>
                      <a:fillRect/>
                    </a:stretch>
                  </pic:blipFill>
                  <pic:spPr>
                    <a:xfrm>
                      <a:off x="0" y="0"/>
                      <a:ext cx="5269230" cy="7439660"/>
                    </a:xfrm>
                    <a:prstGeom prst="rect">
                      <a:avLst/>
                    </a:prstGeom>
                    <a:noFill/>
                    <a:ln>
                      <a:noFill/>
                    </a:ln>
                  </pic:spPr>
                </pic:pic>
              </a:graphicData>
            </a:graphic>
          </wp:inline>
        </w:drawing>
      </w:r>
      <w:r>
        <w:rPr>
          <w:rFonts w:hint="default" w:ascii="Times New Roman" w:hAnsi="Times New Roman" w:eastAsia="黑体" w:cs="Times New Roman"/>
          <w:kern w:val="44"/>
          <w:sz w:val="32"/>
          <w:lang w:val="en-US" w:eastAsia="zh-CN"/>
        </w:rPr>
        <w:drawing>
          <wp:inline distT="0" distB="0" distL="114300" distR="114300">
            <wp:extent cx="5269230" cy="7439660"/>
            <wp:effectExtent l="0" t="0" r="1270" b="2540"/>
            <wp:docPr id="117" name="图片 50" descr="废渣样品检测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50" descr="废渣样品检测_04"/>
                    <pic:cNvPicPr>
                      <a:picLocks noChangeAspect="1"/>
                    </pic:cNvPicPr>
                  </pic:nvPicPr>
                  <pic:blipFill>
                    <a:blip r:embed="rId102"/>
                    <a:stretch>
                      <a:fillRect/>
                    </a:stretch>
                  </pic:blipFill>
                  <pic:spPr>
                    <a:xfrm>
                      <a:off x="0" y="0"/>
                      <a:ext cx="5269230" cy="7439660"/>
                    </a:xfrm>
                    <a:prstGeom prst="rect">
                      <a:avLst/>
                    </a:prstGeom>
                    <a:noFill/>
                    <a:ln>
                      <a:noFill/>
                    </a:ln>
                  </pic:spPr>
                </pic:pic>
              </a:graphicData>
            </a:graphic>
          </wp:inline>
        </w:drawing>
      </w:r>
    </w:p>
    <w:p>
      <w:pPr>
        <w:spacing w:line="360" w:lineRule="auto"/>
        <w:jc w:val="both"/>
        <w:rPr>
          <w:rFonts w:hint="default" w:ascii="Times New Roman" w:hAnsi="Times New Roman" w:eastAsia="黑体" w:cs="Times New Roman"/>
          <w:kern w:val="44"/>
          <w:sz w:val="32"/>
          <w:lang w:val="en-US" w:eastAsia="zh-CN"/>
        </w:rPr>
      </w:pPr>
    </w:p>
    <w:p>
      <w:pPr>
        <w:spacing w:line="360" w:lineRule="auto"/>
        <w:jc w:val="both"/>
        <w:rPr>
          <w:rFonts w:hint="default" w:ascii="Times New Roman" w:hAnsi="Times New Roman" w:eastAsia="黑体" w:cs="Times New Roman"/>
          <w:kern w:val="44"/>
          <w:sz w:val="32"/>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pPr>
    </w:p>
    <w:p>
      <w:pPr>
        <w:pStyle w:val="29"/>
        <w:ind w:left="0" w:leftChars="0" w:firstLine="0" w:firstLineChars="0"/>
        <w:rPr>
          <w:rFonts w:hint="eastAsia"/>
          <w:lang w:val="en-US" w:eastAsia="zh-CN"/>
        </w:rPr>
      </w:pPr>
      <w:bookmarkStart w:id="19" w:name="_Toc27516"/>
      <w:bookmarkStart w:id="20" w:name="_Toc2000"/>
      <w:r>
        <w:rPr>
          <w:rFonts w:hint="eastAsia"/>
          <w:lang w:val="en-US" w:eastAsia="zh-CN"/>
        </w:rPr>
        <w:t>附件11：原中盐天以遗留废渣柱状样放射性核素监测结果</w:t>
      </w:r>
      <w:bookmarkEnd w:id="19"/>
      <w:bookmarkEnd w:id="20"/>
    </w:p>
    <w:p>
      <w:pPr>
        <w:rPr>
          <w:rFonts w:hint="default" w:ascii="Times New Roman" w:hAnsi="Times New Roman" w:eastAsia="黑体" w:cs="Times New Roman"/>
          <w:kern w:val="44"/>
          <w:sz w:val="32"/>
          <w:lang w:val="en-US" w:eastAsia="zh-CN"/>
        </w:rPr>
        <w:sectPr>
          <w:pgSz w:w="11906" w:h="16838"/>
          <w:pgMar w:top="1531" w:right="1701" w:bottom="1531" w:left="1701" w:header="851" w:footer="850" w:gutter="0"/>
          <w:pgBorders>
            <w:top w:val="none" w:sz="0" w:space="0"/>
            <w:left w:val="none" w:sz="0" w:space="0"/>
            <w:bottom w:val="none" w:sz="0" w:space="0"/>
            <w:right w:val="none" w:sz="0" w:space="0"/>
          </w:pgBorders>
          <w:cols w:space="720" w:num="1"/>
          <w:rtlGutter w:val="0"/>
          <w:docGrid w:linePitch="312" w:charSpace="0"/>
        </w:sectPr>
      </w:pPr>
      <w:r>
        <w:rPr>
          <w:rFonts w:hint="default" w:ascii="Times New Roman" w:hAnsi="Times New Roman" w:eastAsia="黑体" w:cs="Times New Roman"/>
          <w:kern w:val="44"/>
          <w:sz w:val="32"/>
          <w:lang w:val="en-US" w:eastAsia="zh-CN"/>
        </w:rPr>
        <w:drawing>
          <wp:inline distT="0" distB="0" distL="114300" distR="114300">
            <wp:extent cx="5269230" cy="7439660"/>
            <wp:effectExtent l="0" t="0" r="1270" b="2540"/>
            <wp:docPr id="100" name="图片 51" descr="原衡阳市中盐天友化工有限公司遗留废渣样品检测-RH202400036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51" descr="原衡阳市中盐天友化工有限公司遗留废渣样品检测-RH202400036_00"/>
                    <pic:cNvPicPr>
                      <a:picLocks noChangeAspect="1"/>
                    </pic:cNvPicPr>
                  </pic:nvPicPr>
                  <pic:blipFill>
                    <a:blip r:embed="rId103"/>
                    <a:stretch>
                      <a:fillRect/>
                    </a:stretch>
                  </pic:blipFill>
                  <pic:spPr>
                    <a:xfrm>
                      <a:off x="0" y="0"/>
                      <a:ext cx="5269230" cy="7439660"/>
                    </a:xfrm>
                    <a:prstGeom prst="rect">
                      <a:avLst/>
                    </a:prstGeom>
                    <a:noFill/>
                    <a:ln>
                      <a:noFill/>
                    </a:ln>
                  </pic:spPr>
                </pic:pic>
              </a:graphicData>
            </a:graphic>
          </wp:inline>
        </w:drawing>
      </w:r>
      <w:r>
        <w:rPr>
          <w:rFonts w:hint="default" w:ascii="Times New Roman" w:hAnsi="Times New Roman" w:eastAsia="黑体" w:cs="Times New Roman"/>
          <w:kern w:val="44"/>
          <w:sz w:val="32"/>
          <w:lang w:val="en-US" w:eastAsia="zh-CN"/>
        </w:rPr>
        <w:drawing>
          <wp:inline distT="0" distB="0" distL="114300" distR="114300">
            <wp:extent cx="5269230" cy="7439660"/>
            <wp:effectExtent l="0" t="0" r="1270" b="2540"/>
            <wp:docPr id="101" name="图片 52" descr="原衡阳市中盐天友化工有限公司遗留废渣样品检测-RH202400036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52" descr="原衡阳市中盐天友化工有限公司遗留废渣样品检测-RH202400036_01"/>
                    <pic:cNvPicPr>
                      <a:picLocks noChangeAspect="1"/>
                    </pic:cNvPicPr>
                  </pic:nvPicPr>
                  <pic:blipFill>
                    <a:blip r:embed="rId104"/>
                    <a:stretch>
                      <a:fillRect/>
                    </a:stretch>
                  </pic:blipFill>
                  <pic:spPr>
                    <a:xfrm>
                      <a:off x="0" y="0"/>
                      <a:ext cx="5269230" cy="7439660"/>
                    </a:xfrm>
                    <a:prstGeom prst="rect">
                      <a:avLst/>
                    </a:prstGeom>
                    <a:noFill/>
                    <a:ln>
                      <a:noFill/>
                    </a:ln>
                  </pic:spPr>
                </pic:pic>
              </a:graphicData>
            </a:graphic>
          </wp:inline>
        </w:drawing>
      </w:r>
      <w:r>
        <w:rPr>
          <w:rFonts w:hint="default" w:ascii="Times New Roman" w:hAnsi="Times New Roman" w:eastAsia="黑体" w:cs="Times New Roman"/>
          <w:kern w:val="44"/>
          <w:sz w:val="32"/>
          <w:lang w:val="en-US" w:eastAsia="zh-CN"/>
        </w:rPr>
        <w:drawing>
          <wp:inline distT="0" distB="0" distL="114300" distR="114300">
            <wp:extent cx="5269230" cy="7439660"/>
            <wp:effectExtent l="0" t="0" r="1270" b="2540"/>
            <wp:docPr id="102" name="图片 53" descr="原衡阳市中盐天友化工有限公司遗留废渣样品检测-RH202400036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53" descr="原衡阳市中盐天友化工有限公司遗留废渣样品检测-RH202400036_02"/>
                    <pic:cNvPicPr>
                      <a:picLocks noChangeAspect="1"/>
                    </pic:cNvPicPr>
                  </pic:nvPicPr>
                  <pic:blipFill>
                    <a:blip r:embed="rId105"/>
                    <a:stretch>
                      <a:fillRect/>
                    </a:stretch>
                  </pic:blipFill>
                  <pic:spPr>
                    <a:xfrm>
                      <a:off x="0" y="0"/>
                      <a:ext cx="5269230" cy="7439660"/>
                    </a:xfrm>
                    <a:prstGeom prst="rect">
                      <a:avLst/>
                    </a:prstGeom>
                    <a:noFill/>
                    <a:ln>
                      <a:noFill/>
                    </a:ln>
                  </pic:spPr>
                </pic:pic>
              </a:graphicData>
            </a:graphic>
          </wp:inline>
        </w:drawing>
      </w:r>
      <w:r>
        <w:rPr>
          <w:rFonts w:hint="default" w:ascii="Times New Roman" w:hAnsi="Times New Roman" w:eastAsia="黑体" w:cs="Times New Roman"/>
          <w:kern w:val="44"/>
          <w:sz w:val="32"/>
          <w:lang w:val="en-US" w:eastAsia="zh-CN"/>
        </w:rPr>
        <w:drawing>
          <wp:inline distT="0" distB="0" distL="114300" distR="114300">
            <wp:extent cx="5269230" cy="7439660"/>
            <wp:effectExtent l="0" t="0" r="1270" b="2540"/>
            <wp:docPr id="119" name="图片 54" descr="原衡阳市中盐天友化工有限公司遗留废渣样品检测-RH202400036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54" descr="原衡阳市中盐天友化工有限公司遗留废渣样品检测-RH202400036_03"/>
                    <pic:cNvPicPr>
                      <a:picLocks noChangeAspect="1"/>
                    </pic:cNvPicPr>
                  </pic:nvPicPr>
                  <pic:blipFill>
                    <a:blip r:embed="rId106"/>
                    <a:stretch>
                      <a:fillRect/>
                    </a:stretch>
                  </pic:blipFill>
                  <pic:spPr>
                    <a:xfrm>
                      <a:off x="0" y="0"/>
                      <a:ext cx="5269230" cy="7439660"/>
                    </a:xfrm>
                    <a:prstGeom prst="rect">
                      <a:avLst/>
                    </a:prstGeom>
                    <a:noFill/>
                    <a:ln>
                      <a:noFill/>
                    </a:ln>
                  </pic:spPr>
                </pic:pic>
              </a:graphicData>
            </a:graphic>
          </wp:inline>
        </w:drawing>
      </w:r>
      <w:r>
        <w:rPr>
          <w:rFonts w:hint="default" w:ascii="Times New Roman" w:hAnsi="Times New Roman" w:eastAsia="黑体" w:cs="Times New Roman"/>
          <w:kern w:val="44"/>
          <w:sz w:val="32"/>
          <w:lang w:val="en-US" w:eastAsia="zh-CN"/>
        </w:rPr>
        <w:drawing>
          <wp:inline distT="0" distB="0" distL="114300" distR="114300">
            <wp:extent cx="5269230" cy="7439660"/>
            <wp:effectExtent l="0" t="0" r="1270" b="2540"/>
            <wp:docPr id="122" name="图片 55" descr="原衡阳市中盐天友化工有限公司遗留废渣样品检测-RH202400036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55" descr="原衡阳市中盐天友化工有限公司遗留废渣样品检测-RH202400036_04"/>
                    <pic:cNvPicPr>
                      <a:picLocks noChangeAspect="1"/>
                    </pic:cNvPicPr>
                  </pic:nvPicPr>
                  <pic:blipFill>
                    <a:blip r:embed="rId107"/>
                    <a:stretch>
                      <a:fillRect/>
                    </a:stretch>
                  </pic:blipFill>
                  <pic:spPr>
                    <a:xfrm>
                      <a:off x="0" y="0"/>
                      <a:ext cx="5269230" cy="7439660"/>
                    </a:xfrm>
                    <a:prstGeom prst="rect">
                      <a:avLst/>
                    </a:prstGeom>
                    <a:noFill/>
                    <a:ln>
                      <a:noFill/>
                    </a:ln>
                  </pic:spPr>
                </pic:pic>
              </a:graphicData>
            </a:graphic>
          </wp:inline>
        </w:drawing>
      </w:r>
      <w:r>
        <w:rPr>
          <w:rFonts w:hint="default" w:ascii="Times New Roman" w:hAnsi="Times New Roman" w:eastAsia="黑体" w:cs="Times New Roman"/>
          <w:kern w:val="44"/>
          <w:sz w:val="32"/>
          <w:lang w:val="en-US" w:eastAsia="zh-CN"/>
        </w:rPr>
        <w:drawing>
          <wp:inline distT="0" distB="0" distL="114300" distR="114300">
            <wp:extent cx="5269230" cy="7439660"/>
            <wp:effectExtent l="0" t="0" r="1270" b="2540"/>
            <wp:docPr id="103" name="图片 56" descr="原衡阳市中盐天友化工有限公司遗留废渣样品检测-RH202400036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56" descr="原衡阳市中盐天友化工有限公司遗留废渣样品检测-RH202400036_05"/>
                    <pic:cNvPicPr>
                      <a:picLocks noChangeAspect="1"/>
                    </pic:cNvPicPr>
                  </pic:nvPicPr>
                  <pic:blipFill>
                    <a:blip r:embed="rId108"/>
                    <a:stretch>
                      <a:fillRect/>
                    </a:stretch>
                  </pic:blipFill>
                  <pic:spPr>
                    <a:xfrm>
                      <a:off x="0" y="0"/>
                      <a:ext cx="5269230" cy="7439660"/>
                    </a:xfrm>
                    <a:prstGeom prst="rect">
                      <a:avLst/>
                    </a:prstGeom>
                    <a:noFill/>
                    <a:ln>
                      <a:noFill/>
                    </a:ln>
                  </pic:spPr>
                </pic:pic>
              </a:graphicData>
            </a:graphic>
          </wp:inline>
        </w:drawing>
      </w:r>
      <w:r>
        <w:rPr>
          <w:rFonts w:hint="default" w:ascii="Times New Roman" w:hAnsi="Times New Roman" w:eastAsia="黑体" w:cs="Times New Roman"/>
          <w:kern w:val="44"/>
          <w:sz w:val="32"/>
          <w:lang w:val="en-US" w:eastAsia="zh-CN"/>
        </w:rPr>
        <w:drawing>
          <wp:inline distT="0" distB="0" distL="114300" distR="114300">
            <wp:extent cx="5269230" cy="7439660"/>
            <wp:effectExtent l="0" t="0" r="1270" b="2540"/>
            <wp:docPr id="104" name="图片 57" descr="原衡阳市中盐天友化工有限公司遗留废渣样品检测-RH202400036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57" descr="原衡阳市中盐天友化工有限公司遗留废渣样品检测-RH202400036_06"/>
                    <pic:cNvPicPr>
                      <a:picLocks noChangeAspect="1"/>
                    </pic:cNvPicPr>
                  </pic:nvPicPr>
                  <pic:blipFill>
                    <a:blip r:embed="rId109"/>
                    <a:stretch>
                      <a:fillRect/>
                    </a:stretch>
                  </pic:blipFill>
                  <pic:spPr>
                    <a:xfrm>
                      <a:off x="0" y="0"/>
                      <a:ext cx="5269230" cy="7439660"/>
                    </a:xfrm>
                    <a:prstGeom prst="rect">
                      <a:avLst/>
                    </a:prstGeom>
                    <a:noFill/>
                    <a:ln>
                      <a:noFill/>
                    </a:ln>
                  </pic:spPr>
                </pic:pic>
              </a:graphicData>
            </a:graphic>
          </wp:inline>
        </w:drawing>
      </w:r>
      <w:r>
        <w:rPr>
          <w:rFonts w:hint="default" w:ascii="Times New Roman" w:hAnsi="Times New Roman" w:eastAsia="黑体" w:cs="Times New Roman"/>
          <w:kern w:val="44"/>
          <w:sz w:val="32"/>
          <w:lang w:val="en-US" w:eastAsia="zh-CN"/>
        </w:rPr>
        <w:drawing>
          <wp:inline distT="0" distB="0" distL="114300" distR="114300">
            <wp:extent cx="5269230" cy="7439660"/>
            <wp:effectExtent l="0" t="0" r="1270" b="2540"/>
            <wp:docPr id="105" name="图片 58" descr="原衡阳市中盐天友化工有限公司遗留废渣样品检测-RH202400036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58" descr="原衡阳市中盐天友化工有限公司遗留废渣样品检测-RH202400036_07"/>
                    <pic:cNvPicPr>
                      <a:picLocks noChangeAspect="1"/>
                    </pic:cNvPicPr>
                  </pic:nvPicPr>
                  <pic:blipFill>
                    <a:blip r:embed="rId110"/>
                    <a:stretch>
                      <a:fillRect/>
                    </a:stretch>
                  </pic:blipFill>
                  <pic:spPr>
                    <a:xfrm>
                      <a:off x="0" y="0"/>
                      <a:ext cx="5269230" cy="7439660"/>
                    </a:xfrm>
                    <a:prstGeom prst="rect">
                      <a:avLst/>
                    </a:prstGeom>
                    <a:noFill/>
                    <a:ln>
                      <a:noFill/>
                    </a:ln>
                  </pic:spPr>
                </pic:pic>
              </a:graphicData>
            </a:graphic>
          </wp:inline>
        </w:drawing>
      </w:r>
    </w:p>
    <w:p>
      <w:pPr>
        <w:pStyle w:val="29"/>
        <w:ind w:left="0" w:leftChars="0" w:firstLine="0" w:firstLineChars="0"/>
        <w:rPr>
          <w:rFonts w:hint="eastAsia"/>
          <w:lang w:val="en-US" w:eastAsia="zh-CN"/>
        </w:rPr>
      </w:pPr>
      <w:bookmarkStart w:id="21" w:name="_Toc10132"/>
      <w:r>
        <w:rPr>
          <w:rFonts w:hint="eastAsia"/>
          <w:lang w:val="en-US" w:eastAsia="zh-CN"/>
        </w:rPr>
        <w:t>附件12：原中盐天友遗留废渣放射性调查报告专家评审意见</w:t>
      </w:r>
      <w:bookmarkEnd w:id="21"/>
    </w:p>
    <w:p>
      <w:pPr>
        <w:pStyle w:val="78"/>
        <w:rPr>
          <w:rFonts w:hint="eastAsia"/>
          <w:lang w:val="en-US" w:eastAsia="zh-CN"/>
        </w:rPr>
      </w:pPr>
      <w:r>
        <w:rPr>
          <w:rFonts w:hint="eastAsia"/>
          <w:lang w:val="en-US" w:eastAsia="zh-CN"/>
        </w:rPr>
        <w:drawing>
          <wp:inline distT="0" distB="0" distL="114300" distR="114300">
            <wp:extent cx="5269230" cy="7439660"/>
            <wp:effectExtent l="0" t="0" r="1270" b="2540"/>
            <wp:docPr id="109" name="图片 59" descr="原中盐天友放射性调查报告专家评审意见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59" descr="原中盐天友放射性调查报告专家评审意见_00"/>
                    <pic:cNvPicPr>
                      <a:picLocks noChangeAspect="1"/>
                    </pic:cNvPicPr>
                  </pic:nvPicPr>
                  <pic:blipFill>
                    <a:blip r:embed="rId111"/>
                    <a:stretch>
                      <a:fillRect/>
                    </a:stretch>
                  </pic:blipFill>
                  <pic:spPr>
                    <a:xfrm>
                      <a:off x="0" y="0"/>
                      <a:ext cx="5269230" cy="7439660"/>
                    </a:xfrm>
                    <a:prstGeom prst="rect">
                      <a:avLst/>
                    </a:prstGeom>
                    <a:noFill/>
                    <a:ln>
                      <a:noFill/>
                    </a:ln>
                  </pic:spPr>
                </pic:pic>
              </a:graphicData>
            </a:graphic>
          </wp:inline>
        </w:drawing>
      </w:r>
      <w:r>
        <w:rPr>
          <w:rFonts w:hint="eastAsia"/>
          <w:lang w:val="en-US" w:eastAsia="zh-CN"/>
        </w:rPr>
        <w:drawing>
          <wp:inline distT="0" distB="0" distL="114300" distR="114300">
            <wp:extent cx="5269230" cy="7439660"/>
            <wp:effectExtent l="0" t="0" r="1270" b="2540"/>
            <wp:docPr id="123" name="图片 60" descr="原中盐天友放射性调查报告专家评审意见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60" descr="原中盐天友放射性调查报告专家评审意见_01"/>
                    <pic:cNvPicPr>
                      <a:picLocks noChangeAspect="1"/>
                    </pic:cNvPicPr>
                  </pic:nvPicPr>
                  <pic:blipFill>
                    <a:blip r:embed="rId112"/>
                    <a:stretch>
                      <a:fillRect/>
                    </a:stretch>
                  </pic:blipFill>
                  <pic:spPr>
                    <a:xfrm>
                      <a:off x="0" y="0"/>
                      <a:ext cx="5269230" cy="7439660"/>
                    </a:xfrm>
                    <a:prstGeom prst="rect">
                      <a:avLst/>
                    </a:prstGeom>
                    <a:noFill/>
                    <a:ln>
                      <a:noFill/>
                    </a:ln>
                  </pic:spPr>
                </pic:pic>
              </a:graphicData>
            </a:graphic>
          </wp:inline>
        </w:drawing>
      </w:r>
    </w:p>
    <w:p>
      <w:pPr>
        <w:pStyle w:val="4"/>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outlineLvl w:val="0"/>
        <w:rPr>
          <w:rFonts w:hint="default"/>
          <w:lang w:val="en-US" w:eastAsia="zh-CN"/>
        </w:rPr>
      </w:pPr>
    </w:p>
    <w:p>
      <w:pPr>
        <w:rPr>
          <w:rFonts w:hint="default"/>
          <w:lang w:val="en-US" w:eastAsia="zh-CN"/>
        </w:rPr>
      </w:pPr>
    </w:p>
    <w:p>
      <w:pPr>
        <w:pStyle w:val="2"/>
        <w:rPr>
          <w:rFonts w:hint="default"/>
          <w:lang w:val="en-US" w:eastAsia="zh-CN"/>
        </w:rPr>
      </w:pPr>
    </w:p>
    <w:p>
      <w:pPr>
        <w:pStyle w:val="29"/>
        <w:rPr>
          <w:rFonts w:hint="default"/>
          <w:lang w:val="en-US" w:eastAsia="zh-CN"/>
        </w:rPr>
      </w:pPr>
    </w:p>
    <w:p>
      <w:pPr>
        <w:rPr>
          <w:rFonts w:hint="default"/>
          <w:lang w:val="en-US" w:eastAsia="zh-CN"/>
        </w:rPr>
      </w:pPr>
    </w:p>
    <w:p>
      <w:pPr>
        <w:pStyle w:val="2"/>
        <w:rPr>
          <w:rFonts w:hint="default"/>
          <w:lang w:val="en-US" w:eastAsia="zh-CN"/>
        </w:rPr>
      </w:pPr>
    </w:p>
    <w:p>
      <w:pPr>
        <w:pStyle w:val="29"/>
        <w:ind w:left="0" w:leftChars="0" w:firstLine="0" w:firstLineChars="0"/>
        <w:rPr>
          <w:rFonts w:hint="default"/>
          <w:lang w:val="en-US" w:eastAsia="zh-CN"/>
        </w:rPr>
      </w:pPr>
      <w:r>
        <w:rPr>
          <w:rFonts w:hint="eastAsia"/>
          <w:lang w:val="en-US" w:eastAsia="zh-CN"/>
        </w:rPr>
        <w:t>附件13专家意见</w:t>
      </w:r>
    </w:p>
    <w:p>
      <w:pPr>
        <w:pStyle w:val="2"/>
        <w:rPr>
          <w:rFonts w:hint="default"/>
          <w:lang w:val="en-US" w:eastAsia="zh-CN"/>
        </w:rPr>
      </w:pPr>
      <w:r>
        <w:rPr>
          <w:rFonts w:hint="default"/>
          <w:lang w:val="en-US" w:eastAsia="zh-CN"/>
        </w:rPr>
        <w:drawing>
          <wp:inline distT="0" distB="0" distL="114300" distR="114300">
            <wp:extent cx="5398135" cy="7621905"/>
            <wp:effectExtent l="0" t="0" r="12065" b="13335"/>
            <wp:docPr id="153" name="图片 153" descr="专家意见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53" descr="专家意见1"/>
                    <pic:cNvPicPr>
                      <a:picLocks noChangeAspect="1"/>
                    </pic:cNvPicPr>
                  </pic:nvPicPr>
                  <pic:blipFill>
                    <a:blip r:embed="rId113"/>
                    <a:stretch>
                      <a:fillRect/>
                    </a:stretch>
                  </pic:blipFill>
                  <pic:spPr>
                    <a:xfrm>
                      <a:off x="0" y="0"/>
                      <a:ext cx="5398135" cy="7621905"/>
                    </a:xfrm>
                    <a:prstGeom prst="rect">
                      <a:avLst/>
                    </a:prstGeom>
                  </pic:spPr>
                </pic:pic>
              </a:graphicData>
            </a:graphic>
          </wp:inline>
        </w:drawing>
      </w:r>
    </w:p>
    <w:p>
      <w:pPr>
        <w:pStyle w:val="29"/>
        <w:ind w:left="0" w:leftChars="0" w:firstLine="0" w:firstLineChars="0"/>
        <w:rPr>
          <w:rFonts w:hint="default"/>
          <w:lang w:val="en-US" w:eastAsia="zh-CN"/>
        </w:rPr>
      </w:pPr>
      <w:r>
        <w:rPr>
          <w:rFonts w:hint="default"/>
          <w:lang w:val="en-US" w:eastAsia="zh-CN"/>
        </w:rPr>
        <w:drawing>
          <wp:inline distT="0" distB="0" distL="114300" distR="114300">
            <wp:extent cx="5398135" cy="7621905"/>
            <wp:effectExtent l="0" t="0" r="12065" b="13335"/>
            <wp:docPr id="42" name="图片 42" descr="专家意见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专家意见2"/>
                    <pic:cNvPicPr>
                      <a:picLocks noChangeAspect="1"/>
                    </pic:cNvPicPr>
                  </pic:nvPicPr>
                  <pic:blipFill>
                    <a:blip r:embed="rId114"/>
                    <a:stretch>
                      <a:fillRect/>
                    </a:stretch>
                  </pic:blipFill>
                  <pic:spPr>
                    <a:xfrm>
                      <a:off x="0" y="0"/>
                      <a:ext cx="5398135" cy="7621905"/>
                    </a:xfrm>
                    <a:prstGeom prst="rect">
                      <a:avLst/>
                    </a:prstGeom>
                  </pic:spPr>
                </pic:pic>
              </a:graphicData>
            </a:graphic>
          </wp:inline>
        </w:drawing>
      </w:r>
    </w:p>
    <w:p>
      <w:pPr>
        <w:rPr>
          <w:rFonts w:hint="default"/>
          <w:lang w:val="en-US" w:eastAsia="zh-CN"/>
        </w:rPr>
      </w:pPr>
    </w:p>
    <w:p>
      <w:pPr>
        <w:pStyle w:val="2"/>
        <w:rPr>
          <w:rFonts w:hint="default"/>
          <w:lang w:val="en-US" w:eastAsia="zh-CN"/>
        </w:rPr>
      </w:pPr>
    </w:p>
    <w:p>
      <w:pPr>
        <w:pStyle w:val="29"/>
        <w:rPr>
          <w:rFonts w:hint="default"/>
          <w:lang w:val="en-US" w:eastAsia="zh-CN"/>
        </w:rPr>
      </w:pPr>
    </w:p>
    <w:p>
      <w:pPr>
        <w:rPr>
          <w:rFonts w:hint="default"/>
          <w:lang w:val="en-US" w:eastAsia="zh-CN"/>
        </w:rPr>
      </w:pPr>
    </w:p>
    <w:p>
      <w:pPr>
        <w:pStyle w:val="2"/>
        <w:rPr>
          <w:rFonts w:hint="default"/>
          <w:lang w:val="en-US" w:eastAsia="zh-CN"/>
        </w:rPr>
      </w:pPr>
    </w:p>
    <w:p>
      <w:pPr>
        <w:pStyle w:val="29"/>
        <w:ind w:left="0" w:leftChars="0" w:firstLine="0" w:firstLineChars="0"/>
        <w:rPr>
          <w:rFonts w:hint="eastAsia"/>
          <w:lang w:val="en-US" w:eastAsia="zh-CN"/>
        </w:rPr>
      </w:pPr>
      <w:r>
        <w:rPr>
          <w:rFonts w:hint="eastAsia"/>
          <w:lang w:val="en-US" w:eastAsia="zh-CN"/>
        </w:rPr>
        <w:t>附件14专家签到表</w:t>
      </w:r>
    </w:p>
    <w:p>
      <w:pPr>
        <w:rPr>
          <w:rFonts w:hint="default"/>
          <w:lang w:val="en-US" w:eastAsia="zh-CN"/>
        </w:rPr>
      </w:pPr>
      <w:r>
        <w:rPr>
          <w:rFonts w:hint="default"/>
          <w:lang w:val="en-US" w:eastAsia="zh-CN"/>
        </w:rPr>
        <w:drawing>
          <wp:inline distT="0" distB="0" distL="114300" distR="114300">
            <wp:extent cx="5398135" cy="7621905"/>
            <wp:effectExtent l="0" t="0" r="12065" b="13335"/>
            <wp:docPr id="154" name="图片 154" descr="专家签到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54" descr="专家签到表"/>
                    <pic:cNvPicPr>
                      <a:picLocks noChangeAspect="1"/>
                    </pic:cNvPicPr>
                  </pic:nvPicPr>
                  <pic:blipFill>
                    <a:blip r:embed="rId115"/>
                    <a:stretch>
                      <a:fillRect/>
                    </a:stretch>
                  </pic:blipFill>
                  <pic:spPr>
                    <a:xfrm>
                      <a:off x="0" y="0"/>
                      <a:ext cx="5398135" cy="7621905"/>
                    </a:xfrm>
                    <a:prstGeom prst="rect">
                      <a:avLst/>
                    </a:prstGeom>
                  </pic:spPr>
                </pic:pic>
              </a:graphicData>
            </a:graphic>
          </wp:inline>
        </w:drawing>
      </w:r>
    </w:p>
    <w:sectPr>
      <w:pgSz w:w="11906" w:h="16838"/>
      <w:pgMar w:top="1531" w:right="1701" w:bottom="1531" w:left="1701" w:header="851" w:footer="850" w:gutter="0"/>
      <w:pgBorders>
        <w:top w:val="none" w:sz="0" w:space="0"/>
        <w:left w:val="none" w:sz="0" w:space="0"/>
        <w:bottom w:val="none" w:sz="0" w:space="0"/>
        <w:right w:val="none" w:sz="0" w:space="0"/>
      </w:pgBorders>
      <w:pgNumType w:fmt="decimal"/>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D7B2852C-159D-46EF-B9B5-5A39652A8943}"/>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embedRegular r:id="rId2" w:fontKey="{7FB2E29A-D9DC-49FB-8431-0374CD856C24}"/>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Impact">
    <w:panose1 w:val="020B0806030902050204"/>
    <w:charset w:val="00"/>
    <w:family w:val="swiss"/>
    <w:pitch w:val="default"/>
    <w:sig w:usb0="00000287" w:usb1="00000000" w:usb2="00000000" w:usb3="00000000" w:csb0="2000009F" w:csb1="DFD70000"/>
  </w:font>
  <w:font w:name="仿宋_GB2312">
    <w:altName w:val="仿宋"/>
    <w:panose1 w:val="02010609030101010101"/>
    <w:charset w:val="86"/>
    <w:family w:val="modern"/>
    <w:pitch w:val="default"/>
    <w:sig w:usb0="00000000" w:usb1="00000000" w:usb2="00000000" w:usb3="00000000" w:csb0="00040000" w:csb1="00000000"/>
    <w:embedRegular r:id="rId3" w:fontKey="{ACF9CE5E-AD01-40F3-BF3E-508C8C80005E}"/>
  </w:font>
  <w:font w:name="楷体_GB2312">
    <w:altName w:val="楷体"/>
    <w:panose1 w:val="02010609030101010101"/>
    <w:charset w:val="86"/>
    <w:family w:val="modern"/>
    <w:pitch w:val="default"/>
    <w:sig w:usb0="00000000" w:usb1="00000000" w:usb2="00000000" w:usb3="00000000" w:csb0="00040000" w:csb1="00000000"/>
    <w:embedRegular r:id="rId4" w:fontKey="{E6AA1DD7-8599-4366-BC80-26897F6C8D3E}"/>
  </w:font>
  <w:font w:name="方正小标宋_GBK">
    <w:panose1 w:val="02000000000000000000"/>
    <w:charset w:val="86"/>
    <w:family w:val="script"/>
    <w:pitch w:val="default"/>
    <w:sig w:usb0="A00002BF" w:usb1="38CF7CFA" w:usb2="00082016" w:usb3="00000000" w:csb0="00040001" w:csb1="00000000"/>
    <w:embedRegular r:id="rId5" w:fontKey="{85236256-32C5-4F85-A8CD-A8142BD897E1}"/>
  </w:font>
  <w:font w:name="华文仿宋">
    <w:panose1 w:val="02010600040101010101"/>
    <w:charset w:val="86"/>
    <w:family w:val="auto"/>
    <w:pitch w:val="default"/>
    <w:sig w:usb0="00000287" w:usb1="080F0000" w:usb2="00000000" w:usb3="00000000" w:csb0="0004009F" w:csb1="DFD70000"/>
    <w:embedRegular r:id="rId6" w:fontKey="{8710E948-0ADD-4567-A348-933ED090CEF6}"/>
  </w:font>
  <w:font w:name="仿宋">
    <w:panose1 w:val="02010609060101010101"/>
    <w:charset w:val="86"/>
    <w:family w:val="modern"/>
    <w:pitch w:val="default"/>
    <w:sig w:usb0="800002BF" w:usb1="38CF7CFA" w:usb2="00000016" w:usb3="00000000" w:csb0="00040001" w:csb1="00000000"/>
    <w:embedRegular r:id="rId7" w:fontKey="{71AA42CA-9781-4EF9-88C2-03B267E15264}"/>
  </w:font>
  <w:font w:name="Wingdings 2">
    <w:panose1 w:val="05020102010507070707"/>
    <w:charset w:val="02"/>
    <w:family w:val="roman"/>
    <w:pitch w:val="default"/>
    <w:sig w:usb0="00000000" w:usb1="00000000" w:usb2="00000000" w:usb3="00000000" w:csb0="80000000" w:csb1="00000000"/>
    <w:embedRegular r:id="rId8" w:fontKey="{44993C2A-2895-4709-8220-AABE3781170F}"/>
  </w:font>
  <w:font w:name="Cambria Math">
    <w:panose1 w:val="02040503050406030204"/>
    <w:charset w:val="00"/>
    <w:family w:val="auto"/>
    <w:pitch w:val="default"/>
    <w:sig w:usb0="E00006FF" w:usb1="420024FF" w:usb2="02000000" w:usb3="00000000" w:csb0="2000019F" w:csb1="00000000"/>
    <w:embedRegular r:id="rId9" w:fontKey="{FC42CBCB-C206-4B61-9BB6-8284C067A734}"/>
  </w:font>
  <w:font w:name="楷体">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2"/>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2"/>
    </w:pPr>
    <w:r>
      <mc:AlternateContent>
        <mc:Choice Requires="wps">
          <w:drawing>
            <wp:anchor distT="0" distB="0" distL="114300" distR="114300" simplePos="0" relativeHeight="251688960" behindDoc="0" locked="0" layoutInCell="1" allowOverlap="1">
              <wp:simplePos x="0" y="0"/>
              <wp:positionH relativeFrom="margin">
                <wp:align>center</wp:align>
              </wp:positionH>
              <wp:positionV relativeFrom="paragraph">
                <wp:posOffset>0</wp:posOffset>
              </wp:positionV>
              <wp:extent cx="1828800" cy="1828800"/>
              <wp:effectExtent l="0" t="0" r="0" b="0"/>
              <wp:wrapNone/>
              <wp:docPr id="157" name="文本框 205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22"/>
                          </w:pPr>
                          <w:r>
                            <w:fldChar w:fldCharType="begin"/>
                          </w:r>
                          <w:r>
                            <w:instrText xml:space="preserve"> PAGE  \* MERGEFORMAT </w:instrText>
                          </w:r>
                          <w:r>
                            <w:fldChar w:fldCharType="separate"/>
                          </w:r>
                          <w:r>
                            <w:t>52</w:t>
                          </w:r>
                          <w:r>
                            <w:fldChar w:fldCharType="end"/>
                          </w:r>
                        </w:p>
                      </w:txbxContent>
                    </wps:txbx>
                    <wps:bodyPr vert="horz" wrap="none" lIns="0" tIns="0" rIns="0" bIns="0" anchor="t" anchorCtr="0" upright="0">
                      <a:spAutoFit/>
                    </wps:bodyPr>
                  </wps:wsp>
                </a:graphicData>
              </a:graphic>
            </wp:anchor>
          </w:drawing>
        </mc:Choice>
        <mc:Fallback>
          <w:pict>
            <v:shape id="文本框 2050" o:spid="_x0000_s1026" o:spt="202" type="#_x0000_t202" style="position:absolute;left:0pt;margin-top:0pt;height:144pt;width:144pt;mso-position-horizontal:center;mso-position-horizontal-relative:margin;mso-wrap-style:none;z-index:251688960;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M6pebnPAAAABQEAAA8AAAAAAAAA&#10;AQAgAAAAIgAAAGRycy9kb3ducmV2LnhtbFBLAQIUABQAAAAIAIdO4kC1ceMz4QEAAMMDAAAOAAAA&#10;AAAAAAEAIAAAAB4BAABkcnMvZTJvRG9jLnhtbFBLBQYAAAAABgAGAFkBAABxBQAAAAA=&#10;">
              <v:fill on="f" focussize="0,0"/>
              <v:stroke on="f"/>
              <v:imagedata o:title=""/>
              <o:lock v:ext="edit" aspectratio="f"/>
              <v:textbox inset="0mm,0mm,0mm,0mm" style="mso-fit-shape-to-text:t;">
                <w:txbxContent>
                  <w:p>
                    <w:pPr>
                      <w:pStyle w:val="22"/>
                    </w:pPr>
                    <w:r>
                      <w:fldChar w:fldCharType="begin"/>
                    </w:r>
                    <w:r>
                      <w:instrText xml:space="preserve"> PAGE  \* MERGEFORMAT </w:instrText>
                    </w:r>
                    <w:r>
                      <w:fldChar w:fldCharType="separate"/>
                    </w:r>
                    <w:r>
                      <w:t>52</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2"/>
      <w:ind w:right="360" w:firstLine="360"/>
      <w:jc w:val="cente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31" name="文本框 205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22"/>
                          </w:pPr>
                          <w:r>
                            <w:fldChar w:fldCharType="begin"/>
                          </w:r>
                          <w:r>
                            <w:instrText xml:space="preserve"> PAGE  \* MERGEFORMAT </w:instrText>
                          </w:r>
                          <w:r>
                            <w:fldChar w:fldCharType="separate"/>
                          </w:r>
                          <w:r>
                            <w:t>64</w:t>
                          </w:r>
                          <w:r>
                            <w:fldChar w:fldCharType="end"/>
                          </w:r>
                        </w:p>
                      </w:txbxContent>
                    </wps:txbx>
                    <wps:bodyPr vert="horz" wrap="none" lIns="0" tIns="0" rIns="0" bIns="0" anchor="t" anchorCtr="0" upright="0">
                      <a:spAutoFit/>
                    </wps:bodyPr>
                  </wps:wsp>
                </a:graphicData>
              </a:graphic>
            </wp:anchor>
          </w:drawing>
        </mc:Choice>
        <mc:Fallback>
          <w:pict>
            <v:shape id="文本框 2052"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DOqXm5zwAAAAUBAAAPAAAAAAAA&#10;AAEAIAAAACIAAABkcnMvZG93bnJldi54bWxQSwECFAAUAAAACACHTuJAiybCX+IBAADDAwAADgAA&#10;AAAAAAABACAAAAAeAQAAZHJzL2Uyb0RvYy54bWxQSwUGAAAAAAYABgBZAQAAcgUAAAAA&#10;">
              <v:fill on="f" focussize="0,0"/>
              <v:stroke on="f"/>
              <v:imagedata o:title=""/>
              <o:lock v:ext="edit" aspectratio="f"/>
              <v:textbox inset="0mm,0mm,0mm,0mm" style="mso-fit-shape-to-text:t;">
                <w:txbxContent>
                  <w:p>
                    <w:pPr>
                      <w:pStyle w:val="22"/>
                    </w:pPr>
                    <w:r>
                      <w:fldChar w:fldCharType="begin"/>
                    </w:r>
                    <w:r>
                      <w:instrText xml:space="preserve"> PAGE  \* MERGEFORMAT </w:instrText>
                    </w:r>
                    <w:r>
                      <w:fldChar w:fldCharType="separate"/>
                    </w:r>
                    <w:r>
                      <w:t>64</w:t>
                    </w:r>
                    <w: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319D20D"/>
    <w:multiLevelType w:val="singleLevel"/>
    <w:tmpl w:val="A319D20D"/>
    <w:lvl w:ilvl="0" w:tentative="0">
      <w:start w:val="5"/>
      <w:numFmt w:val="decimal"/>
      <w:suff w:val="nothing"/>
      <w:lvlText w:val="%1、"/>
      <w:lvlJc w:val="left"/>
    </w:lvl>
  </w:abstractNum>
  <w:abstractNum w:abstractNumId="1">
    <w:nsid w:val="AD264F78"/>
    <w:multiLevelType w:val="singleLevel"/>
    <w:tmpl w:val="AD264F78"/>
    <w:lvl w:ilvl="0" w:tentative="0">
      <w:start w:val="2"/>
      <w:numFmt w:val="chineseCounting"/>
      <w:suff w:val="nothing"/>
      <w:lvlText w:val="%1、"/>
      <w:lvlJc w:val="left"/>
      <w:rPr>
        <w:rFonts w:hint="eastAsia"/>
      </w:rPr>
    </w:lvl>
  </w:abstractNum>
  <w:abstractNum w:abstractNumId="2">
    <w:nsid w:val="C2DF0158"/>
    <w:multiLevelType w:val="singleLevel"/>
    <w:tmpl w:val="C2DF0158"/>
    <w:lvl w:ilvl="0" w:tentative="0">
      <w:start w:val="2"/>
      <w:numFmt w:val="decimal"/>
      <w:suff w:val="nothing"/>
      <w:lvlText w:val="%1、"/>
      <w:lvlJc w:val="left"/>
    </w:lvl>
  </w:abstractNum>
  <w:abstractNum w:abstractNumId="3">
    <w:nsid w:val="F17ADE77"/>
    <w:multiLevelType w:val="singleLevel"/>
    <w:tmpl w:val="F17ADE77"/>
    <w:lvl w:ilvl="0" w:tentative="0">
      <w:start w:val="1"/>
      <w:numFmt w:val="decimal"/>
      <w:suff w:val="nothing"/>
      <w:lvlText w:val="（%1）"/>
      <w:lvlJc w:val="left"/>
    </w:lvl>
  </w:abstractNum>
  <w:abstractNum w:abstractNumId="4">
    <w:nsid w:val="0D1B0451"/>
    <w:multiLevelType w:val="singleLevel"/>
    <w:tmpl w:val="0D1B0451"/>
    <w:lvl w:ilvl="0" w:tentative="0">
      <w:start w:val="1"/>
      <w:numFmt w:val="decimal"/>
      <w:suff w:val="nothing"/>
      <w:lvlText w:val="（%1）"/>
      <w:lvlJc w:val="left"/>
    </w:lvl>
  </w:abstractNum>
  <w:abstractNum w:abstractNumId="5">
    <w:nsid w:val="2606E21F"/>
    <w:multiLevelType w:val="singleLevel"/>
    <w:tmpl w:val="2606E21F"/>
    <w:lvl w:ilvl="0" w:tentative="0">
      <w:start w:val="1"/>
      <w:numFmt w:val="decimal"/>
      <w:suff w:val="nothing"/>
      <w:lvlText w:val="（%1）"/>
      <w:lvlJc w:val="left"/>
    </w:lvl>
  </w:abstractNum>
  <w:abstractNum w:abstractNumId="6">
    <w:nsid w:val="38FC5201"/>
    <w:multiLevelType w:val="singleLevel"/>
    <w:tmpl w:val="38FC5201"/>
    <w:lvl w:ilvl="0" w:tentative="0">
      <w:start w:val="9"/>
      <w:numFmt w:val="decimal"/>
      <w:suff w:val="nothing"/>
      <w:lvlText w:val="%1、"/>
      <w:lvlJc w:val="left"/>
    </w:lvl>
  </w:abstractNum>
  <w:abstractNum w:abstractNumId="7">
    <w:nsid w:val="3F92225A"/>
    <w:multiLevelType w:val="singleLevel"/>
    <w:tmpl w:val="3F92225A"/>
    <w:lvl w:ilvl="0" w:tentative="0">
      <w:start w:val="1"/>
      <w:numFmt w:val="decimal"/>
      <w:suff w:val="nothing"/>
      <w:lvlText w:val="（%1）"/>
      <w:lvlJc w:val="left"/>
    </w:lvl>
  </w:abstractNum>
  <w:abstractNum w:abstractNumId="8">
    <w:nsid w:val="7C60F129"/>
    <w:multiLevelType w:val="singleLevel"/>
    <w:tmpl w:val="7C60F129"/>
    <w:lvl w:ilvl="0" w:tentative="0">
      <w:start w:val="4"/>
      <w:numFmt w:val="chineseCounting"/>
      <w:suff w:val="nothing"/>
      <w:lvlText w:val="%1、"/>
      <w:lvlJc w:val="left"/>
      <w:rPr>
        <w:rFonts w:hint="eastAsia"/>
      </w:rPr>
    </w:lvl>
  </w:abstractNum>
  <w:abstractNum w:abstractNumId="9">
    <w:nsid w:val="7F552C35"/>
    <w:multiLevelType w:val="singleLevel"/>
    <w:tmpl w:val="7F552C35"/>
    <w:lvl w:ilvl="0" w:tentative="0">
      <w:start w:val="1"/>
      <w:numFmt w:val="decimal"/>
      <w:suff w:val="nothing"/>
      <w:lvlText w:val="（%1）"/>
      <w:lvlJc w:val="left"/>
    </w:lvl>
  </w:abstractNum>
  <w:num w:numId="1">
    <w:abstractNumId w:val="0"/>
  </w:num>
  <w:num w:numId="2">
    <w:abstractNumId w:val="6"/>
  </w:num>
  <w:num w:numId="3">
    <w:abstractNumId w:val="3"/>
  </w:num>
  <w:num w:numId="4">
    <w:abstractNumId w:val="2"/>
  </w:num>
  <w:num w:numId="5">
    <w:abstractNumId w:val="7"/>
  </w:num>
  <w:num w:numId="6">
    <w:abstractNumId w:val="9"/>
  </w:num>
  <w:num w:numId="7">
    <w:abstractNumId w:val="5"/>
  </w:num>
  <w:num w:numId="8">
    <w:abstractNumId w:val="1"/>
  </w:num>
  <w:num w:numId="9">
    <w:abstractNumId w:val="4"/>
  </w:num>
  <w:num w:numId="10">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embedTrueTypeFonts/>
  <w:saveSubsetFonts/>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420"/>
  <w:hyphenationZone w:val="360"/>
  <w:doNotHyphenateCaps/>
  <w:drawingGridHorizontalSpacing w:val="210"/>
  <w:drawingGridVerticalSpacing w:val="145"/>
  <w:displayHorizontalDrawingGridEvery w:val="1"/>
  <w:displayVerticalDrawingGridEvery w:val="1"/>
  <w:noPunctuationKerning w:val="1"/>
  <w:characterSpacingControl w:val="compressPunctuation"/>
  <w:noLineBreaksAfter w:lang="zh-CN" w:val="([{·‘“〈《「『【〔〖（．［｛￡￥"/>
  <w:noLineBreaksBefore w:lang="zh-CN" w:val="!),.:;?]}¨·ˇˉ―‖’”…∶、。〃々〉》」』】〕〗！＂＇），．：；？］｀｜｝～￠"/>
  <w:doNotValidateAgainstSchema/>
  <w:doNotDemarcateInvalidXml/>
  <w:hdrShapeDefaults>
    <o:shapelayout v:ext="edit">
      <o:idmap v:ext="edit" data="2"/>
    </o:shapelayout>
  </w:hdrShapeDefaults>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DNjNzM5MTQ5YzE5ZDkwZDE2MjRjZTM1YzYxNGFjMzQifQ=="/>
  </w:docVars>
  <w:rsids>
    <w:rsidRoot w:val="00172A27"/>
    <w:rsid w:val="000060B3"/>
    <w:rsid w:val="0004364B"/>
    <w:rsid w:val="00061B1F"/>
    <w:rsid w:val="000733C4"/>
    <w:rsid w:val="00074783"/>
    <w:rsid w:val="0008070B"/>
    <w:rsid w:val="000810AC"/>
    <w:rsid w:val="00081A02"/>
    <w:rsid w:val="00082231"/>
    <w:rsid w:val="00092D38"/>
    <w:rsid w:val="0009377B"/>
    <w:rsid w:val="000A20C9"/>
    <w:rsid w:val="000B058F"/>
    <w:rsid w:val="000B4467"/>
    <w:rsid w:val="000B4DB9"/>
    <w:rsid w:val="000C09AC"/>
    <w:rsid w:val="000C75D7"/>
    <w:rsid w:val="000C767F"/>
    <w:rsid w:val="000D5A44"/>
    <w:rsid w:val="000E3ED2"/>
    <w:rsid w:val="00105214"/>
    <w:rsid w:val="00131F42"/>
    <w:rsid w:val="001357F1"/>
    <w:rsid w:val="00140FA8"/>
    <w:rsid w:val="00142FEB"/>
    <w:rsid w:val="00143A2D"/>
    <w:rsid w:val="00145A41"/>
    <w:rsid w:val="00151675"/>
    <w:rsid w:val="00157435"/>
    <w:rsid w:val="00166099"/>
    <w:rsid w:val="0017504D"/>
    <w:rsid w:val="0017671A"/>
    <w:rsid w:val="00177422"/>
    <w:rsid w:val="00184590"/>
    <w:rsid w:val="001870D1"/>
    <w:rsid w:val="0018781E"/>
    <w:rsid w:val="0019262D"/>
    <w:rsid w:val="001A1B35"/>
    <w:rsid w:val="001A4485"/>
    <w:rsid w:val="001A48A2"/>
    <w:rsid w:val="001A6F61"/>
    <w:rsid w:val="001B72B8"/>
    <w:rsid w:val="001C69B3"/>
    <w:rsid w:val="001D0519"/>
    <w:rsid w:val="001D5595"/>
    <w:rsid w:val="001D7874"/>
    <w:rsid w:val="001D7F22"/>
    <w:rsid w:val="001E0DF6"/>
    <w:rsid w:val="001F0F17"/>
    <w:rsid w:val="001F3347"/>
    <w:rsid w:val="001F69E4"/>
    <w:rsid w:val="002125B4"/>
    <w:rsid w:val="002155B8"/>
    <w:rsid w:val="00224839"/>
    <w:rsid w:val="002249B2"/>
    <w:rsid w:val="00226574"/>
    <w:rsid w:val="002278EC"/>
    <w:rsid w:val="0023280E"/>
    <w:rsid w:val="002377D1"/>
    <w:rsid w:val="002506BC"/>
    <w:rsid w:val="00254345"/>
    <w:rsid w:val="00264557"/>
    <w:rsid w:val="002764E3"/>
    <w:rsid w:val="002805AB"/>
    <w:rsid w:val="00284204"/>
    <w:rsid w:val="00291773"/>
    <w:rsid w:val="002A168C"/>
    <w:rsid w:val="002A3DC7"/>
    <w:rsid w:val="002B06D1"/>
    <w:rsid w:val="002B247F"/>
    <w:rsid w:val="002B49E2"/>
    <w:rsid w:val="002B7B00"/>
    <w:rsid w:val="002B7C44"/>
    <w:rsid w:val="002C2B17"/>
    <w:rsid w:val="002C76C2"/>
    <w:rsid w:val="002D3DD0"/>
    <w:rsid w:val="002E1F3A"/>
    <w:rsid w:val="002E298A"/>
    <w:rsid w:val="002E307A"/>
    <w:rsid w:val="00301978"/>
    <w:rsid w:val="0030332C"/>
    <w:rsid w:val="003051C2"/>
    <w:rsid w:val="00312296"/>
    <w:rsid w:val="00314F0E"/>
    <w:rsid w:val="003202CB"/>
    <w:rsid w:val="00321D8E"/>
    <w:rsid w:val="00325928"/>
    <w:rsid w:val="00332863"/>
    <w:rsid w:val="0033684D"/>
    <w:rsid w:val="00337B42"/>
    <w:rsid w:val="00341B42"/>
    <w:rsid w:val="0034348F"/>
    <w:rsid w:val="0034373D"/>
    <w:rsid w:val="00346582"/>
    <w:rsid w:val="00356653"/>
    <w:rsid w:val="0035743F"/>
    <w:rsid w:val="00357BE2"/>
    <w:rsid w:val="0036170C"/>
    <w:rsid w:val="00366E0F"/>
    <w:rsid w:val="00381A72"/>
    <w:rsid w:val="00384676"/>
    <w:rsid w:val="00390857"/>
    <w:rsid w:val="003978A2"/>
    <w:rsid w:val="003A4BF3"/>
    <w:rsid w:val="003B420D"/>
    <w:rsid w:val="003C2DE3"/>
    <w:rsid w:val="003C6C16"/>
    <w:rsid w:val="003D794D"/>
    <w:rsid w:val="003E3058"/>
    <w:rsid w:val="003E76A9"/>
    <w:rsid w:val="003F0809"/>
    <w:rsid w:val="003F6A8C"/>
    <w:rsid w:val="003F755C"/>
    <w:rsid w:val="00406F01"/>
    <w:rsid w:val="0040741A"/>
    <w:rsid w:val="00416D50"/>
    <w:rsid w:val="00416FD5"/>
    <w:rsid w:val="0041774B"/>
    <w:rsid w:val="00417772"/>
    <w:rsid w:val="00420E6A"/>
    <w:rsid w:val="00425A9E"/>
    <w:rsid w:val="00425EF2"/>
    <w:rsid w:val="00426D6B"/>
    <w:rsid w:val="00431E6C"/>
    <w:rsid w:val="00433CE7"/>
    <w:rsid w:val="00452738"/>
    <w:rsid w:val="00456091"/>
    <w:rsid w:val="00466321"/>
    <w:rsid w:val="004822C8"/>
    <w:rsid w:val="00484B9B"/>
    <w:rsid w:val="004855F6"/>
    <w:rsid w:val="0048661E"/>
    <w:rsid w:val="00494670"/>
    <w:rsid w:val="004979BA"/>
    <w:rsid w:val="004A0818"/>
    <w:rsid w:val="004A3823"/>
    <w:rsid w:val="004B3CBB"/>
    <w:rsid w:val="004E6946"/>
    <w:rsid w:val="004F1AD8"/>
    <w:rsid w:val="005039CB"/>
    <w:rsid w:val="0050558F"/>
    <w:rsid w:val="00506286"/>
    <w:rsid w:val="00510813"/>
    <w:rsid w:val="00511990"/>
    <w:rsid w:val="00511DE0"/>
    <w:rsid w:val="00514870"/>
    <w:rsid w:val="00514B9B"/>
    <w:rsid w:val="00517F02"/>
    <w:rsid w:val="00524303"/>
    <w:rsid w:val="005258A2"/>
    <w:rsid w:val="005401AE"/>
    <w:rsid w:val="00542E07"/>
    <w:rsid w:val="00545424"/>
    <w:rsid w:val="00554A7B"/>
    <w:rsid w:val="0055572C"/>
    <w:rsid w:val="0056106A"/>
    <w:rsid w:val="005705BF"/>
    <w:rsid w:val="005720AE"/>
    <w:rsid w:val="00581699"/>
    <w:rsid w:val="005921C4"/>
    <w:rsid w:val="00594D77"/>
    <w:rsid w:val="005969E4"/>
    <w:rsid w:val="005A06B7"/>
    <w:rsid w:val="005A1759"/>
    <w:rsid w:val="005A68A7"/>
    <w:rsid w:val="005C07F9"/>
    <w:rsid w:val="005D36AB"/>
    <w:rsid w:val="00617CC3"/>
    <w:rsid w:val="006377A6"/>
    <w:rsid w:val="00637A3D"/>
    <w:rsid w:val="006411EF"/>
    <w:rsid w:val="006748B8"/>
    <w:rsid w:val="006775C3"/>
    <w:rsid w:val="0069290A"/>
    <w:rsid w:val="0069775A"/>
    <w:rsid w:val="00697813"/>
    <w:rsid w:val="006A15B0"/>
    <w:rsid w:val="006A31F2"/>
    <w:rsid w:val="006A3EE8"/>
    <w:rsid w:val="006A72BF"/>
    <w:rsid w:val="006A73A2"/>
    <w:rsid w:val="006B03F2"/>
    <w:rsid w:val="006B37DC"/>
    <w:rsid w:val="006B4F68"/>
    <w:rsid w:val="006C049A"/>
    <w:rsid w:val="006C0592"/>
    <w:rsid w:val="006C272E"/>
    <w:rsid w:val="006C5479"/>
    <w:rsid w:val="006D13B5"/>
    <w:rsid w:val="006E12FF"/>
    <w:rsid w:val="006E607E"/>
    <w:rsid w:val="00706C5D"/>
    <w:rsid w:val="00713458"/>
    <w:rsid w:val="00732922"/>
    <w:rsid w:val="007430C5"/>
    <w:rsid w:val="0075162E"/>
    <w:rsid w:val="00754034"/>
    <w:rsid w:val="00756556"/>
    <w:rsid w:val="007618C4"/>
    <w:rsid w:val="00767980"/>
    <w:rsid w:val="00770B19"/>
    <w:rsid w:val="0077463F"/>
    <w:rsid w:val="007836EA"/>
    <w:rsid w:val="00784CDA"/>
    <w:rsid w:val="007906C4"/>
    <w:rsid w:val="007940EA"/>
    <w:rsid w:val="007967E8"/>
    <w:rsid w:val="007A2170"/>
    <w:rsid w:val="007A22BF"/>
    <w:rsid w:val="007A3323"/>
    <w:rsid w:val="007A3DFC"/>
    <w:rsid w:val="007B72B8"/>
    <w:rsid w:val="007B7A58"/>
    <w:rsid w:val="007C21B5"/>
    <w:rsid w:val="007E4BD2"/>
    <w:rsid w:val="00801393"/>
    <w:rsid w:val="00802F88"/>
    <w:rsid w:val="0081293E"/>
    <w:rsid w:val="00815465"/>
    <w:rsid w:val="00817E9A"/>
    <w:rsid w:val="008306BD"/>
    <w:rsid w:val="00831A80"/>
    <w:rsid w:val="00833743"/>
    <w:rsid w:val="008340A4"/>
    <w:rsid w:val="0087135F"/>
    <w:rsid w:val="00872D94"/>
    <w:rsid w:val="00880364"/>
    <w:rsid w:val="00891592"/>
    <w:rsid w:val="00891E9E"/>
    <w:rsid w:val="00893036"/>
    <w:rsid w:val="008A2F68"/>
    <w:rsid w:val="008B4FA6"/>
    <w:rsid w:val="008B5282"/>
    <w:rsid w:val="008B7C17"/>
    <w:rsid w:val="008C2D01"/>
    <w:rsid w:val="008C40E6"/>
    <w:rsid w:val="008C65F0"/>
    <w:rsid w:val="008D0F7A"/>
    <w:rsid w:val="008D1C6A"/>
    <w:rsid w:val="008D5592"/>
    <w:rsid w:val="008D68E4"/>
    <w:rsid w:val="008E0506"/>
    <w:rsid w:val="008E0CFF"/>
    <w:rsid w:val="008E5D6B"/>
    <w:rsid w:val="008E76F0"/>
    <w:rsid w:val="008F15FE"/>
    <w:rsid w:val="008F2D29"/>
    <w:rsid w:val="008F5187"/>
    <w:rsid w:val="008F60D8"/>
    <w:rsid w:val="00902727"/>
    <w:rsid w:val="0090312B"/>
    <w:rsid w:val="0091736D"/>
    <w:rsid w:val="0093037A"/>
    <w:rsid w:val="0094154D"/>
    <w:rsid w:val="0095155F"/>
    <w:rsid w:val="00952DD1"/>
    <w:rsid w:val="00954429"/>
    <w:rsid w:val="009563CE"/>
    <w:rsid w:val="00976328"/>
    <w:rsid w:val="0097680D"/>
    <w:rsid w:val="00982438"/>
    <w:rsid w:val="0098404C"/>
    <w:rsid w:val="00985283"/>
    <w:rsid w:val="00995992"/>
    <w:rsid w:val="009A03E5"/>
    <w:rsid w:val="009A0F3B"/>
    <w:rsid w:val="009A1BB4"/>
    <w:rsid w:val="009A2628"/>
    <w:rsid w:val="009A3200"/>
    <w:rsid w:val="009B0897"/>
    <w:rsid w:val="009B7BD9"/>
    <w:rsid w:val="009C7DD5"/>
    <w:rsid w:val="009E227D"/>
    <w:rsid w:val="009E5019"/>
    <w:rsid w:val="00A04F1B"/>
    <w:rsid w:val="00A0501B"/>
    <w:rsid w:val="00A14947"/>
    <w:rsid w:val="00A1520A"/>
    <w:rsid w:val="00A153CD"/>
    <w:rsid w:val="00A32A83"/>
    <w:rsid w:val="00A368DB"/>
    <w:rsid w:val="00A423AA"/>
    <w:rsid w:val="00A53EC6"/>
    <w:rsid w:val="00A55C0F"/>
    <w:rsid w:val="00A8713F"/>
    <w:rsid w:val="00A90BA1"/>
    <w:rsid w:val="00A97A9A"/>
    <w:rsid w:val="00AA0671"/>
    <w:rsid w:val="00AA2531"/>
    <w:rsid w:val="00AB1E09"/>
    <w:rsid w:val="00AB5330"/>
    <w:rsid w:val="00AB6462"/>
    <w:rsid w:val="00AB7719"/>
    <w:rsid w:val="00AB7747"/>
    <w:rsid w:val="00AC14CE"/>
    <w:rsid w:val="00AC2A56"/>
    <w:rsid w:val="00AD055E"/>
    <w:rsid w:val="00AD47A7"/>
    <w:rsid w:val="00AF0CBF"/>
    <w:rsid w:val="00AF2403"/>
    <w:rsid w:val="00AF257F"/>
    <w:rsid w:val="00AF33CF"/>
    <w:rsid w:val="00AF4D50"/>
    <w:rsid w:val="00AF6179"/>
    <w:rsid w:val="00B1295A"/>
    <w:rsid w:val="00B20A45"/>
    <w:rsid w:val="00B22C5C"/>
    <w:rsid w:val="00B23693"/>
    <w:rsid w:val="00B24F30"/>
    <w:rsid w:val="00B2585E"/>
    <w:rsid w:val="00B31ABF"/>
    <w:rsid w:val="00B33BE3"/>
    <w:rsid w:val="00B3758B"/>
    <w:rsid w:val="00B53B5D"/>
    <w:rsid w:val="00B6055E"/>
    <w:rsid w:val="00B6317D"/>
    <w:rsid w:val="00B7723F"/>
    <w:rsid w:val="00B80534"/>
    <w:rsid w:val="00B8433C"/>
    <w:rsid w:val="00B87491"/>
    <w:rsid w:val="00BA29E9"/>
    <w:rsid w:val="00BA7142"/>
    <w:rsid w:val="00BB237C"/>
    <w:rsid w:val="00BB41A3"/>
    <w:rsid w:val="00BB64B4"/>
    <w:rsid w:val="00BC32DC"/>
    <w:rsid w:val="00BC35B6"/>
    <w:rsid w:val="00BD1B51"/>
    <w:rsid w:val="00BD4596"/>
    <w:rsid w:val="00BE1405"/>
    <w:rsid w:val="00BE2C53"/>
    <w:rsid w:val="00BE312D"/>
    <w:rsid w:val="00BF1C20"/>
    <w:rsid w:val="00C0471A"/>
    <w:rsid w:val="00C074B1"/>
    <w:rsid w:val="00C10578"/>
    <w:rsid w:val="00C135BC"/>
    <w:rsid w:val="00C15C95"/>
    <w:rsid w:val="00C2596A"/>
    <w:rsid w:val="00C27537"/>
    <w:rsid w:val="00C31B9E"/>
    <w:rsid w:val="00C328FE"/>
    <w:rsid w:val="00C33507"/>
    <w:rsid w:val="00C4409D"/>
    <w:rsid w:val="00C44E72"/>
    <w:rsid w:val="00C45A06"/>
    <w:rsid w:val="00C47E5B"/>
    <w:rsid w:val="00C55B82"/>
    <w:rsid w:val="00C61E4B"/>
    <w:rsid w:val="00C64BFF"/>
    <w:rsid w:val="00C704E9"/>
    <w:rsid w:val="00C763C9"/>
    <w:rsid w:val="00C80057"/>
    <w:rsid w:val="00C82232"/>
    <w:rsid w:val="00C82913"/>
    <w:rsid w:val="00C972B1"/>
    <w:rsid w:val="00CA2CCE"/>
    <w:rsid w:val="00CA43FD"/>
    <w:rsid w:val="00CA7EF8"/>
    <w:rsid w:val="00CC489B"/>
    <w:rsid w:val="00CD2BCD"/>
    <w:rsid w:val="00CD3A4C"/>
    <w:rsid w:val="00CE10E9"/>
    <w:rsid w:val="00CE2910"/>
    <w:rsid w:val="00CE5393"/>
    <w:rsid w:val="00CF36BE"/>
    <w:rsid w:val="00CF6000"/>
    <w:rsid w:val="00CF7EC1"/>
    <w:rsid w:val="00D003F3"/>
    <w:rsid w:val="00D0364F"/>
    <w:rsid w:val="00D06834"/>
    <w:rsid w:val="00D1366D"/>
    <w:rsid w:val="00D308ED"/>
    <w:rsid w:val="00D36D86"/>
    <w:rsid w:val="00D428AA"/>
    <w:rsid w:val="00D50A34"/>
    <w:rsid w:val="00D53EFA"/>
    <w:rsid w:val="00D94A7C"/>
    <w:rsid w:val="00D95896"/>
    <w:rsid w:val="00DB2983"/>
    <w:rsid w:val="00DC1257"/>
    <w:rsid w:val="00DC3DC0"/>
    <w:rsid w:val="00DC5B2B"/>
    <w:rsid w:val="00DD318D"/>
    <w:rsid w:val="00DF2E12"/>
    <w:rsid w:val="00DF514A"/>
    <w:rsid w:val="00DF6690"/>
    <w:rsid w:val="00DF6804"/>
    <w:rsid w:val="00E00D45"/>
    <w:rsid w:val="00E0358D"/>
    <w:rsid w:val="00E04323"/>
    <w:rsid w:val="00E04EC5"/>
    <w:rsid w:val="00E070A2"/>
    <w:rsid w:val="00E2656A"/>
    <w:rsid w:val="00E412D0"/>
    <w:rsid w:val="00E56322"/>
    <w:rsid w:val="00E60982"/>
    <w:rsid w:val="00E62C62"/>
    <w:rsid w:val="00E654C1"/>
    <w:rsid w:val="00E65D97"/>
    <w:rsid w:val="00E72A5A"/>
    <w:rsid w:val="00E73354"/>
    <w:rsid w:val="00E84587"/>
    <w:rsid w:val="00E9242D"/>
    <w:rsid w:val="00EB5255"/>
    <w:rsid w:val="00EB5C47"/>
    <w:rsid w:val="00ED0639"/>
    <w:rsid w:val="00EF3C6C"/>
    <w:rsid w:val="00EF4755"/>
    <w:rsid w:val="00EF7135"/>
    <w:rsid w:val="00F027DB"/>
    <w:rsid w:val="00F03659"/>
    <w:rsid w:val="00F14A7A"/>
    <w:rsid w:val="00F22985"/>
    <w:rsid w:val="00F2493B"/>
    <w:rsid w:val="00F3383E"/>
    <w:rsid w:val="00F41421"/>
    <w:rsid w:val="00F465A7"/>
    <w:rsid w:val="00F50B7C"/>
    <w:rsid w:val="00F550E6"/>
    <w:rsid w:val="00F67E1E"/>
    <w:rsid w:val="00F74345"/>
    <w:rsid w:val="00F80A0A"/>
    <w:rsid w:val="00F82B19"/>
    <w:rsid w:val="00F9212D"/>
    <w:rsid w:val="00F965DA"/>
    <w:rsid w:val="00FA406A"/>
    <w:rsid w:val="00FA6C0C"/>
    <w:rsid w:val="00FB503A"/>
    <w:rsid w:val="00FB516C"/>
    <w:rsid w:val="00FC6869"/>
    <w:rsid w:val="00FD0236"/>
    <w:rsid w:val="00FD18F4"/>
    <w:rsid w:val="00FD54DB"/>
    <w:rsid w:val="00FD619F"/>
    <w:rsid w:val="00FF3531"/>
    <w:rsid w:val="0107633C"/>
    <w:rsid w:val="011929B6"/>
    <w:rsid w:val="01290F7E"/>
    <w:rsid w:val="014C5DC9"/>
    <w:rsid w:val="015D1E09"/>
    <w:rsid w:val="01B819BA"/>
    <w:rsid w:val="01C76DE7"/>
    <w:rsid w:val="02104022"/>
    <w:rsid w:val="021F0E59"/>
    <w:rsid w:val="02284690"/>
    <w:rsid w:val="02697903"/>
    <w:rsid w:val="029307AF"/>
    <w:rsid w:val="02C13761"/>
    <w:rsid w:val="02F96569"/>
    <w:rsid w:val="031C69F7"/>
    <w:rsid w:val="03257030"/>
    <w:rsid w:val="032A3173"/>
    <w:rsid w:val="03953B81"/>
    <w:rsid w:val="03A04F32"/>
    <w:rsid w:val="03BC1191"/>
    <w:rsid w:val="03BE5D79"/>
    <w:rsid w:val="03CF75C5"/>
    <w:rsid w:val="03EA7B21"/>
    <w:rsid w:val="04D0491C"/>
    <w:rsid w:val="04E41E0E"/>
    <w:rsid w:val="050760D8"/>
    <w:rsid w:val="05763678"/>
    <w:rsid w:val="057C19CF"/>
    <w:rsid w:val="057F6DC9"/>
    <w:rsid w:val="05F66CBD"/>
    <w:rsid w:val="05F83EAE"/>
    <w:rsid w:val="06027304"/>
    <w:rsid w:val="06131A08"/>
    <w:rsid w:val="063E7D85"/>
    <w:rsid w:val="06DD649D"/>
    <w:rsid w:val="06FF4665"/>
    <w:rsid w:val="07293586"/>
    <w:rsid w:val="07295285"/>
    <w:rsid w:val="07636392"/>
    <w:rsid w:val="07770C56"/>
    <w:rsid w:val="07910015"/>
    <w:rsid w:val="07BA39FD"/>
    <w:rsid w:val="07DE24CD"/>
    <w:rsid w:val="086278DE"/>
    <w:rsid w:val="08AE6B0E"/>
    <w:rsid w:val="08DD4532"/>
    <w:rsid w:val="08EF26ED"/>
    <w:rsid w:val="09091F18"/>
    <w:rsid w:val="09092322"/>
    <w:rsid w:val="092217DD"/>
    <w:rsid w:val="0926412B"/>
    <w:rsid w:val="093A7294"/>
    <w:rsid w:val="09702B30"/>
    <w:rsid w:val="09BD1E08"/>
    <w:rsid w:val="0A140428"/>
    <w:rsid w:val="0A263993"/>
    <w:rsid w:val="0A2D3AC2"/>
    <w:rsid w:val="0A7E1FD7"/>
    <w:rsid w:val="0AA755DF"/>
    <w:rsid w:val="0AEE1D1F"/>
    <w:rsid w:val="0B120D44"/>
    <w:rsid w:val="0B354AFA"/>
    <w:rsid w:val="0B6902FF"/>
    <w:rsid w:val="0BD27BF6"/>
    <w:rsid w:val="0BD54DED"/>
    <w:rsid w:val="0C3B3C7D"/>
    <w:rsid w:val="0C913FB2"/>
    <w:rsid w:val="0CAB2EAE"/>
    <w:rsid w:val="0CB8153E"/>
    <w:rsid w:val="0D0E0A6E"/>
    <w:rsid w:val="0D470B14"/>
    <w:rsid w:val="0D621C7D"/>
    <w:rsid w:val="0DCF4D92"/>
    <w:rsid w:val="0DD3023A"/>
    <w:rsid w:val="0DDE5161"/>
    <w:rsid w:val="0DE63E89"/>
    <w:rsid w:val="0E73034D"/>
    <w:rsid w:val="0EFF16A6"/>
    <w:rsid w:val="0F13775A"/>
    <w:rsid w:val="0F5F45FE"/>
    <w:rsid w:val="0F9A112B"/>
    <w:rsid w:val="0FF266B4"/>
    <w:rsid w:val="10233173"/>
    <w:rsid w:val="106D2F64"/>
    <w:rsid w:val="10B63710"/>
    <w:rsid w:val="10F10820"/>
    <w:rsid w:val="10FF0A2C"/>
    <w:rsid w:val="111C2F7A"/>
    <w:rsid w:val="11665CA1"/>
    <w:rsid w:val="116B65C1"/>
    <w:rsid w:val="11EA1061"/>
    <w:rsid w:val="125910CE"/>
    <w:rsid w:val="128B222B"/>
    <w:rsid w:val="1347361C"/>
    <w:rsid w:val="135D640C"/>
    <w:rsid w:val="13667C9C"/>
    <w:rsid w:val="13951726"/>
    <w:rsid w:val="13DD5D2E"/>
    <w:rsid w:val="13E956F3"/>
    <w:rsid w:val="13FD017F"/>
    <w:rsid w:val="140D6614"/>
    <w:rsid w:val="14396509"/>
    <w:rsid w:val="144D4C62"/>
    <w:rsid w:val="14900FF3"/>
    <w:rsid w:val="149707FB"/>
    <w:rsid w:val="14DD2C3C"/>
    <w:rsid w:val="14E32ED1"/>
    <w:rsid w:val="14FB421D"/>
    <w:rsid w:val="15127C5A"/>
    <w:rsid w:val="158B7134"/>
    <w:rsid w:val="158D1367"/>
    <w:rsid w:val="15C233ED"/>
    <w:rsid w:val="16077093"/>
    <w:rsid w:val="16087E1D"/>
    <w:rsid w:val="166A577A"/>
    <w:rsid w:val="168406E3"/>
    <w:rsid w:val="169903EC"/>
    <w:rsid w:val="16A41A83"/>
    <w:rsid w:val="16C40398"/>
    <w:rsid w:val="16F5338F"/>
    <w:rsid w:val="171E7FAF"/>
    <w:rsid w:val="176F0B5F"/>
    <w:rsid w:val="17701D14"/>
    <w:rsid w:val="17735226"/>
    <w:rsid w:val="17A911A4"/>
    <w:rsid w:val="17EE050A"/>
    <w:rsid w:val="182B736E"/>
    <w:rsid w:val="185E6EB6"/>
    <w:rsid w:val="1899497C"/>
    <w:rsid w:val="189F624C"/>
    <w:rsid w:val="18A94431"/>
    <w:rsid w:val="18FA6A3B"/>
    <w:rsid w:val="19185113"/>
    <w:rsid w:val="19204C62"/>
    <w:rsid w:val="19640CF9"/>
    <w:rsid w:val="197C4BE2"/>
    <w:rsid w:val="199450E1"/>
    <w:rsid w:val="1A0B6735"/>
    <w:rsid w:val="1A1C66C0"/>
    <w:rsid w:val="1A42393B"/>
    <w:rsid w:val="1A5E3E22"/>
    <w:rsid w:val="1AAD45DE"/>
    <w:rsid w:val="1AC85952"/>
    <w:rsid w:val="1AC9700C"/>
    <w:rsid w:val="1B046F80"/>
    <w:rsid w:val="1B19342D"/>
    <w:rsid w:val="1B316513"/>
    <w:rsid w:val="1B3267B5"/>
    <w:rsid w:val="1B40161D"/>
    <w:rsid w:val="1B441859"/>
    <w:rsid w:val="1B4D379A"/>
    <w:rsid w:val="1B6606B1"/>
    <w:rsid w:val="1B8D003A"/>
    <w:rsid w:val="1B924E4A"/>
    <w:rsid w:val="1C2E3E32"/>
    <w:rsid w:val="1C33232D"/>
    <w:rsid w:val="1C366868"/>
    <w:rsid w:val="1C481CFA"/>
    <w:rsid w:val="1C5E7925"/>
    <w:rsid w:val="1C986C96"/>
    <w:rsid w:val="1CF814E3"/>
    <w:rsid w:val="1CFD070F"/>
    <w:rsid w:val="1D0D433B"/>
    <w:rsid w:val="1D0E51AB"/>
    <w:rsid w:val="1D1005A1"/>
    <w:rsid w:val="1D282217"/>
    <w:rsid w:val="1D503509"/>
    <w:rsid w:val="1D5F6196"/>
    <w:rsid w:val="1D6132A5"/>
    <w:rsid w:val="1D8E56D5"/>
    <w:rsid w:val="1DD106B2"/>
    <w:rsid w:val="1DE54FE6"/>
    <w:rsid w:val="1E366767"/>
    <w:rsid w:val="1E3D173D"/>
    <w:rsid w:val="1E446CEE"/>
    <w:rsid w:val="1E4946EC"/>
    <w:rsid w:val="1E7A43DA"/>
    <w:rsid w:val="1EE44415"/>
    <w:rsid w:val="1F242A63"/>
    <w:rsid w:val="1F4C3E0F"/>
    <w:rsid w:val="1F881244"/>
    <w:rsid w:val="1F8B663F"/>
    <w:rsid w:val="1F947BE9"/>
    <w:rsid w:val="1FBC7140"/>
    <w:rsid w:val="1FE7539E"/>
    <w:rsid w:val="1FEE11E3"/>
    <w:rsid w:val="20376371"/>
    <w:rsid w:val="204871E6"/>
    <w:rsid w:val="20671BE0"/>
    <w:rsid w:val="20787D38"/>
    <w:rsid w:val="208714FC"/>
    <w:rsid w:val="20963CB8"/>
    <w:rsid w:val="20A81A1B"/>
    <w:rsid w:val="20B07FB6"/>
    <w:rsid w:val="20B646FB"/>
    <w:rsid w:val="213B74B1"/>
    <w:rsid w:val="215A2310"/>
    <w:rsid w:val="21690C01"/>
    <w:rsid w:val="21915763"/>
    <w:rsid w:val="219532B1"/>
    <w:rsid w:val="21D432C2"/>
    <w:rsid w:val="21DE318A"/>
    <w:rsid w:val="21EF5B80"/>
    <w:rsid w:val="2208666C"/>
    <w:rsid w:val="220D77DF"/>
    <w:rsid w:val="224B4E24"/>
    <w:rsid w:val="22576990"/>
    <w:rsid w:val="22801D2C"/>
    <w:rsid w:val="22F35E40"/>
    <w:rsid w:val="22F47480"/>
    <w:rsid w:val="23474364"/>
    <w:rsid w:val="238B1303"/>
    <w:rsid w:val="23D20CE0"/>
    <w:rsid w:val="23DA5DE6"/>
    <w:rsid w:val="23DE1C48"/>
    <w:rsid w:val="240210CD"/>
    <w:rsid w:val="24062738"/>
    <w:rsid w:val="24096E19"/>
    <w:rsid w:val="240D7F6A"/>
    <w:rsid w:val="247424A3"/>
    <w:rsid w:val="249059E1"/>
    <w:rsid w:val="24BF09F7"/>
    <w:rsid w:val="24FC737A"/>
    <w:rsid w:val="24FF7744"/>
    <w:rsid w:val="25070E5D"/>
    <w:rsid w:val="252D53FE"/>
    <w:rsid w:val="257A4289"/>
    <w:rsid w:val="25A46830"/>
    <w:rsid w:val="25A967F6"/>
    <w:rsid w:val="25BD4F83"/>
    <w:rsid w:val="25C7239A"/>
    <w:rsid w:val="25D80104"/>
    <w:rsid w:val="25EC2D81"/>
    <w:rsid w:val="26181C91"/>
    <w:rsid w:val="262241EA"/>
    <w:rsid w:val="265B1D69"/>
    <w:rsid w:val="2662341C"/>
    <w:rsid w:val="26B40B71"/>
    <w:rsid w:val="26B42005"/>
    <w:rsid w:val="271B7282"/>
    <w:rsid w:val="27441592"/>
    <w:rsid w:val="277057A2"/>
    <w:rsid w:val="27987F08"/>
    <w:rsid w:val="280E42B1"/>
    <w:rsid w:val="285F3229"/>
    <w:rsid w:val="28793E20"/>
    <w:rsid w:val="28AA5FB6"/>
    <w:rsid w:val="28AF190E"/>
    <w:rsid w:val="28AF4EEF"/>
    <w:rsid w:val="28B416AF"/>
    <w:rsid w:val="28E77027"/>
    <w:rsid w:val="29017D12"/>
    <w:rsid w:val="29206EB8"/>
    <w:rsid w:val="29440952"/>
    <w:rsid w:val="29487354"/>
    <w:rsid w:val="29595666"/>
    <w:rsid w:val="29874881"/>
    <w:rsid w:val="299A404E"/>
    <w:rsid w:val="29E325E0"/>
    <w:rsid w:val="2A3049B2"/>
    <w:rsid w:val="2A452503"/>
    <w:rsid w:val="2A6C5D2A"/>
    <w:rsid w:val="2A9607B5"/>
    <w:rsid w:val="2AB56C65"/>
    <w:rsid w:val="2AE17561"/>
    <w:rsid w:val="2B02634F"/>
    <w:rsid w:val="2B4C1A27"/>
    <w:rsid w:val="2B886128"/>
    <w:rsid w:val="2BA936A8"/>
    <w:rsid w:val="2BC908A7"/>
    <w:rsid w:val="2BCE038B"/>
    <w:rsid w:val="2BCE6231"/>
    <w:rsid w:val="2C315A5A"/>
    <w:rsid w:val="2C425199"/>
    <w:rsid w:val="2C4B1C25"/>
    <w:rsid w:val="2CB31578"/>
    <w:rsid w:val="2CBE2B5D"/>
    <w:rsid w:val="2CBF3DCB"/>
    <w:rsid w:val="2D051093"/>
    <w:rsid w:val="2D0F6B01"/>
    <w:rsid w:val="2D105B5A"/>
    <w:rsid w:val="2D160F26"/>
    <w:rsid w:val="2D3E1194"/>
    <w:rsid w:val="2D7B4196"/>
    <w:rsid w:val="2D811081"/>
    <w:rsid w:val="2D9E56F5"/>
    <w:rsid w:val="2E0D6111"/>
    <w:rsid w:val="2E1D5D72"/>
    <w:rsid w:val="2E28274F"/>
    <w:rsid w:val="2E3802BA"/>
    <w:rsid w:val="2E3D212E"/>
    <w:rsid w:val="2E426A62"/>
    <w:rsid w:val="2E627104"/>
    <w:rsid w:val="2E667F96"/>
    <w:rsid w:val="2E8226AB"/>
    <w:rsid w:val="2F154177"/>
    <w:rsid w:val="2F45680A"/>
    <w:rsid w:val="2F60445F"/>
    <w:rsid w:val="2FD065E6"/>
    <w:rsid w:val="2FD96870"/>
    <w:rsid w:val="300E12F2"/>
    <w:rsid w:val="301377D6"/>
    <w:rsid w:val="30422D49"/>
    <w:rsid w:val="30580BC9"/>
    <w:rsid w:val="30A61F9B"/>
    <w:rsid w:val="30EE1123"/>
    <w:rsid w:val="3112096E"/>
    <w:rsid w:val="311E2ED7"/>
    <w:rsid w:val="31540F86"/>
    <w:rsid w:val="315619EE"/>
    <w:rsid w:val="315C449C"/>
    <w:rsid w:val="315C6F89"/>
    <w:rsid w:val="31675656"/>
    <w:rsid w:val="317203D3"/>
    <w:rsid w:val="31AF440F"/>
    <w:rsid w:val="31B82709"/>
    <w:rsid w:val="31D05482"/>
    <w:rsid w:val="31E85B72"/>
    <w:rsid w:val="320F7AC3"/>
    <w:rsid w:val="321B1AA4"/>
    <w:rsid w:val="32400B34"/>
    <w:rsid w:val="328A3658"/>
    <w:rsid w:val="329E6876"/>
    <w:rsid w:val="32AE6388"/>
    <w:rsid w:val="32E60EB1"/>
    <w:rsid w:val="333015F2"/>
    <w:rsid w:val="334B6320"/>
    <w:rsid w:val="336456CD"/>
    <w:rsid w:val="338E62A6"/>
    <w:rsid w:val="3390570F"/>
    <w:rsid w:val="33A8380B"/>
    <w:rsid w:val="33C323F3"/>
    <w:rsid w:val="33D934D4"/>
    <w:rsid w:val="33D9451C"/>
    <w:rsid w:val="33E61958"/>
    <w:rsid w:val="33F218D8"/>
    <w:rsid w:val="33FE2F6A"/>
    <w:rsid w:val="340E07E5"/>
    <w:rsid w:val="341727D3"/>
    <w:rsid w:val="34235BF7"/>
    <w:rsid w:val="34272982"/>
    <w:rsid w:val="344572AC"/>
    <w:rsid w:val="348030EA"/>
    <w:rsid w:val="348E4659"/>
    <w:rsid w:val="34C577FC"/>
    <w:rsid w:val="34D24E75"/>
    <w:rsid w:val="34D70BA9"/>
    <w:rsid w:val="34FA0097"/>
    <w:rsid w:val="35040F15"/>
    <w:rsid w:val="3567565A"/>
    <w:rsid w:val="358A766C"/>
    <w:rsid w:val="358C32B6"/>
    <w:rsid w:val="358C5FA8"/>
    <w:rsid w:val="35C15DF1"/>
    <w:rsid w:val="35D60D57"/>
    <w:rsid w:val="36074A7F"/>
    <w:rsid w:val="36257395"/>
    <w:rsid w:val="36923549"/>
    <w:rsid w:val="3694633B"/>
    <w:rsid w:val="36A37A8F"/>
    <w:rsid w:val="36B75FBF"/>
    <w:rsid w:val="36BB3856"/>
    <w:rsid w:val="36BD0C45"/>
    <w:rsid w:val="370451FC"/>
    <w:rsid w:val="37392302"/>
    <w:rsid w:val="377C1F6D"/>
    <w:rsid w:val="37887BDC"/>
    <w:rsid w:val="37977BBC"/>
    <w:rsid w:val="37DD15AA"/>
    <w:rsid w:val="37E00298"/>
    <w:rsid w:val="37F8739B"/>
    <w:rsid w:val="380B6117"/>
    <w:rsid w:val="381B27FE"/>
    <w:rsid w:val="38445379"/>
    <w:rsid w:val="386046B4"/>
    <w:rsid w:val="386120B9"/>
    <w:rsid w:val="387E532F"/>
    <w:rsid w:val="38B302F9"/>
    <w:rsid w:val="38DE382B"/>
    <w:rsid w:val="38F12CD3"/>
    <w:rsid w:val="38F94775"/>
    <w:rsid w:val="39142160"/>
    <w:rsid w:val="392971ED"/>
    <w:rsid w:val="39325651"/>
    <w:rsid w:val="394A6E6A"/>
    <w:rsid w:val="395F496C"/>
    <w:rsid w:val="398C2B82"/>
    <w:rsid w:val="39B06F76"/>
    <w:rsid w:val="3A2D5B98"/>
    <w:rsid w:val="3A3E4A76"/>
    <w:rsid w:val="3A475370"/>
    <w:rsid w:val="3A6749DE"/>
    <w:rsid w:val="3A7A2516"/>
    <w:rsid w:val="3A7A2BFC"/>
    <w:rsid w:val="3A865F28"/>
    <w:rsid w:val="3A872856"/>
    <w:rsid w:val="3A8A3C6B"/>
    <w:rsid w:val="3AE315CD"/>
    <w:rsid w:val="3AF410E4"/>
    <w:rsid w:val="3B056B09"/>
    <w:rsid w:val="3B3763D1"/>
    <w:rsid w:val="3B606A40"/>
    <w:rsid w:val="3B781D15"/>
    <w:rsid w:val="3C1E365F"/>
    <w:rsid w:val="3C2F6E1E"/>
    <w:rsid w:val="3C4F64BA"/>
    <w:rsid w:val="3CA26EAF"/>
    <w:rsid w:val="3CD72213"/>
    <w:rsid w:val="3CDA245A"/>
    <w:rsid w:val="3CE21B3C"/>
    <w:rsid w:val="3D1E06B7"/>
    <w:rsid w:val="3D7309E6"/>
    <w:rsid w:val="3DA9265A"/>
    <w:rsid w:val="3DB360A8"/>
    <w:rsid w:val="3DCF6AB9"/>
    <w:rsid w:val="3E083824"/>
    <w:rsid w:val="3E206A1C"/>
    <w:rsid w:val="3E5129D7"/>
    <w:rsid w:val="3E5E1696"/>
    <w:rsid w:val="3ECB6600"/>
    <w:rsid w:val="3ED933C7"/>
    <w:rsid w:val="3EDA0523"/>
    <w:rsid w:val="3F0072CB"/>
    <w:rsid w:val="3F0C204C"/>
    <w:rsid w:val="3F2F4DE1"/>
    <w:rsid w:val="3F5936A0"/>
    <w:rsid w:val="3FAA26B9"/>
    <w:rsid w:val="3FC53470"/>
    <w:rsid w:val="3FC55D73"/>
    <w:rsid w:val="400E0E9A"/>
    <w:rsid w:val="405A4449"/>
    <w:rsid w:val="407A6407"/>
    <w:rsid w:val="40844CB8"/>
    <w:rsid w:val="40B84D47"/>
    <w:rsid w:val="40DE086C"/>
    <w:rsid w:val="4114233D"/>
    <w:rsid w:val="4144171C"/>
    <w:rsid w:val="4173724D"/>
    <w:rsid w:val="41942069"/>
    <w:rsid w:val="41A76C96"/>
    <w:rsid w:val="41F63994"/>
    <w:rsid w:val="41FF3D94"/>
    <w:rsid w:val="4200449D"/>
    <w:rsid w:val="423A3BCC"/>
    <w:rsid w:val="424E57D2"/>
    <w:rsid w:val="42995EB0"/>
    <w:rsid w:val="42B26C49"/>
    <w:rsid w:val="42F67BF4"/>
    <w:rsid w:val="42FB5662"/>
    <w:rsid w:val="43244531"/>
    <w:rsid w:val="433A6FE6"/>
    <w:rsid w:val="43480868"/>
    <w:rsid w:val="4350713C"/>
    <w:rsid w:val="436653E0"/>
    <w:rsid w:val="439E43DE"/>
    <w:rsid w:val="43C4431A"/>
    <w:rsid w:val="44030F25"/>
    <w:rsid w:val="442C4B1E"/>
    <w:rsid w:val="44354C47"/>
    <w:rsid w:val="44B951CC"/>
    <w:rsid w:val="44BF09B5"/>
    <w:rsid w:val="44CD14E0"/>
    <w:rsid w:val="44D34460"/>
    <w:rsid w:val="44D501D8"/>
    <w:rsid w:val="44F20B0B"/>
    <w:rsid w:val="451E1B7F"/>
    <w:rsid w:val="452E5F4C"/>
    <w:rsid w:val="454F1D39"/>
    <w:rsid w:val="45612018"/>
    <w:rsid w:val="45613FC1"/>
    <w:rsid w:val="457F02CE"/>
    <w:rsid w:val="458946E9"/>
    <w:rsid w:val="459E7932"/>
    <w:rsid w:val="45A47C0E"/>
    <w:rsid w:val="45FB3C6E"/>
    <w:rsid w:val="46577FD6"/>
    <w:rsid w:val="46695753"/>
    <w:rsid w:val="46D87B0C"/>
    <w:rsid w:val="46D955A7"/>
    <w:rsid w:val="47133957"/>
    <w:rsid w:val="474653BD"/>
    <w:rsid w:val="477041E8"/>
    <w:rsid w:val="479C322F"/>
    <w:rsid w:val="47A07E0C"/>
    <w:rsid w:val="47B6609F"/>
    <w:rsid w:val="47DE60CA"/>
    <w:rsid w:val="47E41556"/>
    <w:rsid w:val="47FD3CCE"/>
    <w:rsid w:val="48045FEC"/>
    <w:rsid w:val="484D3D41"/>
    <w:rsid w:val="4870272E"/>
    <w:rsid w:val="48795512"/>
    <w:rsid w:val="48D52AE9"/>
    <w:rsid w:val="48ED491A"/>
    <w:rsid w:val="49441489"/>
    <w:rsid w:val="49624AA9"/>
    <w:rsid w:val="49723B3A"/>
    <w:rsid w:val="49746212"/>
    <w:rsid w:val="49805630"/>
    <w:rsid w:val="49DC7715"/>
    <w:rsid w:val="49E54A1A"/>
    <w:rsid w:val="49FA406B"/>
    <w:rsid w:val="4A023139"/>
    <w:rsid w:val="4A4060F4"/>
    <w:rsid w:val="4A62250E"/>
    <w:rsid w:val="4A7B576F"/>
    <w:rsid w:val="4A7D10F6"/>
    <w:rsid w:val="4AD85946"/>
    <w:rsid w:val="4AF561A9"/>
    <w:rsid w:val="4B7A3887"/>
    <w:rsid w:val="4B9E4BBF"/>
    <w:rsid w:val="4BAB3A41"/>
    <w:rsid w:val="4C060FB7"/>
    <w:rsid w:val="4C136C34"/>
    <w:rsid w:val="4C455C43"/>
    <w:rsid w:val="4C4A0649"/>
    <w:rsid w:val="4C7E5ECA"/>
    <w:rsid w:val="4C876AA5"/>
    <w:rsid w:val="4CA867E7"/>
    <w:rsid w:val="4CD00783"/>
    <w:rsid w:val="4CFE4613"/>
    <w:rsid w:val="4D0E00FB"/>
    <w:rsid w:val="4D176606"/>
    <w:rsid w:val="4D2B1FC9"/>
    <w:rsid w:val="4D327E0D"/>
    <w:rsid w:val="4D55712F"/>
    <w:rsid w:val="4DC808DA"/>
    <w:rsid w:val="4DD70872"/>
    <w:rsid w:val="4DE80F7C"/>
    <w:rsid w:val="4DEC4FB0"/>
    <w:rsid w:val="4DF75DA9"/>
    <w:rsid w:val="4E075D8A"/>
    <w:rsid w:val="4E300A02"/>
    <w:rsid w:val="4E606D65"/>
    <w:rsid w:val="4EC00FAD"/>
    <w:rsid w:val="4ECA458F"/>
    <w:rsid w:val="4ED13B16"/>
    <w:rsid w:val="4EDF3C3D"/>
    <w:rsid w:val="4EE97A4B"/>
    <w:rsid w:val="4EFD2805"/>
    <w:rsid w:val="4F9843DC"/>
    <w:rsid w:val="4FC62A8C"/>
    <w:rsid w:val="4FE20F0D"/>
    <w:rsid w:val="4FE51552"/>
    <w:rsid w:val="50504C4B"/>
    <w:rsid w:val="50574197"/>
    <w:rsid w:val="50854860"/>
    <w:rsid w:val="509C6E7C"/>
    <w:rsid w:val="50CA461C"/>
    <w:rsid w:val="50CF71DC"/>
    <w:rsid w:val="50D2692C"/>
    <w:rsid w:val="50DB0924"/>
    <w:rsid w:val="50E9598B"/>
    <w:rsid w:val="511B3417"/>
    <w:rsid w:val="513B5867"/>
    <w:rsid w:val="513E4798"/>
    <w:rsid w:val="5162104E"/>
    <w:rsid w:val="51752B27"/>
    <w:rsid w:val="51BB2504"/>
    <w:rsid w:val="51F0681A"/>
    <w:rsid w:val="520567C7"/>
    <w:rsid w:val="52265069"/>
    <w:rsid w:val="52D51455"/>
    <w:rsid w:val="532571E7"/>
    <w:rsid w:val="536C1D08"/>
    <w:rsid w:val="53750594"/>
    <w:rsid w:val="53A039CC"/>
    <w:rsid w:val="53A1505A"/>
    <w:rsid w:val="54063E08"/>
    <w:rsid w:val="54181E8F"/>
    <w:rsid w:val="54240834"/>
    <w:rsid w:val="543437E8"/>
    <w:rsid w:val="547A309B"/>
    <w:rsid w:val="54922A84"/>
    <w:rsid w:val="54F73313"/>
    <w:rsid w:val="54F80955"/>
    <w:rsid w:val="55116B8B"/>
    <w:rsid w:val="55347358"/>
    <w:rsid w:val="555170A7"/>
    <w:rsid w:val="555756CB"/>
    <w:rsid w:val="55587508"/>
    <w:rsid w:val="556E7FB9"/>
    <w:rsid w:val="5587536D"/>
    <w:rsid w:val="5588094F"/>
    <w:rsid w:val="559B174B"/>
    <w:rsid w:val="55CE0CF4"/>
    <w:rsid w:val="55DA7547"/>
    <w:rsid w:val="55DE12EE"/>
    <w:rsid w:val="561346BC"/>
    <w:rsid w:val="562B7C58"/>
    <w:rsid w:val="56403DD6"/>
    <w:rsid w:val="564C26D1"/>
    <w:rsid w:val="565A0CA4"/>
    <w:rsid w:val="56662F42"/>
    <w:rsid w:val="56735555"/>
    <w:rsid w:val="5679703F"/>
    <w:rsid w:val="568E48B9"/>
    <w:rsid w:val="56AF75AB"/>
    <w:rsid w:val="56B22A9C"/>
    <w:rsid w:val="56DE7119"/>
    <w:rsid w:val="57154464"/>
    <w:rsid w:val="573B4F0C"/>
    <w:rsid w:val="57664CC0"/>
    <w:rsid w:val="57904B13"/>
    <w:rsid w:val="57B72A76"/>
    <w:rsid w:val="57C3426C"/>
    <w:rsid w:val="57C77E54"/>
    <w:rsid w:val="57CE1F93"/>
    <w:rsid w:val="57F23508"/>
    <w:rsid w:val="58242BB1"/>
    <w:rsid w:val="582C401E"/>
    <w:rsid w:val="58831FCD"/>
    <w:rsid w:val="5886386C"/>
    <w:rsid w:val="588743D1"/>
    <w:rsid w:val="5887701A"/>
    <w:rsid w:val="5889335C"/>
    <w:rsid w:val="58F20481"/>
    <w:rsid w:val="58F72073"/>
    <w:rsid w:val="590A624B"/>
    <w:rsid w:val="59276C6A"/>
    <w:rsid w:val="593C3F2A"/>
    <w:rsid w:val="59653AB3"/>
    <w:rsid w:val="597B0EF6"/>
    <w:rsid w:val="598D0C2A"/>
    <w:rsid w:val="59AD3226"/>
    <w:rsid w:val="59B22C1D"/>
    <w:rsid w:val="59C0439F"/>
    <w:rsid w:val="5A033B30"/>
    <w:rsid w:val="5A27258A"/>
    <w:rsid w:val="5A581238"/>
    <w:rsid w:val="5A600B69"/>
    <w:rsid w:val="5A737E20"/>
    <w:rsid w:val="5ABE2233"/>
    <w:rsid w:val="5AD82D86"/>
    <w:rsid w:val="5B2F5419"/>
    <w:rsid w:val="5B461090"/>
    <w:rsid w:val="5B6B4F9B"/>
    <w:rsid w:val="5BA35B88"/>
    <w:rsid w:val="5BDF5D95"/>
    <w:rsid w:val="5BFE7528"/>
    <w:rsid w:val="5C043425"/>
    <w:rsid w:val="5C225659"/>
    <w:rsid w:val="5C4750C0"/>
    <w:rsid w:val="5C8E7193"/>
    <w:rsid w:val="5DA94A12"/>
    <w:rsid w:val="5E0D63B3"/>
    <w:rsid w:val="5E2467F1"/>
    <w:rsid w:val="5E3B0C54"/>
    <w:rsid w:val="5E897C12"/>
    <w:rsid w:val="5E99597B"/>
    <w:rsid w:val="5F17110D"/>
    <w:rsid w:val="5F1A2B43"/>
    <w:rsid w:val="5F7133E0"/>
    <w:rsid w:val="5F7436C1"/>
    <w:rsid w:val="5FAD7930"/>
    <w:rsid w:val="5FB837BB"/>
    <w:rsid w:val="5FD90EC5"/>
    <w:rsid w:val="5FE77D21"/>
    <w:rsid w:val="60203616"/>
    <w:rsid w:val="60322961"/>
    <w:rsid w:val="607A007B"/>
    <w:rsid w:val="60CC405A"/>
    <w:rsid w:val="60D27E15"/>
    <w:rsid w:val="6187352E"/>
    <w:rsid w:val="61CC3008"/>
    <w:rsid w:val="61E215D8"/>
    <w:rsid w:val="61F23D20"/>
    <w:rsid w:val="621B3775"/>
    <w:rsid w:val="62337403"/>
    <w:rsid w:val="62364782"/>
    <w:rsid w:val="627E3805"/>
    <w:rsid w:val="62946B85"/>
    <w:rsid w:val="62B75B9C"/>
    <w:rsid w:val="62BD432E"/>
    <w:rsid w:val="62DD6FE0"/>
    <w:rsid w:val="63310878"/>
    <w:rsid w:val="63864720"/>
    <w:rsid w:val="6394356A"/>
    <w:rsid w:val="63967D7A"/>
    <w:rsid w:val="63AB6716"/>
    <w:rsid w:val="63AE257A"/>
    <w:rsid w:val="63C61B2C"/>
    <w:rsid w:val="63D40BE9"/>
    <w:rsid w:val="63FA510E"/>
    <w:rsid w:val="64102431"/>
    <w:rsid w:val="644457D8"/>
    <w:rsid w:val="64740A1C"/>
    <w:rsid w:val="64A5243A"/>
    <w:rsid w:val="64CA2270"/>
    <w:rsid w:val="64E42046"/>
    <w:rsid w:val="64F531DE"/>
    <w:rsid w:val="64FF173A"/>
    <w:rsid w:val="65373578"/>
    <w:rsid w:val="6566037F"/>
    <w:rsid w:val="65CC4888"/>
    <w:rsid w:val="65CD45B0"/>
    <w:rsid w:val="660D7FB1"/>
    <w:rsid w:val="661B6479"/>
    <w:rsid w:val="66223293"/>
    <w:rsid w:val="662D1609"/>
    <w:rsid w:val="66810413"/>
    <w:rsid w:val="66A607AF"/>
    <w:rsid w:val="66A6332B"/>
    <w:rsid w:val="66C11F13"/>
    <w:rsid w:val="671F124A"/>
    <w:rsid w:val="6727621A"/>
    <w:rsid w:val="67463C2E"/>
    <w:rsid w:val="674B6A9E"/>
    <w:rsid w:val="677A33C6"/>
    <w:rsid w:val="678B49FB"/>
    <w:rsid w:val="67A41618"/>
    <w:rsid w:val="67A84D55"/>
    <w:rsid w:val="67B10F88"/>
    <w:rsid w:val="680C2071"/>
    <w:rsid w:val="681F6961"/>
    <w:rsid w:val="683230C8"/>
    <w:rsid w:val="68572B2F"/>
    <w:rsid w:val="685F19E3"/>
    <w:rsid w:val="68610A2F"/>
    <w:rsid w:val="68637725"/>
    <w:rsid w:val="686D5878"/>
    <w:rsid w:val="687A0EDC"/>
    <w:rsid w:val="68805514"/>
    <w:rsid w:val="691427CE"/>
    <w:rsid w:val="69316E2F"/>
    <w:rsid w:val="694851C2"/>
    <w:rsid w:val="694E2071"/>
    <w:rsid w:val="69676BDA"/>
    <w:rsid w:val="69763488"/>
    <w:rsid w:val="69766163"/>
    <w:rsid w:val="697A3B33"/>
    <w:rsid w:val="69B927DE"/>
    <w:rsid w:val="69C52756"/>
    <w:rsid w:val="69C72550"/>
    <w:rsid w:val="69D44760"/>
    <w:rsid w:val="69F94E90"/>
    <w:rsid w:val="69F95F2A"/>
    <w:rsid w:val="6A475160"/>
    <w:rsid w:val="6A520EC7"/>
    <w:rsid w:val="6AF87E20"/>
    <w:rsid w:val="6B322639"/>
    <w:rsid w:val="6BB56979"/>
    <w:rsid w:val="6BCC55E2"/>
    <w:rsid w:val="6C3344FD"/>
    <w:rsid w:val="6C597C18"/>
    <w:rsid w:val="6C636C38"/>
    <w:rsid w:val="6C8A779C"/>
    <w:rsid w:val="6C8C5D89"/>
    <w:rsid w:val="6CC530F8"/>
    <w:rsid w:val="6CF3094C"/>
    <w:rsid w:val="6D064CE2"/>
    <w:rsid w:val="6D374D11"/>
    <w:rsid w:val="6D6303D9"/>
    <w:rsid w:val="6D676B62"/>
    <w:rsid w:val="6DB34098"/>
    <w:rsid w:val="6DB545B6"/>
    <w:rsid w:val="6DCB554C"/>
    <w:rsid w:val="6DE02FB4"/>
    <w:rsid w:val="6E103CBF"/>
    <w:rsid w:val="6E514CED"/>
    <w:rsid w:val="6E6C09B6"/>
    <w:rsid w:val="6EB563D5"/>
    <w:rsid w:val="6EB81C75"/>
    <w:rsid w:val="6EBA3E17"/>
    <w:rsid w:val="6ED92677"/>
    <w:rsid w:val="6EEF5EBF"/>
    <w:rsid w:val="6F0A08FB"/>
    <w:rsid w:val="6F225983"/>
    <w:rsid w:val="6F4831D1"/>
    <w:rsid w:val="6F516715"/>
    <w:rsid w:val="6F5B4DEA"/>
    <w:rsid w:val="6F7A16FE"/>
    <w:rsid w:val="6FFC5590"/>
    <w:rsid w:val="701C3CF7"/>
    <w:rsid w:val="706D1DD0"/>
    <w:rsid w:val="70856B87"/>
    <w:rsid w:val="70D527EE"/>
    <w:rsid w:val="70E41D58"/>
    <w:rsid w:val="70FA5D12"/>
    <w:rsid w:val="715B5300"/>
    <w:rsid w:val="715E4CB9"/>
    <w:rsid w:val="718324DB"/>
    <w:rsid w:val="718F6E95"/>
    <w:rsid w:val="719941B8"/>
    <w:rsid w:val="71CD79BE"/>
    <w:rsid w:val="71CE6DA5"/>
    <w:rsid w:val="71D27F8A"/>
    <w:rsid w:val="71E72C19"/>
    <w:rsid w:val="71FD762F"/>
    <w:rsid w:val="720A0C12"/>
    <w:rsid w:val="72361A07"/>
    <w:rsid w:val="72553024"/>
    <w:rsid w:val="727B032C"/>
    <w:rsid w:val="72A91BAC"/>
    <w:rsid w:val="72BE5DB1"/>
    <w:rsid w:val="72DC25AE"/>
    <w:rsid w:val="72E41784"/>
    <w:rsid w:val="72F0605A"/>
    <w:rsid w:val="730E4732"/>
    <w:rsid w:val="73122968"/>
    <w:rsid w:val="7318735E"/>
    <w:rsid w:val="731F5D5E"/>
    <w:rsid w:val="73347AFE"/>
    <w:rsid w:val="736E51D0"/>
    <w:rsid w:val="73824714"/>
    <w:rsid w:val="73C51AD5"/>
    <w:rsid w:val="74055B35"/>
    <w:rsid w:val="741E793C"/>
    <w:rsid w:val="745E3944"/>
    <w:rsid w:val="745E6FF3"/>
    <w:rsid w:val="74CF5FA2"/>
    <w:rsid w:val="74D56336"/>
    <w:rsid w:val="74F85306"/>
    <w:rsid w:val="75B55338"/>
    <w:rsid w:val="75D237F5"/>
    <w:rsid w:val="75E2011D"/>
    <w:rsid w:val="75E84028"/>
    <w:rsid w:val="75F05CC0"/>
    <w:rsid w:val="7635099D"/>
    <w:rsid w:val="76397D18"/>
    <w:rsid w:val="76D0242A"/>
    <w:rsid w:val="76E30261"/>
    <w:rsid w:val="771B1C48"/>
    <w:rsid w:val="77762421"/>
    <w:rsid w:val="777D1E86"/>
    <w:rsid w:val="77B54BE6"/>
    <w:rsid w:val="77B56B1F"/>
    <w:rsid w:val="780F09F4"/>
    <w:rsid w:val="78153282"/>
    <w:rsid w:val="78A90480"/>
    <w:rsid w:val="79020895"/>
    <w:rsid w:val="79A264C0"/>
    <w:rsid w:val="79AC25AE"/>
    <w:rsid w:val="79D7587D"/>
    <w:rsid w:val="79E031CE"/>
    <w:rsid w:val="7A140880"/>
    <w:rsid w:val="7A1545F8"/>
    <w:rsid w:val="7A364017"/>
    <w:rsid w:val="7A7E7848"/>
    <w:rsid w:val="7A8265E1"/>
    <w:rsid w:val="7A99673F"/>
    <w:rsid w:val="7ABC65D2"/>
    <w:rsid w:val="7B1228E5"/>
    <w:rsid w:val="7B292109"/>
    <w:rsid w:val="7B2F3497"/>
    <w:rsid w:val="7B686D42"/>
    <w:rsid w:val="7B841746"/>
    <w:rsid w:val="7B9F061D"/>
    <w:rsid w:val="7C6C5AC7"/>
    <w:rsid w:val="7CB00E49"/>
    <w:rsid w:val="7CC6544B"/>
    <w:rsid w:val="7CFD1A9F"/>
    <w:rsid w:val="7D0239FF"/>
    <w:rsid w:val="7D5E40CD"/>
    <w:rsid w:val="7DCD56F2"/>
    <w:rsid w:val="7DD520D4"/>
    <w:rsid w:val="7E543940"/>
    <w:rsid w:val="7E6B47E6"/>
    <w:rsid w:val="7E907353"/>
    <w:rsid w:val="7ECF684C"/>
    <w:rsid w:val="7F001CE7"/>
    <w:rsid w:val="7F2E5B01"/>
    <w:rsid w:val="7FDA7E75"/>
    <w:rsid w:val="7FE47E50"/>
    <w:rsid w:val="7FF13411"/>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3"/>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qFormat="1"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39"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name="annotation text"/>
    <w:lsdException w:qFormat="1" w:unhideWhenUsed="0" w:uiPriority="0" w:semiHidden="0" w:name="header"/>
    <w:lsdException w:qFormat="1" w:unhideWhenUsed="0" w:uiPriority="99" w:semiHidden="0" w:name="footer"/>
    <w:lsdException w:qFormat="1" w:unhideWhenUsed="0" w:uiPriority="99" w:semiHidden="0" w:name="index heading"/>
    <w:lsdException w:qFormat="1" w:unhideWhenUsed="0"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nhideWhenUsed="0" w:uiPriority="0" w:semiHidden="0" w:name="Body Text Indent 2"/>
    <w:lsdException w:qFormat="1"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qFormat="1" w:unhideWhenUsed="0" w:uiPriority="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7">
    <w:name w:val="heading 1"/>
    <w:basedOn w:val="1"/>
    <w:next w:val="1"/>
    <w:link w:val="77"/>
    <w:qFormat/>
    <w:uiPriority w:val="99"/>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8">
    <w:name w:val="heading 2"/>
    <w:basedOn w:val="1"/>
    <w:qFormat/>
    <w:uiPriority w:val="0"/>
    <w:pPr>
      <w:keepNext/>
      <w:keepLines/>
      <w:spacing w:line="360" w:lineRule="auto"/>
      <w:ind w:firstLine="640" w:firstLineChars="200"/>
      <w:outlineLvl w:val="1"/>
    </w:pPr>
    <w:rPr>
      <w:rFonts w:ascii="Arial" w:hAnsi="Arial" w:eastAsia="宋体"/>
      <w:b/>
    </w:rPr>
  </w:style>
  <w:style w:type="paragraph" w:styleId="9">
    <w:name w:val="heading 3"/>
    <w:basedOn w:val="1"/>
    <w:next w:val="1"/>
    <w:qFormat/>
    <w:uiPriority w:val="0"/>
    <w:pPr>
      <w:keepNext/>
      <w:keepLines/>
      <w:spacing w:before="260" w:after="260" w:line="416" w:lineRule="auto"/>
      <w:outlineLvl w:val="2"/>
    </w:pPr>
    <w:rPr>
      <w:b/>
      <w:bCs/>
      <w:sz w:val="32"/>
      <w:szCs w:val="32"/>
    </w:rPr>
  </w:style>
  <w:style w:type="paragraph" w:styleId="10">
    <w:name w:val="heading 4"/>
    <w:basedOn w:val="1"/>
    <w:next w:val="1"/>
    <w:qFormat/>
    <w:uiPriority w:val="0"/>
    <w:pPr>
      <w:keepNext/>
      <w:keepLines/>
      <w:spacing w:beforeLines="0" w:beforeAutospacing="0" w:afterLines="0" w:afterAutospacing="0" w:line="360" w:lineRule="auto"/>
      <w:outlineLvl w:val="3"/>
    </w:pPr>
    <w:rPr>
      <w:rFonts w:ascii="Arial" w:hAnsi="Arial" w:eastAsia="宋体"/>
      <w:b/>
      <w:sz w:val="24"/>
    </w:rPr>
  </w:style>
  <w:style w:type="character" w:default="1" w:styleId="32">
    <w:name w:val="Default Paragraph Font"/>
    <w:semiHidden/>
    <w:qFormat/>
    <w:uiPriority w:val="0"/>
  </w:style>
  <w:style w:type="table" w:default="1" w:styleId="30">
    <w:name w:val="Normal Table"/>
    <w:semiHidden/>
    <w:qFormat/>
    <w:uiPriority w:val="0"/>
    <w:tblPr>
      <w:tblCellMar>
        <w:top w:w="0" w:type="dxa"/>
        <w:left w:w="108" w:type="dxa"/>
        <w:bottom w:w="0" w:type="dxa"/>
        <w:right w:w="108" w:type="dxa"/>
      </w:tblCellMar>
    </w:tblPr>
  </w:style>
  <w:style w:type="paragraph" w:customStyle="1" w:styleId="2">
    <w:name w:val="Default"/>
    <w:basedOn w:val="3"/>
    <w:next w:val="4"/>
    <w:qFormat/>
    <w:uiPriority w:val="0"/>
    <w:pPr>
      <w:widowControl w:val="0"/>
      <w:autoSpaceDE w:val="0"/>
      <w:autoSpaceDN w:val="0"/>
      <w:adjustRightInd w:val="0"/>
    </w:pPr>
    <w:rPr>
      <w:rFonts w:ascii="宋体" w:hAnsi="宋体"/>
      <w:color w:val="000000"/>
      <w:sz w:val="24"/>
      <w:lang w:val="en-US" w:eastAsia="zh-CN" w:bidi="ar-SA"/>
    </w:rPr>
  </w:style>
  <w:style w:type="paragraph" w:customStyle="1" w:styleId="3">
    <w:name w:val="纯文本1"/>
    <w:basedOn w:val="1"/>
    <w:qFormat/>
    <w:uiPriority w:val="0"/>
    <w:rPr>
      <w:rFonts w:hint="eastAsia" w:ascii="宋体" w:hAnsi="Courier New"/>
      <w:szCs w:val="24"/>
    </w:rPr>
  </w:style>
  <w:style w:type="paragraph" w:customStyle="1" w:styleId="4">
    <w:name w:val="样式1"/>
    <w:basedOn w:val="5"/>
    <w:next w:val="1"/>
    <w:qFormat/>
    <w:uiPriority w:val="0"/>
    <w:pPr>
      <w:spacing w:beforeLines="50" w:line="440" w:lineRule="exact"/>
      <w:ind w:left="100" w:leftChars="100"/>
    </w:pPr>
    <w:rPr>
      <w:rFonts w:ascii="宋体" w:hAnsi="宋体"/>
    </w:rPr>
  </w:style>
  <w:style w:type="paragraph" w:styleId="5">
    <w:name w:val="index heading"/>
    <w:basedOn w:val="1"/>
    <w:next w:val="6"/>
    <w:qFormat/>
    <w:uiPriority w:val="99"/>
    <w:rPr>
      <w:szCs w:val="20"/>
    </w:rPr>
  </w:style>
  <w:style w:type="paragraph" w:styleId="6">
    <w:name w:val="index 1"/>
    <w:basedOn w:val="1"/>
    <w:next w:val="1"/>
    <w:unhideWhenUsed/>
    <w:qFormat/>
    <w:uiPriority w:val="0"/>
  </w:style>
  <w:style w:type="paragraph" w:styleId="11">
    <w:name w:val="Normal Indent"/>
    <w:basedOn w:val="1"/>
    <w:qFormat/>
    <w:uiPriority w:val="0"/>
    <w:pPr>
      <w:ind w:firstLine="420" w:firstLineChars="200"/>
    </w:pPr>
  </w:style>
  <w:style w:type="paragraph" w:styleId="12">
    <w:name w:val="caption"/>
    <w:basedOn w:val="1"/>
    <w:next w:val="1"/>
    <w:qFormat/>
    <w:uiPriority w:val="0"/>
    <w:rPr>
      <w:rFonts w:ascii="Arial" w:hAnsi="Arial" w:eastAsia="黑体"/>
      <w:sz w:val="20"/>
      <w:szCs w:val="20"/>
    </w:rPr>
  </w:style>
  <w:style w:type="paragraph" w:styleId="13">
    <w:name w:val="Document Map"/>
    <w:basedOn w:val="1"/>
    <w:link w:val="36"/>
    <w:qFormat/>
    <w:uiPriority w:val="0"/>
    <w:rPr>
      <w:rFonts w:ascii="宋体"/>
      <w:sz w:val="18"/>
      <w:szCs w:val="18"/>
    </w:rPr>
  </w:style>
  <w:style w:type="paragraph" w:styleId="14">
    <w:name w:val="annotation text"/>
    <w:basedOn w:val="1"/>
    <w:link w:val="37"/>
    <w:semiHidden/>
    <w:qFormat/>
    <w:uiPriority w:val="0"/>
    <w:pPr>
      <w:jc w:val="left"/>
    </w:pPr>
    <w:rPr>
      <w:kern w:val="0"/>
      <w:sz w:val="24"/>
      <w:szCs w:val="20"/>
    </w:rPr>
  </w:style>
  <w:style w:type="paragraph" w:styleId="15">
    <w:name w:val="Body Text"/>
    <w:basedOn w:val="1"/>
    <w:link w:val="38"/>
    <w:qFormat/>
    <w:uiPriority w:val="0"/>
    <w:pPr>
      <w:widowControl/>
      <w:snapToGrid w:val="0"/>
      <w:spacing w:before="60" w:after="160" w:line="259" w:lineRule="auto"/>
      <w:ind w:right="113"/>
    </w:pPr>
    <w:rPr>
      <w:kern w:val="0"/>
      <w:sz w:val="18"/>
      <w:szCs w:val="20"/>
    </w:rPr>
  </w:style>
  <w:style w:type="paragraph" w:styleId="16">
    <w:name w:val="Body Text Indent"/>
    <w:basedOn w:val="1"/>
    <w:link w:val="39"/>
    <w:qFormat/>
    <w:uiPriority w:val="0"/>
    <w:pPr>
      <w:spacing w:after="120"/>
      <w:ind w:left="420" w:leftChars="200"/>
    </w:pPr>
    <w:rPr>
      <w:kern w:val="0"/>
      <w:sz w:val="24"/>
      <w:szCs w:val="20"/>
    </w:rPr>
  </w:style>
  <w:style w:type="paragraph" w:styleId="17">
    <w:name w:val="Plain Text"/>
    <w:basedOn w:val="1"/>
    <w:next w:val="18"/>
    <w:qFormat/>
    <w:uiPriority w:val="0"/>
    <w:rPr>
      <w:rFonts w:ascii="宋体" w:hAnsi="Courier New"/>
      <w:sz w:val="20"/>
      <w:szCs w:val="20"/>
      <w:lang w:bidi="ar-SA"/>
    </w:rPr>
  </w:style>
  <w:style w:type="paragraph" w:styleId="18">
    <w:name w:val="toc 1"/>
    <w:basedOn w:val="1"/>
    <w:next w:val="1"/>
    <w:qFormat/>
    <w:uiPriority w:val="0"/>
  </w:style>
  <w:style w:type="paragraph" w:styleId="19">
    <w:name w:val="Date"/>
    <w:basedOn w:val="1"/>
    <w:next w:val="1"/>
    <w:link w:val="40"/>
    <w:qFormat/>
    <w:uiPriority w:val="0"/>
    <w:pPr>
      <w:ind w:left="100" w:leftChars="2500"/>
    </w:pPr>
    <w:rPr>
      <w:kern w:val="0"/>
      <w:sz w:val="24"/>
      <w:szCs w:val="20"/>
    </w:rPr>
  </w:style>
  <w:style w:type="paragraph" w:styleId="20">
    <w:name w:val="Body Text Indent 2"/>
    <w:basedOn w:val="1"/>
    <w:qFormat/>
    <w:uiPriority w:val="0"/>
    <w:pPr>
      <w:spacing w:after="120" w:afterLines="0" w:line="480" w:lineRule="auto"/>
      <w:ind w:left="420" w:leftChars="200"/>
    </w:pPr>
  </w:style>
  <w:style w:type="paragraph" w:styleId="21">
    <w:name w:val="Balloon Text"/>
    <w:basedOn w:val="1"/>
    <w:link w:val="41"/>
    <w:semiHidden/>
    <w:qFormat/>
    <w:uiPriority w:val="0"/>
    <w:rPr>
      <w:kern w:val="0"/>
      <w:sz w:val="18"/>
      <w:szCs w:val="20"/>
    </w:rPr>
  </w:style>
  <w:style w:type="paragraph" w:styleId="22">
    <w:name w:val="footer"/>
    <w:basedOn w:val="1"/>
    <w:link w:val="42"/>
    <w:qFormat/>
    <w:uiPriority w:val="99"/>
    <w:pPr>
      <w:tabs>
        <w:tab w:val="center" w:pos="4153"/>
        <w:tab w:val="right" w:pos="8306"/>
      </w:tabs>
      <w:snapToGrid w:val="0"/>
      <w:jc w:val="left"/>
    </w:pPr>
    <w:rPr>
      <w:kern w:val="0"/>
      <w:sz w:val="18"/>
      <w:szCs w:val="20"/>
    </w:rPr>
  </w:style>
  <w:style w:type="paragraph" w:styleId="23">
    <w:name w:val="header"/>
    <w:basedOn w:val="1"/>
    <w:link w:val="43"/>
    <w:qFormat/>
    <w:uiPriority w:val="0"/>
    <w:pPr>
      <w:pBdr>
        <w:bottom w:val="single" w:color="auto" w:sz="6" w:space="1"/>
      </w:pBdr>
      <w:tabs>
        <w:tab w:val="center" w:pos="4153"/>
        <w:tab w:val="right" w:pos="8306"/>
      </w:tabs>
      <w:snapToGrid w:val="0"/>
      <w:jc w:val="center"/>
    </w:pPr>
    <w:rPr>
      <w:kern w:val="0"/>
      <w:sz w:val="18"/>
      <w:szCs w:val="20"/>
    </w:rPr>
  </w:style>
  <w:style w:type="paragraph" w:styleId="24">
    <w:name w:val="Body Text Indent 3"/>
    <w:basedOn w:val="1"/>
    <w:qFormat/>
    <w:uiPriority w:val="0"/>
    <w:pPr>
      <w:spacing w:after="120" w:afterLines="0"/>
      <w:ind w:left="420" w:leftChars="200"/>
    </w:pPr>
    <w:rPr>
      <w:sz w:val="16"/>
      <w:szCs w:val="16"/>
    </w:rPr>
  </w:style>
  <w:style w:type="paragraph" w:styleId="25">
    <w:name w:val="toc 2"/>
    <w:basedOn w:val="1"/>
    <w:next w:val="1"/>
    <w:qFormat/>
    <w:uiPriority w:val="39"/>
    <w:pPr>
      <w:ind w:left="420" w:leftChars="200"/>
    </w:pPr>
  </w:style>
  <w:style w:type="paragraph" w:styleId="26">
    <w:name w:val="Normal (Web)"/>
    <w:basedOn w:val="1"/>
    <w:link w:val="44"/>
    <w:qFormat/>
    <w:uiPriority w:val="0"/>
    <w:pPr>
      <w:widowControl/>
      <w:spacing w:before="100" w:beforeAutospacing="1" w:after="100" w:afterAutospacing="1"/>
      <w:jc w:val="left"/>
    </w:pPr>
    <w:rPr>
      <w:rFonts w:ascii="宋体" w:hAnsi="宋体"/>
      <w:kern w:val="0"/>
      <w:sz w:val="24"/>
      <w:szCs w:val="20"/>
    </w:rPr>
  </w:style>
  <w:style w:type="paragraph" w:styleId="27">
    <w:name w:val="annotation subject"/>
    <w:basedOn w:val="14"/>
    <w:next w:val="14"/>
    <w:link w:val="45"/>
    <w:semiHidden/>
    <w:qFormat/>
    <w:uiPriority w:val="0"/>
    <w:rPr>
      <w:b/>
      <w:kern w:val="2"/>
    </w:rPr>
  </w:style>
  <w:style w:type="paragraph" w:styleId="28">
    <w:name w:val="Body Text First Indent"/>
    <w:basedOn w:val="15"/>
    <w:qFormat/>
    <w:uiPriority w:val="0"/>
    <w:pPr>
      <w:widowControl w:val="0"/>
      <w:snapToGrid/>
      <w:spacing w:before="0" w:after="120" w:line="360" w:lineRule="auto"/>
      <w:ind w:right="0" w:firstLine="420" w:firstLineChars="100"/>
    </w:pPr>
    <w:rPr>
      <w:kern w:val="2"/>
      <w:sz w:val="24"/>
      <w:szCs w:val="24"/>
    </w:rPr>
  </w:style>
  <w:style w:type="paragraph" w:styleId="29">
    <w:name w:val="Body Text First Indent 2"/>
    <w:basedOn w:val="16"/>
    <w:next w:val="1"/>
    <w:qFormat/>
    <w:uiPriority w:val="0"/>
    <w:pPr>
      <w:tabs>
        <w:tab w:val="left" w:pos="540"/>
      </w:tabs>
      <w:spacing w:after="120" w:afterLines="0"/>
      <w:ind w:left="420" w:leftChars="200" w:firstLine="420" w:firstLineChars="200"/>
    </w:pPr>
    <w:rPr>
      <w:sz w:val="21"/>
    </w:rPr>
  </w:style>
  <w:style w:type="table" w:styleId="31">
    <w:name w:val="Table Grid"/>
    <w:basedOn w:val="30"/>
    <w:qFormat/>
    <w:uiPriority w:val="0"/>
    <w:rPr>
      <w:lang w:val="en-US" w:eastAsia="zh-CN" w:bidi="ar-SA"/>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3">
    <w:name w:val="page number"/>
    <w:basedOn w:val="32"/>
    <w:qFormat/>
    <w:uiPriority w:val="0"/>
  </w:style>
  <w:style w:type="character" w:styleId="34">
    <w:name w:val="annotation reference"/>
    <w:semiHidden/>
    <w:qFormat/>
    <w:uiPriority w:val="0"/>
    <w:rPr>
      <w:sz w:val="21"/>
    </w:rPr>
  </w:style>
  <w:style w:type="paragraph" w:customStyle="1" w:styleId="35">
    <w:name w:val="正文1"/>
    <w:basedOn w:val="1"/>
    <w:next w:val="1"/>
    <w:qFormat/>
    <w:uiPriority w:val="0"/>
    <w:pPr>
      <w:spacing w:line="360" w:lineRule="auto"/>
      <w:ind w:firstLine="723" w:firstLineChars="200"/>
    </w:pPr>
    <w:rPr>
      <w:kern w:val="0"/>
      <w:szCs w:val="20"/>
    </w:rPr>
  </w:style>
  <w:style w:type="character" w:customStyle="1" w:styleId="36">
    <w:name w:val="文档结构图 字符"/>
    <w:link w:val="13"/>
    <w:qFormat/>
    <w:uiPriority w:val="0"/>
    <w:rPr>
      <w:rFonts w:ascii="宋体"/>
      <w:kern w:val="2"/>
      <w:sz w:val="18"/>
      <w:szCs w:val="18"/>
    </w:rPr>
  </w:style>
  <w:style w:type="character" w:customStyle="1" w:styleId="37">
    <w:name w:val="批注文字 字符"/>
    <w:link w:val="14"/>
    <w:qFormat/>
    <w:uiPriority w:val="0"/>
    <w:rPr>
      <w:rFonts w:ascii="Times New Roman" w:hAnsi="Times New Roman" w:eastAsia="宋体"/>
      <w:sz w:val="24"/>
    </w:rPr>
  </w:style>
  <w:style w:type="character" w:customStyle="1" w:styleId="38">
    <w:name w:val="正文文本 字符"/>
    <w:link w:val="15"/>
    <w:qFormat/>
    <w:uiPriority w:val="0"/>
    <w:rPr>
      <w:sz w:val="18"/>
    </w:rPr>
  </w:style>
  <w:style w:type="character" w:customStyle="1" w:styleId="39">
    <w:name w:val="正文文本缩进 字符"/>
    <w:link w:val="16"/>
    <w:semiHidden/>
    <w:qFormat/>
    <w:uiPriority w:val="0"/>
    <w:rPr>
      <w:rFonts w:ascii="Times New Roman" w:hAnsi="Times New Roman" w:eastAsia="宋体"/>
      <w:sz w:val="24"/>
    </w:rPr>
  </w:style>
  <w:style w:type="character" w:customStyle="1" w:styleId="40">
    <w:name w:val="日期 字符1"/>
    <w:link w:val="19"/>
    <w:qFormat/>
    <w:uiPriority w:val="0"/>
    <w:rPr>
      <w:rFonts w:ascii="Times New Roman" w:hAnsi="Times New Roman" w:eastAsia="宋体"/>
      <w:sz w:val="24"/>
    </w:rPr>
  </w:style>
  <w:style w:type="character" w:customStyle="1" w:styleId="41">
    <w:name w:val="批注框文本 字符"/>
    <w:link w:val="21"/>
    <w:semiHidden/>
    <w:qFormat/>
    <w:uiPriority w:val="0"/>
    <w:rPr>
      <w:rFonts w:ascii="Times New Roman" w:hAnsi="Times New Roman" w:eastAsia="宋体"/>
      <w:sz w:val="18"/>
    </w:rPr>
  </w:style>
  <w:style w:type="character" w:customStyle="1" w:styleId="42">
    <w:name w:val="页脚 字符1"/>
    <w:link w:val="22"/>
    <w:qFormat/>
    <w:uiPriority w:val="99"/>
    <w:rPr>
      <w:sz w:val="18"/>
    </w:rPr>
  </w:style>
  <w:style w:type="character" w:customStyle="1" w:styleId="43">
    <w:name w:val="页眉 字符"/>
    <w:link w:val="23"/>
    <w:qFormat/>
    <w:uiPriority w:val="0"/>
    <w:rPr>
      <w:sz w:val="18"/>
    </w:rPr>
  </w:style>
  <w:style w:type="character" w:customStyle="1" w:styleId="44">
    <w:name w:val="普通(网站) 字符"/>
    <w:link w:val="26"/>
    <w:qFormat/>
    <w:uiPriority w:val="0"/>
    <w:rPr>
      <w:rFonts w:ascii="宋体" w:hAnsi="宋体" w:eastAsia="宋体"/>
      <w:sz w:val="24"/>
    </w:rPr>
  </w:style>
  <w:style w:type="character" w:customStyle="1" w:styleId="45">
    <w:name w:val="批注主题 字符"/>
    <w:link w:val="27"/>
    <w:semiHidden/>
    <w:qFormat/>
    <w:uiPriority w:val="0"/>
    <w:rPr>
      <w:rFonts w:ascii="Times New Roman" w:hAnsi="Times New Roman" w:eastAsia="宋体"/>
      <w:b/>
      <w:kern w:val="2"/>
      <w:sz w:val="24"/>
    </w:rPr>
  </w:style>
  <w:style w:type="character" w:customStyle="1" w:styleId="46">
    <w:name w:val="正文文本 字符1"/>
    <w:semiHidden/>
    <w:qFormat/>
    <w:uiPriority w:val="0"/>
    <w:rPr>
      <w:rFonts w:ascii="Times New Roman" w:hAnsi="Times New Roman" w:eastAsia="宋体"/>
      <w:sz w:val="24"/>
    </w:rPr>
  </w:style>
  <w:style w:type="character" w:customStyle="1" w:styleId="47">
    <w:name w:val="fontstyle01"/>
    <w:qFormat/>
    <w:uiPriority w:val="0"/>
    <w:rPr>
      <w:rFonts w:ascii="宋体" w:hAnsi="宋体" w:eastAsia="宋体" w:cs="宋体"/>
      <w:color w:val="000000"/>
      <w:sz w:val="24"/>
      <w:szCs w:val="24"/>
    </w:rPr>
  </w:style>
  <w:style w:type="character" w:customStyle="1" w:styleId="48">
    <w:name w:val="表格 Char"/>
    <w:link w:val="49"/>
    <w:qFormat/>
    <w:uiPriority w:val="0"/>
    <w:rPr>
      <w:rFonts w:ascii="宋体"/>
      <w:sz w:val="21"/>
    </w:rPr>
  </w:style>
  <w:style w:type="paragraph" w:customStyle="1" w:styleId="49">
    <w:name w:val="表格"/>
    <w:basedOn w:val="1"/>
    <w:next w:val="1"/>
    <w:link w:val="48"/>
    <w:qFormat/>
    <w:uiPriority w:val="0"/>
    <w:pPr>
      <w:adjustRightInd w:val="0"/>
      <w:snapToGrid w:val="0"/>
      <w:spacing w:beforeLines="10" w:afterLines="10" w:line="259" w:lineRule="auto"/>
      <w:jc w:val="center"/>
    </w:pPr>
    <w:rPr>
      <w:rFonts w:ascii="宋体"/>
      <w:kern w:val="0"/>
      <w:szCs w:val="20"/>
    </w:rPr>
  </w:style>
  <w:style w:type="character" w:customStyle="1" w:styleId="50">
    <w:name w:val="页脚 字符"/>
    <w:basedOn w:val="32"/>
    <w:qFormat/>
    <w:uiPriority w:val="99"/>
  </w:style>
  <w:style w:type="character" w:customStyle="1" w:styleId="51">
    <w:name w:val="批注文字 字符1"/>
    <w:semiHidden/>
    <w:qFormat/>
    <w:uiPriority w:val="0"/>
    <w:rPr>
      <w:rFonts w:ascii="Times New Roman" w:hAnsi="Times New Roman" w:eastAsia="宋体"/>
      <w:sz w:val="24"/>
    </w:rPr>
  </w:style>
  <w:style w:type="character" w:customStyle="1" w:styleId="52">
    <w:name w:val="日期 字符"/>
    <w:semiHidden/>
    <w:qFormat/>
    <w:uiPriority w:val="0"/>
    <w:rPr>
      <w:rFonts w:ascii="Times New Roman" w:hAnsi="Times New Roman" w:eastAsia="宋体"/>
      <w:sz w:val="24"/>
    </w:rPr>
  </w:style>
  <w:style w:type="paragraph" w:styleId="53">
    <w:name w:val="List Paragraph"/>
    <w:basedOn w:val="1"/>
    <w:qFormat/>
    <w:uiPriority w:val="34"/>
    <w:pPr>
      <w:widowControl/>
      <w:ind w:firstLine="420" w:firstLineChars="200"/>
      <w:jc w:val="left"/>
    </w:pPr>
    <w:rPr>
      <w:rFonts w:ascii="宋体" w:hAnsi="宋体" w:cs="宋体"/>
      <w:kern w:val="0"/>
    </w:rPr>
  </w:style>
  <w:style w:type="paragraph" w:customStyle="1" w:styleId="54">
    <w:name w:val="表格 32"/>
    <w:basedOn w:val="1"/>
    <w:qFormat/>
    <w:uiPriority w:val="0"/>
    <w:pPr>
      <w:autoSpaceDE w:val="0"/>
      <w:autoSpaceDN w:val="0"/>
      <w:adjustRightInd w:val="0"/>
      <w:jc w:val="center"/>
      <w:textAlignment w:val="baseline"/>
    </w:pPr>
    <w:rPr>
      <w:rFonts w:ascii="宋体" w:hAnsi="Impact"/>
      <w:kern w:val="24"/>
      <w:sz w:val="24"/>
      <w:szCs w:val="20"/>
    </w:rPr>
  </w:style>
  <w:style w:type="paragraph" w:customStyle="1" w:styleId="55">
    <w:name w:val="xl27"/>
    <w:basedOn w:val="1"/>
    <w:qFormat/>
    <w:uiPriority w:val="0"/>
    <w:pPr>
      <w:widowControl/>
      <w:pBdr>
        <w:bottom w:val="single" w:color="auto" w:sz="12" w:space="0"/>
      </w:pBdr>
      <w:spacing w:before="100" w:after="100"/>
      <w:jc w:val="center"/>
    </w:pPr>
    <w:rPr>
      <w:rFonts w:ascii="宋体" w:hAnsi="宋体"/>
      <w:kern w:val="0"/>
      <w:szCs w:val="20"/>
    </w:rPr>
  </w:style>
  <w:style w:type="paragraph" w:customStyle="1" w:styleId="56">
    <w:name w:val="表格文字"/>
    <w:basedOn w:val="25"/>
    <w:next w:val="1"/>
    <w:qFormat/>
    <w:uiPriority w:val="0"/>
    <w:pPr>
      <w:widowControl/>
      <w:spacing w:before="78" w:beforeLines="25" w:after="78" w:afterLines="25"/>
      <w:ind w:left="0" w:leftChars="0"/>
      <w:jc w:val="center"/>
    </w:pPr>
    <w:rPr>
      <w:rFonts w:ascii="宋体" w:hAnsi="宋体" w:eastAsia="仿宋_GB2312"/>
      <w:kern w:val="0"/>
      <w:sz w:val="24"/>
      <w:szCs w:val="52"/>
    </w:rPr>
  </w:style>
  <w:style w:type="paragraph" w:customStyle="1" w:styleId="57">
    <w:name w:val="表头"/>
    <w:basedOn w:val="1"/>
    <w:qFormat/>
    <w:uiPriority w:val="0"/>
    <w:pPr>
      <w:spacing w:line="360" w:lineRule="auto"/>
      <w:ind w:firstLine="0" w:firstLineChars="0"/>
      <w:jc w:val="center"/>
    </w:pPr>
    <w:rPr>
      <w:rFonts w:eastAsia="黑体"/>
      <w:kern w:val="0"/>
      <w:szCs w:val="21"/>
    </w:rPr>
  </w:style>
  <w:style w:type="paragraph" w:customStyle="1" w:styleId="58">
    <w:name w:val="文本正文"/>
    <w:basedOn w:val="1"/>
    <w:qFormat/>
    <w:uiPriority w:val="0"/>
    <w:pPr>
      <w:snapToGrid w:val="0"/>
      <w:spacing w:line="360" w:lineRule="auto"/>
      <w:ind w:firstLine="510"/>
      <w:jc w:val="left"/>
    </w:pPr>
    <w:rPr>
      <w:spacing w:val="4"/>
      <w:kern w:val="24"/>
      <w:szCs w:val="24"/>
      <w:lang w:val="zh-CN"/>
    </w:rPr>
  </w:style>
  <w:style w:type="paragraph" w:customStyle="1" w:styleId="59">
    <w:name w:val="Body text|1"/>
    <w:basedOn w:val="1"/>
    <w:qFormat/>
    <w:uiPriority w:val="0"/>
    <w:pPr>
      <w:spacing w:line="403" w:lineRule="auto"/>
      <w:ind w:firstLine="400"/>
    </w:pPr>
    <w:rPr>
      <w:rFonts w:ascii="宋体" w:hAnsi="宋体" w:cs="宋体"/>
      <w:sz w:val="30"/>
      <w:szCs w:val="30"/>
      <w:lang w:val="zh-TW" w:eastAsia="zh-TW" w:bidi="zh-TW"/>
    </w:rPr>
  </w:style>
  <w:style w:type="paragraph" w:customStyle="1" w:styleId="60">
    <w:name w:val="正文_10"/>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61">
    <w:name w:val="B-文字"/>
    <w:basedOn w:val="1"/>
    <w:qFormat/>
    <w:uiPriority w:val="0"/>
    <w:pPr>
      <w:jc w:val="center"/>
    </w:pPr>
    <w:rPr>
      <w:szCs w:val="21"/>
    </w:rPr>
  </w:style>
  <w:style w:type="paragraph" w:customStyle="1" w:styleId="62">
    <w:name w:val="acee正文"/>
    <w:basedOn w:val="1"/>
    <w:qFormat/>
    <w:uiPriority w:val="0"/>
    <w:pPr>
      <w:spacing w:line="480" w:lineRule="exact"/>
      <w:ind w:firstLine="640" w:firstLineChars="200"/>
    </w:pPr>
    <w:rPr>
      <w:rFonts w:ascii="仿宋_GB2312" w:hAnsi="宋体" w:eastAsia="仿宋_GB2312"/>
      <w:sz w:val="32"/>
    </w:rPr>
  </w:style>
  <w:style w:type="paragraph" w:customStyle="1" w:styleId="63">
    <w:name w:val="lxc表格内容"/>
    <w:basedOn w:val="1"/>
    <w:qFormat/>
    <w:uiPriority w:val="0"/>
    <w:pPr>
      <w:jc w:val="center"/>
    </w:pPr>
    <w:rPr>
      <w:rFonts w:ascii="Times New Roman" w:hAnsi="Times New Roman"/>
    </w:rPr>
  </w:style>
  <w:style w:type="paragraph" w:customStyle="1" w:styleId="64">
    <w:name w:val="标准正文"/>
    <w:basedOn w:val="1"/>
    <w:qFormat/>
    <w:uiPriority w:val="0"/>
    <w:pPr>
      <w:spacing w:line="240" w:lineRule="auto"/>
      <w:ind w:firstLine="560" w:firstLineChars="200"/>
    </w:pPr>
    <w:rPr>
      <w:rFonts w:hAnsi="宋体"/>
      <w:sz w:val="28"/>
      <w:szCs w:val="28"/>
    </w:rPr>
  </w:style>
  <w:style w:type="paragraph" w:customStyle="1" w:styleId="65">
    <w:name w:val="!正文"/>
    <w:basedOn w:val="1"/>
    <w:qFormat/>
    <w:uiPriority w:val="0"/>
    <w:pPr>
      <w:spacing w:line="480" w:lineRule="exact"/>
      <w:ind w:firstLine="480" w:firstLineChars="200"/>
    </w:pPr>
    <w:rPr>
      <w:rFonts w:hAnsi="宋体" w:cs="宋体"/>
    </w:rPr>
  </w:style>
  <w:style w:type="paragraph" w:customStyle="1" w:styleId="66">
    <w:name w:val="表 图 单位"/>
    <w:basedOn w:val="1"/>
    <w:qFormat/>
    <w:uiPriority w:val="0"/>
    <w:pPr>
      <w:jc w:val="right"/>
    </w:pPr>
    <w:rPr>
      <w:sz w:val="18"/>
      <w:szCs w:val="21"/>
    </w:rPr>
  </w:style>
  <w:style w:type="paragraph" w:customStyle="1" w:styleId="67">
    <w:name w:val="表格题注"/>
    <w:qFormat/>
    <w:uiPriority w:val="0"/>
    <w:pPr>
      <w:suppressAutoHyphens/>
      <w:jc w:val="center"/>
    </w:pPr>
    <w:rPr>
      <w:rFonts w:ascii="Times New Roman" w:hAnsi="Times New Roman" w:eastAsia="宋体" w:cs="Times New Roman"/>
      <w:b/>
      <w:sz w:val="21"/>
      <w:szCs w:val="22"/>
      <w:lang w:val="en-US" w:eastAsia="zh-CN" w:bidi="ar-SA"/>
    </w:rPr>
  </w:style>
  <w:style w:type="paragraph" w:customStyle="1" w:styleId="68">
    <w:name w:val="样式 样式 样式 小四 首行缩进:  2.25 字符 + 首行缩进:  2.25 字符 + 首行缩进:  2 字符"/>
    <w:basedOn w:val="1"/>
    <w:qFormat/>
    <w:uiPriority w:val="0"/>
    <w:pPr>
      <w:spacing w:line="440" w:lineRule="exact"/>
      <w:ind w:firstLine="200" w:firstLineChars="200"/>
    </w:pPr>
    <w:rPr>
      <w:sz w:val="24"/>
    </w:rPr>
  </w:style>
  <w:style w:type="paragraph" w:customStyle="1" w:styleId="69">
    <w:name w:val="样式 标题 1 + 四号 段前: 0 磅 段后: 0 磅 行距: 1.5 倍行距"/>
    <w:basedOn w:val="70"/>
    <w:next w:val="58"/>
    <w:qFormat/>
    <w:uiPriority w:val="0"/>
    <w:pPr>
      <w:spacing w:line="360" w:lineRule="auto"/>
      <w:jc w:val="center"/>
    </w:pPr>
    <w:rPr>
      <w:rFonts w:hAnsi="黑体" w:eastAsia="宋体"/>
      <w:sz w:val="21"/>
    </w:rPr>
  </w:style>
  <w:style w:type="paragraph" w:customStyle="1" w:styleId="70">
    <w:name w:val="1正文"/>
    <w:basedOn w:val="1"/>
    <w:qFormat/>
    <w:uiPriority w:val="0"/>
    <w:pPr>
      <w:spacing w:line="500" w:lineRule="exact"/>
      <w:ind w:firstLine="588" w:firstLineChars="196"/>
    </w:pPr>
    <w:rPr>
      <w:rFonts w:eastAsia="楷体_GB2312"/>
      <w:sz w:val="30"/>
      <w:szCs w:val="30"/>
    </w:rPr>
  </w:style>
  <w:style w:type="paragraph" w:customStyle="1" w:styleId="71">
    <w:name w:val="表标题"/>
    <w:basedOn w:val="1"/>
    <w:qFormat/>
    <w:uiPriority w:val="0"/>
    <w:pPr>
      <w:spacing w:line="240" w:lineRule="auto"/>
      <w:jc w:val="center"/>
    </w:pPr>
    <w:rPr>
      <w:b/>
      <w:kern w:val="0"/>
      <w:sz w:val="21"/>
      <w:szCs w:val="20"/>
    </w:rPr>
  </w:style>
  <w:style w:type="paragraph" w:customStyle="1" w:styleId="72">
    <w:name w:val="表字体"/>
    <w:basedOn w:val="1"/>
    <w:next w:val="1"/>
    <w:qFormat/>
    <w:uiPriority w:val="0"/>
    <w:pPr>
      <w:spacing w:line="240" w:lineRule="auto"/>
      <w:jc w:val="center"/>
    </w:pPr>
    <w:rPr>
      <w:sz w:val="21"/>
    </w:rPr>
  </w:style>
  <w:style w:type="paragraph" w:customStyle="1" w:styleId="73">
    <w:name w:val="表"/>
    <w:basedOn w:val="1"/>
    <w:qFormat/>
    <w:uiPriority w:val="0"/>
    <w:pPr>
      <w:jc w:val="center"/>
      <w:outlineLvl w:val="3"/>
    </w:pPr>
    <w:rPr>
      <w:rFonts w:eastAsia="仿宋_GB2312"/>
      <w:kern w:val="0"/>
      <w:szCs w:val="21"/>
    </w:rPr>
  </w:style>
  <w:style w:type="paragraph" w:customStyle="1" w:styleId="74">
    <w:name w:val="普通(网站)2"/>
    <w:basedOn w:val="1"/>
    <w:qFormat/>
    <w:uiPriority w:val="0"/>
    <w:pPr>
      <w:widowControl/>
      <w:spacing w:before="100" w:beforeAutospacing="1" w:after="100" w:afterAutospacing="1"/>
      <w:jc w:val="left"/>
    </w:pPr>
    <w:rPr>
      <w:rFonts w:ascii="宋体" w:hAnsi="宋体"/>
      <w:sz w:val="24"/>
      <w:szCs w:val="20"/>
    </w:rPr>
  </w:style>
  <w:style w:type="paragraph" w:customStyle="1" w:styleId="75">
    <w:name w:val="Table Paragraph"/>
    <w:basedOn w:val="1"/>
    <w:qFormat/>
    <w:uiPriority w:val="1"/>
    <w:rPr>
      <w:rFonts w:ascii="宋体" w:hAnsi="宋体" w:eastAsia="宋体" w:cs="宋体"/>
    </w:rPr>
  </w:style>
  <w:style w:type="paragraph" w:customStyle="1" w:styleId="76">
    <w:name w:val="_Style 1"/>
    <w:basedOn w:val="1"/>
    <w:qFormat/>
    <w:uiPriority w:val="0"/>
    <w:pPr>
      <w:spacing w:line="481" w:lineRule="atLeast"/>
      <w:ind w:firstLine="623"/>
      <w:textAlignment w:val="baseline"/>
    </w:pPr>
    <w:rPr>
      <w:rFonts w:ascii="Times New Roman" w:hAnsi="Times New Roman" w:eastAsia="仿宋_GB2312" w:cs="Times New Roman"/>
      <w:color w:val="000000"/>
      <w:sz w:val="31"/>
    </w:rPr>
  </w:style>
  <w:style w:type="character" w:customStyle="1" w:styleId="77">
    <w:name w:val="标题 1 Char1"/>
    <w:link w:val="7"/>
    <w:qFormat/>
    <w:uiPriority w:val="0"/>
    <w:rPr>
      <w:rFonts w:eastAsia="黑体"/>
      <w:b/>
      <w:bCs/>
      <w:color w:val="000000"/>
      <w:kern w:val="44"/>
      <w:sz w:val="30"/>
      <w:szCs w:val="30"/>
    </w:rPr>
  </w:style>
  <w:style w:type="paragraph" w:customStyle="1" w:styleId="78">
    <w:name w:val="正文文字"/>
    <w:next w:val="1"/>
    <w:qFormat/>
    <w:uiPriority w:val="0"/>
    <w:pPr>
      <w:widowControl w:val="0"/>
      <w:spacing w:after="120"/>
      <w:jc w:val="both"/>
    </w:pPr>
    <w:rPr>
      <w:rFonts w:ascii="Calibri" w:hAnsi="Calibri" w:eastAsia="宋体" w:cs="Times New Roman"/>
      <w:kern w:val="2"/>
      <w:sz w:val="21"/>
      <w:szCs w:val="24"/>
      <w:lang w:val="en-US" w:eastAsia="zh-CN" w:bidi="ar-SA"/>
    </w:rPr>
  </w:style>
  <w:style w:type="paragraph" w:customStyle="1" w:styleId="79">
    <w:name w:val="报告正文"/>
    <w:basedOn w:val="1"/>
    <w:qFormat/>
    <w:uiPriority w:val="0"/>
    <w:pPr>
      <w:adjustRightInd w:val="0"/>
      <w:snapToGrid w:val="0"/>
      <w:spacing w:line="360" w:lineRule="auto"/>
      <w:ind w:firstLine="200" w:firstLineChars="200"/>
      <w:contextualSpacing/>
    </w:pPr>
    <w:rPr>
      <w:rFonts w:hint="eastAsia"/>
      <w:color w:val="000000"/>
      <w:sz w:val="24"/>
      <w:szCs w:val="18"/>
    </w:rPr>
  </w:style>
</w:styles>
</file>

<file path=word/_rels/document.xml.rels><?xml version="1.0" encoding="UTF-8" standalone="yes"?>
<Relationships xmlns="http://schemas.openxmlformats.org/package/2006/relationships"><Relationship Id="rId99" Type="http://schemas.openxmlformats.org/officeDocument/2006/relationships/image" Target="media/image91.jpeg"/><Relationship Id="rId98" Type="http://schemas.openxmlformats.org/officeDocument/2006/relationships/image" Target="media/image90.jpeg"/><Relationship Id="rId97" Type="http://schemas.openxmlformats.org/officeDocument/2006/relationships/image" Target="media/image89.jpeg"/><Relationship Id="rId96" Type="http://schemas.openxmlformats.org/officeDocument/2006/relationships/image" Target="media/image88.jpeg"/><Relationship Id="rId95" Type="http://schemas.openxmlformats.org/officeDocument/2006/relationships/image" Target="media/image87.jpeg"/><Relationship Id="rId94" Type="http://schemas.openxmlformats.org/officeDocument/2006/relationships/image" Target="media/image86.jpeg"/><Relationship Id="rId93" Type="http://schemas.openxmlformats.org/officeDocument/2006/relationships/image" Target="media/image85.jpeg"/><Relationship Id="rId92" Type="http://schemas.openxmlformats.org/officeDocument/2006/relationships/image" Target="media/image84.jpeg"/><Relationship Id="rId91" Type="http://schemas.openxmlformats.org/officeDocument/2006/relationships/image" Target="media/image83.jpeg"/><Relationship Id="rId90" Type="http://schemas.openxmlformats.org/officeDocument/2006/relationships/image" Target="media/image82.jpeg"/><Relationship Id="rId9" Type="http://schemas.openxmlformats.org/officeDocument/2006/relationships/image" Target="media/image3.jpeg"/><Relationship Id="rId89" Type="http://schemas.openxmlformats.org/officeDocument/2006/relationships/image" Target="media/image81.jpeg"/><Relationship Id="rId88" Type="http://schemas.openxmlformats.org/officeDocument/2006/relationships/image" Target="media/image80.jpeg"/><Relationship Id="rId87" Type="http://schemas.openxmlformats.org/officeDocument/2006/relationships/image" Target="media/image79.jpeg"/><Relationship Id="rId86" Type="http://schemas.openxmlformats.org/officeDocument/2006/relationships/image" Target="media/image78.jpeg"/><Relationship Id="rId85" Type="http://schemas.openxmlformats.org/officeDocument/2006/relationships/image" Target="media/image77.jpeg"/><Relationship Id="rId84" Type="http://schemas.openxmlformats.org/officeDocument/2006/relationships/image" Target="media/image76.jpeg"/><Relationship Id="rId83" Type="http://schemas.openxmlformats.org/officeDocument/2006/relationships/image" Target="media/image75.jpeg"/><Relationship Id="rId82" Type="http://schemas.openxmlformats.org/officeDocument/2006/relationships/image" Target="media/image74.jpeg"/><Relationship Id="rId81" Type="http://schemas.openxmlformats.org/officeDocument/2006/relationships/image" Target="media/image73.jpeg"/><Relationship Id="rId80" Type="http://schemas.openxmlformats.org/officeDocument/2006/relationships/image" Target="media/image72.jpeg"/><Relationship Id="rId8" Type="http://schemas.openxmlformats.org/officeDocument/2006/relationships/image" Target="media/image2.jpeg"/><Relationship Id="rId79" Type="http://schemas.openxmlformats.org/officeDocument/2006/relationships/image" Target="media/image71.jpeg"/><Relationship Id="rId78" Type="http://schemas.openxmlformats.org/officeDocument/2006/relationships/image" Target="media/image70.jpeg"/><Relationship Id="rId77" Type="http://schemas.openxmlformats.org/officeDocument/2006/relationships/image" Target="media/image69.jpeg"/><Relationship Id="rId76" Type="http://schemas.openxmlformats.org/officeDocument/2006/relationships/image" Target="media/image68.jpeg"/><Relationship Id="rId75" Type="http://schemas.openxmlformats.org/officeDocument/2006/relationships/image" Target="media/image67.jpeg"/><Relationship Id="rId74" Type="http://schemas.openxmlformats.org/officeDocument/2006/relationships/image" Target="media/image66.jpeg"/><Relationship Id="rId73" Type="http://schemas.openxmlformats.org/officeDocument/2006/relationships/image" Target="media/image65.jpeg"/><Relationship Id="rId72" Type="http://schemas.openxmlformats.org/officeDocument/2006/relationships/image" Target="media/image64.jpeg"/><Relationship Id="rId71" Type="http://schemas.openxmlformats.org/officeDocument/2006/relationships/image" Target="media/image63.jpeg"/><Relationship Id="rId70" Type="http://schemas.openxmlformats.org/officeDocument/2006/relationships/image" Target="media/image62.jpeg"/><Relationship Id="rId7" Type="http://schemas.openxmlformats.org/officeDocument/2006/relationships/image" Target="media/image1.jpeg"/><Relationship Id="rId69" Type="http://schemas.openxmlformats.org/officeDocument/2006/relationships/image" Target="media/image61.jpeg"/><Relationship Id="rId68" Type="http://schemas.openxmlformats.org/officeDocument/2006/relationships/image" Target="media/image60.jpeg"/><Relationship Id="rId67" Type="http://schemas.openxmlformats.org/officeDocument/2006/relationships/image" Target="media/image59.jpeg"/><Relationship Id="rId66" Type="http://schemas.openxmlformats.org/officeDocument/2006/relationships/image" Target="media/image58.jpeg"/><Relationship Id="rId65" Type="http://schemas.openxmlformats.org/officeDocument/2006/relationships/image" Target="media/image57.jpeg"/><Relationship Id="rId64" Type="http://schemas.openxmlformats.org/officeDocument/2006/relationships/image" Target="media/image56.jpeg"/><Relationship Id="rId63" Type="http://schemas.openxmlformats.org/officeDocument/2006/relationships/image" Target="media/image55.jpeg"/><Relationship Id="rId62" Type="http://schemas.openxmlformats.org/officeDocument/2006/relationships/image" Target="media/image54.jpeg"/><Relationship Id="rId61" Type="http://schemas.openxmlformats.org/officeDocument/2006/relationships/image" Target="media/image53.jpeg"/><Relationship Id="rId60" Type="http://schemas.openxmlformats.org/officeDocument/2006/relationships/image" Target="media/image52.jpeg"/><Relationship Id="rId6" Type="http://schemas.openxmlformats.org/officeDocument/2006/relationships/theme" Target="theme/theme1.xml"/><Relationship Id="rId59" Type="http://schemas.openxmlformats.org/officeDocument/2006/relationships/image" Target="media/image51.jpeg"/><Relationship Id="rId58" Type="http://schemas.openxmlformats.org/officeDocument/2006/relationships/image" Target="media/image50.jpeg"/><Relationship Id="rId57" Type="http://schemas.openxmlformats.org/officeDocument/2006/relationships/image" Target="media/image49.jpeg"/><Relationship Id="rId56" Type="http://schemas.openxmlformats.org/officeDocument/2006/relationships/image" Target="media/image48.jpeg"/><Relationship Id="rId55" Type="http://schemas.openxmlformats.org/officeDocument/2006/relationships/image" Target="media/image47.jpeg"/><Relationship Id="rId54" Type="http://schemas.openxmlformats.org/officeDocument/2006/relationships/image" Target="media/image46.jpeg"/><Relationship Id="rId53" Type="http://schemas.openxmlformats.org/officeDocument/2006/relationships/image" Target="media/image45.jpeg"/><Relationship Id="rId52" Type="http://schemas.openxmlformats.org/officeDocument/2006/relationships/image" Target="media/image44.jpeg"/><Relationship Id="rId51" Type="http://schemas.openxmlformats.org/officeDocument/2006/relationships/image" Target="media/image43.jpeg"/><Relationship Id="rId50" Type="http://schemas.openxmlformats.org/officeDocument/2006/relationships/image" Target="media/image42.jpeg"/><Relationship Id="rId5" Type="http://schemas.openxmlformats.org/officeDocument/2006/relationships/footer" Target="footer3.xml"/><Relationship Id="rId49" Type="http://schemas.openxmlformats.org/officeDocument/2006/relationships/image" Target="media/image41.jpeg"/><Relationship Id="rId48" Type="http://schemas.openxmlformats.org/officeDocument/2006/relationships/image" Target="media/image40.jpeg"/><Relationship Id="rId47" Type="http://schemas.openxmlformats.org/officeDocument/2006/relationships/image" Target="media/image39.png"/><Relationship Id="rId46" Type="http://schemas.openxmlformats.org/officeDocument/2006/relationships/image" Target="media/image38.png"/><Relationship Id="rId45" Type="http://schemas.openxmlformats.org/officeDocument/2006/relationships/image" Target="media/image37.jpeg"/><Relationship Id="rId44" Type="http://schemas.openxmlformats.org/officeDocument/2006/relationships/image" Target="media/image36.png"/><Relationship Id="rId43" Type="http://schemas.openxmlformats.org/officeDocument/2006/relationships/image" Target="media/image35.png"/><Relationship Id="rId42" Type="http://schemas.openxmlformats.org/officeDocument/2006/relationships/image" Target="media/image34.png"/><Relationship Id="rId41" Type="http://schemas.openxmlformats.org/officeDocument/2006/relationships/image" Target="media/image33.png"/><Relationship Id="rId40" Type="http://schemas.openxmlformats.org/officeDocument/2006/relationships/image" Target="media/image32.png"/><Relationship Id="rId4" Type="http://schemas.openxmlformats.org/officeDocument/2006/relationships/footer" Target="footer2.xml"/><Relationship Id="rId39" Type="http://schemas.openxmlformats.org/officeDocument/2006/relationships/image" Target="media/image31.png"/><Relationship Id="rId38" Type="http://schemas.openxmlformats.org/officeDocument/2006/relationships/image" Target="media/image30.png"/><Relationship Id="rId37" Type="http://schemas.openxmlformats.org/officeDocument/2006/relationships/image" Target="media/image29.png"/><Relationship Id="rId36" Type="http://schemas.openxmlformats.org/officeDocument/2006/relationships/image" Target="media/image28.png"/><Relationship Id="rId35" Type="http://schemas.openxmlformats.org/officeDocument/2006/relationships/image" Target="media/image27.jpeg"/><Relationship Id="rId34" Type="http://schemas.openxmlformats.org/officeDocument/2006/relationships/image" Target="media/image26.png"/><Relationship Id="rId33" Type="http://schemas.openxmlformats.org/officeDocument/2006/relationships/image" Target="media/image25.png"/><Relationship Id="rId32" Type="http://schemas.openxmlformats.org/officeDocument/2006/relationships/image" Target="media/image24.png"/><Relationship Id="rId31" Type="http://schemas.openxmlformats.org/officeDocument/2006/relationships/image" Target="media/image23.png"/><Relationship Id="rId30" Type="http://schemas.openxmlformats.org/officeDocument/2006/relationships/image" Target="media/image22.wmf"/><Relationship Id="rId3" Type="http://schemas.openxmlformats.org/officeDocument/2006/relationships/footer" Target="footer1.xml"/><Relationship Id="rId29" Type="http://schemas.openxmlformats.org/officeDocument/2006/relationships/oleObject" Target="embeddings/oleObject2.bin"/><Relationship Id="rId28" Type="http://schemas.openxmlformats.org/officeDocument/2006/relationships/image" Target="media/image21.png"/><Relationship Id="rId27" Type="http://schemas.openxmlformats.org/officeDocument/2006/relationships/image" Target="media/image20.png"/><Relationship Id="rId26" Type="http://schemas.openxmlformats.org/officeDocument/2006/relationships/image" Target="media/image19.png"/><Relationship Id="rId25" Type="http://schemas.openxmlformats.org/officeDocument/2006/relationships/image" Target="media/image18.png"/><Relationship Id="rId24" Type="http://schemas.openxmlformats.org/officeDocument/2006/relationships/image" Target="media/image17.png"/><Relationship Id="rId23" Type="http://schemas.openxmlformats.org/officeDocument/2006/relationships/image" Target="media/image16.png"/><Relationship Id="rId22" Type="http://schemas.openxmlformats.org/officeDocument/2006/relationships/image" Target="media/image15.emf"/><Relationship Id="rId21" Type="http://schemas.openxmlformats.org/officeDocument/2006/relationships/oleObject" Target="embeddings/oleObject1.bin"/><Relationship Id="rId20" Type="http://schemas.openxmlformats.org/officeDocument/2006/relationships/image" Target="media/image14.png"/><Relationship Id="rId2" Type="http://schemas.openxmlformats.org/officeDocument/2006/relationships/settings" Target="settings.xml"/><Relationship Id="rId19" Type="http://schemas.openxmlformats.org/officeDocument/2006/relationships/image" Target="media/image13.png"/><Relationship Id="rId18" Type="http://schemas.openxmlformats.org/officeDocument/2006/relationships/image" Target="media/image12.jpeg"/><Relationship Id="rId17" Type="http://schemas.openxmlformats.org/officeDocument/2006/relationships/image" Target="media/image11.png"/><Relationship Id="rId16" Type="http://schemas.openxmlformats.org/officeDocument/2006/relationships/image" Target="media/image10.jpeg"/><Relationship Id="rId15" Type="http://schemas.openxmlformats.org/officeDocument/2006/relationships/image" Target="media/image9.jpeg"/><Relationship Id="rId14" Type="http://schemas.openxmlformats.org/officeDocument/2006/relationships/image" Target="media/image8.jpeg"/><Relationship Id="rId13" Type="http://schemas.openxmlformats.org/officeDocument/2006/relationships/image" Target="media/image7.jpeg"/><Relationship Id="rId12" Type="http://schemas.openxmlformats.org/officeDocument/2006/relationships/image" Target="media/image6.jpeg"/><Relationship Id="rId118" Type="http://schemas.openxmlformats.org/officeDocument/2006/relationships/fontTable" Target="fontTable.xml"/><Relationship Id="rId117" Type="http://schemas.openxmlformats.org/officeDocument/2006/relationships/numbering" Target="numbering.xml"/><Relationship Id="rId116" Type="http://schemas.openxmlformats.org/officeDocument/2006/relationships/customXml" Target="../customXml/item1.xml"/><Relationship Id="rId115" Type="http://schemas.openxmlformats.org/officeDocument/2006/relationships/image" Target="media/image107.jpeg"/><Relationship Id="rId114" Type="http://schemas.openxmlformats.org/officeDocument/2006/relationships/image" Target="media/image106.jpeg"/><Relationship Id="rId113" Type="http://schemas.openxmlformats.org/officeDocument/2006/relationships/image" Target="media/image105.jpeg"/><Relationship Id="rId112" Type="http://schemas.openxmlformats.org/officeDocument/2006/relationships/image" Target="media/image104.jpeg"/><Relationship Id="rId111" Type="http://schemas.openxmlformats.org/officeDocument/2006/relationships/image" Target="media/image103.jpeg"/><Relationship Id="rId110" Type="http://schemas.openxmlformats.org/officeDocument/2006/relationships/image" Target="media/image102.jpeg"/><Relationship Id="rId11" Type="http://schemas.openxmlformats.org/officeDocument/2006/relationships/image" Target="media/image5.jpeg"/><Relationship Id="rId109" Type="http://schemas.openxmlformats.org/officeDocument/2006/relationships/image" Target="media/image101.jpeg"/><Relationship Id="rId108" Type="http://schemas.openxmlformats.org/officeDocument/2006/relationships/image" Target="media/image100.jpeg"/><Relationship Id="rId107" Type="http://schemas.openxmlformats.org/officeDocument/2006/relationships/image" Target="media/image99.jpeg"/><Relationship Id="rId106" Type="http://schemas.openxmlformats.org/officeDocument/2006/relationships/image" Target="media/image98.jpeg"/><Relationship Id="rId105" Type="http://schemas.openxmlformats.org/officeDocument/2006/relationships/image" Target="media/image97.jpeg"/><Relationship Id="rId104" Type="http://schemas.openxmlformats.org/officeDocument/2006/relationships/image" Target="media/image96.jpeg"/><Relationship Id="rId103" Type="http://schemas.openxmlformats.org/officeDocument/2006/relationships/image" Target="media/image95.jpeg"/><Relationship Id="rId102" Type="http://schemas.openxmlformats.org/officeDocument/2006/relationships/image" Target="media/image94.jpeg"/><Relationship Id="rId101" Type="http://schemas.openxmlformats.org/officeDocument/2006/relationships/image" Target="media/image93.jpeg"/><Relationship Id="rId100" Type="http://schemas.openxmlformats.org/officeDocument/2006/relationships/image" Target="media/image92.jpeg"/><Relationship Id="rId10" Type="http://schemas.openxmlformats.org/officeDocument/2006/relationships/image" Target="media/image4.jpe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wdzx97.dot</Template>
  <Company>微软中国</Company>
  <Pages>153</Pages>
  <Words>758</Words>
  <Characters>806</Characters>
  <Lines>364</Lines>
  <Paragraphs>102</Paragraphs>
  <TotalTime>143</TotalTime>
  <ScaleCrop>false</ScaleCrop>
  <LinksUpToDate>false</LinksUpToDate>
  <CharactersWithSpaces>816</CharactersWithSpaces>
  <Application>WPS Office_12.1.0.15990_F1E327BC-269C-435d-A152-05C5408002CA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2020-12-24T01:29:00Z</dcterms:created>
  <dc:creator>lhj</dc:creator>
  <cp:lastModifiedBy>清许</cp:lastModifiedBy>
  <cp:lastPrinted>2020-12-29T02:43:00Z</cp:lastPrinted>
  <dcterms:modified xsi:type="dcterms:W3CDTF">2025-07-15T07:05:47Z</dcterms:modified>
  <dc:title>附件2</dc:title>
  <cp:revision>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2052-12.1.0.15990</vt:lpwstr>
  </property>
  <property fmtid="{D5CDD505-2E9C-101B-9397-08002B2CF9AE}" pid="3" name="ICV">
    <vt:lpwstr>050BE9B91A7E439C841F9742C94BE55F_13</vt:lpwstr>
  </property>
  <property fmtid="{D5CDD505-2E9C-101B-9397-08002B2CF9AE}" pid="4" name="KSOTemplateDocerSaveRecord">
    <vt:lpwstr>eyJoZGlkIjoiYzU3YjE2MjE0YWE2NmE5ZGE1MWZkY2QwNzg2OGEzMWEifQ==</vt:lpwstr>
  </property>
</Properties>
</file>