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5A913">
      <w:pPr>
        <w:spacing w:before="113" w:line="227" w:lineRule="auto"/>
        <w:jc w:val="center"/>
        <w:outlineLvl w:val="0"/>
        <w:rPr>
          <w:rFonts w:hint="eastAsia" w:ascii="黑体" w:hAnsi="黑体" w:eastAsia="黑体" w:cs="黑体"/>
          <w:sz w:val="35"/>
          <w:szCs w:val="35"/>
          <w:lang w:val="en-US" w:eastAsia="zh-CN"/>
        </w:rPr>
      </w:pPr>
      <w:bookmarkStart w:id="0" w:name="_Toc29106"/>
      <w:bookmarkStart w:id="1" w:name="_Toc3236"/>
      <w:bookmarkStart w:id="18" w:name="_GoBack"/>
      <w:bookmarkEnd w:id="18"/>
      <w:r>
        <w:rPr>
          <w:rFonts w:ascii="黑体" w:hAnsi="黑体" w:eastAsia="黑体" w:cs="黑体"/>
          <w:b/>
          <w:bCs/>
          <w:spacing w:val="6"/>
          <w:sz w:val="35"/>
          <w:szCs w:val="35"/>
        </w:rPr>
        <w:t>采购</w:t>
      </w:r>
      <w:bookmarkEnd w:id="0"/>
      <w:bookmarkEnd w:id="1"/>
      <w:r>
        <w:rPr>
          <w:rFonts w:hint="eastAsia" w:ascii="黑体" w:hAnsi="黑体" w:eastAsia="黑体" w:cs="黑体"/>
          <w:b/>
          <w:bCs/>
          <w:spacing w:val="6"/>
          <w:sz w:val="35"/>
          <w:szCs w:val="35"/>
          <w:lang w:val="en-US" w:eastAsia="zh-CN"/>
        </w:rPr>
        <w:t>需求</w:t>
      </w:r>
    </w:p>
    <w:p w14:paraId="6DEA1F90">
      <w:pPr>
        <w:spacing w:before="100" w:line="225" w:lineRule="auto"/>
        <w:jc w:val="center"/>
        <w:outlineLvl w:val="1"/>
        <w:rPr>
          <w:rFonts w:ascii="宋体" w:hAnsi="宋体" w:eastAsia="宋体" w:cs="宋体"/>
          <w:sz w:val="31"/>
          <w:szCs w:val="31"/>
        </w:rPr>
      </w:pPr>
      <w:bookmarkStart w:id="2" w:name="_Toc15307"/>
      <w:bookmarkStart w:id="3" w:name="_Toc9114"/>
      <w:r>
        <w:rPr>
          <w:rFonts w:ascii="宋体" w:hAnsi="宋体" w:eastAsia="宋体" w:cs="宋体"/>
          <w:b/>
          <w:bCs/>
          <w:spacing w:val="5"/>
          <w:sz w:val="31"/>
          <w:szCs w:val="31"/>
        </w:rPr>
        <w:t>第一节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服务要求</w:t>
      </w:r>
      <w:bookmarkEnd w:id="2"/>
      <w:bookmarkEnd w:id="3"/>
    </w:p>
    <w:p w14:paraId="203CAF0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84" w:leftChars="228" w:hanging="1205" w:hangingChars="500"/>
        <w:jc w:val="left"/>
        <w:textAlignment w:val="baseline"/>
        <w:outlineLvl w:val="2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</w:pPr>
      <w:bookmarkStart w:id="4" w:name="_Toc24561"/>
      <w:bookmarkStart w:id="5" w:name="_Toc9122"/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  <w:t>一、项目概况：</w:t>
      </w:r>
      <w:bookmarkEnd w:id="4"/>
      <w:bookmarkEnd w:id="5"/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578A9EB7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79" w:leftChars="228" w:hanging="1200" w:hangingChars="5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项目名称：衡阳县公安局天网一、二、三、四期，雪亮二期光缆链路租赁及设备维护服务采购项目</w:t>
      </w:r>
    </w:p>
    <w:p w14:paraId="507264C8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79" w:leftChars="228" w:hanging="1200" w:hangingChars="5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采购预算：3528240.00元；</w:t>
      </w:r>
    </w:p>
    <w:p w14:paraId="1BED796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79" w:leftChars="228" w:hanging="1200" w:hangingChars="5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最高限价：包1：￥1110075.00元</w:t>
      </w:r>
    </w:p>
    <w:p w14:paraId="72E4CF0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79" w:leftChars="228" w:hanging="1200" w:hangingChars="5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          包2：￥2418165.00元</w:t>
      </w:r>
    </w:p>
    <w:p w14:paraId="137186B3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79" w:leftChars="228" w:hanging="1200" w:hangingChars="5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项目概况：衡阳县公安局天网一、二、三、四期，雪亮二期光缆链路租赁及设备维护服务相关的前端感知系统、视频监控系统、环境配套系统、系统工程等软硬件设备以及项目用电和网络通信保障。</w:t>
      </w:r>
    </w:p>
    <w:p w14:paraId="001388E7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84" w:leftChars="228" w:hanging="1205" w:hangingChars="500"/>
        <w:jc w:val="left"/>
        <w:textAlignment w:val="baseline"/>
        <w:outlineLvl w:val="2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</w:pPr>
      <w:bookmarkStart w:id="6" w:name="_Toc3840"/>
      <w:bookmarkStart w:id="7" w:name="_Toc31388"/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  <w:t>采购内容及数量</w:t>
      </w:r>
      <w:bookmarkEnd w:id="6"/>
      <w:bookmarkEnd w:id="7"/>
    </w:p>
    <w:p w14:paraId="6E1AD9F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-272"/>
        <w:jc w:val="left"/>
        <w:textAlignment w:val="baseline"/>
        <w:rPr>
          <w:rFonts w:hint="default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         包1：</w:t>
      </w:r>
    </w:p>
    <w:tbl>
      <w:tblPr>
        <w:tblStyle w:val="5"/>
        <w:tblW w:w="96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093"/>
        <w:gridCol w:w="4802"/>
        <w:gridCol w:w="660"/>
        <w:gridCol w:w="675"/>
        <w:gridCol w:w="690"/>
        <w:gridCol w:w="1078"/>
      </w:tblGrid>
      <w:tr w14:paraId="7C11A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56" w:type="dxa"/>
            <w:vAlign w:val="center"/>
          </w:tcPr>
          <w:p w14:paraId="062B8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3" w:type="dxa"/>
            <w:vAlign w:val="center"/>
          </w:tcPr>
          <w:p w14:paraId="1A2F7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运维项目</w:t>
            </w:r>
          </w:p>
          <w:p w14:paraId="38161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802" w:type="dxa"/>
            <w:vAlign w:val="center"/>
          </w:tcPr>
          <w:p w14:paraId="36E7A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60" w:type="dxa"/>
            <w:vAlign w:val="center"/>
          </w:tcPr>
          <w:p w14:paraId="2F35B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vAlign w:val="center"/>
          </w:tcPr>
          <w:p w14:paraId="1F1A3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vAlign w:val="center"/>
          </w:tcPr>
          <w:p w14:paraId="7F827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运维期（1年）</w:t>
            </w:r>
          </w:p>
        </w:tc>
        <w:tc>
          <w:tcPr>
            <w:tcW w:w="1078" w:type="dxa"/>
            <w:vAlign w:val="center"/>
          </w:tcPr>
          <w:p w14:paraId="3115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单价（元/个/年）</w:t>
            </w:r>
          </w:p>
        </w:tc>
      </w:tr>
      <w:tr w14:paraId="220D9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2" w:hRule="atLeast"/>
        </w:trPr>
        <w:tc>
          <w:tcPr>
            <w:tcW w:w="656" w:type="dxa"/>
            <w:vAlign w:val="center"/>
          </w:tcPr>
          <w:p w14:paraId="242AC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 w14:paraId="29364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天网一期前端设备维护费</w:t>
            </w:r>
          </w:p>
        </w:tc>
        <w:tc>
          <w:tcPr>
            <w:tcW w:w="4802" w:type="dxa"/>
            <w:vAlign w:val="center"/>
          </w:tcPr>
          <w:p w14:paraId="4634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 .高清枪机860台(含立杆)、卡口15个(含立杆)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2.运行维护时间:为1年: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运行维护内容:包括日常监控与巡检、故障诊断处理及维修、原厂延保服务、维修维护服务、重大活动保障、系统升级及性能优化、业务扩展服务、资产管理定期清洁保养、运维资料管理、前端点位拆除、迁移和增补等，确保系统设备正常运行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4.运行维护费组成:含日常人工维保费、工程车辆使用费、维保工具用具使用费、材料费(含更换材料)等全部前端设备维护内容费用: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5.需提供80台双目双光结构化变焦枪型网络摄像机备品</w:t>
            </w:r>
          </w:p>
        </w:tc>
        <w:tc>
          <w:tcPr>
            <w:tcW w:w="660" w:type="dxa"/>
            <w:vAlign w:val="center"/>
          </w:tcPr>
          <w:p w14:paraId="52737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671E4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690" w:type="dxa"/>
            <w:vAlign w:val="center"/>
          </w:tcPr>
          <w:p w14:paraId="0A690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vAlign w:val="center"/>
          </w:tcPr>
          <w:p w14:paraId="0DD77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5EB76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56" w:type="dxa"/>
            <w:vAlign w:val="center"/>
          </w:tcPr>
          <w:p w14:paraId="5C68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vAlign w:val="center"/>
          </w:tcPr>
          <w:p w14:paraId="460BA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天网一期电费</w:t>
            </w:r>
          </w:p>
        </w:tc>
        <w:tc>
          <w:tcPr>
            <w:tcW w:w="4802" w:type="dxa"/>
            <w:vAlign w:val="center"/>
          </w:tcPr>
          <w:p w14:paraId="0A22D7E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3E25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296AB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690" w:type="dxa"/>
            <w:vAlign w:val="center"/>
          </w:tcPr>
          <w:p w14:paraId="13287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vAlign w:val="center"/>
          </w:tcPr>
          <w:p w14:paraId="585E3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</w:tr>
    </w:tbl>
    <w:p w14:paraId="0336C5C4">
      <w:pPr>
        <w:spacing w:line="195" w:lineRule="auto"/>
        <w:jc w:val="left"/>
        <w:rPr>
          <w:rFonts w:ascii="Times New Roman" w:hAnsi="Times New Roman" w:eastAsia="Times New Roman" w:cs="Times New Roman"/>
          <w:sz w:val="21"/>
          <w:szCs w:val="21"/>
        </w:rPr>
        <w:sectPr>
          <w:pgSz w:w="11905" w:h="16839"/>
          <w:pgMar w:top="1134" w:right="1134" w:bottom="1134" w:left="1134" w:header="0" w:footer="1134" w:gutter="0"/>
          <w:pgNumType w:fmt="decimal"/>
          <w:cols w:space="0" w:num="1"/>
          <w:rtlGutter w:val="0"/>
          <w:docGrid w:linePitch="0" w:charSpace="0"/>
        </w:sectPr>
      </w:pPr>
    </w:p>
    <w:tbl>
      <w:tblPr>
        <w:tblStyle w:val="5"/>
        <w:tblW w:w="94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093"/>
        <w:gridCol w:w="4802"/>
        <w:gridCol w:w="630"/>
        <w:gridCol w:w="675"/>
        <w:gridCol w:w="675"/>
        <w:gridCol w:w="945"/>
      </w:tblGrid>
      <w:tr w14:paraId="5CF3F9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671" w:type="dxa"/>
            <w:vAlign w:val="center"/>
          </w:tcPr>
          <w:p w14:paraId="3225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vAlign w:val="center"/>
          </w:tcPr>
          <w:p w14:paraId="74D9D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天网一期光纤链路租赁费</w:t>
            </w:r>
          </w:p>
        </w:tc>
        <w:tc>
          <w:tcPr>
            <w:tcW w:w="4802" w:type="dxa"/>
            <w:vAlign w:val="center"/>
          </w:tcPr>
          <w:p w14:paraId="5DDA5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1.运行维护光纤线路租赁工程量:光纤专线10M；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2.运行维护时间为1年: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3.运行维护光纤线路租赁费:治安监控前端及非机车卡口、微卡光纤租用、独享线路及网络设备，确保安全性</w:t>
            </w:r>
          </w:p>
        </w:tc>
        <w:tc>
          <w:tcPr>
            <w:tcW w:w="630" w:type="dxa"/>
            <w:vAlign w:val="center"/>
          </w:tcPr>
          <w:p w14:paraId="4B048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114AE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675" w:type="dxa"/>
            <w:vAlign w:val="center"/>
          </w:tcPr>
          <w:p w14:paraId="27DAE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vAlign w:val="center"/>
          </w:tcPr>
          <w:p w14:paraId="3AF9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</w:tr>
    </w:tbl>
    <w:p w14:paraId="2A054ECD">
      <w:pPr>
        <w:spacing w:before="78" w:line="219" w:lineRule="auto"/>
        <w:ind w:firstLine="614" w:firstLineChars="300"/>
        <w:jc w:val="left"/>
        <w:rPr>
          <w:rFonts w:hint="default" w:ascii="宋体" w:hAnsi="宋体" w:eastAsia="宋体" w:cs="宋体"/>
          <w:b/>
          <w:bCs/>
          <w:spacing w:val="-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21"/>
          <w:szCs w:val="21"/>
          <w:lang w:eastAsia="zh-CN"/>
        </w:rPr>
        <w:t>包</w:t>
      </w:r>
      <w:r>
        <w:rPr>
          <w:rFonts w:hint="eastAsia" w:ascii="宋体" w:hAnsi="宋体" w:eastAsia="宋体" w:cs="宋体"/>
          <w:b/>
          <w:bCs/>
          <w:spacing w:val="-3"/>
          <w:sz w:val="21"/>
          <w:szCs w:val="21"/>
          <w:lang w:val="en-US" w:eastAsia="zh-CN"/>
        </w:rPr>
        <w:t>2：</w:t>
      </w:r>
    </w:p>
    <w:tbl>
      <w:tblPr>
        <w:tblStyle w:val="5"/>
        <w:tblW w:w="96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40"/>
        <w:gridCol w:w="5670"/>
        <w:gridCol w:w="435"/>
        <w:gridCol w:w="510"/>
        <w:gridCol w:w="690"/>
        <w:gridCol w:w="870"/>
      </w:tblGrid>
      <w:tr w14:paraId="110B1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56" w:type="dxa"/>
            <w:vAlign w:val="center"/>
          </w:tcPr>
          <w:p w14:paraId="1AC4C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vAlign w:val="center"/>
          </w:tcPr>
          <w:p w14:paraId="2E9FE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运维项目名称</w:t>
            </w:r>
          </w:p>
        </w:tc>
        <w:tc>
          <w:tcPr>
            <w:tcW w:w="5670" w:type="dxa"/>
            <w:vAlign w:val="center"/>
          </w:tcPr>
          <w:p w14:paraId="60347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35" w:type="dxa"/>
            <w:vAlign w:val="center"/>
          </w:tcPr>
          <w:p w14:paraId="5B028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10" w:type="dxa"/>
            <w:vAlign w:val="center"/>
          </w:tcPr>
          <w:p w14:paraId="08D23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vAlign w:val="center"/>
          </w:tcPr>
          <w:p w14:paraId="44090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b/>
                <w:bCs/>
                <w:spacing w:val="-9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运维期（1年）</w:t>
            </w:r>
          </w:p>
        </w:tc>
        <w:tc>
          <w:tcPr>
            <w:tcW w:w="870" w:type="dxa"/>
            <w:vAlign w:val="center"/>
          </w:tcPr>
          <w:p w14:paraId="18E26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pacing w:val="-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单价（元/个/年）</w:t>
            </w:r>
          </w:p>
        </w:tc>
      </w:tr>
      <w:tr w14:paraId="48F27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6" w:type="dxa"/>
            <w:vAlign w:val="center"/>
          </w:tcPr>
          <w:p w14:paraId="141E7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 w14:paraId="0BA49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天网二三四期、雪亮二期前端设备维护费</w:t>
            </w:r>
          </w:p>
        </w:tc>
        <w:tc>
          <w:tcPr>
            <w:tcW w:w="5670" w:type="dxa"/>
            <w:vAlign w:val="center"/>
          </w:tcPr>
          <w:p w14:paraId="5A6D6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1高清枪机900台(含立杆)、卡口25个(含立杆)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2.运行维护时间:为1年: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运行维护内容:包括日常监控与巡检、故障诊断处理及维修、原厂延保服务、维修维护服务、重大活动保障、系统升级及性能优化、业务扩展服务、资产管理定期清洁保养、运维资料管理、前端点位拆除、迁移和增补等，确保系统设备正常运行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4.运行维护费组成:含日常人工维保费、工程车辆使用费、维保工具用具使用费、材料费(含更换材料)等全部前端设备维护内容费用；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5.需提供140台双目双光结构化变焦枪型网络摄像机</w:t>
            </w:r>
          </w:p>
        </w:tc>
        <w:tc>
          <w:tcPr>
            <w:tcW w:w="435" w:type="dxa"/>
            <w:vAlign w:val="center"/>
          </w:tcPr>
          <w:p w14:paraId="75FF7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vAlign w:val="center"/>
          </w:tcPr>
          <w:p w14:paraId="06FD8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1185</w:t>
            </w:r>
          </w:p>
        </w:tc>
        <w:tc>
          <w:tcPr>
            <w:tcW w:w="690" w:type="dxa"/>
            <w:vAlign w:val="center"/>
          </w:tcPr>
          <w:p w14:paraId="0A51A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 w14:paraId="684A9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1A1B5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656" w:type="dxa"/>
            <w:vAlign w:val="center"/>
          </w:tcPr>
          <w:p w14:paraId="29236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vAlign w:val="center"/>
          </w:tcPr>
          <w:p w14:paraId="13CD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天网二三四期、雪亮二期后端设备维护费</w:t>
            </w:r>
          </w:p>
        </w:tc>
        <w:tc>
          <w:tcPr>
            <w:tcW w:w="5670" w:type="dxa"/>
            <w:vAlign w:val="center"/>
          </w:tcPr>
          <w:p w14:paraId="765ED48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运行维护后端设备工程量:综治监控管理平台2套、数据库服务器2台、云存储元数据服务器4台、云存储数据存储节点8套、4T硬盘900块、云存储万兆交换机1台、平台网关10台；</w:t>
            </w:r>
          </w:p>
          <w:p w14:paraId="20B903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2.运行维护时间:为1年;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3.运行维护内容:包括日常监控与巡检、故障诊断处及维修、原厂延保服务、维修维护服务、重大活动保障、系统升级及性能优化、业务扩展服务、资产管理；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4.需提供8T硬盘50块作为云存储备品</w:t>
            </w:r>
          </w:p>
        </w:tc>
        <w:tc>
          <w:tcPr>
            <w:tcW w:w="435" w:type="dxa"/>
            <w:vAlign w:val="center"/>
          </w:tcPr>
          <w:p w14:paraId="4C42B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vAlign w:val="center"/>
          </w:tcPr>
          <w:p w14:paraId="19D89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Align w:val="center"/>
          </w:tcPr>
          <w:p w14:paraId="7C9B7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 w14:paraId="2C936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279240</w:t>
            </w:r>
          </w:p>
        </w:tc>
      </w:tr>
      <w:tr w14:paraId="329A2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656" w:type="dxa"/>
            <w:vAlign w:val="center"/>
          </w:tcPr>
          <w:p w14:paraId="32F69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Align w:val="center"/>
          </w:tcPr>
          <w:p w14:paraId="3C536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天网二三四期、雪亮二期电费</w:t>
            </w:r>
          </w:p>
        </w:tc>
        <w:tc>
          <w:tcPr>
            <w:tcW w:w="5670" w:type="dxa"/>
            <w:vAlign w:val="top"/>
          </w:tcPr>
          <w:p w14:paraId="1B2B2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5C5B2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vAlign w:val="center"/>
          </w:tcPr>
          <w:p w14:paraId="74B64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1185</w:t>
            </w:r>
          </w:p>
        </w:tc>
        <w:tc>
          <w:tcPr>
            <w:tcW w:w="690" w:type="dxa"/>
            <w:vAlign w:val="center"/>
          </w:tcPr>
          <w:p w14:paraId="03BBD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 w14:paraId="34EF5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</w:tr>
      <w:tr w14:paraId="7F52E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656" w:type="dxa"/>
            <w:vAlign w:val="center"/>
          </w:tcPr>
          <w:p w14:paraId="4129C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vAlign w:val="center"/>
          </w:tcPr>
          <w:p w14:paraId="03334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天网二三四期、雪亮二期光纤链路租赁费</w:t>
            </w:r>
          </w:p>
        </w:tc>
        <w:tc>
          <w:tcPr>
            <w:tcW w:w="5670" w:type="dxa"/>
            <w:vAlign w:val="center"/>
          </w:tcPr>
          <w:p w14:paraId="37F67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1.运行维护光纤线路租赁工程量:光纤专线10M；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2.运行维护时间为1年: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3.运行维护光纤线路租赁费:治安监控前端及非机车卡口、微卡光纤租用、独享线路及网络设备，确保安全性</w:t>
            </w:r>
          </w:p>
        </w:tc>
        <w:tc>
          <w:tcPr>
            <w:tcW w:w="435" w:type="dxa"/>
            <w:vAlign w:val="center"/>
          </w:tcPr>
          <w:p w14:paraId="46AFD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vAlign w:val="center"/>
          </w:tcPr>
          <w:p w14:paraId="686A7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1185</w:t>
            </w:r>
          </w:p>
        </w:tc>
        <w:tc>
          <w:tcPr>
            <w:tcW w:w="690" w:type="dxa"/>
            <w:vAlign w:val="center"/>
          </w:tcPr>
          <w:p w14:paraId="50102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 w14:paraId="76AF8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</w:tr>
    </w:tbl>
    <w:p w14:paraId="749D6476">
      <w:pPr>
        <w:spacing w:before="78" w:line="219" w:lineRule="auto"/>
        <w:ind w:left="1073" w:firstLine="410" w:firstLineChars="200"/>
        <w:jc w:val="left"/>
        <w:rPr>
          <w:rFonts w:ascii="宋体" w:hAnsi="宋体" w:eastAsia="宋体" w:cs="宋体"/>
          <w:b/>
          <w:bCs/>
          <w:spacing w:val="-3"/>
          <w:sz w:val="21"/>
          <w:szCs w:val="21"/>
        </w:rPr>
      </w:pPr>
    </w:p>
    <w:p w14:paraId="72016286">
      <w:pPr>
        <w:spacing w:before="78" w:line="219" w:lineRule="auto"/>
        <w:ind w:firstLine="614" w:firstLineChars="300"/>
        <w:jc w:val="left"/>
        <w:rPr>
          <w:rFonts w:hint="eastAsia" w:ascii="宋体" w:hAnsi="宋体" w:eastAsia="宋体" w:cs="宋体"/>
          <w:b/>
          <w:bCs/>
          <w:spacing w:val="-3"/>
          <w:sz w:val="21"/>
          <w:szCs w:val="21"/>
          <w:lang w:val="en-US" w:eastAsia="zh-CN"/>
        </w:rPr>
      </w:pPr>
    </w:p>
    <w:p w14:paraId="63D4345A">
      <w:pPr>
        <w:spacing w:before="78" w:line="219" w:lineRule="auto"/>
        <w:ind w:firstLine="614" w:firstLineChars="300"/>
        <w:jc w:val="left"/>
        <w:rPr>
          <w:rFonts w:ascii="宋体" w:hAnsi="宋体" w:eastAsia="宋体" w:cs="宋体"/>
          <w:b/>
          <w:bCs/>
          <w:spacing w:val="-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-3"/>
          <w:sz w:val="21"/>
          <w:szCs w:val="21"/>
          <w:lang w:val="en-US" w:eastAsia="zh-CN"/>
        </w:rPr>
        <w:t>备用设备清单：</w:t>
      </w:r>
    </w:p>
    <w:tbl>
      <w:tblPr>
        <w:tblStyle w:val="3"/>
        <w:tblW w:w="9947" w:type="dxa"/>
        <w:tblInd w:w="-1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29"/>
        <w:gridCol w:w="6302"/>
        <w:gridCol w:w="639"/>
        <w:gridCol w:w="628"/>
        <w:gridCol w:w="1009"/>
      </w:tblGrid>
      <w:tr w14:paraId="2F856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39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B0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8C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40" cy="2540"/>
                  <wp:effectExtent l="0" t="0" r="0" b="0"/>
                  <wp:wrapNone/>
                  <wp:docPr id="69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9050"/>
                  <wp:effectExtent l="0" t="0" r="8890" b="0"/>
                  <wp:wrapNone/>
                  <wp:docPr id="70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主要参数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F2E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40" cy="2540"/>
                  <wp:effectExtent l="0" t="0" r="0" b="0"/>
                  <wp:wrapNone/>
                  <wp:docPr id="7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BE6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97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5748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8D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24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双目双光结构化变焦枪型网络摄像机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FE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1、像素：通道1≥400万；通道2≥200万；分辨率：通道1≥2688×1520；通道2≥1920×1080；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2、最低照度：0.001lux（彩色模式）；0.0001lux（黑白模式）；0lux（补光灯开启）；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3、补光距离：100m（红外监控距离）60m（暖光监控距离）16m（人脸检测距离）；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4、补光灯：2颗（暖光灯）；4颗（混光（红外+暖光）灯）；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5、镜头类型：通道1：电动变焦；通道2：定焦；镜头焦距：通道1：8mm～32mm；通道2：3.6mm；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6、可通过IE浏览器进行各智能方案配置切换，切换过程中无需重启（提供公安部有效检测报告复印件加盖公章）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7、在IE浏览器下，具有亮度、对比度、饱和度、锐度、gamma设置选项（提供公安部有效检测报告复印件加盖公章）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8、内置GPU芯片，通道1支持六种智能资源切换：视频结构化、人脸检测、人脸识别、通用行为分析、人数统计、道路监控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9、支持视频结构化：支持机动车、非机动车、人脸、人员等目标的抓拍和属性识别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10、支持人脸检测：支持跟踪，支持优选，支持抓拍，支持上报最优的人脸抓图，支持人脸增强，人脸曝光，支持人脸属性提取，支持6种属性，8种表情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11、支持道路监控：支持非机动车道下卡口、非机动车逆行、有车占道，小型车道下卡口、交通拥堵检测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12、支持人数统计：支持排队管理；支持区域内人数统计，进入/离开人数统计，并可生成人数统计日/月/年报表，导出使用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13、支持绊线入侵，区域入侵，快速移动，物品遗留，物品搬移，徘徊检测，人员聚集，停车检测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14、音频采集时，开启消除三级风噪声功能和不开启消除三级风噪声功能相比，有明显改善（提供公安部有效检测报告复印件加盖公章）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15、可通过手动或自动的方式对视频采集模块采集的视频进行偏色矫正（提供公安部有效检测报告复印件加盖公章）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16、支持512G Micro SD卡；内置双麦克风，内置高保真大口径扬声器，可覆盖室内30米距离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17、支持DC12V供电方式，方便工程安装；支持IP67防护等级；支持GB35114 A级。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FD6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905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BC4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其中天网一期提供80台，二三四期雪亮二期提供140台</w:t>
            </w:r>
          </w:p>
        </w:tc>
      </w:tr>
    </w:tbl>
    <w:p w14:paraId="62806F79">
      <w:pPr>
        <w:spacing w:before="78" w:line="219" w:lineRule="auto"/>
        <w:jc w:val="left"/>
        <w:rPr>
          <w:rFonts w:ascii="宋体" w:hAnsi="宋体" w:eastAsia="宋体" w:cs="宋体"/>
          <w:b/>
          <w:bCs/>
          <w:spacing w:val="-3"/>
          <w:sz w:val="21"/>
          <w:szCs w:val="21"/>
        </w:rPr>
      </w:pPr>
    </w:p>
    <w:p w14:paraId="7C6C219B">
      <w:pPr>
        <w:spacing w:before="78" w:line="219" w:lineRule="auto"/>
        <w:outlineLvl w:val="2"/>
        <w:rPr>
          <w:rFonts w:ascii="宋体" w:hAnsi="宋体" w:eastAsia="宋体" w:cs="宋体"/>
          <w:sz w:val="24"/>
          <w:szCs w:val="24"/>
        </w:rPr>
      </w:pPr>
      <w:bookmarkStart w:id="8" w:name="_Toc10741"/>
      <w:bookmarkStart w:id="9" w:name="_Toc7157"/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三、技术服务要求</w:t>
      </w:r>
      <w:bookmarkEnd w:id="8"/>
      <w:bookmarkEnd w:id="9"/>
    </w:p>
    <w:p w14:paraId="24F30405">
      <w:pPr>
        <w:spacing w:before="181" w:line="350" w:lineRule="auto"/>
        <w:ind w:right="905" w:firstLine="476" w:firstLineChars="200"/>
        <w:jc w:val="both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1、中标人在衡阳有专门的运维队伍，提供 7×24 小时的维护，提供专用维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护热线，30 分钟内进行响应，前端点位城区故障处理时</w:t>
      </w:r>
      <w:r>
        <w:rPr>
          <w:rFonts w:ascii="宋体" w:hAnsi="宋体" w:eastAsia="宋体" w:cs="宋体"/>
          <w:spacing w:val="-1"/>
          <w:sz w:val="24"/>
          <w:szCs w:val="24"/>
        </w:rPr>
        <w:t>限 8 个小时，乡镇故障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处理时限 12 小时，遇有自然灾害等不可抗拒原因除外；后台故障 10</w:t>
      </w:r>
      <w:r>
        <w:rPr>
          <w:rFonts w:ascii="宋体" w:hAnsi="宋体" w:eastAsia="宋体" w:cs="宋体"/>
          <w:spacing w:val="2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分钟内响应，30 分钟内判断故障原因，2 小时内解决；</w:t>
      </w:r>
    </w:p>
    <w:p w14:paraId="3ECDF431">
      <w:pPr>
        <w:spacing w:before="183" w:line="219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2、中标人安排专业工程师每半年对后台系统进行一次全面的检</w:t>
      </w:r>
      <w:r>
        <w:rPr>
          <w:rFonts w:ascii="宋体" w:hAnsi="宋体" w:eastAsia="宋体" w:cs="宋体"/>
          <w:spacing w:val="-1"/>
          <w:sz w:val="24"/>
          <w:szCs w:val="24"/>
        </w:rPr>
        <w:t>测维护，及</w:t>
      </w:r>
      <w:r>
        <w:rPr>
          <w:rFonts w:ascii="宋体" w:hAnsi="宋体" w:eastAsia="宋体" w:cs="宋体"/>
          <w:spacing w:val="-3"/>
          <w:sz w:val="24"/>
          <w:szCs w:val="24"/>
        </w:rPr>
        <w:t>时排除系统隐患。</w:t>
      </w:r>
    </w:p>
    <w:p w14:paraId="53CF7ED2">
      <w:pPr>
        <w:spacing w:line="243" w:lineRule="auto"/>
        <w:ind w:firstLine="420" w:firstLineChars="200"/>
        <w:outlineLvl w:val="9"/>
        <w:rPr>
          <w:rFonts w:ascii="Arial"/>
          <w:sz w:val="21"/>
        </w:rPr>
      </w:pPr>
    </w:p>
    <w:p w14:paraId="4873967E">
      <w:pPr>
        <w:spacing w:before="78" w:line="288" w:lineRule="auto"/>
        <w:ind w:right="1025" w:firstLine="476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3、中标人承诺有一定的前端、后台设备备件库，具有原后台设备品牌厂家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配件紧急供应及原后台设备维护的能力。</w:t>
      </w:r>
    </w:p>
    <w:p w14:paraId="66576DD5">
      <w:pPr>
        <w:spacing w:before="184" w:line="219" w:lineRule="auto"/>
        <w:ind w:firstLine="476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4、设备维修、维护、保养、保障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95%以上的上线率。</w:t>
      </w:r>
    </w:p>
    <w:p w14:paraId="065AA40D">
      <w:pPr>
        <w:spacing w:line="243" w:lineRule="auto"/>
        <w:ind w:firstLine="420" w:firstLineChars="200"/>
        <w:outlineLvl w:val="9"/>
        <w:rPr>
          <w:rFonts w:ascii="Arial"/>
          <w:sz w:val="21"/>
        </w:rPr>
      </w:pPr>
    </w:p>
    <w:p w14:paraId="123336A6">
      <w:pPr>
        <w:spacing w:before="184" w:line="219" w:lineRule="auto"/>
        <w:ind w:firstLine="241" w:firstLineChars="100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注： 本项目只能针对一个标段进行投标，多标段投标无效。</w:t>
      </w:r>
    </w:p>
    <w:p w14:paraId="08846C00">
      <w:pPr>
        <w:spacing w:line="243" w:lineRule="auto"/>
        <w:ind w:firstLine="420" w:firstLineChars="200"/>
        <w:rPr>
          <w:rFonts w:ascii="Arial"/>
          <w:sz w:val="21"/>
        </w:rPr>
      </w:pPr>
    </w:p>
    <w:p w14:paraId="78F1D77F">
      <w:pPr>
        <w:spacing w:line="243" w:lineRule="auto"/>
        <w:ind w:firstLine="420" w:firstLineChars="200"/>
        <w:rPr>
          <w:rFonts w:ascii="Arial"/>
          <w:sz w:val="21"/>
        </w:rPr>
      </w:pPr>
    </w:p>
    <w:p w14:paraId="35D4D87D">
      <w:pPr>
        <w:spacing w:line="243" w:lineRule="auto"/>
        <w:ind w:firstLine="420" w:firstLineChars="200"/>
        <w:rPr>
          <w:rFonts w:ascii="Arial"/>
          <w:sz w:val="21"/>
        </w:rPr>
      </w:pPr>
    </w:p>
    <w:p w14:paraId="4330F037">
      <w:pPr>
        <w:spacing w:line="243" w:lineRule="auto"/>
        <w:ind w:firstLine="420" w:firstLineChars="200"/>
        <w:rPr>
          <w:rFonts w:ascii="Arial"/>
          <w:sz w:val="21"/>
        </w:rPr>
      </w:pPr>
    </w:p>
    <w:p w14:paraId="7B112E5F">
      <w:pPr>
        <w:spacing w:line="243" w:lineRule="auto"/>
        <w:ind w:firstLine="420" w:firstLineChars="200"/>
        <w:rPr>
          <w:rFonts w:ascii="Arial"/>
          <w:sz w:val="21"/>
        </w:rPr>
      </w:pPr>
    </w:p>
    <w:p w14:paraId="5D5A58AB">
      <w:pPr>
        <w:spacing w:line="243" w:lineRule="auto"/>
        <w:ind w:firstLine="420" w:firstLineChars="200"/>
        <w:rPr>
          <w:rFonts w:ascii="Arial"/>
          <w:sz w:val="21"/>
        </w:rPr>
      </w:pPr>
    </w:p>
    <w:p w14:paraId="2CE9AE45">
      <w:pPr>
        <w:spacing w:line="243" w:lineRule="auto"/>
        <w:ind w:firstLine="420" w:firstLineChars="200"/>
        <w:rPr>
          <w:rFonts w:ascii="Arial"/>
          <w:sz w:val="21"/>
        </w:rPr>
      </w:pPr>
    </w:p>
    <w:p w14:paraId="08E962EA">
      <w:pPr>
        <w:spacing w:line="243" w:lineRule="auto"/>
        <w:ind w:firstLine="420" w:firstLineChars="200"/>
        <w:rPr>
          <w:rFonts w:ascii="Arial"/>
          <w:sz w:val="21"/>
        </w:rPr>
      </w:pPr>
    </w:p>
    <w:p w14:paraId="7BB4C625">
      <w:pPr>
        <w:spacing w:line="243" w:lineRule="auto"/>
        <w:ind w:firstLine="420" w:firstLineChars="200"/>
        <w:rPr>
          <w:rFonts w:ascii="Arial"/>
          <w:sz w:val="21"/>
        </w:rPr>
      </w:pPr>
    </w:p>
    <w:p w14:paraId="55065CC7">
      <w:pPr>
        <w:spacing w:line="243" w:lineRule="auto"/>
        <w:ind w:firstLine="420" w:firstLineChars="200"/>
        <w:rPr>
          <w:rFonts w:ascii="Arial"/>
          <w:sz w:val="21"/>
        </w:rPr>
      </w:pPr>
    </w:p>
    <w:p w14:paraId="6F75DCB6">
      <w:pPr>
        <w:spacing w:line="243" w:lineRule="auto"/>
        <w:rPr>
          <w:rFonts w:ascii="Arial"/>
          <w:sz w:val="21"/>
        </w:rPr>
      </w:pPr>
    </w:p>
    <w:p w14:paraId="3373F437">
      <w:pPr>
        <w:spacing w:line="243" w:lineRule="auto"/>
        <w:ind w:firstLine="420" w:firstLineChars="200"/>
        <w:rPr>
          <w:rFonts w:ascii="Arial"/>
          <w:sz w:val="21"/>
        </w:rPr>
      </w:pPr>
    </w:p>
    <w:p w14:paraId="1E23704E">
      <w:pPr>
        <w:spacing w:line="243" w:lineRule="auto"/>
        <w:ind w:firstLine="420" w:firstLineChars="200"/>
        <w:rPr>
          <w:rFonts w:ascii="Arial"/>
          <w:sz w:val="21"/>
        </w:rPr>
      </w:pPr>
    </w:p>
    <w:p w14:paraId="5B6EF2ED">
      <w:pPr>
        <w:spacing w:line="195" w:lineRule="auto"/>
        <w:rPr>
          <w:rFonts w:ascii="Times New Roman" w:hAnsi="Times New Roman" w:eastAsia="Times New Roman" w:cs="Times New Roman"/>
          <w:sz w:val="20"/>
          <w:szCs w:val="20"/>
        </w:rPr>
        <w:sectPr>
          <w:pgSz w:w="11905" w:h="16839"/>
          <w:pgMar w:top="1134" w:right="1134" w:bottom="1134" w:left="1134" w:header="0" w:footer="1134" w:gutter="0"/>
          <w:pgNumType w:fmt="decimal"/>
          <w:cols w:space="0" w:num="1"/>
          <w:rtlGutter w:val="0"/>
          <w:docGrid w:linePitch="0" w:charSpace="0"/>
        </w:sectPr>
      </w:pPr>
    </w:p>
    <w:p w14:paraId="2A8551EB">
      <w:pPr>
        <w:spacing w:before="78" w:line="232" w:lineRule="auto"/>
        <w:ind w:left="7545" w:firstLine="420" w:firstLineChars="200"/>
        <w:rPr>
          <w:rFonts w:ascii="楷体" w:hAnsi="楷体" w:eastAsia="楷体" w:cs="楷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5400040" cy="6350"/>
                <wp:effectExtent l="0" t="0" r="0" b="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04" h="10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  <a:lnTo>
                                <a:pt x="8503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17.7pt;height:0.5pt;width:425.2pt;z-index:251659264;mso-width-relative:page;mso-height-relative:page;" fillcolor="#000000" filled="t" stroked="f" coordsize="8504,10" o:gfxdata="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at4y9YAAAAGAQAADwAAAAAAAAABACAA&#10;AAAiAAAAZHJzL2Rvd25yZXYueG1sUEsBAhQAFAAAAAgAh07iQFdFZsEPAgAAeQQAAA4AAAAAAAAA&#10;AQAgAAAAJQEAAGRycy9lMm9Eb2MueG1sUEsFBgAAAAAGAAYAWQEAAKYFAAAAAA==&#10;" path="m0,0l8503,0,8503,9,0,9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spacing w:val="-1"/>
          <w:sz w:val="24"/>
          <w:szCs w:val="24"/>
        </w:rPr>
        <w:t>公开招标</w:t>
      </w:r>
    </w:p>
    <w:p w14:paraId="2A5A2F58">
      <w:pPr>
        <w:spacing w:before="101" w:line="225" w:lineRule="auto"/>
        <w:ind w:left="3058" w:firstLine="630" w:firstLineChars="200"/>
        <w:outlineLvl w:val="1"/>
        <w:rPr>
          <w:rFonts w:ascii="宋体" w:hAnsi="宋体" w:eastAsia="宋体" w:cs="宋体"/>
          <w:sz w:val="31"/>
          <w:szCs w:val="31"/>
        </w:rPr>
      </w:pPr>
      <w:bookmarkStart w:id="10" w:name="_Toc5018"/>
      <w:bookmarkStart w:id="11" w:name="_Toc8146"/>
      <w:r>
        <w:rPr>
          <w:rFonts w:ascii="宋体" w:hAnsi="宋体" w:eastAsia="宋体" w:cs="宋体"/>
          <w:b/>
          <w:bCs/>
          <w:spacing w:val="2"/>
          <w:sz w:val="31"/>
          <w:szCs w:val="31"/>
        </w:rPr>
        <w:t>第二节</w:t>
      </w:r>
      <w:r>
        <w:rPr>
          <w:rFonts w:ascii="宋体" w:hAnsi="宋体" w:eastAsia="宋体" w:cs="宋体"/>
          <w:spacing w:val="31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商务要求</w:t>
      </w:r>
      <w:bookmarkEnd w:id="10"/>
      <w:bookmarkEnd w:id="11"/>
    </w:p>
    <w:p w14:paraId="18703D6B">
      <w:pPr>
        <w:spacing w:before="78" w:line="219" w:lineRule="auto"/>
        <w:outlineLvl w:val="2"/>
        <w:rPr>
          <w:rFonts w:ascii="宋体" w:hAnsi="宋体" w:eastAsia="宋体" w:cs="宋体"/>
          <w:sz w:val="24"/>
          <w:szCs w:val="24"/>
        </w:rPr>
      </w:pPr>
      <w:bookmarkStart w:id="12" w:name="_Toc28179"/>
      <w:bookmarkStart w:id="13" w:name="_Toc27826"/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一、主要商务要求</w:t>
      </w:r>
      <w:bookmarkEnd w:id="12"/>
      <w:bookmarkEnd w:id="13"/>
    </w:p>
    <w:tbl>
      <w:tblPr>
        <w:tblStyle w:val="5"/>
        <w:tblW w:w="8363" w:type="dxa"/>
        <w:tblInd w:w="3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4"/>
        <w:gridCol w:w="5979"/>
      </w:tblGrid>
      <w:tr w14:paraId="64FDB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384" w:type="dxa"/>
            <w:vAlign w:val="top"/>
          </w:tcPr>
          <w:p w14:paraId="32A24424">
            <w:pPr>
              <w:pStyle w:val="6"/>
              <w:spacing w:before="233" w:line="220" w:lineRule="auto"/>
              <w:ind w:left="3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履行合同的时间</w:t>
            </w:r>
          </w:p>
        </w:tc>
        <w:tc>
          <w:tcPr>
            <w:tcW w:w="5979" w:type="dxa"/>
            <w:vAlign w:val="top"/>
          </w:tcPr>
          <w:p w14:paraId="325B50F8">
            <w:pPr>
              <w:pStyle w:val="6"/>
              <w:spacing w:before="233" w:line="219" w:lineRule="auto"/>
              <w:ind w:left="16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合同签订后立即履行运维义务</w:t>
            </w:r>
          </w:p>
        </w:tc>
      </w:tr>
      <w:tr w14:paraId="67B80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84" w:type="dxa"/>
            <w:vAlign w:val="top"/>
          </w:tcPr>
          <w:p w14:paraId="226DB3D2">
            <w:pPr>
              <w:pStyle w:val="6"/>
              <w:spacing w:before="205" w:line="219" w:lineRule="auto"/>
              <w:ind w:left="7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服务期限</w:t>
            </w:r>
          </w:p>
        </w:tc>
        <w:tc>
          <w:tcPr>
            <w:tcW w:w="5979" w:type="dxa"/>
            <w:vAlign w:val="top"/>
          </w:tcPr>
          <w:p w14:paraId="15C105C6">
            <w:pPr>
              <w:pStyle w:val="6"/>
              <w:spacing w:before="205" w:line="219" w:lineRule="auto"/>
              <w:ind w:left="3059"/>
              <w:rPr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</w:t>
            </w:r>
            <w:r>
              <w:rPr>
                <w:spacing w:val="-8"/>
                <w:sz w:val="24"/>
                <w:szCs w:val="24"/>
              </w:rPr>
              <w:t>年</w:t>
            </w:r>
          </w:p>
        </w:tc>
      </w:tr>
      <w:tr w14:paraId="40295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2384" w:type="dxa"/>
            <w:vAlign w:val="top"/>
          </w:tcPr>
          <w:p w14:paraId="0915ADC5">
            <w:pPr>
              <w:pStyle w:val="6"/>
              <w:spacing w:before="78" w:line="221" w:lineRule="auto"/>
              <w:ind w:left="73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响应时间</w:t>
            </w:r>
          </w:p>
        </w:tc>
        <w:tc>
          <w:tcPr>
            <w:tcW w:w="5979" w:type="dxa"/>
            <w:vAlign w:val="top"/>
          </w:tcPr>
          <w:p w14:paraId="661F547E">
            <w:pPr>
              <w:pStyle w:val="6"/>
              <w:spacing w:before="114" w:line="289" w:lineRule="auto"/>
              <w:ind w:left="114" w:righ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提供 7×24 小时的维护，提供专用维护热线，30 分钟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内进行响应，前端点位城区故障处理时限8个小时，乡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镇故障处理时限 12 小时，遇有自然灾害等不可抗拒原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因除外；后台故障 10 分钟内相应，30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分钟内判断故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障原因，2 小时内解决；</w:t>
            </w:r>
          </w:p>
        </w:tc>
      </w:tr>
      <w:tr w14:paraId="57445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384" w:type="dxa"/>
            <w:vAlign w:val="top"/>
          </w:tcPr>
          <w:p w14:paraId="3E11D03C">
            <w:pPr>
              <w:pStyle w:val="6"/>
              <w:spacing w:before="128" w:line="264" w:lineRule="auto"/>
              <w:ind w:left="839" w:right="230" w:hanging="6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合同价款支付方式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和条件</w:t>
            </w:r>
          </w:p>
        </w:tc>
        <w:tc>
          <w:tcPr>
            <w:tcW w:w="5979" w:type="dxa"/>
            <w:vAlign w:val="top"/>
          </w:tcPr>
          <w:p w14:paraId="05D29F53">
            <w:pPr>
              <w:pStyle w:val="6"/>
              <w:spacing w:before="114" w:line="289" w:lineRule="auto"/>
              <w:ind w:left="114" w:right="108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（1）网络租赁费、维护服务费按半年付款，根据维护考核结果结算，在第三季度第一个月的10号前支付上半年的维护服务费；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（2）前端设备运行电费由采购人提前预付；</w:t>
            </w:r>
          </w:p>
        </w:tc>
      </w:tr>
      <w:tr w14:paraId="1BF18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384" w:type="dxa"/>
            <w:vAlign w:val="top"/>
          </w:tcPr>
          <w:p w14:paraId="1A2FCEE7">
            <w:pPr>
              <w:pStyle w:val="6"/>
              <w:spacing w:before="243" w:line="219" w:lineRule="auto"/>
              <w:ind w:left="7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服务地点</w:t>
            </w:r>
          </w:p>
        </w:tc>
        <w:tc>
          <w:tcPr>
            <w:tcW w:w="5979" w:type="dxa"/>
            <w:vAlign w:val="top"/>
          </w:tcPr>
          <w:p w14:paraId="268793CE">
            <w:pPr>
              <w:pStyle w:val="6"/>
              <w:spacing w:before="114" w:line="289" w:lineRule="auto"/>
              <w:ind w:left="114" w:right="108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采购人指定地点</w:t>
            </w:r>
          </w:p>
        </w:tc>
      </w:tr>
    </w:tbl>
    <w:p w14:paraId="43C2E7EF">
      <w:pPr>
        <w:spacing w:before="78" w:line="220" w:lineRule="auto"/>
        <w:outlineLvl w:val="2"/>
        <w:rPr>
          <w:rFonts w:ascii="宋体" w:hAnsi="宋体" w:eastAsia="宋体" w:cs="宋体"/>
          <w:sz w:val="24"/>
          <w:szCs w:val="24"/>
        </w:rPr>
      </w:pPr>
      <w:bookmarkStart w:id="14" w:name="_Toc3105"/>
      <w:bookmarkStart w:id="15" w:name="_Toc927"/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二、其他要求</w:t>
      </w:r>
      <w:bookmarkEnd w:id="14"/>
      <w:bookmarkEnd w:id="15"/>
    </w:p>
    <w:p w14:paraId="6C9AECE2">
      <w:pPr>
        <w:spacing w:before="179" w:line="218" w:lineRule="auto"/>
        <w:ind w:firstLine="476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1、本项目的报价内容为包干价，一般包括但不限于如下内容：</w:t>
      </w:r>
    </w:p>
    <w:p w14:paraId="7AAAF450">
      <w:pPr>
        <w:spacing w:before="181" w:line="219" w:lineRule="auto"/>
        <w:ind w:firstLine="476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（1）服务人员的工资、劳动社会保险和按规定提取的福利费；</w:t>
      </w:r>
    </w:p>
    <w:p w14:paraId="5C98E6F5">
      <w:pPr>
        <w:spacing w:before="185" w:line="219" w:lineRule="auto"/>
        <w:ind w:firstLine="476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（2）办公费用、管理企业固定资产折旧费及其他费用；</w:t>
      </w:r>
    </w:p>
    <w:p w14:paraId="5BB4C2FB">
      <w:pPr>
        <w:spacing w:before="183" w:line="219" w:lineRule="auto"/>
        <w:ind w:firstLine="476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（3）该项目运行维护必需投入的工具、设备、车辆使用费；</w:t>
      </w:r>
    </w:p>
    <w:p w14:paraId="05032372">
      <w:pPr>
        <w:spacing w:before="180" w:line="290" w:lineRule="auto"/>
        <w:ind w:right="1025" w:firstLine="476" w:firstLineChars="200"/>
        <w:outlineLvl w:val="9"/>
        <w:rPr>
          <w:rFonts w:ascii="宋体" w:hAnsi="宋体" w:eastAsia="宋体" w:cs="宋体"/>
          <w:spacing w:val="-3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（4）管理费用、技术措施费用、安全措施费用、加班措施费用、应急处理</w:t>
      </w:r>
      <w:r>
        <w:rPr>
          <w:rFonts w:ascii="宋体" w:hAnsi="宋体" w:eastAsia="宋体" w:cs="宋体"/>
          <w:spacing w:val="-3"/>
          <w:sz w:val="24"/>
          <w:szCs w:val="24"/>
        </w:rPr>
        <w:t>费用、适当利润、税金。</w:t>
      </w:r>
    </w:p>
    <w:p w14:paraId="20B0F574">
      <w:pPr>
        <w:spacing w:before="78" w:line="288" w:lineRule="auto"/>
        <w:ind w:left="13" w:right="1025"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2、投标人应根据项目要求和现场情况，如</w:t>
      </w:r>
      <w:r>
        <w:rPr>
          <w:rFonts w:ascii="宋体" w:hAnsi="宋体" w:eastAsia="宋体" w:cs="宋体"/>
          <w:spacing w:val="-1"/>
          <w:sz w:val="24"/>
          <w:szCs w:val="24"/>
        </w:rPr>
        <w:t>一旦中标，在项目实施中出现任何遗漏，均由中标人免费提供，采购人不再支付任何费用。</w:t>
      </w:r>
    </w:p>
    <w:p w14:paraId="0947071F">
      <w:pPr>
        <w:spacing w:before="184" w:line="219" w:lineRule="auto"/>
        <w:ind w:firstLine="476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3、未尽事宜，由双方协商解决，如有分歧交由司法途径解决。</w:t>
      </w:r>
    </w:p>
    <w:p w14:paraId="611B90D7">
      <w:pPr>
        <w:spacing w:before="180" w:line="219" w:lineRule="auto"/>
        <w:outlineLvl w:val="9"/>
        <w:rPr>
          <w:rFonts w:ascii="宋体" w:hAnsi="宋体" w:eastAsia="宋体" w:cs="宋体"/>
          <w:sz w:val="24"/>
          <w:szCs w:val="24"/>
        </w:rPr>
      </w:pPr>
      <w:bookmarkStart w:id="16" w:name="_Toc22663"/>
      <w:bookmarkStart w:id="17" w:name="_Toc10070"/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三、踏勘</w:t>
      </w:r>
      <w:bookmarkEnd w:id="16"/>
      <w:bookmarkEnd w:id="17"/>
    </w:p>
    <w:p w14:paraId="7DC02819">
      <w:pPr>
        <w:spacing w:before="183" w:line="345" w:lineRule="auto"/>
        <w:ind w:left="29" w:right="905"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投标供应商在投标前，采购人不组织踏勘现</w:t>
      </w:r>
      <w:r>
        <w:rPr>
          <w:rFonts w:ascii="宋体" w:hAnsi="宋体" w:eastAsia="宋体" w:cs="宋体"/>
          <w:spacing w:val="-1"/>
          <w:sz w:val="24"/>
          <w:szCs w:val="24"/>
        </w:rPr>
        <w:t>场。投标供应商可自行踏勘现场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,有关费用自理，踏勘期间发生的意外自负。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632143"/>
    <w:multiLevelType w:val="singleLevel"/>
    <w:tmpl w:val="B96321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8A67FAB"/>
    <w:multiLevelType w:val="singleLevel"/>
    <w:tmpl w:val="F8A67FA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8B20C7"/>
    <w:multiLevelType w:val="multilevel"/>
    <w:tmpl w:val="7D8B20C7"/>
    <w:lvl w:ilvl="0" w:tentative="0">
      <w:start w:val="1"/>
      <w:numFmt w:val="chineseCountingThousand"/>
      <w:pStyle w:val="2"/>
      <w:suff w:val="space"/>
      <w:lvlText w:val="第%1章"/>
      <w:lvlJc w:val="center"/>
      <w:pPr>
        <w:ind w:left="2127" w:firstLine="0"/>
      </w:pPr>
      <w:rPr>
        <w:rFonts w:hint="eastAsia" w:ascii="黑体" w:eastAsia="黑体"/>
        <w:b/>
        <w:i w:val="0"/>
        <w:sz w:val="44"/>
        <w:szCs w:val="44"/>
      </w:rPr>
    </w:lvl>
    <w:lvl w:ilvl="1" w:tentative="0">
      <w:start w:val="1"/>
      <w:numFmt w:val="chineseCountingThousand"/>
      <w:suff w:val="space"/>
      <w:lvlText w:val="%2."/>
      <w:lvlJc w:val="left"/>
      <w:pPr>
        <w:ind w:left="5529" w:firstLine="0"/>
      </w:pPr>
      <w:rPr>
        <w:rFonts w:hint="default" w:ascii="Arial" w:hAnsi="Arial" w:eastAsia="黑体"/>
        <w:b/>
        <w:i w:val="0"/>
        <w:sz w:val="30"/>
        <w:szCs w:val="28"/>
      </w:rPr>
    </w:lvl>
    <w:lvl w:ilvl="2" w:tentative="0">
      <w:start w:val="1"/>
      <w:numFmt w:val="decimal"/>
      <w:isLgl/>
      <w:suff w:val="space"/>
      <w:lvlText w:val="%2.%3"/>
      <w:lvlJc w:val="left"/>
      <w:pPr>
        <w:ind w:left="426" w:firstLine="0"/>
      </w:pPr>
      <w:rPr>
        <w:rFonts w:hint="default" w:ascii="宋体" w:hAnsi="宋体" w:eastAsia="宋体"/>
        <w:b w:val="0"/>
        <w:i w:val="0"/>
        <w:color w:val="auto"/>
        <w:sz w:val="21"/>
        <w:szCs w:val="21"/>
      </w:rPr>
    </w:lvl>
    <w:lvl w:ilvl="3" w:tentative="0">
      <w:start w:val="1"/>
      <w:numFmt w:val="decimal"/>
      <w:isLgl/>
      <w:suff w:val="space"/>
      <w:lvlText w:val="%2.%3.%4"/>
      <w:lvlJc w:val="left"/>
      <w:pPr>
        <w:ind w:left="284" w:firstLine="0"/>
      </w:pPr>
      <w:rPr>
        <w:rFonts w:hint="default" w:ascii="宋体" w:hAnsi="宋体" w:eastAsia="宋体"/>
        <w:b w:val="0"/>
        <w:i w:val="0"/>
        <w:color w:val="auto"/>
        <w:sz w:val="21"/>
        <w:szCs w:val="21"/>
      </w:rPr>
    </w:lvl>
    <w:lvl w:ilvl="4" w:tentative="0">
      <w:start w:val="1"/>
      <w:numFmt w:val="japaneseCounting"/>
      <w:lvlText w:val="第%5章"/>
      <w:lvlJc w:val="left"/>
      <w:pPr>
        <w:tabs>
          <w:tab w:val="left" w:pos="0"/>
        </w:tabs>
        <w:ind w:left="403" w:firstLine="448"/>
      </w:pPr>
      <w:rPr>
        <w:rFonts w:ascii="新宋体" w:hAnsi="新宋体" w:eastAsia="新宋体" w:cs="Times New Roman"/>
        <w:b w:val="0"/>
        <w:i w:val="0"/>
        <w:sz w:val="21"/>
        <w:szCs w:val="21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  <w:rPr>
        <w:rFonts w:hint="eastAsia" w:ascii="黑体" w:eastAsia="黑体"/>
        <w:b w:val="0"/>
        <w:i w:val="0"/>
        <w:sz w:val="24"/>
      </w:rPr>
    </w:lvl>
    <w:lvl w:ilvl="6" w:tentative="0">
      <w:start w:val="1"/>
      <w:numFmt w:val="decimal"/>
      <w:lvlText w:val="    （%7）"/>
      <w:lvlJc w:val="left"/>
      <w:pPr>
        <w:tabs>
          <w:tab w:val="left" w:pos="0"/>
        </w:tabs>
        <w:ind w:left="1196" w:hanging="1196"/>
      </w:pPr>
      <w:rPr>
        <w:rFonts w:hint="eastAsia" w:ascii="黑体" w:eastAsia="黑体"/>
        <w:b w:val="0"/>
        <w:i w:val="0"/>
        <w:sz w:val="24"/>
      </w:rPr>
    </w:lvl>
    <w:lvl w:ilvl="7" w:tentative="0">
      <w:start w:val="1"/>
      <w:numFmt w:val="lowerLetter"/>
      <w:lvlText w:val="（%8）"/>
      <w:lvlJc w:val="left"/>
      <w:pPr>
        <w:tabs>
          <w:tab w:val="left" w:pos="0"/>
        </w:tabs>
        <w:ind w:left="1933" w:hanging="737"/>
      </w:pPr>
      <w:rPr>
        <w:rFonts w:hint="eastAsia" w:ascii="黑体" w:eastAsia="黑体"/>
        <w:b w:val="0"/>
        <w:i w:val="0"/>
        <w:sz w:val="24"/>
      </w:rPr>
    </w:lvl>
    <w:lvl w:ilvl="8" w:tentative="0">
      <w:start w:val="1"/>
      <w:numFmt w:val="lowerRoman"/>
      <w:lvlText w:val="（%9）"/>
      <w:lvlJc w:val="left"/>
      <w:pPr>
        <w:tabs>
          <w:tab w:val="left" w:pos="0"/>
        </w:tabs>
        <w:ind w:left="2670" w:hanging="737"/>
      </w:pPr>
      <w:rPr>
        <w:rFonts w:hint="eastAsia" w:ascii="黑体" w:eastAsia="黑体"/>
        <w:b w:val="0"/>
        <w:i w:val="0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8271E"/>
    <w:rsid w:val="22DB168B"/>
    <w:rsid w:val="284B46FD"/>
    <w:rsid w:val="55774994"/>
    <w:rsid w:val="5FF4730D"/>
    <w:rsid w:val="6C92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@仿宋_GB2312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44"/>
      <w:szCs w:val="44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2025-02-18T07:34:01Z</dcterms:created>
  <dc:creator>zw</dc:creator>
  <cp:lastModifiedBy>zw</cp:lastModifiedBy>
  <dcterms:modified xsi:type="dcterms:W3CDTF">2025-02-18T07:59:09Z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eyJoZGlkIjoiYTc4NWYyYjc3NDA5OGNjMzY4MTUwZDZiNjE0NmQ3OTIifQ==</vt:lpwstr>
  </property>
  <property fmtid="{D5CDD505-2E9C-101B-9397-08002B2CF9AE}" pid="4" name="ICV">
    <vt:lpwstr>00BE91C8A0004DFB81EF576F54302ECA_12</vt:lpwstr>
  </property>
</Properties>
</file>