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F9AEE">
      <w:pPr>
        <w:pStyle w:val="3"/>
        <w:keepNext/>
        <w:keepLines/>
        <w:pageBreakBefore/>
        <w:widowControl w:val="0"/>
        <w:kinsoku/>
        <w:wordWrap/>
        <w:overflowPunct/>
        <w:topLinePunct w:val="0"/>
        <w:autoSpaceDE/>
        <w:autoSpaceDN/>
        <w:bidi w:val="0"/>
        <w:adjustRightInd/>
        <w:snapToGrid/>
        <w:spacing w:after="157" w:afterLines="50"/>
        <w:textAlignment w:val="auto"/>
        <w:rPr>
          <w:rFonts w:hint="eastAsia" w:ascii="宋体" w:hAnsi="宋体"/>
          <w:sz w:val="32"/>
          <w:szCs w:val="22"/>
        </w:rPr>
      </w:pPr>
      <w:bookmarkStart w:id="0" w:name="_bookmark17"/>
      <w:bookmarkEnd w:id="0"/>
      <w:bookmarkStart w:id="1" w:name="_Toc157521589"/>
      <w:bookmarkStart w:id="2" w:name="_Toc256000013"/>
      <w:r>
        <w:rPr>
          <w:rFonts w:hint="eastAsia" w:ascii="宋体" w:hAnsi="宋体"/>
          <w:sz w:val="32"/>
          <w:szCs w:val="22"/>
          <w:highlight w:val="white"/>
        </w:rPr>
        <w:t>第四章  采购需求</w:t>
      </w:r>
      <w:bookmarkEnd w:id="1"/>
      <w:bookmarkEnd w:id="2"/>
    </w:p>
    <w:p w14:paraId="7DFEA3D5">
      <w:pPr>
        <w:pStyle w:val="4"/>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一</w:t>
      </w:r>
      <w:r>
        <w:rPr>
          <w:rFonts w:hint="eastAsia" w:ascii="宋体" w:hAnsi="宋体" w:eastAsia="宋体" w:cs="宋体"/>
          <w:color w:val="auto"/>
          <w:sz w:val="28"/>
          <w:szCs w:val="28"/>
          <w:highlight w:val="none"/>
        </w:rPr>
        <w:t>节</w:t>
      </w:r>
      <w:r>
        <w:rPr>
          <w:rStyle w:val="11"/>
          <w:rFonts w:hint="eastAsia" w:ascii="宋体" w:hAnsi="宋体" w:eastAsia="宋体" w:cs="宋体"/>
          <w:b/>
          <w:bCs/>
          <w:color w:val="auto"/>
          <w:spacing w:val="30"/>
          <w:kern w:val="0"/>
          <w:sz w:val="28"/>
          <w:szCs w:val="28"/>
          <w:highlight w:val="none"/>
          <w:lang w:val="en-US" w:eastAsia="zh-CN"/>
        </w:rPr>
        <w:t xml:space="preserve"> </w:t>
      </w:r>
      <w:r>
        <w:rPr>
          <w:rFonts w:hint="eastAsia" w:ascii="宋体" w:hAnsi="宋体" w:eastAsia="宋体" w:cs="宋体"/>
          <w:color w:val="auto"/>
          <w:sz w:val="28"/>
          <w:szCs w:val="28"/>
          <w:highlight w:val="none"/>
          <w:lang w:eastAsia="zh-CN"/>
        </w:rPr>
        <w:t>服务要求</w:t>
      </w:r>
    </w:p>
    <w:p w14:paraId="2BF9A717">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一、总体目标</w:t>
      </w:r>
    </w:p>
    <w:p w14:paraId="72984AE4">
      <w:pPr>
        <w:widowControl/>
        <w:autoSpaceDE w:val="0"/>
        <w:autoSpaceDN w:val="0"/>
        <w:adjustRightInd w:val="0"/>
        <w:spacing w:line="360" w:lineRule="auto"/>
        <w:ind w:firstLine="48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在全县25个乡镇实施地膜科学使用回收试点整县推进，全县推广高强度加厚地膜5.5万亩，地膜残留监测点2个；针对新型地膜，要组织充分论证和性能检测，筛选适用于本地的地膜产品；充分调动各乡镇、农业生产经营主体、回收利用企业、社会化服务组织等多方积极性，共同推进地膜污染防治工作；加大监管执法力度，严禁“非标地膜”入市下田；健全农田残留地膜回收体系，保障农膜处置率稳定在83%以上，逐步建立农田残膜污染防控长效机制。</w:t>
      </w:r>
    </w:p>
    <w:p w14:paraId="5F4E5573">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二、重点任务</w:t>
      </w:r>
    </w:p>
    <w:p w14:paraId="2AB25E67">
      <w:pPr>
        <w:widowControl/>
        <w:autoSpaceDE w:val="0"/>
        <w:autoSpaceDN w:val="0"/>
        <w:adjustRightInd w:val="0"/>
        <w:spacing w:line="360" w:lineRule="auto"/>
        <w:ind w:firstLine="480"/>
        <w:rPr>
          <w:rFonts w:hint="eastAsia" w:ascii="宋体" w:hAnsi="宋体" w:eastAsia="宋体" w:cs="Times New Roman"/>
          <w:color w:val="auto"/>
          <w:sz w:val="24"/>
          <w:lang w:val="en-US" w:eastAsia="zh-CN"/>
        </w:rPr>
      </w:pPr>
      <w:r>
        <w:rPr>
          <w:rFonts w:hint="eastAsia" w:ascii="宋体" w:hAnsi="宋体" w:eastAsia="宋体" w:cs="Times New Roman"/>
          <w:b/>
          <w:bCs/>
          <w:color w:val="auto"/>
          <w:sz w:val="24"/>
          <w:lang w:val="en-US" w:eastAsia="zh-CN"/>
        </w:rPr>
        <w:t>（一）科学推进高强度加厚地膜。</w:t>
      </w:r>
      <w:r>
        <w:rPr>
          <w:rFonts w:hint="eastAsia" w:ascii="宋体" w:hAnsi="宋体" w:eastAsia="宋体" w:cs="Times New Roman"/>
          <w:color w:val="auto"/>
          <w:sz w:val="24"/>
          <w:lang w:val="en-US" w:eastAsia="zh-CN"/>
        </w:rPr>
        <w:t>根据当地实际选择覆膜作物，可优先选择露天蔬菜、瓜果等作物，支持推广使用0.015毫米及以上的高强度加厚地膜。其中，高强度加厚地膜覆盖使用时间和力学性能指标应不低于《聚乙烯吹塑农用地面覆盖薄膜》（GB13735—2017）中Ⅰ类耐老化地膜有关要求，保障地膜使用后能够有效回收。产品原材料中不得加入再生料及国家明确禁止使用、不利于作物生长的有害土壤的助剂，总灰分控制在0.5%以内。对于确不适宜0.015毫米及以上地膜的，建设厚度0.01毫米以上（不含0.01毫米）且具备同等强度的地膜实施范围论证试点1个，试点面积不小于10亩。</w:t>
      </w:r>
    </w:p>
    <w:p w14:paraId="2E38F025">
      <w:pPr>
        <w:widowControl/>
        <w:autoSpaceDE w:val="0"/>
        <w:autoSpaceDN w:val="0"/>
        <w:adjustRightInd w:val="0"/>
        <w:spacing w:line="360" w:lineRule="auto"/>
        <w:ind w:firstLine="480"/>
        <w:rPr>
          <w:rFonts w:hint="eastAsia" w:ascii="宋体" w:hAnsi="宋体" w:eastAsia="宋体" w:cs="Times New Roman"/>
          <w:color w:val="auto"/>
          <w:sz w:val="24"/>
          <w:lang w:val="en-US" w:eastAsia="zh-CN"/>
        </w:rPr>
      </w:pPr>
      <w:r>
        <w:rPr>
          <w:rFonts w:hint="eastAsia" w:ascii="宋体" w:hAnsi="宋体" w:eastAsia="宋体" w:cs="Times New Roman"/>
          <w:b/>
          <w:bCs/>
          <w:color w:val="auto"/>
          <w:sz w:val="24"/>
          <w:lang w:val="en-US" w:eastAsia="zh-CN"/>
        </w:rPr>
        <w:t>（二）</w:t>
      </w:r>
      <w:r>
        <w:rPr>
          <w:rFonts w:hint="eastAsia" w:ascii="宋体" w:hAnsi="宋体" w:eastAsia="宋体" w:cs="Times New Roman"/>
          <w:b/>
          <w:bCs/>
          <w:color w:val="auto"/>
          <w:sz w:val="24"/>
          <w:lang w:val="en-US" w:eastAsia="en-US"/>
        </w:rPr>
        <w:t>科学开展地膜回收工作。</w:t>
      </w:r>
      <w:r>
        <w:rPr>
          <w:rFonts w:hint="eastAsia" w:ascii="宋体" w:hAnsi="宋体" w:eastAsia="宋体" w:cs="Times New Roman"/>
          <w:color w:val="auto"/>
          <w:sz w:val="24"/>
          <w:lang w:val="en-US" w:eastAsia="zh-CN"/>
        </w:rPr>
        <w:t>大力培育专业化服务组织，逐步构建以旧换新、经营主体上交、第三方机构回收等多元化回收机制，不断健全废旧地膜回收网络体系。鼓励统筹农村人居环境整治、城乡环卫一体化、垃圾分类等任务，完善田间废旧农膜收集设施，将废弃地膜纳入农村生活垃圾收集处理体系，进行无害化处理，提升地膜资源化再利用能力。</w:t>
      </w:r>
    </w:p>
    <w:p w14:paraId="7D9F589B">
      <w:pPr>
        <w:widowControl/>
        <w:autoSpaceDE w:val="0"/>
        <w:autoSpaceDN w:val="0"/>
        <w:adjustRightInd w:val="0"/>
        <w:spacing w:line="360" w:lineRule="auto"/>
        <w:ind w:firstLine="480"/>
        <w:rPr>
          <w:rFonts w:hint="eastAsia" w:ascii="宋体" w:hAnsi="宋体" w:eastAsia="宋体" w:cs="Times New Roman"/>
          <w:color w:val="auto"/>
          <w:sz w:val="24"/>
          <w:lang w:val="en-US" w:eastAsia="zh-CN"/>
        </w:rPr>
      </w:pPr>
      <w:r>
        <w:rPr>
          <w:rFonts w:hint="eastAsia" w:ascii="宋体" w:hAnsi="宋体" w:eastAsia="宋体" w:cs="Times New Roman"/>
          <w:b/>
          <w:bCs/>
          <w:color w:val="auto"/>
          <w:sz w:val="24"/>
          <w:lang w:val="en-US" w:eastAsia="zh-CN"/>
        </w:rPr>
        <w:t>（三）</w:t>
      </w:r>
      <w:r>
        <w:rPr>
          <w:rFonts w:hint="eastAsia" w:ascii="宋体" w:hAnsi="宋体" w:eastAsia="宋体" w:cs="Times New Roman"/>
          <w:b/>
          <w:bCs/>
          <w:color w:val="auto"/>
          <w:sz w:val="24"/>
          <w:lang w:val="en-US" w:eastAsia="en-US"/>
        </w:rPr>
        <w:t>构建农膜治理回收利用长效机制。</w:t>
      </w:r>
      <w:r>
        <w:rPr>
          <w:rFonts w:hint="eastAsia" w:ascii="宋体" w:hAnsi="宋体" w:eastAsia="宋体" w:cs="Times New Roman"/>
          <w:color w:val="auto"/>
          <w:sz w:val="24"/>
          <w:lang w:val="en-US" w:eastAsia="zh-CN"/>
        </w:rPr>
        <w:t>建立农田地膜残留污染监测评估网络。依托省级地膜科学使用回收技术指导专家组，开展地膜残留监测和对0.01毫米以上地膜实施范围进行论证，在蔬菜主产区设立2个地膜残留监测点的活动。</w:t>
      </w:r>
    </w:p>
    <w:p w14:paraId="61974D75">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三、组织实施</w:t>
      </w:r>
    </w:p>
    <w:p w14:paraId="22E6FF22">
      <w:pPr>
        <w:widowControl/>
        <w:autoSpaceDE w:val="0"/>
        <w:autoSpaceDN w:val="0"/>
        <w:adjustRightInd w:val="0"/>
        <w:spacing w:line="360" w:lineRule="auto"/>
        <w:ind w:firstLine="480"/>
        <w:rPr>
          <w:rFonts w:hint="eastAsia" w:ascii="宋体" w:hAnsi="宋体" w:eastAsia="宋体" w:cs="Times New Roman"/>
          <w:color w:val="auto"/>
          <w:sz w:val="24"/>
          <w:lang w:val="en-US" w:eastAsia="en-US"/>
        </w:rPr>
      </w:pPr>
      <w:bookmarkStart w:id="3" w:name="_Toc17685"/>
      <w:bookmarkStart w:id="4" w:name="_Toc9540"/>
      <w:r>
        <w:rPr>
          <w:rFonts w:hint="eastAsia" w:ascii="宋体" w:hAnsi="宋体" w:eastAsia="宋体" w:cs="Times New Roman"/>
          <w:b/>
          <w:bCs/>
          <w:color w:val="auto"/>
          <w:sz w:val="24"/>
          <w:lang w:val="en-US" w:eastAsia="zh-CN"/>
        </w:rPr>
        <w:t>（一）</w:t>
      </w:r>
      <w:r>
        <w:rPr>
          <w:rFonts w:hint="eastAsia" w:ascii="宋体" w:hAnsi="宋体" w:eastAsia="宋体" w:cs="Times New Roman"/>
          <w:b/>
          <w:bCs/>
          <w:color w:val="auto"/>
          <w:sz w:val="24"/>
          <w:lang w:val="en-US" w:eastAsia="en-US"/>
        </w:rPr>
        <w:t>实施区域。</w:t>
      </w:r>
      <w:r>
        <w:rPr>
          <w:rFonts w:hint="eastAsia" w:ascii="宋体" w:hAnsi="宋体" w:eastAsia="宋体" w:cs="Times New Roman"/>
          <w:color w:val="auto"/>
          <w:sz w:val="24"/>
          <w:lang w:val="en-US" w:eastAsia="en-US"/>
        </w:rPr>
        <w:t>根据《财政部关于下达2024年农业生态资源保护资金预算的通知》要求，以各</w:t>
      </w:r>
      <w:r>
        <w:rPr>
          <w:rFonts w:hint="eastAsia" w:ascii="宋体" w:hAnsi="宋体" w:eastAsia="宋体" w:cs="Times New Roman"/>
          <w:color w:val="auto"/>
          <w:sz w:val="24"/>
          <w:lang w:val="en-US" w:eastAsia="zh-CN"/>
        </w:rPr>
        <w:t>乡镇和农业生产经营主体</w:t>
      </w:r>
      <w:r>
        <w:rPr>
          <w:rFonts w:hint="eastAsia" w:ascii="宋体" w:hAnsi="宋体" w:eastAsia="宋体" w:cs="Times New Roman"/>
          <w:color w:val="auto"/>
          <w:sz w:val="24"/>
          <w:lang w:val="en-US" w:eastAsia="en-US"/>
        </w:rPr>
        <w:t>2024年意愿申报地膜推广面积数据为基准，在全县25个乡镇覆膜区域</w:t>
      </w:r>
      <w:r>
        <w:rPr>
          <w:rFonts w:hint="eastAsia" w:ascii="宋体" w:hAnsi="宋体" w:eastAsia="宋体" w:cs="Times New Roman"/>
          <w:color w:val="auto"/>
          <w:sz w:val="24"/>
          <w:lang w:val="en-US" w:eastAsia="zh-CN"/>
        </w:rPr>
        <w:t>按照主体自愿参与、自主申报的方式，</w:t>
      </w:r>
      <w:r>
        <w:rPr>
          <w:rFonts w:hint="eastAsia" w:ascii="宋体" w:hAnsi="宋体" w:eastAsia="宋体" w:cs="Times New Roman"/>
          <w:color w:val="auto"/>
          <w:sz w:val="24"/>
          <w:lang w:val="en-US" w:eastAsia="en-US"/>
        </w:rPr>
        <w:t>实施地膜科学使用回收试点整县推进。</w:t>
      </w:r>
    </w:p>
    <w:p w14:paraId="66BD4EF5">
      <w:pPr>
        <w:widowControl/>
        <w:autoSpaceDE w:val="0"/>
        <w:autoSpaceDN w:val="0"/>
        <w:adjustRightInd w:val="0"/>
        <w:spacing w:line="360" w:lineRule="auto"/>
        <w:ind w:firstLine="480"/>
        <w:rPr>
          <w:rFonts w:hint="eastAsia" w:ascii="宋体" w:hAnsi="宋体" w:eastAsia="宋体" w:cs="Times New Roman"/>
          <w:color w:val="auto"/>
          <w:sz w:val="24"/>
          <w:lang w:val="en-US" w:eastAsia="en-US"/>
        </w:rPr>
      </w:pPr>
      <w:r>
        <w:rPr>
          <w:rFonts w:hint="eastAsia" w:ascii="宋体" w:hAnsi="宋体" w:eastAsia="宋体" w:cs="Times New Roman"/>
          <w:b/>
          <w:bCs/>
          <w:color w:val="auto"/>
          <w:sz w:val="24"/>
          <w:lang w:val="en-US" w:eastAsia="zh-CN"/>
        </w:rPr>
        <w:t>（二）</w:t>
      </w:r>
      <w:r>
        <w:rPr>
          <w:rFonts w:hint="eastAsia" w:ascii="宋体" w:hAnsi="宋体" w:eastAsia="宋体" w:cs="Times New Roman"/>
          <w:b/>
          <w:bCs/>
          <w:color w:val="auto"/>
          <w:sz w:val="24"/>
          <w:lang w:val="en-US" w:eastAsia="en-US"/>
        </w:rPr>
        <w:t>支持方式。</w:t>
      </w:r>
      <w:r>
        <w:rPr>
          <w:rFonts w:hint="eastAsia" w:ascii="宋体" w:hAnsi="宋体" w:eastAsia="宋体" w:cs="Times New Roman"/>
          <w:color w:val="auto"/>
          <w:sz w:val="24"/>
          <w:lang w:val="en-US" w:eastAsia="en-US"/>
        </w:rPr>
        <w:t>本项目支持方式采取直接物化补助方式，按照农户使用3亩地膜补贴1亩的方案执行，由县农业农村局按中央财政资金补贴额度以及202</w:t>
      </w:r>
      <w:r>
        <w:rPr>
          <w:rFonts w:hint="eastAsia" w:ascii="宋体" w:hAnsi="宋体" w:eastAsia="宋体" w:cs="Times New Roman"/>
          <w:color w:val="auto"/>
          <w:sz w:val="24"/>
          <w:lang w:val="en-US" w:eastAsia="zh-CN"/>
        </w:rPr>
        <w:t>4</w:t>
      </w:r>
      <w:r>
        <w:rPr>
          <w:rFonts w:hint="eastAsia" w:ascii="宋体" w:hAnsi="宋体" w:eastAsia="宋体" w:cs="Times New Roman"/>
          <w:color w:val="auto"/>
          <w:sz w:val="24"/>
          <w:lang w:val="en-US" w:eastAsia="en-US"/>
        </w:rPr>
        <w:t>年推广任务数进行统一招标，以采购第三方服务的形式，按每亩</w:t>
      </w:r>
      <w:r>
        <w:rPr>
          <w:rFonts w:hint="eastAsia" w:ascii="宋体" w:hAnsi="宋体" w:eastAsia="宋体" w:cs="Times New Roman"/>
          <w:color w:val="auto"/>
          <w:sz w:val="24"/>
          <w:lang w:val="en-US" w:eastAsia="zh-CN"/>
        </w:rPr>
        <w:t>5</w:t>
      </w:r>
      <w:r>
        <w:rPr>
          <w:rFonts w:hint="eastAsia" w:ascii="宋体" w:hAnsi="宋体" w:eastAsia="宋体" w:cs="Times New Roman"/>
          <w:color w:val="auto"/>
          <w:sz w:val="24"/>
          <w:lang w:val="en-US" w:eastAsia="en-US"/>
        </w:rPr>
        <w:t>公斤的标准将实物分发到乡镇和新型农业主体中，由第三方公司负责作业指导、技术培训及台账建设。在逐步培育形成“农民自愿、企业受益、环境改善”以市场调节为主的运行模式后，支持政策将分年分地区逐步退出。</w:t>
      </w:r>
    </w:p>
    <w:p w14:paraId="2091420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40" w:lineRule="exact"/>
        <w:ind w:firstLine="482" w:firstLineChars="200"/>
        <w:textAlignment w:val="auto"/>
        <w:rPr>
          <w:rFonts w:hint="eastAsia" w:ascii="宋体" w:hAnsi="宋体" w:eastAsia="宋体" w:cs="Times New Roman"/>
          <w:color w:val="auto"/>
          <w:sz w:val="24"/>
          <w:lang w:val="en-US" w:eastAsia="zh-CN"/>
        </w:rPr>
      </w:pPr>
      <w:r>
        <w:rPr>
          <w:rFonts w:hint="eastAsia" w:ascii="宋体" w:hAnsi="宋体" w:eastAsia="宋体" w:cs="Times New Roman"/>
          <w:b/>
          <w:bCs/>
          <w:color w:val="auto"/>
          <w:sz w:val="24"/>
          <w:lang w:val="en-US" w:eastAsia="zh-CN"/>
        </w:rPr>
        <w:t>（三）项目验收。</w:t>
      </w:r>
      <w:r>
        <w:rPr>
          <w:rFonts w:hint="eastAsia" w:ascii="宋体" w:hAnsi="宋体" w:eastAsia="宋体" w:cs="Times New Roman"/>
          <w:color w:val="auto"/>
          <w:sz w:val="24"/>
          <w:lang w:val="en-US" w:eastAsia="zh-CN"/>
        </w:rPr>
        <w:t>年度试点任务实施完成后，要对项目实施及管理情况进行验收，按照以下程序进行：</w:t>
      </w:r>
    </w:p>
    <w:p w14:paraId="4A530226">
      <w:pPr>
        <w:widowControl/>
        <w:autoSpaceDE w:val="0"/>
        <w:autoSpaceDN w:val="0"/>
        <w:adjustRightInd w:val="0"/>
        <w:spacing w:line="360" w:lineRule="auto"/>
        <w:ind w:firstLine="480"/>
        <w:rPr>
          <w:rFonts w:hint="eastAsia" w:ascii="宋体" w:hAnsi="宋体" w:eastAsia="宋体" w:cs="Times New Roman"/>
          <w:color w:val="auto"/>
          <w:sz w:val="24"/>
          <w:lang w:val="en-US" w:eastAsia="zh-CN"/>
        </w:rPr>
      </w:pPr>
      <w:r>
        <w:rPr>
          <w:rFonts w:hint="eastAsia" w:ascii="宋体" w:hAnsi="宋体" w:eastAsia="宋体" w:cs="Times New Roman"/>
          <w:b/>
          <w:bCs/>
          <w:color w:val="auto"/>
          <w:sz w:val="24"/>
          <w:lang w:val="en-US" w:eastAsia="zh-CN"/>
        </w:rPr>
        <w:t>1、物化补助物资发放台账：</w:t>
      </w:r>
      <w:r>
        <w:rPr>
          <w:rFonts w:hint="eastAsia" w:ascii="宋体" w:hAnsi="宋体" w:eastAsia="宋体" w:cs="Times New Roman"/>
          <w:color w:val="auto"/>
          <w:sz w:val="24"/>
          <w:lang w:val="en-US" w:eastAsia="zh-CN"/>
        </w:rPr>
        <w:t>主要查阅中标人物资发放主体签收台账、物资发放影像资料台账。</w:t>
      </w:r>
    </w:p>
    <w:p w14:paraId="102F8A15">
      <w:pPr>
        <w:widowControl/>
        <w:autoSpaceDE w:val="0"/>
        <w:autoSpaceDN w:val="0"/>
        <w:adjustRightInd w:val="0"/>
        <w:spacing w:line="360" w:lineRule="auto"/>
        <w:ind w:firstLine="480"/>
        <w:rPr>
          <w:rFonts w:hint="eastAsia" w:ascii="宋体" w:hAnsi="宋体" w:eastAsia="宋体" w:cs="Times New Roman"/>
          <w:color w:val="auto"/>
          <w:sz w:val="24"/>
          <w:lang w:val="en-US" w:eastAsia="zh-CN"/>
        </w:rPr>
      </w:pPr>
      <w:r>
        <w:rPr>
          <w:rFonts w:hint="eastAsia" w:ascii="宋体" w:hAnsi="宋体" w:eastAsia="宋体" w:cs="Times New Roman"/>
          <w:b/>
          <w:bCs/>
          <w:color w:val="auto"/>
          <w:sz w:val="24"/>
          <w:lang w:val="en-US" w:eastAsia="zh-CN"/>
        </w:rPr>
        <w:t>2、作业指导及技术培训开展情况：</w:t>
      </w:r>
      <w:r>
        <w:rPr>
          <w:rFonts w:hint="eastAsia" w:ascii="宋体" w:hAnsi="宋体" w:eastAsia="宋体" w:cs="Times New Roman"/>
          <w:color w:val="auto"/>
          <w:sz w:val="24"/>
          <w:lang w:val="en-US" w:eastAsia="zh-CN"/>
        </w:rPr>
        <w:t>主要验收中标人作业指导、技术培训影像资料及相关台账资料。</w:t>
      </w:r>
    </w:p>
    <w:p w14:paraId="2C3892AF">
      <w:pPr>
        <w:widowControl/>
        <w:autoSpaceDE w:val="0"/>
        <w:autoSpaceDN w:val="0"/>
        <w:adjustRightInd w:val="0"/>
        <w:spacing w:line="360" w:lineRule="auto"/>
        <w:ind w:firstLine="480"/>
        <w:rPr>
          <w:rFonts w:hint="eastAsia" w:ascii="宋体" w:hAnsi="宋体" w:eastAsia="宋体" w:cs="Times New Roman"/>
          <w:color w:val="auto"/>
          <w:sz w:val="24"/>
          <w:lang w:val="en-US" w:eastAsia="zh-CN"/>
        </w:rPr>
      </w:pPr>
      <w:r>
        <w:rPr>
          <w:rFonts w:hint="eastAsia" w:ascii="宋体" w:hAnsi="宋体" w:eastAsia="宋体" w:cs="Times New Roman"/>
          <w:b/>
          <w:bCs/>
          <w:color w:val="auto"/>
          <w:sz w:val="24"/>
          <w:lang w:val="en-US" w:eastAsia="zh-CN"/>
        </w:rPr>
        <w:t>3、示范点建设情况：</w:t>
      </w:r>
      <w:r>
        <w:rPr>
          <w:rFonts w:hint="eastAsia" w:ascii="宋体" w:hAnsi="宋体" w:eastAsia="宋体" w:cs="Times New Roman"/>
          <w:color w:val="auto"/>
          <w:sz w:val="24"/>
          <w:lang w:val="en-US" w:eastAsia="zh-CN"/>
        </w:rPr>
        <w:t>查阅各示范点建设过程影像资料及相关台账资料。</w:t>
      </w:r>
    </w:p>
    <w:p w14:paraId="0C95CD57">
      <w:pPr>
        <w:widowControl/>
        <w:autoSpaceDE w:val="0"/>
        <w:autoSpaceDN w:val="0"/>
        <w:adjustRightInd w:val="0"/>
        <w:spacing w:line="360" w:lineRule="auto"/>
        <w:ind w:firstLine="480"/>
        <w:rPr>
          <w:rFonts w:hint="default" w:ascii="宋体" w:hAnsi="宋体" w:eastAsia="宋体" w:cs="Times New Roman"/>
          <w:color w:val="auto"/>
          <w:sz w:val="24"/>
          <w:lang w:val="en-US" w:eastAsia="zh-CN"/>
        </w:rPr>
      </w:pPr>
      <w:r>
        <w:rPr>
          <w:rFonts w:hint="eastAsia" w:ascii="宋体" w:hAnsi="宋体" w:eastAsia="宋体" w:cs="Times New Roman"/>
          <w:b/>
          <w:bCs/>
          <w:color w:val="auto"/>
          <w:sz w:val="24"/>
          <w:lang w:val="en-US" w:eastAsia="zh-CN"/>
        </w:rPr>
        <w:t>4、农膜台账建设情况：</w:t>
      </w:r>
      <w:r>
        <w:rPr>
          <w:rFonts w:hint="eastAsia" w:ascii="宋体" w:hAnsi="宋体" w:eastAsia="宋体" w:cs="Times New Roman"/>
          <w:color w:val="auto"/>
          <w:sz w:val="24"/>
          <w:lang w:val="en-US" w:eastAsia="zh-CN"/>
        </w:rPr>
        <w:t>查阅主体农膜购买、使用、回收生产记录本填写情况。包括农膜购买情况、使用情况、回收情况和再利用情况等。</w:t>
      </w:r>
    </w:p>
    <w:p w14:paraId="619854FA">
      <w:pPr>
        <w:widowControl/>
        <w:autoSpaceDE w:val="0"/>
        <w:autoSpaceDN w:val="0"/>
        <w:adjustRightInd w:val="0"/>
        <w:spacing w:line="360" w:lineRule="auto"/>
        <w:ind w:firstLine="480"/>
        <w:rPr>
          <w:rFonts w:hint="default" w:ascii="宋体" w:hAnsi="宋体" w:eastAsia="宋体" w:cs="Times New Roman"/>
          <w:color w:val="auto"/>
          <w:sz w:val="24"/>
          <w:lang w:val="en-US" w:eastAsia="zh-CN"/>
        </w:rPr>
      </w:pPr>
      <w:r>
        <w:rPr>
          <w:rFonts w:hint="eastAsia" w:ascii="宋体" w:hAnsi="宋体" w:eastAsia="宋体" w:cs="Times New Roman"/>
          <w:b/>
          <w:bCs/>
          <w:color w:val="auto"/>
          <w:sz w:val="24"/>
          <w:lang w:val="en-US" w:eastAsia="zh-CN"/>
        </w:rPr>
        <w:t>5、农膜回收开展情况：</w:t>
      </w:r>
      <w:r>
        <w:rPr>
          <w:rFonts w:hint="eastAsia" w:ascii="宋体" w:hAnsi="宋体" w:eastAsia="宋体" w:cs="Times New Roman"/>
          <w:color w:val="auto"/>
          <w:sz w:val="24"/>
          <w:lang w:val="en-US" w:eastAsia="zh-CN"/>
        </w:rPr>
        <w:t>主要检查回收网点回收台账及现场抽查农田残膜捡拾情况。使用量、回收量、残留量等数据是否能够相互佐证，符合实际规律。</w:t>
      </w:r>
    </w:p>
    <w:p w14:paraId="2B78BF3A">
      <w:pPr>
        <w:widowControl/>
        <w:autoSpaceDE w:val="0"/>
        <w:autoSpaceDN w:val="0"/>
        <w:adjustRightInd w:val="0"/>
        <w:spacing w:line="360" w:lineRule="auto"/>
        <w:ind w:firstLine="480"/>
        <w:rPr>
          <w:rFonts w:hint="eastAsia" w:ascii="宋体" w:hAnsi="宋体" w:eastAsia="宋体" w:cs="Times New Roman"/>
          <w:color w:val="auto"/>
          <w:sz w:val="24"/>
        </w:rPr>
      </w:pPr>
      <w:r>
        <w:rPr>
          <w:rFonts w:hint="eastAsia" w:ascii="宋体" w:hAnsi="宋体" w:eastAsia="宋体" w:cs="Times New Roman"/>
          <w:b/>
          <w:bCs/>
          <w:color w:val="auto"/>
          <w:sz w:val="24"/>
          <w:lang w:val="en-US" w:eastAsia="zh-CN"/>
        </w:rPr>
        <w:t>6、地膜残留监测评价：</w:t>
      </w:r>
      <w:r>
        <w:rPr>
          <w:rFonts w:hint="eastAsia" w:ascii="宋体" w:hAnsi="宋体" w:eastAsia="宋体" w:cs="Times New Roman"/>
          <w:color w:val="auto"/>
          <w:sz w:val="24"/>
          <w:lang w:val="en-US" w:eastAsia="zh-CN"/>
        </w:rPr>
        <w:t>委托第三方机构在示范区内开展地膜残留污染监测评价工作，掌握重点区域农用地膜残留状况和变化趋势，评价农田地膜污染程度，为加强地膜残留污染的监管、防控、治理以及综合考评提供科学依据。</w:t>
      </w:r>
    </w:p>
    <w:p w14:paraId="5469B7BC">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 xml:space="preserve">四、项目具体实施内容及要求 </w:t>
      </w:r>
    </w:p>
    <w:tbl>
      <w:tblPr>
        <w:tblStyle w:val="10"/>
        <w:tblW w:w="8392" w:type="dxa"/>
        <w:tblInd w:w="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8"/>
        <w:gridCol w:w="1500"/>
        <w:gridCol w:w="3087"/>
        <w:gridCol w:w="3167"/>
      </w:tblGrid>
      <w:tr w14:paraId="00E08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14:paraId="7B621E72">
            <w:pPr>
              <w:keepNext w:val="0"/>
              <w:keepLines w:val="0"/>
              <w:pageBreakBefore w:val="0"/>
              <w:widowControl/>
              <w:suppressLineNumbers w:val="0"/>
              <w:topLinePunct w:val="0"/>
              <w:bidi w:val="0"/>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序号</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3052139C">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项目名称</w:t>
            </w:r>
          </w:p>
        </w:tc>
        <w:tc>
          <w:tcPr>
            <w:tcW w:w="3087" w:type="dxa"/>
            <w:tcBorders>
              <w:top w:val="single" w:color="000000" w:sz="4" w:space="0"/>
              <w:left w:val="single" w:color="000000" w:sz="4" w:space="0"/>
              <w:bottom w:val="single" w:color="000000" w:sz="4" w:space="0"/>
              <w:right w:val="single" w:color="000000" w:sz="4" w:space="0"/>
            </w:tcBorders>
            <w:noWrap/>
            <w:vAlign w:val="center"/>
          </w:tcPr>
          <w:p w14:paraId="156FC471">
            <w:pPr>
              <w:keepNext w:val="0"/>
              <w:keepLines w:val="0"/>
              <w:pageBreakBefore w:val="0"/>
              <w:widowControl/>
              <w:suppressLineNumbers w:val="0"/>
              <w:topLinePunct w:val="0"/>
              <w:bidi w:val="0"/>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项目内容</w:t>
            </w:r>
          </w:p>
        </w:tc>
        <w:tc>
          <w:tcPr>
            <w:tcW w:w="3167" w:type="dxa"/>
            <w:tcBorders>
              <w:top w:val="single" w:color="000000" w:sz="4" w:space="0"/>
              <w:left w:val="single" w:color="auto" w:sz="4" w:space="0"/>
              <w:bottom w:val="single" w:color="000000" w:sz="4" w:space="0"/>
              <w:right w:val="single" w:color="000000" w:sz="4" w:space="0"/>
            </w:tcBorders>
            <w:noWrap/>
            <w:vAlign w:val="center"/>
          </w:tcPr>
          <w:p w14:paraId="5611CEA7">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备注</w:t>
            </w:r>
          </w:p>
        </w:tc>
      </w:tr>
      <w:tr w14:paraId="3CD91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14:paraId="5DF66499">
            <w:pPr>
              <w:keepNext w:val="0"/>
              <w:keepLines w:val="0"/>
              <w:pageBreakBefore w:val="0"/>
              <w:widowControl/>
              <w:suppressLineNumbers w:val="0"/>
              <w:topLinePunct w:val="0"/>
              <w:bidi w:val="0"/>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0AEE4AA9">
            <w:pPr>
              <w:keepNext w:val="0"/>
              <w:keepLines w:val="0"/>
              <w:pageBreakBefore w:val="0"/>
              <w:widowControl/>
              <w:suppressLineNumbers w:val="0"/>
              <w:topLinePunct w:val="0"/>
              <w:bidi w:val="0"/>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地膜采购资金分配</w:t>
            </w:r>
          </w:p>
        </w:tc>
        <w:tc>
          <w:tcPr>
            <w:tcW w:w="3087" w:type="dxa"/>
            <w:tcBorders>
              <w:top w:val="single" w:color="000000" w:sz="4" w:space="0"/>
              <w:left w:val="single" w:color="000000" w:sz="4" w:space="0"/>
              <w:bottom w:val="single" w:color="000000" w:sz="4" w:space="0"/>
              <w:right w:val="single" w:color="000000" w:sz="4" w:space="0"/>
            </w:tcBorders>
            <w:noWrap/>
            <w:vAlign w:val="center"/>
          </w:tcPr>
          <w:p w14:paraId="2969A06C">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加厚高强度地膜推广面积按照5.5万亩，每3亩物化补贴1亩，每亩免费支持5公斤高强度加厚地膜的标准，采购不低于92吨高强度加厚地膜。</w:t>
            </w:r>
          </w:p>
        </w:tc>
        <w:tc>
          <w:tcPr>
            <w:tcW w:w="3167" w:type="dxa"/>
            <w:tcBorders>
              <w:top w:val="single" w:color="000000" w:sz="4" w:space="0"/>
              <w:left w:val="single" w:color="auto" w:sz="4" w:space="0"/>
              <w:bottom w:val="single" w:color="000000" w:sz="4" w:space="0"/>
              <w:right w:val="single" w:color="000000" w:sz="4" w:space="0"/>
            </w:tcBorders>
            <w:noWrap/>
            <w:vAlign w:val="center"/>
          </w:tcPr>
          <w:p w14:paraId="601B6527">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包括物资采购、发放及运送、发放台账建设、示范点建设及技术服务指导</w:t>
            </w:r>
          </w:p>
        </w:tc>
      </w:tr>
      <w:tr w14:paraId="37286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14:paraId="23999B6C">
            <w:pPr>
              <w:keepNext w:val="0"/>
              <w:keepLines w:val="0"/>
              <w:pageBreakBefore w:val="0"/>
              <w:widowControl/>
              <w:suppressLineNumbers w:val="0"/>
              <w:topLinePunct w:val="0"/>
              <w:bidi w:val="0"/>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2BA9346A">
            <w:pPr>
              <w:keepNext w:val="0"/>
              <w:keepLines w:val="0"/>
              <w:pageBreakBefore w:val="0"/>
              <w:widowControl/>
              <w:suppressLineNumbers w:val="0"/>
              <w:topLinePunct w:val="0"/>
              <w:bidi w:val="0"/>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农膜回收及处理机制</w:t>
            </w:r>
          </w:p>
        </w:tc>
        <w:tc>
          <w:tcPr>
            <w:tcW w:w="3087" w:type="dxa"/>
            <w:tcBorders>
              <w:top w:val="single" w:color="000000" w:sz="4" w:space="0"/>
              <w:left w:val="single" w:color="000000" w:sz="4" w:space="0"/>
              <w:bottom w:val="single" w:color="000000" w:sz="4" w:space="0"/>
              <w:right w:val="single" w:color="000000" w:sz="4" w:space="0"/>
            </w:tcBorders>
            <w:noWrap/>
            <w:vAlign w:val="center"/>
          </w:tcPr>
          <w:p w14:paraId="792F478B">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利用现有废旧农膜回收网点，组织废旧农膜回收。</w:t>
            </w:r>
          </w:p>
        </w:tc>
        <w:tc>
          <w:tcPr>
            <w:tcW w:w="3167" w:type="dxa"/>
            <w:tcBorders>
              <w:top w:val="single" w:color="000000" w:sz="4" w:space="0"/>
              <w:left w:val="single" w:color="auto" w:sz="4" w:space="0"/>
              <w:bottom w:val="single" w:color="000000" w:sz="4" w:space="0"/>
              <w:right w:val="single" w:color="000000" w:sz="4" w:space="0"/>
            </w:tcBorders>
            <w:noWrap/>
            <w:vAlign w:val="center"/>
          </w:tcPr>
          <w:p w14:paraId="669C3577">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由代理企业负责实施。（费用包含在地膜采购资金内）</w:t>
            </w:r>
          </w:p>
        </w:tc>
      </w:tr>
      <w:tr w14:paraId="2445D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14:paraId="371D0109">
            <w:pPr>
              <w:keepNext w:val="0"/>
              <w:keepLines w:val="0"/>
              <w:pageBreakBefore w:val="0"/>
              <w:widowControl/>
              <w:suppressLineNumbers w:val="0"/>
              <w:topLinePunct w:val="0"/>
              <w:bidi w:val="0"/>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05B46132">
            <w:pPr>
              <w:keepNext w:val="0"/>
              <w:keepLines w:val="0"/>
              <w:pageBreakBefore w:val="0"/>
              <w:widowControl/>
              <w:suppressLineNumbers w:val="0"/>
              <w:topLinePunct w:val="0"/>
              <w:bidi w:val="0"/>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地膜残留监测</w:t>
            </w:r>
          </w:p>
        </w:tc>
        <w:tc>
          <w:tcPr>
            <w:tcW w:w="3087" w:type="dxa"/>
            <w:tcBorders>
              <w:top w:val="single" w:color="000000" w:sz="4" w:space="0"/>
              <w:left w:val="single" w:color="000000" w:sz="4" w:space="0"/>
              <w:bottom w:val="single" w:color="000000" w:sz="4" w:space="0"/>
              <w:right w:val="single" w:color="000000" w:sz="4" w:space="0"/>
            </w:tcBorders>
            <w:noWrap/>
            <w:vAlign w:val="center"/>
          </w:tcPr>
          <w:p w14:paraId="7B4A4701">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委托第三方机构对地膜残留物进行监测，验证地膜回收率。</w:t>
            </w:r>
          </w:p>
        </w:tc>
        <w:tc>
          <w:tcPr>
            <w:tcW w:w="3167" w:type="dxa"/>
            <w:tcBorders>
              <w:top w:val="single" w:color="000000" w:sz="4" w:space="0"/>
              <w:left w:val="single" w:color="auto" w:sz="4" w:space="0"/>
              <w:bottom w:val="single" w:color="000000" w:sz="4" w:space="0"/>
              <w:right w:val="single" w:color="000000" w:sz="4" w:space="0"/>
            </w:tcBorders>
            <w:noWrap/>
            <w:vAlign w:val="center"/>
          </w:tcPr>
          <w:p w14:paraId="35297437">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r>
      <w:tr w14:paraId="690E7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14:paraId="7A113AE1">
            <w:pPr>
              <w:keepNext w:val="0"/>
              <w:keepLines w:val="0"/>
              <w:pageBreakBefore w:val="0"/>
              <w:widowControl/>
              <w:suppressLineNumbers w:val="0"/>
              <w:topLinePunct w:val="0"/>
              <w:bidi w:val="0"/>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56A5EA82">
            <w:pPr>
              <w:keepNext w:val="0"/>
              <w:keepLines w:val="0"/>
              <w:pageBreakBefore w:val="0"/>
              <w:widowControl/>
              <w:suppressLineNumbers w:val="0"/>
              <w:topLinePunct w:val="0"/>
              <w:bidi w:val="0"/>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0.01毫米以上地 膜实施范围进行论证</w:t>
            </w:r>
          </w:p>
        </w:tc>
        <w:tc>
          <w:tcPr>
            <w:tcW w:w="3087" w:type="dxa"/>
            <w:tcBorders>
              <w:top w:val="single" w:color="000000" w:sz="4" w:space="0"/>
              <w:left w:val="single" w:color="000000" w:sz="4" w:space="0"/>
              <w:bottom w:val="single" w:color="000000" w:sz="4" w:space="0"/>
              <w:right w:val="single" w:color="000000" w:sz="4" w:space="0"/>
            </w:tcBorders>
            <w:noWrap/>
            <w:vAlign w:val="center"/>
          </w:tcPr>
          <w:p w14:paraId="0ADEB264">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建设厚度0.01毫米以上（不含0.01毫米）且具备同等强度的地膜实施范围论证试点1个，试点面积不小于10亩。</w:t>
            </w:r>
          </w:p>
        </w:tc>
        <w:tc>
          <w:tcPr>
            <w:tcW w:w="3167" w:type="dxa"/>
            <w:tcBorders>
              <w:top w:val="single" w:color="000000" w:sz="4" w:space="0"/>
              <w:left w:val="single" w:color="auto" w:sz="4" w:space="0"/>
              <w:bottom w:val="single" w:color="000000" w:sz="4" w:space="0"/>
              <w:right w:val="single" w:color="000000" w:sz="4" w:space="0"/>
            </w:tcBorders>
            <w:noWrap/>
            <w:vAlign w:val="center"/>
          </w:tcPr>
          <w:p w14:paraId="268A5E2E">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r>
      <w:tr w14:paraId="2F3EC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14:paraId="3CDFE85D">
            <w:pPr>
              <w:keepNext w:val="0"/>
              <w:keepLines w:val="0"/>
              <w:pageBreakBefore w:val="0"/>
              <w:widowControl/>
              <w:suppressLineNumbers w:val="0"/>
              <w:topLinePunct w:val="0"/>
              <w:bidi w:val="0"/>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3DDA3C33">
            <w:pPr>
              <w:keepNext w:val="0"/>
              <w:keepLines w:val="0"/>
              <w:pageBreakBefore w:val="0"/>
              <w:widowControl/>
              <w:suppressLineNumbers w:val="0"/>
              <w:topLinePunct w:val="0"/>
              <w:bidi w:val="0"/>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验收审计</w:t>
            </w:r>
          </w:p>
        </w:tc>
        <w:tc>
          <w:tcPr>
            <w:tcW w:w="3087" w:type="dxa"/>
            <w:tcBorders>
              <w:top w:val="single" w:color="000000" w:sz="4" w:space="0"/>
              <w:left w:val="single" w:color="000000" w:sz="4" w:space="0"/>
              <w:bottom w:val="single" w:color="000000" w:sz="4" w:space="0"/>
              <w:right w:val="single" w:color="000000" w:sz="4" w:space="0"/>
            </w:tcBorders>
            <w:noWrap/>
            <w:vAlign w:val="center"/>
          </w:tcPr>
          <w:p w14:paraId="490E5ED8">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聘请第三方机构参与项目的验收审计。</w:t>
            </w:r>
          </w:p>
        </w:tc>
        <w:tc>
          <w:tcPr>
            <w:tcW w:w="3167" w:type="dxa"/>
            <w:tcBorders>
              <w:top w:val="single" w:color="000000" w:sz="4" w:space="0"/>
              <w:left w:val="single" w:color="auto" w:sz="4" w:space="0"/>
              <w:bottom w:val="single" w:color="000000" w:sz="4" w:space="0"/>
              <w:right w:val="single" w:color="000000" w:sz="4" w:space="0"/>
            </w:tcBorders>
            <w:noWrap/>
            <w:vAlign w:val="center"/>
          </w:tcPr>
          <w:p w14:paraId="5E7EA4DC">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r>
      <w:tr w14:paraId="15478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14:paraId="25EF6180">
            <w:pPr>
              <w:keepNext w:val="0"/>
              <w:keepLines w:val="0"/>
              <w:pageBreakBefore w:val="0"/>
              <w:widowControl/>
              <w:suppressLineNumbers w:val="0"/>
              <w:topLinePunct w:val="0"/>
              <w:bidi w:val="0"/>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58FD2949">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科技支撑服务和宣传培训等</w:t>
            </w:r>
          </w:p>
        </w:tc>
        <w:tc>
          <w:tcPr>
            <w:tcW w:w="3087" w:type="dxa"/>
            <w:tcBorders>
              <w:top w:val="single" w:color="000000" w:sz="4" w:space="0"/>
              <w:left w:val="single" w:color="000000" w:sz="4" w:space="0"/>
              <w:bottom w:val="single" w:color="000000" w:sz="4" w:space="0"/>
              <w:right w:val="single" w:color="000000" w:sz="4" w:space="0"/>
            </w:tcBorders>
            <w:noWrap/>
            <w:vAlign w:val="center"/>
          </w:tcPr>
          <w:p w14:paraId="317426D6">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保障科技支撑服务，加强宣传培训。</w:t>
            </w:r>
          </w:p>
        </w:tc>
        <w:tc>
          <w:tcPr>
            <w:tcW w:w="3167" w:type="dxa"/>
            <w:tcBorders>
              <w:top w:val="single" w:color="000000" w:sz="4" w:space="0"/>
              <w:left w:val="single" w:color="auto" w:sz="4" w:space="0"/>
              <w:bottom w:val="single" w:color="000000" w:sz="4" w:space="0"/>
              <w:right w:val="single" w:color="000000" w:sz="4" w:space="0"/>
            </w:tcBorders>
            <w:noWrap/>
            <w:vAlign w:val="center"/>
          </w:tcPr>
          <w:p w14:paraId="3720B771">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i w:val="0"/>
                <w:iCs w:val="0"/>
                <w:color w:val="FF0000"/>
                <w:kern w:val="0"/>
                <w:sz w:val="21"/>
                <w:szCs w:val="21"/>
                <w:u w:val="none"/>
                <w:lang w:val="en-US" w:eastAsia="zh-CN" w:bidi="ar"/>
              </w:rPr>
            </w:pPr>
          </w:p>
        </w:tc>
      </w:tr>
    </w:tbl>
    <w:p w14:paraId="21A3707F">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五、供货要求</w:t>
      </w:r>
    </w:p>
    <w:p w14:paraId="6E3B98FD">
      <w:pPr>
        <w:pStyle w:val="24"/>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宋体" w:cs="Times New Roman"/>
          <w:color w:val="auto"/>
          <w:sz w:val="24"/>
          <w:szCs w:val="24"/>
          <w:lang w:val="en-US" w:eastAsia="zh-CN"/>
        </w:rPr>
      </w:pPr>
      <w:r>
        <w:rPr>
          <w:rFonts w:hint="eastAsia" w:eastAsia="宋体" w:cs="Times New Roman"/>
          <w:color w:val="auto"/>
          <w:sz w:val="24"/>
          <w:szCs w:val="24"/>
          <w:lang w:val="en-US" w:eastAsia="zh-CN"/>
        </w:rPr>
        <w:t>1、中标人保证出卖给采购人的产品或产品任何部分非他人所有或与他人共有，未设有抵押权、租赁权，未侵犯他人的专利权、版权、商标权等知识产权。一旦出现侵权，卖方应承担全部责任。</w:t>
      </w:r>
    </w:p>
    <w:p w14:paraId="2CB775FD">
      <w:pPr>
        <w:pStyle w:val="24"/>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宋体" w:cs="Times New Roman"/>
          <w:color w:val="auto"/>
          <w:sz w:val="24"/>
          <w:szCs w:val="24"/>
          <w:lang w:val="en-US" w:eastAsia="zh-CN"/>
        </w:rPr>
      </w:pPr>
      <w:r>
        <w:rPr>
          <w:rFonts w:hint="eastAsia" w:eastAsia="宋体" w:cs="Times New Roman"/>
          <w:color w:val="auto"/>
          <w:sz w:val="24"/>
          <w:szCs w:val="24"/>
          <w:lang w:val="en-US" w:eastAsia="zh-CN"/>
        </w:rPr>
        <w:t>2、产品质量与包装</w:t>
      </w:r>
    </w:p>
    <w:p w14:paraId="5CB6D4CD">
      <w:pPr>
        <w:pStyle w:val="24"/>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宋体" w:cs="Times New Roman"/>
          <w:color w:val="auto"/>
          <w:sz w:val="24"/>
          <w:szCs w:val="24"/>
          <w:lang w:val="en-US" w:eastAsia="zh-CN"/>
        </w:rPr>
      </w:pPr>
      <w:r>
        <w:rPr>
          <w:rFonts w:hint="eastAsia" w:eastAsia="宋体" w:cs="Times New Roman"/>
          <w:color w:val="auto"/>
          <w:sz w:val="24"/>
          <w:szCs w:val="24"/>
          <w:lang w:val="en-US" w:eastAsia="zh-CN"/>
        </w:rPr>
        <w:t>（1）单证齐全：应有产品合格证（或质量证明）、发票和其它应具有的单证；</w:t>
      </w:r>
    </w:p>
    <w:p w14:paraId="41987457">
      <w:pPr>
        <w:pStyle w:val="24"/>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宋体" w:cs="Times New Roman"/>
          <w:color w:val="auto"/>
          <w:sz w:val="24"/>
          <w:szCs w:val="24"/>
          <w:lang w:val="en-US" w:eastAsia="zh-CN"/>
        </w:rPr>
      </w:pPr>
      <w:r>
        <w:rPr>
          <w:rFonts w:hint="eastAsia" w:eastAsia="宋体" w:cs="Times New Roman"/>
          <w:color w:val="auto"/>
          <w:sz w:val="24"/>
          <w:szCs w:val="24"/>
          <w:lang w:val="en-US" w:eastAsia="zh-CN"/>
        </w:rPr>
        <w:t>（2）产品质量应符合中华人民共和国国家安全质量标准、环保标准、行业标准或货物来源国官方标准；</w:t>
      </w:r>
    </w:p>
    <w:p w14:paraId="4864D8E1">
      <w:pPr>
        <w:pStyle w:val="24"/>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宋体" w:cs="Times New Roman"/>
          <w:color w:val="auto"/>
          <w:sz w:val="24"/>
          <w:szCs w:val="24"/>
          <w:lang w:val="en-US" w:eastAsia="zh-CN"/>
        </w:rPr>
      </w:pPr>
      <w:r>
        <w:rPr>
          <w:rFonts w:hint="eastAsia" w:eastAsia="宋体" w:cs="Times New Roman"/>
          <w:color w:val="auto"/>
          <w:sz w:val="24"/>
          <w:szCs w:val="24"/>
          <w:lang w:val="en-US" w:eastAsia="zh-CN"/>
        </w:rPr>
        <w:t>3、货物为原厂商未启封全新包装，序列号、包装箱号与出厂批号一致，并可追索查阅。</w:t>
      </w:r>
    </w:p>
    <w:p w14:paraId="5E7BC06E">
      <w:pPr>
        <w:pStyle w:val="24"/>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宋体" w:cs="Times New Roman"/>
          <w:color w:val="auto"/>
          <w:sz w:val="24"/>
          <w:szCs w:val="24"/>
          <w:lang w:val="en-US" w:eastAsia="zh-CN"/>
        </w:rPr>
      </w:pPr>
      <w:r>
        <w:rPr>
          <w:rFonts w:hint="eastAsia" w:eastAsia="宋体" w:cs="Times New Roman"/>
          <w:color w:val="auto"/>
          <w:sz w:val="24"/>
          <w:szCs w:val="24"/>
          <w:lang w:val="en-US" w:eastAsia="zh-CN"/>
        </w:rPr>
        <w:t>4、产品运输、保险及其他</w:t>
      </w:r>
    </w:p>
    <w:p w14:paraId="1300C69F">
      <w:pPr>
        <w:pStyle w:val="24"/>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宋体" w:cs="Times New Roman"/>
          <w:color w:val="auto"/>
          <w:sz w:val="24"/>
          <w:szCs w:val="24"/>
          <w:lang w:val="en-US" w:eastAsia="zh-CN"/>
        </w:rPr>
      </w:pPr>
      <w:r>
        <w:rPr>
          <w:rFonts w:hint="eastAsia" w:eastAsia="宋体" w:cs="Times New Roman"/>
          <w:color w:val="auto"/>
          <w:sz w:val="24"/>
          <w:szCs w:val="24"/>
          <w:lang w:val="en-US" w:eastAsia="zh-CN"/>
        </w:rPr>
        <w:t>（1）中标人负责产品到施工地点的全部运输，包括转运、装卸及现场搬运等。</w:t>
      </w:r>
    </w:p>
    <w:p w14:paraId="390AC7D4">
      <w:pPr>
        <w:pStyle w:val="24"/>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宋体" w:cs="Times New Roman"/>
          <w:color w:val="auto"/>
          <w:sz w:val="24"/>
          <w:szCs w:val="24"/>
          <w:lang w:val="en-US" w:eastAsia="zh-CN"/>
        </w:rPr>
      </w:pPr>
      <w:r>
        <w:rPr>
          <w:rFonts w:hint="eastAsia" w:eastAsia="宋体" w:cs="Times New Roman"/>
          <w:color w:val="auto"/>
          <w:sz w:val="24"/>
          <w:szCs w:val="24"/>
          <w:lang w:val="en-US" w:eastAsia="zh-CN"/>
        </w:rPr>
        <w:t>（2）中标人负责材料设备在施工地点的保管，直至项目验收合格。</w:t>
      </w:r>
    </w:p>
    <w:p w14:paraId="38D69BF9">
      <w:pPr>
        <w:pStyle w:val="24"/>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宋体" w:cs="Times New Roman"/>
          <w:color w:val="auto"/>
          <w:sz w:val="24"/>
          <w:szCs w:val="24"/>
          <w:lang w:val="en-US" w:eastAsia="zh-CN"/>
        </w:rPr>
      </w:pPr>
      <w:r>
        <w:rPr>
          <w:rFonts w:hint="eastAsia" w:eastAsia="宋体" w:cs="Times New Roman"/>
          <w:color w:val="auto"/>
          <w:sz w:val="24"/>
          <w:szCs w:val="24"/>
          <w:lang w:val="en-US" w:eastAsia="zh-CN"/>
        </w:rPr>
        <w:t>（3）中标人负责其派出、聘请的施工人员的人身安全及人身意外保险。</w:t>
      </w:r>
    </w:p>
    <w:p w14:paraId="02DDED4B">
      <w:pPr>
        <w:pStyle w:val="24"/>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宋体" w:cs="Times New Roman"/>
          <w:color w:val="auto"/>
          <w:sz w:val="24"/>
          <w:szCs w:val="24"/>
          <w:lang w:val="en-US" w:eastAsia="zh-CN"/>
        </w:rPr>
      </w:pPr>
      <w:r>
        <w:rPr>
          <w:rFonts w:hint="eastAsia" w:eastAsia="宋体" w:cs="Times New Roman"/>
          <w:color w:val="auto"/>
          <w:sz w:val="24"/>
          <w:szCs w:val="24"/>
          <w:lang w:val="en-US" w:eastAsia="zh-CN"/>
        </w:rPr>
        <w:t>5、售后服务</w:t>
      </w:r>
    </w:p>
    <w:p w14:paraId="36D3C391">
      <w:pPr>
        <w:pStyle w:val="24"/>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宋体" w:cs="Times New Roman"/>
          <w:color w:val="auto"/>
          <w:sz w:val="24"/>
          <w:szCs w:val="24"/>
          <w:lang w:val="en-US" w:eastAsia="zh-CN"/>
        </w:rPr>
      </w:pPr>
      <w:r>
        <w:rPr>
          <w:rFonts w:hint="eastAsia" w:eastAsia="宋体" w:cs="Times New Roman"/>
          <w:color w:val="auto"/>
          <w:sz w:val="24"/>
          <w:szCs w:val="24"/>
          <w:lang w:val="en-US" w:eastAsia="zh-CN"/>
        </w:rPr>
        <w:t>（1）项目实施期间提供24小时的技术咨询服务，紧急情况需4小时到达内现场处理。</w:t>
      </w:r>
    </w:p>
    <w:p w14:paraId="539692ED">
      <w:pPr>
        <w:pStyle w:val="24"/>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宋体" w:cs="Times New Roman"/>
          <w:color w:val="auto"/>
          <w:sz w:val="24"/>
          <w:szCs w:val="24"/>
          <w:lang w:val="en-US" w:eastAsia="zh-CN"/>
        </w:rPr>
      </w:pPr>
      <w:r>
        <w:rPr>
          <w:rFonts w:hint="eastAsia" w:eastAsia="宋体" w:cs="Times New Roman"/>
          <w:color w:val="auto"/>
          <w:sz w:val="24"/>
          <w:szCs w:val="24"/>
          <w:lang w:val="en-US" w:eastAsia="zh-CN"/>
        </w:rPr>
        <w:t>（2）重要农业生产时期、节假日须提供技术人员值守服务。</w:t>
      </w:r>
    </w:p>
    <w:p w14:paraId="3326D2D7">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六</w:t>
      </w:r>
      <w:r>
        <w:rPr>
          <w:rFonts w:hint="eastAsia" w:ascii="宋体" w:hAnsi="宋体" w:eastAsia="宋体" w:cs="宋体"/>
          <w:b/>
          <w:bCs/>
          <w:color w:val="auto"/>
          <w:sz w:val="24"/>
        </w:rPr>
        <w:t>、其他要求及说明</w:t>
      </w:r>
      <w:bookmarkEnd w:id="3"/>
      <w:bookmarkEnd w:id="4"/>
    </w:p>
    <w:p w14:paraId="09F9C5E7">
      <w:pPr>
        <w:widowControl/>
        <w:autoSpaceDE w:val="0"/>
        <w:autoSpaceDN w:val="0"/>
        <w:adjustRightInd w:val="0"/>
        <w:spacing w:line="360" w:lineRule="auto"/>
        <w:ind w:firstLine="480"/>
        <w:rPr>
          <w:rFonts w:hint="eastAsia" w:ascii="宋体" w:hAnsi="宋体" w:eastAsia="宋体" w:cs="Times New Roman"/>
          <w:color w:val="auto"/>
          <w:sz w:val="24"/>
        </w:rPr>
      </w:pPr>
      <w:r>
        <w:rPr>
          <w:rFonts w:hint="eastAsia" w:ascii="宋体" w:hAnsi="宋体" w:eastAsia="宋体" w:cs="Times New Roman"/>
          <w:b/>
          <w:bCs/>
          <w:color w:val="auto"/>
          <w:sz w:val="24"/>
        </w:rPr>
        <w:t>1．服务地点:</w:t>
      </w:r>
      <w:r>
        <w:rPr>
          <w:rFonts w:hint="eastAsia" w:ascii="宋体" w:hAnsi="宋体" w:eastAsia="宋体" w:cs="Times New Roman"/>
          <w:color w:val="auto"/>
          <w:sz w:val="24"/>
        </w:rPr>
        <w:t>采购人指定地点。</w:t>
      </w:r>
    </w:p>
    <w:p w14:paraId="331A95B9">
      <w:pPr>
        <w:widowControl/>
        <w:autoSpaceDE w:val="0"/>
        <w:autoSpaceDN w:val="0"/>
        <w:adjustRightInd w:val="0"/>
        <w:spacing w:line="360" w:lineRule="auto"/>
        <w:ind w:firstLine="480"/>
        <w:rPr>
          <w:rFonts w:hint="eastAsia" w:ascii="宋体" w:hAnsi="宋体" w:eastAsia="宋体" w:cs="Times New Roman"/>
          <w:color w:val="auto"/>
          <w:sz w:val="24"/>
        </w:rPr>
      </w:pPr>
      <w:r>
        <w:rPr>
          <w:rFonts w:hint="eastAsia" w:ascii="宋体" w:hAnsi="宋体" w:eastAsia="宋体" w:cs="Times New Roman"/>
          <w:b/>
          <w:bCs/>
          <w:color w:val="auto"/>
          <w:sz w:val="24"/>
        </w:rPr>
        <w:t>2．</w:t>
      </w:r>
      <w:r>
        <w:rPr>
          <w:rFonts w:hint="eastAsia" w:ascii="宋体" w:hAnsi="宋体" w:eastAsia="宋体" w:cs="Times New Roman"/>
          <w:b/>
          <w:bCs/>
          <w:color w:val="auto"/>
          <w:sz w:val="24"/>
          <w:lang w:val="en-US" w:eastAsia="zh-CN"/>
        </w:rPr>
        <w:t>服务时间</w:t>
      </w:r>
      <w:r>
        <w:rPr>
          <w:rFonts w:hint="eastAsia" w:ascii="宋体" w:hAnsi="宋体" w:eastAsia="宋体" w:cs="Times New Roman"/>
          <w:b/>
          <w:bCs/>
          <w:color w:val="auto"/>
          <w:sz w:val="24"/>
        </w:rPr>
        <w:t>:</w:t>
      </w:r>
      <w:r>
        <w:rPr>
          <w:rFonts w:hint="eastAsia" w:ascii="宋体" w:hAnsi="宋体" w:cs="Times New Roman"/>
          <w:color w:val="auto"/>
          <w:sz w:val="24"/>
          <w:lang w:val="en-US" w:eastAsia="zh-CN"/>
        </w:rPr>
        <w:t>2025年8月30日之前</w:t>
      </w:r>
      <w:r>
        <w:rPr>
          <w:rFonts w:hint="eastAsia" w:ascii="宋体" w:hAnsi="宋体" w:eastAsia="宋体" w:cs="Times New Roman"/>
          <w:color w:val="auto"/>
          <w:sz w:val="24"/>
        </w:rPr>
        <w:t>完成。</w:t>
      </w:r>
    </w:p>
    <w:p w14:paraId="415531EE">
      <w:pPr>
        <w:widowControl/>
        <w:autoSpaceDE w:val="0"/>
        <w:autoSpaceDN w:val="0"/>
        <w:adjustRightInd w:val="0"/>
        <w:spacing w:line="360" w:lineRule="auto"/>
        <w:ind w:firstLine="480"/>
        <w:rPr>
          <w:rFonts w:hint="eastAsia" w:ascii="宋体" w:hAnsi="宋体" w:eastAsia="宋体" w:cs="Times New Roman"/>
          <w:b/>
          <w:bCs/>
          <w:color w:val="auto"/>
          <w:sz w:val="24"/>
        </w:rPr>
      </w:pPr>
      <w:r>
        <w:rPr>
          <w:rFonts w:hint="eastAsia" w:ascii="宋体" w:hAnsi="宋体" w:eastAsia="宋体" w:cs="Times New Roman"/>
          <w:b/>
          <w:bCs/>
          <w:color w:val="auto"/>
          <w:sz w:val="24"/>
        </w:rPr>
        <w:t>3．合同价款支付方式和条件:</w:t>
      </w:r>
    </w:p>
    <w:p w14:paraId="662B834F">
      <w:pPr>
        <w:widowControl/>
        <w:autoSpaceDE w:val="0"/>
        <w:autoSpaceDN w:val="0"/>
        <w:adjustRightInd w:val="0"/>
        <w:spacing w:line="360" w:lineRule="auto"/>
        <w:ind w:firstLine="480"/>
        <w:rPr>
          <w:rFonts w:hint="eastAsia" w:ascii="宋体" w:hAnsi="宋体" w:eastAsia="宋体" w:cs="Times New Roman"/>
          <w:color w:val="auto"/>
          <w:sz w:val="24"/>
        </w:rPr>
      </w:pPr>
      <w:r>
        <w:rPr>
          <w:rFonts w:hint="eastAsia" w:ascii="宋体" w:hAnsi="宋体" w:eastAsia="宋体" w:cs="Times New Roman"/>
          <w:color w:val="auto"/>
          <w:sz w:val="24"/>
        </w:rPr>
        <w:t>3.1付款人：</w:t>
      </w:r>
      <w:r>
        <w:rPr>
          <w:rFonts w:hint="eastAsia" w:ascii="宋体" w:hAnsi="宋体" w:eastAsia="宋体" w:cs="Times New Roman"/>
          <w:color w:val="auto"/>
          <w:sz w:val="24"/>
          <w:lang w:val="en-US" w:eastAsia="zh-CN"/>
        </w:rPr>
        <w:t>衡阳县农业农村局</w:t>
      </w:r>
      <w:r>
        <w:rPr>
          <w:rFonts w:hint="eastAsia" w:ascii="宋体" w:hAnsi="宋体" w:eastAsia="宋体" w:cs="Times New Roman"/>
          <w:color w:val="auto"/>
          <w:sz w:val="24"/>
        </w:rPr>
        <w:t xml:space="preserve">。 </w:t>
      </w:r>
    </w:p>
    <w:p w14:paraId="6ACADB5B">
      <w:pPr>
        <w:widowControl/>
        <w:autoSpaceDE w:val="0"/>
        <w:autoSpaceDN w:val="0"/>
        <w:adjustRightInd w:val="0"/>
        <w:spacing w:line="360" w:lineRule="auto"/>
        <w:ind w:firstLine="480"/>
        <w:rPr>
          <w:rFonts w:hint="eastAsia" w:ascii="宋体" w:hAnsi="宋体" w:eastAsia="宋体" w:cs="Times New Roman"/>
          <w:color w:val="auto"/>
          <w:sz w:val="24"/>
          <w:u w:val="none"/>
        </w:rPr>
      </w:pPr>
      <w:r>
        <w:rPr>
          <w:rFonts w:hint="eastAsia" w:ascii="宋体" w:hAnsi="宋体" w:eastAsia="宋体" w:cs="Times New Roman"/>
          <w:color w:val="auto"/>
          <w:sz w:val="24"/>
        </w:rPr>
        <w:t>3.2付款方式</w:t>
      </w:r>
      <w:r>
        <w:rPr>
          <w:rFonts w:hint="eastAsia" w:ascii="宋体" w:hAnsi="宋体" w:eastAsia="宋体" w:cs="Times New Roman"/>
          <w:color w:val="auto"/>
          <w:sz w:val="24"/>
          <w:u w:val="none"/>
        </w:rPr>
        <w:t>：</w:t>
      </w:r>
    </w:p>
    <w:p w14:paraId="1FC70252">
      <w:pPr>
        <w:pStyle w:val="24"/>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宋体" w:cs="Times New Roman"/>
          <w:color w:val="auto"/>
          <w:sz w:val="24"/>
          <w:szCs w:val="24"/>
          <w:lang w:val="en-US" w:eastAsia="zh-CN"/>
        </w:rPr>
      </w:pPr>
      <w:r>
        <w:rPr>
          <w:rFonts w:hint="eastAsia" w:eastAsia="宋体" w:cs="Times New Roman"/>
          <w:color w:val="auto"/>
          <w:sz w:val="24"/>
          <w:szCs w:val="24"/>
          <w:lang w:val="en-US" w:eastAsia="zh-CN"/>
        </w:rPr>
        <w:t>资金分两次拨付。</w:t>
      </w:r>
    </w:p>
    <w:p w14:paraId="141695B3">
      <w:pPr>
        <w:pStyle w:val="24"/>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宋体" w:cs="Times New Roman"/>
          <w:color w:val="auto"/>
          <w:sz w:val="24"/>
          <w:szCs w:val="24"/>
          <w:lang w:val="en-US" w:eastAsia="zh-CN"/>
        </w:rPr>
      </w:pPr>
      <w:r>
        <w:rPr>
          <w:rFonts w:hint="eastAsia" w:eastAsia="宋体" w:cs="Times New Roman"/>
          <w:color w:val="auto"/>
          <w:sz w:val="24"/>
          <w:szCs w:val="24"/>
          <w:lang w:val="en-US" w:eastAsia="zh-CN"/>
        </w:rPr>
        <w:t>第一次资金拨付时间为：物资发放完成，凭物资发放台账资料拨付50%。</w:t>
      </w:r>
    </w:p>
    <w:p w14:paraId="53058AB6">
      <w:pPr>
        <w:widowControl/>
        <w:autoSpaceDE w:val="0"/>
        <w:autoSpaceDN w:val="0"/>
        <w:adjustRightInd w:val="0"/>
        <w:spacing w:line="360" w:lineRule="auto"/>
        <w:ind w:firstLine="480"/>
        <w:rPr>
          <w:rFonts w:hint="eastAsia" w:eastAsia="宋体" w:cs="Times New Roman"/>
          <w:color w:val="auto"/>
          <w:sz w:val="24"/>
          <w:szCs w:val="24"/>
          <w:lang w:val="en-US" w:eastAsia="zh-CN"/>
        </w:rPr>
      </w:pPr>
      <w:r>
        <w:rPr>
          <w:rFonts w:hint="eastAsia" w:eastAsia="宋体" w:cs="Times New Roman"/>
          <w:color w:val="auto"/>
          <w:sz w:val="24"/>
          <w:szCs w:val="24"/>
          <w:lang w:val="en-US" w:eastAsia="zh-CN"/>
        </w:rPr>
        <w:t>第二次资金拨付时间为：项目经过验收合格后，凭项目验收资料拨付剩余50%款项。</w:t>
      </w:r>
    </w:p>
    <w:p w14:paraId="0C2DBC6A">
      <w:pPr>
        <w:widowControl/>
        <w:autoSpaceDE w:val="0"/>
        <w:autoSpaceDN w:val="0"/>
        <w:adjustRightInd w:val="0"/>
        <w:spacing w:line="360" w:lineRule="auto"/>
        <w:ind w:firstLine="480"/>
        <w:rPr>
          <w:rFonts w:hint="default" w:ascii="宋体" w:hAnsi="宋体" w:eastAsia="宋体" w:cs="Times New Roman"/>
          <w:b/>
          <w:bCs/>
          <w:color w:val="auto"/>
          <w:sz w:val="24"/>
          <w:lang w:val="en-US" w:eastAsia="zh-CN"/>
        </w:rPr>
      </w:pPr>
      <w:r>
        <w:rPr>
          <w:rFonts w:hint="eastAsia" w:ascii="宋体" w:hAnsi="宋体" w:eastAsia="宋体" w:cs="Times New Roman"/>
          <w:b/>
          <w:bCs/>
          <w:color w:val="auto"/>
          <w:sz w:val="24"/>
          <w:lang w:val="en-US" w:eastAsia="zh-CN"/>
        </w:rPr>
        <w:t>4.本项目采用费用包干方式实施，投标价格包含：运至合同指定地点的材料费、包装费、仓储费、运输费、保险费、装卸费、工具费、培训费、税费、产品抽样费、检测费、人工、管理、财务等所有费用，其他事项在项目实施中出现任何遗漏，均由中标人免费提供，采购人不再支付任何费用。</w:t>
      </w:r>
    </w:p>
    <w:p w14:paraId="40CE9730">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七、其他未尽事宜，由采购人与中标人在签订合同时约定。</w:t>
      </w:r>
    </w:p>
    <w:p w14:paraId="574DE3C2">
      <w:pPr>
        <w:pStyle w:val="25"/>
        <w:rPr>
          <w:rFonts w:hint="eastAsia" w:ascii="宋体" w:hAnsi="宋体" w:eastAsia="宋体" w:cs="宋体"/>
          <w:b/>
          <w:bCs/>
          <w:color w:val="auto"/>
          <w:sz w:val="24"/>
          <w:lang w:val="en-US" w:eastAsia="zh-CN"/>
        </w:rPr>
      </w:pPr>
    </w:p>
    <w:p w14:paraId="60DC07D6">
      <w:pPr>
        <w:pStyle w:val="25"/>
        <w:rPr>
          <w:rFonts w:hint="eastAsia" w:ascii="宋体" w:hAnsi="宋体" w:eastAsia="宋体" w:cs="宋体"/>
          <w:b/>
          <w:bCs/>
          <w:color w:val="auto"/>
          <w:sz w:val="24"/>
          <w:lang w:val="en-US" w:eastAsia="zh-CN"/>
        </w:rPr>
      </w:pPr>
    </w:p>
    <w:p w14:paraId="6293155C">
      <w:pPr>
        <w:pStyle w:val="25"/>
        <w:rPr>
          <w:rFonts w:hint="eastAsia" w:ascii="宋体" w:hAnsi="宋体" w:eastAsia="宋体" w:cs="宋体"/>
          <w:b/>
          <w:bCs/>
          <w:color w:val="auto"/>
          <w:sz w:val="24"/>
          <w:lang w:val="en-US" w:eastAsia="zh-CN"/>
        </w:rPr>
      </w:pPr>
    </w:p>
    <w:p w14:paraId="0009F7DB">
      <w:pPr>
        <w:pStyle w:val="25"/>
        <w:rPr>
          <w:rFonts w:hint="eastAsia" w:ascii="宋体" w:hAnsi="宋体" w:eastAsia="宋体" w:cs="宋体"/>
          <w:b/>
          <w:bCs/>
          <w:color w:val="auto"/>
          <w:sz w:val="24"/>
          <w:lang w:val="en-US" w:eastAsia="zh-CN"/>
        </w:rPr>
      </w:pPr>
    </w:p>
    <w:p w14:paraId="65892A4F">
      <w:pPr>
        <w:pStyle w:val="25"/>
        <w:rPr>
          <w:rFonts w:hint="eastAsia" w:ascii="宋体" w:hAnsi="宋体" w:eastAsia="宋体" w:cs="宋体"/>
          <w:b/>
          <w:bCs/>
          <w:color w:val="auto"/>
          <w:sz w:val="24"/>
          <w:lang w:val="en-US" w:eastAsia="zh-CN"/>
        </w:rPr>
      </w:pPr>
    </w:p>
    <w:p w14:paraId="1D665952">
      <w:pPr>
        <w:pStyle w:val="25"/>
        <w:rPr>
          <w:rFonts w:hint="eastAsia" w:ascii="宋体" w:hAnsi="宋体" w:eastAsia="宋体" w:cs="宋体"/>
          <w:b/>
          <w:bCs/>
          <w:color w:val="auto"/>
          <w:sz w:val="24"/>
          <w:lang w:val="en-US" w:eastAsia="zh-CN"/>
        </w:rPr>
      </w:pPr>
    </w:p>
    <w:p w14:paraId="5F4589F6">
      <w:pPr>
        <w:pStyle w:val="25"/>
        <w:rPr>
          <w:rFonts w:hint="eastAsia" w:ascii="宋体" w:hAnsi="宋体" w:eastAsia="宋体" w:cs="宋体"/>
          <w:b/>
          <w:bCs/>
          <w:color w:val="auto"/>
          <w:sz w:val="24"/>
          <w:lang w:val="en-US" w:eastAsia="zh-CN"/>
        </w:rPr>
      </w:pPr>
    </w:p>
    <w:p w14:paraId="4B8A3971">
      <w:pPr>
        <w:pStyle w:val="25"/>
        <w:rPr>
          <w:rFonts w:hint="eastAsia" w:ascii="宋体" w:hAnsi="宋体" w:eastAsia="宋体" w:cs="宋体"/>
          <w:b/>
          <w:bCs/>
          <w:color w:val="auto"/>
          <w:sz w:val="24"/>
          <w:lang w:val="en-US" w:eastAsia="zh-CN"/>
        </w:rPr>
      </w:pPr>
    </w:p>
    <w:p w14:paraId="2625B2CA">
      <w:pPr>
        <w:pStyle w:val="25"/>
        <w:rPr>
          <w:rFonts w:hint="eastAsia" w:ascii="宋体" w:hAnsi="宋体" w:eastAsia="宋体" w:cs="宋体"/>
          <w:b/>
          <w:bCs/>
          <w:color w:val="auto"/>
          <w:sz w:val="24"/>
          <w:lang w:val="en-US" w:eastAsia="zh-CN"/>
        </w:rPr>
      </w:pPr>
    </w:p>
    <w:p w14:paraId="4DBB3537">
      <w:pPr>
        <w:pStyle w:val="25"/>
        <w:rPr>
          <w:rFonts w:hint="eastAsia" w:ascii="宋体" w:hAnsi="宋体" w:eastAsia="宋体" w:cs="宋体"/>
          <w:b/>
          <w:bCs/>
          <w:color w:val="auto"/>
          <w:sz w:val="24"/>
          <w:lang w:val="en-US" w:eastAsia="zh-CN"/>
        </w:rPr>
      </w:pPr>
      <w:bookmarkStart w:id="5" w:name="_GoBack"/>
      <w:bookmarkEnd w:id="5"/>
    </w:p>
    <w:p w14:paraId="7BC1B639">
      <w:pPr>
        <w:pStyle w:val="25"/>
        <w:rPr>
          <w:rFonts w:hint="eastAsia" w:ascii="宋体" w:hAnsi="宋体" w:eastAsia="宋体" w:cs="宋体"/>
          <w:b/>
          <w:bCs/>
          <w:color w:val="auto"/>
          <w:sz w:val="24"/>
          <w:lang w:val="en-US" w:eastAsia="zh-CN"/>
        </w:rPr>
      </w:pPr>
    </w:p>
    <w:p w14:paraId="4AB9F370">
      <w:pPr>
        <w:pStyle w:val="4"/>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rPr>
        <w:t>节</w:t>
      </w:r>
      <w:r>
        <w:rPr>
          <w:rFonts w:hint="eastAsia" w:ascii="宋体" w:hAnsi="宋体" w:eastAsia="宋体" w:cs="宋体"/>
          <w:color w:val="auto"/>
          <w:sz w:val="28"/>
          <w:szCs w:val="28"/>
          <w:highlight w:val="none"/>
          <w:lang w:val="en-US" w:eastAsia="zh-CN"/>
        </w:rPr>
        <w:t xml:space="preserve"> 商务</w:t>
      </w:r>
      <w:r>
        <w:rPr>
          <w:rFonts w:hint="eastAsia" w:ascii="宋体" w:hAnsi="宋体" w:eastAsia="宋体" w:cs="宋体"/>
          <w:color w:val="auto"/>
          <w:sz w:val="28"/>
          <w:szCs w:val="28"/>
          <w:highlight w:val="none"/>
        </w:rPr>
        <w:t>要求</w:t>
      </w:r>
    </w:p>
    <w:p w14:paraId="1F938B48">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left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一、主要</w:t>
      </w:r>
      <w:r>
        <w:rPr>
          <w:rFonts w:hint="eastAsia" w:ascii="宋体" w:hAnsi="宋体" w:eastAsia="宋体" w:cs="宋体"/>
          <w:b/>
          <w:bCs/>
          <w:color w:val="auto"/>
          <w:sz w:val="24"/>
          <w:szCs w:val="24"/>
          <w:lang w:eastAsia="zh-CN"/>
        </w:rPr>
        <w:t>商务</w:t>
      </w:r>
      <w:r>
        <w:rPr>
          <w:rFonts w:hint="eastAsia" w:ascii="宋体" w:hAnsi="宋体" w:eastAsia="宋体" w:cs="宋体"/>
          <w:b/>
          <w:bCs/>
          <w:color w:val="auto"/>
          <w:sz w:val="24"/>
          <w:szCs w:val="24"/>
        </w:rPr>
        <w:t xml:space="preserve">要求 </w:t>
      </w:r>
    </w:p>
    <w:tbl>
      <w:tblPr>
        <w:tblStyle w:val="10"/>
        <w:tblW w:w="8419"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836"/>
        <w:gridCol w:w="5583"/>
      </w:tblGrid>
      <w:tr w14:paraId="5065B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7" w:hRule="atLeast"/>
        </w:trPr>
        <w:tc>
          <w:tcPr>
            <w:tcW w:w="2836" w:type="dxa"/>
            <w:noWrap w:val="0"/>
            <w:tcMar>
              <w:top w:w="0" w:type="dxa"/>
              <w:left w:w="108" w:type="dxa"/>
              <w:bottom w:w="0" w:type="dxa"/>
              <w:right w:w="108" w:type="dxa"/>
            </w:tcMar>
            <w:vAlign w:val="center"/>
          </w:tcPr>
          <w:p w14:paraId="6521EC03">
            <w:pPr>
              <w:keepNext w:val="0"/>
              <w:keepLines w:val="0"/>
              <w:pageBreakBefore w:val="0"/>
              <w:widowControl/>
              <w:kinsoku/>
              <w:wordWrap/>
              <w:overflowPunct/>
              <w:topLinePunct w:val="0"/>
              <w:autoSpaceDE/>
              <w:autoSpaceDN/>
              <w:bidi w:val="0"/>
              <w:adjustRightInd/>
              <w:snapToGrid/>
              <w:spacing w:line="360" w:lineRule="exact"/>
              <w:jc w:val="center"/>
              <w:textAlignment w:val="auto"/>
              <w:rPr>
                <w:rStyle w:val="11"/>
                <w:rFonts w:hint="eastAsia" w:ascii="宋体" w:hAnsi="宋体" w:eastAsia="宋体" w:cs="宋体"/>
                <w:color w:val="auto"/>
                <w:spacing w:val="30"/>
                <w:kern w:val="0"/>
                <w:sz w:val="24"/>
                <w:szCs w:val="24"/>
                <w:highlight w:val="none"/>
              </w:rPr>
            </w:pPr>
            <w:r>
              <w:rPr>
                <w:rStyle w:val="11"/>
                <w:rFonts w:hint="eastAsia" w:ascii="宋体" w:hAnsi="宋体" w:eastAsia="宋体" w:cs="宋体"/>
                <w:color w:val="auto"/>
                <w:spacing w:val="30"/>
                <w:kern w:val="0"/>
                <w:sz w:val="24"/>
                <w:szCs w:val="24"/>
                <w:highlight w:val="none"/>
              </w:rPr>
              <w:t>履行合同的时间、地点及方式</w:t>
            </w:r>
          </w:p>
        </w:tc>
        <w:tc>
          <w:tcPr>
            <w:tcW w:w="5583" w:type="dxa"/>
            <w:noWrap w:val="0"/>
            <w:tcMar>
              <w:top w:w="0" w:type="dxa"/>
              <w:left w:w="108" w:type="dxa"/>
              <w:bottom w:w="0" w:type="dxa"/>
              <w:right w:w="108" w:type="dxa"/>
            </w:tcMar>
            <w:vAlign w:val="center"/>
          </w:tcPr>
          <w:p w14:paraId="29DF1A35">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default"/>
                <w:color w:val="auto"/>
                <w:sz w:val="24"/>
                <w:szCs w:val="24"/>
                <w:lang w:val="en-US" w:eastAsia="zh-CN"/>
              </w:rPr>
            </w:pPr>
            <w:r>
              <w:rPr>
                <w:rFonts w:hint="eastAsia" w:eastAsia="宋体" w:cs="Times New Roman"/>
                <w:color w:val="auto"/>
                <w:sz w:val="24"/>
                <w:szCs w:val="24"/>
                <w:lang w:val="en-US" w:eastAsia="zh-CN"/>
              </w:rPr>
              <w:t>（1</w:t>
            </w:r>
            <w:r>
              <w:rPr>
                <w:rFonts w:hint="eastAsia" w:eastAsia="宋体" w:cs="Times New Roman"/>
                <w:color w:val="auto"/>
                <w:sz w:val="24"/>
                <w:szCs w:val="24"/>
                <w:lang w:eastAsia="zh-CN"/>
              </w:rPr>
              <w:t>）</w:t>
            </w:r>
            <w:r>
              <w:rPr>
                <w:rFonts w:hint="eastAsia"/>
                <w:color w:val="auto"/>
                <w:sz w:val="24"/>
                <w:szCs w:val="24"/>
                <w:lang w:eastAsia="zh-CN"/>
              </w:rPr>
              <w:t>履行合同的时间：</w:t>
            </w:r>
            <w:r>
              <w:rPr>
                <w:rFonts w:hint="eastAsia"/>
                <w:color w:val="auto"/>
                <w:sz w:val="24"/>
                <w:szCs w:val="24"/>
                <w:lang w:val="en-US" w:eastAsia="zh-CN"/>
              </w:rPr>
              <w:t>2025年8月30日</w:t>
            </w:r>
            <w:r>
              <w:rPr>
                <w:rFonts w:hint="eastAsia" w:ascii="宋体" w:hAnsi="宋体" w:cs="Times New Roman"/>
                <w:color w:val="auto"/>
                <w:sz w:val="24"/>
                <w:lang w:val="en-US" w:eastAsia="zh-CN"/>
              </w:rPr>
              <w:t>之前</w:t>
            </w:r>
            <w:r>
              <w:rPr>
                <w:rFonts w:hint="eastAsia" w:ascii="宋体" w:hAnsi="宋体" w:eastAsia="宋体" w:cs="Times New Roman"/>
                <w:color w:val="auto"/>
                <w:sz w:val="24"/>
              </w:rPr>
              <w:t>完成</w:t>
            </w:r>
            <w:r>
              <w:rPr>
                <w:rFonts w:hint="eastAsia"/>
                <w:color w:val="auto"/>
                <w:sz w:val="24"/>
                <w:szCs w:val="24"/>
                <w:lang w:eastAsia="zh-CN"/>
              </w:rPr>
              <w:t>。</w:t>
            </w:r>
          </w:p>
          <w:p w14:paraId="589F16F4">
            <w:pPr>
              <w:keepNext w:val="0"/>
              <w:keepLines w:val="0"/>
              <w:pageBreakBefore w:val="0"/>
              <w:widowControl/>
              <w:kinsoku/>
              <w:wordWrap/>
              <w:overflowPunct/>
              <w:topLinePunct w:val="0"/>
              <w:autoSpaceDE/>
              <w:autoSpaceDN/>
              <w:bidi w:val="0"/>
              <w:adjustRightInd/>
              <w:snapToGrid/>
              <w:spacing w:line="360" w:lineRule="exact"/>
              <w:jc w:val="left"/>
              <w:textAlignment w:val="auto"/>
              <w:rPr>
                <w:rStyle w:val="11"/>
                <w:rFonts w:hint="default" w:ascii="宋体" w:hAnsi="宋体" w:eastAsia="宋体" w:cs="宋体"/>
                <w:color w:val="auto"/>
                <w:spacing w:val="0"/>
                <w:kern w:val="0"/>
                <w:sz w:val="24"/>
                <w:szCs w:val="24"/>
                <w:highlight w:val="none"/>
                <w:lang w:val="en-US"/>
              </w:rPr>
            </w:pPr>
            <w:r>
              <w:rPr>
                <w:rFonts w:hint="eastAsia" w:eastAsia="宋体" w:cs="Times New Roman"/>
                <w:color w:val="auto"/>
                <w:sz w:val="24"/>
                <w:szCs w:val="24"/>
                <w:lang w:val="en-US" w:eastAsia="zh-CN"/>
              </w:rPr>
              <w:t>（2</w:t>
            </w:r>
            <w:r>
              <w:rPr>
                <w:rFonts w:hint="eastAsia" w:eastAsia="宋体" w:cs="Times New Roman"/>
                <w:color w:val="auto"/>
                <w:sz w:val="24"/>
                <w:szCs w:val="24"/>
                <w:lang w:eastAsia="zh-CN"/>
              </w:rPr>
              <w:t>）</w:t>
            </w:r>
            <w:r>
              <w:rPr>
                <w:rFonts w:hint="eastAsia"/>
                <w:color w:val="auto"/>
                <w:sz w:val="24"/>
                <w:szCs w:val="24"/>
                <w:lang w:val="en-US" w:eastAsia="zh-CN"/>
              </w:rPr>
              <w:t>地点：</w:t>
            </w:r>
            <w:r>
              <w:rPr>
                <w:rFonts w:hint="eastAsia" w:ascii="宋体" w:hAnsi="宋体" w:eastAsia="宋体" w:cs="Times New Roman"/>
                <w:color w:val="auto"/>
                <w:sz w:val="24"/>
              </w:rPr>
              <w:t>采购人指定地点</w:t>
            </w:r>
            <w:r>
              <w:rPr>
                <w:rFonts w:hint="eastAsia"/>
                <w:color w:val="auto"/>
                <w:sz w:val="24"/>
                <w:szCs w:val="24"/>
                <w:lang w:val="en-US" w:eastAsia="zh-CN"/>
              </w:rPr>
              <w:t>。</w:t>
            </w:r>
          </w:p>
        </w:tc>
      </w:tr>
      <w:tr w14:paraId="7549A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2" w:hRule="atLeast"/>
        </w:trPr>
        <w:tc>
          <w:tcPr>
            <w:tcW w:w="2836" w:type="dxa"/>
            <w:noWrap w:val="0"/>
            <w:tcMar>
              <w:top w:w="0" w:type="dxa"/>
              <w:left w:w="108" w:type="dxa"/>
              <w:bottom w:w="0" w:type="dxa"/>
              <w:right w:w="108" w:type="dxa"/>
            </w:tcMar>
            <w:vAlign w:val="center"/>
          </w:tcPr>
          <w:p w14:paraId="57CC2D8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lang w:bidi="ar-SA"/>
              </w:rPr>
            </w:pPr>
            <w:r>
              <w:rPr>
                <w:rStyle w:val="11"/>
                <w:rFonts w:hint="eastAsia" w:ascii="宋体" w:hAnsi="宋体" w:eastAsia="宋体" w:cs="宋体"/>
                <w:color w:val="auto"/>
                <w:spacing w:val="30"/>
                <w:kern w:val="0"/>
                <w:sz w:val="24"/>
                <w:szCs w:val="24"/>
                <w:highlight w:val="none"/>
                <w:lang w:eastAsia="zh-CN"/>
              </w:rPr>
              <w:t>服务</w:t>
            </w:r>
            <w:r>
              <w:rPr>
                <w:rStyle w:val="11"/>
                <w:rFonts w:hint="eastAsia" w:ascii="宋体" w:hAnsi="宋体" w:eastAsia="宋体" w:cs="宋体"/>
                <w:color w:val="auto"/>
                <w:spacing w:val="30"/>
                <w:kern w:val="0"/>
                <w:sz w:val="24"/>
                <w:szCs w:val="24"/>
                <w:highlight w:val="none"/>
              </w:rPr>
              <w:t>期</w:t>
            </w:r>
          </w:p>
        </w:tc>
        <w:tc>
          <w:tcPr>
            <w:tcW w:w="5583" w:type="dxa"/>
            <w:noWrap w:val="0"/>
            <w:tcMar>
              <w:top w:w="0" w:type="dxa"/>
              <w:left w:w="108" w:type="dxa"/>
              <w:bottom w:w="0" w:type="dxa"/>
              <w:right w:w="108" w:type="dxa"/>
            </w:tcMar>
            <w:vAlign w:val="center"/>
          </w:tcPr>
          <w:p w14:paraId="25E5C2EE">
            <w:pPr>
              <w:pStyle w:val="9"/>
              <w:keepNext w:val="0"/>
              <w:keepLines w:val="0"/>
              <w:pageBreakBefore w:val="0"/>
              <w:numPr>
                <w:ilvl w:val="0"/>
                <w:numId w:val="0"/>
              </w:numPr>
              <w:kinsoku/>
              <w:wordWrap/>
              <w:overflowPunct/>
              <w:topLinePunct w:val="0"/>
              <w:autoSpaceDE/>
              <w:autoSpaceDN/>
              <w:bidi w:val="0"/>
              <w:adjustRightInd/>
              <w:snapToGrid/>
              <w:spacing w:after="0" w:line="360" w:lineRule="exact"/>
              <w:ind w:left="0" w:leftChars="0" w:firstLine="0" w:firstLineChars="0"/>
              <w:jc w:val="left"/>
              <w:textAlignment w:val="auto"/>
              <w:rPr>
                <w:rStyle w:val="11"/>
                <w:rFonts w:hint="default" w:ascii="宋体" w:hAnsi="宋体" w:eastAsia="宋体" w:cs="宋体"/>
                <w:color w:val="auto"/>
                <w:spacing w:val="0"/>
                <w:kern w:val="0"/>
                <w:sz w:val="24"/>
                <w:szCs w:val="24"/>
                <w:highlight w:val="none"/>
                <w:lang w:val="en-US" w:eastAsia="zh-CN"/>
              </w:rPr>
            </w:pPr>
            <w:r>
              <w:rPr>
                <w:rFonts w:hint="eastAsia" w:ascii="宋体" w:hAnsi="宋体" w:cs="Times New Roman"/>
                <w:color w:val="auto"/>
                <w:sz w:val="24"/>
                <w:lang w:val="en-US" w:eastAsia="zh-CN"/>
              </w:rPr>
              <w:t>2025年8月30日之前</w:t>
            </w:r>
            <w:r>
              <w:rPr>
                <w:rFonts w:hint="eastAsia" w:ascii="宋体" w:hAnsi="宋体" w:eastAsia="宋体" w:cs="Times New Roman"/>
                <w:color w:val="auto"/>
                <w:sz w:val="24"/>
              </w:rPr>
              <w:t>完成</w:t>
            </w:r>
          </w:p>
        </w:tc>
      </w:tr>
      <w:tr w14:paraId="2247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8" w:hRule="atLeast"/>
        </w:trPr>
        <w:tc>
          <w:tcPr>
            <w:tcW w:w="2836" w:type="dxa"/>
            <w:noWrap w:val="0"/>
            <w:tcMar>
              <w:top w:w="0" w:type="dxa"/>
              <w:left w:w="108" w:type="dxa"/>
              <w:bottom w:w="0" w:type="dxa"/>
              <w:right w:w="108" w:type="dxa"/>
            </w:tcMar>
            <w:vAlign w:val="center"/>
          </w:tcPr>
          <w:p w14:paraId="03FAD7D6">
            <w:pPr>
              <w:keepNext w:val="0"/>
              <w:keepLines w:val="0"/>
              <w:pageBreakBefore w:val="0"/>
              <w:widowControl/>
              <w:kinsoku/>
              <w:wordWrap/>
              <w:overflowPunct/>
              <w:topLinePunct w:val="0"/>
              <w:autoSpaceDE/>
              <w:autoSpaceDN/>
              <w:bidi w:val="0"/>
              <w:adjustRightInd/>
              <w:snapToGrid/>
              <w:spacing w:line="360" w:lineRule="exact"/>
              <w:jc w:val="center"/>
              <w:textAlignment w:val="auto"/>
              <w:rPr>
                <w:rStyle w:val="11"/>
                <w:rFonts w:hint="eastAsia" w:ascii="宋体" w:hAnsi="宋体" w:eastAsia="宋体" w:cs="宋体"/>
                <w:color w:val="auto"/>
                <w:spacing w:val="30"/>
                <w:kern w:val="0"/>
                <w:sz w:val="24"/>
                <w:szCs w:val="24"/>
                <w:highlight w:val="none"/>
              </w:rPr>
            </w:pPr>
            <w:r>
              <w:rPr>
                <w:rStyle w:val="11"/>
                <w:rFonts w:hint="eastAsia" w:ascii="宋体" w:hAnsi="宋体" w:eastAsia="宋体" w:cs="宋体"/>
                <w:color w:val="auto"/>
                <w:spacing w:val="30"/>
                <w:kern w:val="0"/>
                <w:sz w:val="24"/>
                <w:szCs w:val="24"/>
                <w:highlight w:val="none"/>
              </w:rPr>
              <w:t>响应时间</w:t>
            </w:r>
          </w:p>
        </w:tc>
        <w:tc>
          <w:tcPr>
            <w:tcW w:w="5583" w:type="dxa"/>
            <w:noWrap w:val="0"/>
            <w:tcMar>
              <w:top w:w="0" w:type="dxa"/>
              <w:left w:w="108" w:type="dxa"/>
              <w:bottom w:w="0" w:type="dxa"/>
              <w:right w:w="108" w:type="dxa"/>
            </w:tcMar>
            <w:vAlign w:val="center"/>
          </w:tcPr>
          <w:p w14:paraId="2C9EB96F">
            <w:pPr>
              <w:keepNext w:val="0"/>
              <w:keepLines w:val="0"/>
              <w:pageBreakBefore w:val="0"/>
              <w:widowControl/>
              <w:kinsoku/>
              <w:wordWrap/>
              <w:overflowPunct/>
              <w:topLinePunct w:val="0"/>
              <w:autoSpaceDE/>
              <w:autoSpaceDN/>
              <w:bidi w:val="0"/>
              <w:adjustRightInd/>
              <w:snapToGrid/>
              <w:spacing w:line="360" w:lineRule="exact"/>
              <w:jc w:val="left"/>
              <w:textAlignment w:val="auto"/>
              <w:rPr>
                <w:rStyle w:val="11"/>
                <w:rFonts w:hint="eastAsia" w:ascii="宋体" w:hAnsi="宋体" w:eastAsia="宋体" w:cs="宋体"/>
                <w:color w:val="auto"/>
                <w:spacing w:val="0"/>
                <w:kern w:val="0"/>
                <w:sz w:val="24"/>
                <w:szCs w:val="24"/>
                <w:highlight w:val="none"/>
                <w:lang w:eastAsia="zh-CN"/>
              </w:rPr>
            </w:pPr>
            <w:r>
              <w:rPr>
                <w:rStyle w:val="11"/>
                <w:rFonts w:hint="eastAsia" w:ascii="宋体" w:hAnsi="宋体" w:eastAsia="宋体" w:cs="宋体"/>
                <w:color w:val="auto"/>
                <w:spacing w:val="0"/>
                <w:kern w:val="0"/>
                <w:sz w:val="24"/>
                <w:szCs w:val="24"/>
                <w:highlight w:val="none"/>
              </w:rPr>
              <w:t>7*24小时响应</w:t>
            </w:r>
            <w:r>
              <w:rPr>
                <w:rStyle w:val="11"/>
                <w:rFonts w:hint="eastAsia" w:ascii="宋体" w:hAnsi="宋体" w:eastAsia="宋体" w:cs="宋体"/>
                <w:color w:val="auto"/>
                <w:spacing w:val="0"/>
                <w:kern w:val="0"/>
                <w:sz w:val="24"/>
                <w:szCs w:val="24"/>
                <w:highlight w:val="none"/>
                <w:lang w:eastAsia="zh-CN"/>
              </w:rPr>
              <w:t>。</w:t>
            </w:r>
          </w:p>
        </w:tc>
      </w:tr>
      <w:tr w14:paraId="66D65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05" w:hRule="atLeast"/>
        </w:trPr>
        <w:tc>
          <w:tcPr>
            <w:tcW w:w="2836" w:type="dxa"/>
            <w:noWrap w:val="0"/>
            <w:tcMar>
              <w:top w:w="0" w:type="dxa"/>
              <w:left w:w="108" w:type="dxa"/>
              <w:bottom w:w="0" w:type="dxa"/>
              <w:right w:w="108" w:type="dxa"/>
            </w:tcMar>
            <w:vAlign w:val="center"/>
          </w:tcPr>
          <w:p w14:paraId="2A4DD505">
            <w:pPr>
              <w:keepNext w:val="0"/>
              <w:keepLines w:val="0"/>
              <w:pageBreakBefore w:val="0"/>
              <w:widowControl/>
              <w:kinsoku/>
              <w:wordWrap/>
              <w:overflowPunct/>
              <w:topLinePunct w:val="0"/>
              <w:autoSpaceDE/>
              <w:autoSpaceDN/>
              <w:bidi w:val="0"/>
              <w:adjustRightInd/>
              <w:snapToGrid/>
              <w:spacing w:line="360" w:lineRule="exact"/>
              <w:jc w:val="center"/>
              <w:textAlignment w:val="auto"/>
              <w:rPr>
                <w:rStyle w:val="11"/>
                <w:rFonts w:hint="eastAsia" w:ascii="宋体" w:hAnsi="宋体" w:eastAsia="宋体" w:cs="宋体"/>
                <w:color w:val="auto"/>
                <w:spacing w:val="30"/>
                <w:kern w:val="0"/>
                <w:sz w:val="24"/>
                <w:szCs w:val="24"/>
                <w:highlight w:val="none"/>
              </w:rPr>
            </w:pPr>
            <w:r>
              <w:rPr>
                <w:rStyle w:val="11"/>
                <w:rFonts w:hint="eastAsia" w:ascii="宋体" w:hAnsi="宋体" w:eastAsia="宋体" w:cs="宋体"/>
                <w:color w:val="auto"/>
                <w:spacing w:val="30"/>
                <w:kern w:val="0"/>
                <w:sz w:val="24"/>
                <w:szCs w:val="24"/>
                <w:highlight w:val="none"/>
              </w:rPr>
              <w:t>合同价款支付方式和条件</w:t>
            </w:r>
          </w:p>
        </w:tc>
        <w:tc>
          <w:tcPr>
            <w:tcW w:w="5583" w:type="dxa"/>
            <w:noWrap w:val="0"/>
            <w:tcMar>
              <w:top w:w="0" w:type="dxa"/>
              <w:left w:w="108" w:type="dxa"/>
              <w:bottom w:w="0" w:type="dxa"/>
              <w:right w:w="108" w:type="dxa"/>
            </w:tcMar>
            <w:vAlign w:val="center"/>
          </w:tcPr>
          <w:p w14:paraId="59F0726E">
            <w:pPr>
              <w:pStyle w:val="24"/>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宋体" w:cs="Times New Roman"/>
                <w:color w:val="auto"/>
                <w:sz w:val="24"/>
                <w:szCs w:val="24"/>
                <w:lang w:val="en-US" w:eastAsia="zh-CN"/>
              </w:rPr>
            </w:pPr>
            <w:r>
              <w:rPr>
                <w:rFonts w:hint="eastAsia" w:eastAsia="宋体" w:cs="Times New Roman"/>
                <w:color w:val="auto"/>
                <w:sz w:val="24"/>
                <w:szCs w:val="24"/>
                <w:lang w:val="en-US" w:eastAsia="zh-CN"/>
              </w:rPr>
              <w:t>资金分两次拨付。</w:t>
            </w:r>
          </w:p>
          <w:p w14:paraId="3A3511EB">
            <w:pPr>
              <w:pStyle w:val="24"/>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宋体" w:cs="Times New Roman"/>
                <w:color w:val="auto"/>
                <w:sz w:val="24"/>
                <w:szCs w:val="24"/>
                <w:lang w:val="en-US" w:eastAsia="zh-CN"/>
              </w:rPr>
            </w:pPr>
            <w:r>
              <w:rPr>
                <w:rFonts w:hint="eastAsia" w:eastAsia="宋体" w:cs="Times New Roman"/>
                <w:color w:val="auto"/>
                <w:sz w:val="24"/>
                <w:szCs w:val="24"/>
                <w:lang w:val="en-US" w:eastAsia="zh-CN"/>
              </w:rPr>
              <w:t>第一次资金拨付时间为：物资发放完成，凭物资发放台账资料拨付50%。</w:t>
            </w:r>
          </w:p>
          <w:p w14:paraId="3C7F5324">
            <w:pPr>
              <w:widowControl/>
              <w:autoSpaceDE w:val="0"/>
              <w:autoSpaceDN w:val="0"/>
              <w:adjustRightInd w:val="0"/>
              <w:spacing w:line="360" w:lineRule="auto"/>
              <w:ind w:firstLine="480"/>
              <w:rPr>
                <w:rStyle w:val="11"/>
                <w:rFonts w:hint="eastAsia" w:ascii="宋体" w:hAnsi="宋体" w:eastAsia="宋体" w:cs="宋体"/>
                <w:color w:val="auto"/>
                <w:spacing w:val="0"/>
                <w:kern w:val="0"/>
                <w:sz w:val="24"/>
                <w:szCs w:val="24"/>
                <w:highlight w:val="none"/>
                <w:lang w:eastAsia="zh-CN"/>
              </w:rPr>
            </w:pPr>
            <w:r>
              <w:rPr>
                <w:rFonts w:hint="eastAsia" w:eastAsia="宋体" w:cs="Times New Roman"/>
                <w:color w:val="auto"/>
                <w:sz w:val="24"/>
                <w:szCs w:val="24"/>
                <w:lang w:val="en-US" w:eastAsia="zh-CN"/>
              </w:rPr>
              <w:t>第二次资金拨付时间为：项目经过验收合格后，凭项目验收资料拨付剩余50%款项。</w:t>
            </w:r>
          </w:p>
        </w:tc>
      </w:tr>
      <w:tr w14:paraId="2E46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9" w:hRule="atLeast"/>
        </w:trPr>
        <w:tc>
          <w:tcPr>
            <w:tcW w:w="2836" w:type="dxa"/>
            <w:noWrap w:val="0"/>
            <w:tcMar>
              <w:top w:w="0" w:type="dxa"/>
              <w:left w:w="108" w:type="dxa"/>
              <w:bottom w:w="0" w:type="dxa"/>
              <w:right w:w="108" w:type="dxa"/>
            </w:tcMar>
            <w:vAlign w:val="center"/>
          </w:tcPr>
          <w:p w14:paraId="1E59F31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trike w:val="0"/>
                <w:dstrike w:val="0"/>
                <w:color w:val="auto"/>
                <w:kern w:val="0"/>
                <w:sz w:val="24"/>
                <w:szCs w:val="24"/>
                <w:highlight w:val="none"/>
                <w:lang w:bidi="ar-SA"/>
              </w:rPr>
            </w:pPr>
            <w:r>
              <w:rPr>
                <w:rStyle w:val="11"/>
                <w:rFonts w:hint="eastAsia" w:ascii="宋体" w:hAnsi="宋体" w:eastAsia="宋体" w:cs="宋体"/>
                <w:strike w:val="0"/>
                <w:dstrike w:val="0"/>
                <w:color w:val="auto"/>
                <w:spacing w:val="30"/>
                <w:kern w:val="0"/>
                <w:sz w:val="24"/>
                <w:szCs w:val="24"/>
                <w:highlight w:val="none"/>
              </w:rPr>
              <w:t>伴随服务</w:t>
            </w:r>
          </w:p>
        </w:tc>
        <w:tc>
          <w:tcPr>
            <w:tcW w:w="5583" w:type="dxa"/>
            <w:noWrap w:val="0"/>
            <w:tcMar>
              <w:top w:w="0" w:type="dxa"/>
              <w:left w:w="108" w:type="dxa"/>
              <w:bottom w:w="0" w:type="dxa"/>
              <w:right w:w="108" w:type="dxa"/>
            </w:tcMar>
            <w:vAlign w:val="center"/>
          </w:tcPr>
          <w:p w14:paraId="22A7F9F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strike w:val="0"/>
                <w:dstrike w:val="0"/>
                <w:color w:val="auto"/>
                <w:kern w:val="0"/>
                <w:sz w:val="24"/>
                <w:szCs w:val="24"/>
                <w:highlight w:val="none"/>
                <w:lang w:val="en-US" w:eastAsia="zh-CN" w:bidi="ar-SA"/>
              </w:rPr>
            </w:pPr>
            <w:r>
              <w:rPr>
                <w:rStyle w:val="11"/>
                <w:rFonts w:hint="eastAsia" w:ascii="宋体" w:hAnsi="宋体" w:eastAsia="宋体" w:cs="宋体"/>
                <w:strike w:val="0"/>
                <w:dstrike w:val="0"/>
                <w:color w:val="auto"/>
                <w:spacing w:val="30"/>
                <w:kern w:val="0"/>
                <w:sz w:val="24"/>
                <w:szCs w:val="24"/>
                <w:highlight w:val="none"/>
              </w:rPr>
              <w:t>详见采购需求</w:t>
            </w:r>
          </w:p>
        </w:tc>
      </w:tr>
      <w:tr w14:paraId="5A577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9" w:hRule="atLeast"/>
        </w:trPr>
        <w:tc>
          <w:tcPr>
            <w:tcW w:w="2836" w:type="dxa"/>
            <w:noWrap w:val="0"/>
            <w:tcMar>
              <w:top w:w="0" w:type="dxa"/>
              <w:left w:w="108" w:type="dxa"/>
              <w:bottom w:w="0" w:type="dxa"/>
              <w:right w:w="108" w:type="dxa"/>
            </w:tcMar>
            <w:vAlign w:val="center"/>
          </w:tcPr>
          <w:p w14:paraId="79365B0F">
            <w:pPr>
              <w:keepNext w:val="0"/>
              <w:keepLines w:val="0"/>
              <w:pageBreakBefore w:val="0"/>
              <w:widowControl/>
              <w:kinsoku/>
              <w:wordWrap/>
              <w:overflowPunct/>
              <w:topLinePunct w:val="0"/>
              <w:autoSpaceDE/>
              <w:autoSpaceDN/>
              <w:bidi w:val="0"/>
              <w:adjustRightInd/>
              <w:snapToGrid/>
              <w:spacing w:line="360" w:lineRule="exact"/>
              <w:jc w:val="center"/>
              <w:textAlignment w:val="auto"/>
              <w:rPr>
                <w:rStyle w:val="11"/>
                <w:rFonts w:hint="eastAsia" w:ascii="宋体" w:hAnsi="宋体" w:eastAsia="宋体" w:cs="宋体"/>
                <w:color w:val="auto"/>
                <w:spacing w:val="30"/>
                <w:kern w:val="0"/>
                <w:sz w:val="24"/>
                <w:szCs w:val="24"/>
                <w:highlight w:val="none"/>
              </w:rPr>
            </w:pPr>
            <w:r>
              <w:rPr>
                <w:rStyle w:val="11"/>
                <w:rFonts w:hint="eastAsia" w:ascii="宋体" w:hAnsi="宋体" w:eastAsia="宋体" w:cs="宋体"/>
                <w:color w:val="auto"/>
                <w:spacing w:val="30"/>
                <w:kern w:val="0"/>
                <w:sz w:val="24"/>
                <w:szCs w:val="24"/>
                <w:highlight w:val="none"/>
              </w:rPr>
              <w:t>解决争议的方式</w:t>
            </w:r>
          </w:p>
        </w:tc>
        <w:tc>
          <w:tcPr>
            <w:tcW w:w="5583" w:type="dxa"/>
            <w:noWrap w:val="0"/>
            <w:tcMar>
              <w:top w:w="0" w:type="dxa"/>
              <w:left w:w="108" w:type="dxa"/>
              <w:bottom w:w="0" w:type="dxa"/>
              <w:right w:w="108" w:type="dxa"/>
            </w:tcMar>
            <w:vAlign w:val="center"/>
          </w:tcPr>
          <w:p w14:paraId="3B795D69">
            <w:pPr>
              <w:keepNext w:val="0"/>
              <w:keepLines w:val="0"/>
              <w:pageBreakBefore w:val="0"/>
              <w:widowControl/>
              <w:kinsoku/>
              <w:wordWrap/>
              <w:overflowPunct/>
              <w:topLinePunct w:val="0"/>
              <w:autoSpaceDE/>
              <w:autoSpaceDN/>
              <w:bidi w:val="0"/>
              <w:adjustRightInd/>
              <w:snapToGrid/>
              <w:spacing w:line="360" w:lineRule="exact"/>
              <w:jc w:val="left"/>
              <w:textAlignment w:val="auto"/>
              <w:rPr>
                <w:rStyle w:val="11"/>
                <w:rFonts w:hint="eastAsia" w:ascii="宋体" w:hAnsi="宋体" w:eastAsia="宋体" w:cs="宋体"/>
                <w:color w:val="auto"/>
                <w:spacing w:val="30"/>
                <w:kern w:val="0"/>
                <w:sz w:val="24"/>
                <w:szCs w:val="24"/>
                <w:highlight w:val="none"/>
              </w:rPr>
            </w:pPr>
            <w:r>
              <w:rPr>
                <w:rFonts w:hint="eastAsia" w:ascii="宋体" w:hAnsi="宋体" w:eastAsia="宋体" w:cs="宋体"/>
                <w:bCs/>
                <w:color w:val="auto"/>
                <w:kern w:val="0"/>
                <w:sz w:val="24"/>
                <w:szCs w:val="24"/>
                <w:highlight w:val="none"/>
                <w:lang w:eastAsia="zh-CN"/>
              </w:rPr>
              <w:t>□</w:t>
            </w:r>
            <w:r>
              <w:rPr>
                <w:rFonts w:hint="eastAsia" w:ascii="宋体" w:hAnsi="宋体" w:eastAsia="宋体" w:cs="宋体"/>
                <w:color w:val="auto"/>
                <w:sz w:val="24"/>
                <w:szCs w:val="24"/>
                <w:highlight w:val="none"/>
              </w:rPr>
              <w:t>仲裁</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color w:val="auto"/>
                <w:sz w:val="24"/>
                <w:szCs w:val="24"/>
                <w:highlight w:val="none"/>
                <w:lang w:val="en-US" w:eastAsia="zh-CN"/>
              </w:rPr>
              <w:t>诉讼</w:t>
            </w:r>
          </w:p>
        </w:tc>
      </w:tr>
      <w:tr w14:paraId="4C064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1" w:hRule="atLeast"/>
        </w:trPr>
        <w:tc>
          <w:tcPr>
            <w:tcW w:w="2836" w:type="dxa"/>
            <w:noWrap w:val="0"/>
            <w:tcMar>
              <w:top w:w="0" w:type="dxa"/>
              <w:left w:w="108" w:type="dxa"/>
              <w:bottom w:w="0" w:type="dxa"/>
              <w:right w:w="108" w:type="dxa"/>
            </w:tcMar>
            <w:vAlign w:val="center"/>
          </w:tcPr>
          <w:p w14:paraId="6C4AB3E9">
            <w:pPr>
              <w:keepNext w:val="0"/>
              <w:keepLines w:val="0"/>
              <w:pageBreakBefore w:val="0"/>
              <w:widowControl/>
              <w:kinsoku/>
              <w:wordWrap/>
              <w:overflowPunct/>
              <w:topLinePunct w:val="0"/>
              <w:autoSpaceDE/>
              <w:autoSpaceDN/>
              <w:bidi w:val="0"/>
              <w:adjustRightInd/>
              <w:snapToGrid/>
              <w:spacing w:line="360" w:lineRule="exact"/>
              <w:jc w:val="center"/>
              <w:textAlignment w:val="auto"/>
              <w:rPr>
                <w:rStyle w:val="11"/>
                <w:rFonts w:hint="eastAsia" w:ascii="宋体" w:hAnsi="宋体" w:eastAsia="宋体" w:cs="宋体"/>
                <w:color w:val="auto"/>
                <w:spacing w:val="30"/>
                <w:kern w:val="0"/>
                <w:sz w:val="24"/>
                <w:szCs w:val="24"/>
                <w:highlight w:val="none"/>
              </w:rPr>
            </w:pPr>
            <w:r>
              <w:rPr>
                <w:rStyle w:val="11"/>
                <w:rFonts w:hint="eastAsia" w:ascii="宋体" w:hAnsi="宋体" w:eastAsia="宋体" w:cs="宋体"/>
                <w:color w:val="auto"/>
                <w:spacing w:val="30"/>
                <w:kern w:val="0"/>
                <w:sz w:val="24"/>
                <w:szCs w:val="24"/>
                <w:highlight w:val="none"/>
              </w:rPr>
              <w:t>合同未尽事项</w:t>
            </w:r>
          </w:p>
        </w:tc>
        <w:tc>
          <w:tcPr>
            <w:tcW w:w="5583" w:type="dxa"/>
            <w:noWrap w:val="0"/>
            <w:tcMar>
              <w:top w:w="0" w:type="dxa"/>
              <w:left w:w="108" w:type="dxa"/>
              <w:bottom w:w="0" w:type="dxa"/>
              <w:right w:w="108" w:type="dxa"/>
            </w:tcMar>
            <w:vAlign w:val="center"/>
          </w:tcPr>
          <w:p w14:paraId="62037A13">
            <w:pPr>
              <w:keepNext w:val="0"/>
              <w:keepLines w:val="0"/>
              <w:pageBreakBefore w:val="0"/>
              <w:widowControl/>
              <w:kinsoku/>
              <w:wordWrap/>
              <w:overflowPunct/>
              <w:topLinePunct w:val="0"/>
              <w:autoSpaceDE/>
              <w:autoSpaceDN/>
              <w:bidi w:val="0"/>
              <w:adjustRightInd/>
              <w:snapToGrid/>
              <w:spacing w:line="360" w:lineRule="exact"/>
              <w:jc w:val="left"/>
              <w:textAlignment w:val="auto"/>
              <w:rPr>
                <w:rStyle w:val="11"/>
                <w:rFonts w:hint="eastAsia" w:ascii="宋体" w:hAnsi="宋体" w:eastAsia="宋体" w:cs="宋体"/>
                <w:color w:val="auto"/>
                <w:spacing w:val="30"/>
                <w:kern w:val="0"/>
                <w:sz w:val="24"/>
                <w:szCs w:val="24"/>
                <w:highlight w:val="none"/>
              </w:rPr>
            </w:pPr>
            <w:r>
              <w:rPr>
                <w:rStyle w:val="11"/>
                <w:rFonts w:hint="eastAsia" w:ascii="宋体" w:hAnsi="宋体" w:eastAsia="宋体" w:cs="宋体"/>
                <w:color w:val="auto"/>
                <w:spacing w:val="30"/>
                <w:kern w:val="0"/>
                <w:sz w:val="24"/>
                <w:szCs w:val="24"/>
                <w:highlight w:val="none"/>
              </w:rPr>
              <w:t>另行约定</w:t>
            </w:r>
          </w:p>
        </w:tc>
      </w:tr>
    </w:tbl>
    <w:p w14:paraId="461D1004">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left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、踏勘</w:t>
      </w:r>
    </w:p>
    <w:p w14:paraId="7278E4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投标人在投标前，采购人不组织踏勘现场。投标人可自行到项目现场进行实地勘察，有关费用自理，踏勘期间发生的意外自负。 </w:t>
      </w:r>
    </w:p>
    <w:p w14:paraId="5ABF4931">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602" w:firstLineChars="200"/>
        <w:textAlignment w:val="auto"/>
        <w:rPr>
          <w:rStyle w:val="11"/>
          <w:rFonts w:hint="eastAsia" w:ascii="宋体" w:hAnsi="宋体" w:eastAsia="宋体" w:cs="宋体"/>
          <w:b/>
          <w:bCs/>
          <w:color w:val="auto"/>
          <w:spacing w:val="30"/>
          <w:kern w:val="0"/>
          <w:sz w:val="24"/>
          <w:szCs w:val="24"/>
          <w:highlight w:val="none"/>
        </w:rPr>
      </w:pPr>
    </w:p>
    <w:p w14:paraId="64E4A902">
      <w:pPr>
        <w:rPr>
          <w:rFonts w:hint="eastAsia" w:ascii="宋体" w:hAnsi="宋体"/>
          <w:sz w:val="20"/>
          <w:highlight w:val="white"/>
        </w:rPr>
      </w:pPr>
    </w:p>
    <w:p w14:paraId="45AD520C">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Chars="0" w:firstLine="420" w:firstLineChars="200"/>
        <w:textAlignment w:val="auto"/>
        <w:outlineLvl w:val="9"/>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F"/>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ZDIyNTViOTE0ZDc1MWZmZDJmYzNiM2ZiZWQ4MWYifQ=="/>
  </w:docVars>
  <w:rsids>
    <w:rsidRoot w:val="546032DF"/>
    <w:rsid w:val="09451C5C"/>
    <w:rsid w:val="095E145F"/>
    <w:rsid w:val="0C037D17"/>
    <w:rsid w:val="10677BCB"/>
    <w:rsid w:val="22B20108"/>
    <w:rsid w:val="24153CC9"/>
    <w:rsid w:val="28137907"/>
    <w:rsid w:val="34B41A96"/>
    <w:rsid w:val="3CDF4587"/>
    <w:rsid w:val="3FED12A0"/>
    <w:rsid w:val="546032DF"/>
    <w:rsid w:val="689B31EF"/>
    <w:rsid w:val="6BA94B30"/>
    <w:rsid w:val="6F8E69DA"/>
    <w:rsid w:val="77E03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b/>
      <w:bCs/>
      <w:sz w:val="24"/>
      <w:szCs w:val="20"/>
    </w:rPr>
  </w:style>
  <w:style w:type="paragraph" w:styleId="4">
    <w:name w:val="heading 2"/>
    <w:basedOn w:val="1"/>
    <w:next w:val="1"/>
    <w:qFormat/>
    <w:uiPriority w:val="99"/>
    <w:pPr>
      <w:keepNext/>
      <w:keepLines/>
      <w:spacing w:line="360" w:lineRule="auto"/>
      <w:outlineLvl w:val="1"/>
    </w:pPr>
    <w:rPr>
      <w:rFonts w:ascii="Arial" w:hAnsi="Arial"/>
      <w:b/>
      <w:bCs/>
      <w:kern w:val="0"/>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spacing w:after="120"/>
    </w:pPr>
  </w:style>
  <w:style w:type="paragraph" w:styleId="6">
    <w:name w:val="Normal Indent"/>
    <w:basedOn w:val="1"/>
    <w:next w:val="1"/>
    <w:qFormat/>
    <w:uiPriority w:val="0"/>
    <w:pPr>
      <w:widowControl/>
      <w:ind w:firstLine="420"/>
      <w:jc w:val="left"/>
    </w:pPr>
    <w:rPr>
      <w:kern w:val="0"/>
      <w:sz w:val="20"/>
      <w:szCs w:val="20"/>
    </w:rPr>
  </w:style>
  <w:style w:type="paragraph" w:styleId="7">
    <w:name w:val="Body Text Indent"/>
    <w:basedOn w:val="1"/>
    <w:next w:val="8"/>
    <w:qFormat/>
    <w:uiPriority w:val="0"/>
    <w:pPr>
      <w:spacing w:after="120"/>
      <w:ind w:left="420" w:leftChars="200"/>
    </w:pPr>
  </w:style>
  <w:style w:type="paragraph" w:styleId="8">
    <w:name w:val="Body Text Indent 2"/>
    <w:basedOn w:val="1"/>
    <w:next w:val="1"/>
    <w:qFormat/>
    <w:uiPriority w:val="0"/>
    <w:pPr>
      <w:spacing w:after="120" w:line="480" w:lineRule="auto"/>
      <w:ind w:left="420" w:leftChars="200"/>
    </w:pPr>
  </w:style>
  <w:style w:type="paragraph" w:styleId="9">
    <w:name w:val="Body Text First Indent 2"/>
    <w:basedOn w:val="7"/>
    <w:next w:val="6"/>
    <w:qFormat/>
    <w:uiPriority w:val="99"/>
    <w:pPr>
      <w:ind w:firstLine="420" w:firstLineChars="200"/>
    </w:pPr>
    <w:rPr>
      <w:szCs w:val="21"/>
    </w:rPr>
  </w:style>
  <w:style w:type="paragraph" w:customStyle="1" w:styleId="12">
    <w:name w:val="样式2"/>
    <w:basedOn w:val="6"/>
    <w:next w:val="5"/>
    <w:qFormat/>
    <w:uiPriority w:val="0"/>
    <w:pPr>
      <w:tabs>
        <w:tab w:val="center" w:pos="4153"/>
        <w:tab w:val="right" w:pos="8306"/>
      </w:tabs>
    </w:pPr>
  </w:style>
  <w:style w:type="paragraph" w:customStyle="1" w:styleId="13">
    <w:name w:val="Default"/>
    <w:qFormat/>
    <w:uiPriority w:val="99"/>
    <w:pPr>
      <w:widowControl w:val="0"/>
      <w:autoSpaceDE w:val="0"/>
      <w:autoSpaceDN w:val="0"/>
      <w:adjustRightInd w:val="0"/>
    </w:pPr>
    <w:rPr>
      <w:rFonts w:ascii="黑体" w:hAnsi="Times New Roman" w:eastAsia="黑体" w:cs="Times New Roman"/>
      <w:lang w:val="en-US" w:eastAsia="zh-CN" w:bidi="ar-SA"/>
    </w:rPr>
  </w:style>
  <w:style w:type="paragraph" w:customStyle="1" w:styleId="14">
    <w:name w:val="正文_46"/>
    <w:next w:val="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正文首行缩进 2_45"/>
    <w:basedOn w:val="16"/>
    <w:qFormat/>
    <w:uiPriority w:val="99"/>
    <w:pPr>
      <w:ind w:firstLine="420" w:firstLineChars="200"/>
    </w:pPr>
    <w:rPr>
      <w:rFonts w:ascii="宋体" w:hAnsi="宋体"/>
    </w:rPr>
  </w:style>
  <w:style w:type="paragraph" w:customStyle="1" w:styleId="16">
    <w:name w:val="正文文本缩进_46"/>
    <w:basedOn w:val="14"/>
    <w:next w:val="17"/>
    <w:qFormat/>
    <w:uiPriority w:val="0"/>
    <w:pPr>
      <w:spacing w:after="120" w:afterLines="0" w:afterAutospacing="0"/>
      <w:ind w:left="420" w:leftChars="200"/>
    </w:pPr>
  </w:style>
  <w:style w:type="paragraph" w:customStyle="1" w:styleId="17">
    <w:name w:val="批注主题_46"/>
    <w:basedOn w:val="18"/>
    <w:next w:val="14"/>
    <w:qFormat/>
    <w:uiPriority w:val="0"/>
    <w:rPr>
      <w:b/>
    </w:rPr>
  </w:style>
  <w:style w:type="paragraph" w:customStyle="1" w:styleId="18">
    <w:name w:val="批注文字_46"/>
    <w:basedOn w:val="14"/>
    <w:qFormat/>
    <w:uiPriority w:val="0"/>
    <w:pPr>
      <w:jc w:val="left"/>
    </w:pPr>
  </w:style>
  <w:style w:type="paragraph" w:customStyle="1" w:styleId="19">
    <w:name w:val="正文_47"/>
    <w:next w:val="2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正文首行缩进 2_46"/>
    <w:basedOn w:val="21"/>
    <w:qFormat/>
    <w:uiPriority w:val="99"/>
    <w:pPr>
      <w:ind w:firstLine="420" w:firstLineChars="200"/>
    </w:pPr>
    <w:rPr>
      <w:rFonts w:ascii="宋体" w:hAnsi="宋体"/>
    </w:rPr>
  </w:style>
  <w:style w:type="paragraph" w:customStyle="1" w:styleId="21">
    <w:name w:val="正文文本缩进_47"/>
    <w:basedOn w:val="19"/>
    <w:next w:val="22"/>
    <w:qFormat/>
    <w:uiPriority w:val="0"/>
    <w:pPr>
      <w:spacing w:after="120" w:afterLines="0" w:afterAutospacing="0"/>
      <w:ind w:left="420" w:leftChars="200"/>
    </w:pPr>
  </w:style>
  <w:style w:type="paragraph" w:customStyle="1" w:styleId="22">
    <w:name w:val="批注主题_47"/>
    <w:basedOn w:val="23"/>
    <w:next w:val="19"/>
    <w:qFormat/>
    <w:uiPriority w:val="0"/>
    <w:rPr>
      <w:b/>
    </w:rPr>
  </w:style>
  <w:style w:type="paragraph" w:customStyle="1" w:styleId="23">
    <w:name w:val="批注文字_47"/>
    <w:basedOn w:val="19"/>
    <w:qFormat/>
    <w:uiPriority w:val="0"/>
    <w:pPr>
      <w:jc w:val="left"/>
    </w:pPr>
  </w:style>
  <w:style w:type="paragraph" w:customStyle="1" w:styleId="2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6">
    <w:name w:val="列出段落1"/>
    <w:basedOn w:val="27"/>
    <w:qFormat/>
    <w:uiPriority w:val="0"/>
    <w:pPr>
      <w:ind w:firstLine="420" w:firstLineChars="200"/>
    </w:pPr>
    <w:rPr>
      <w:rFonts w:ascii="Calibri" w:hAnsi="Calibri" w:cs="Calibri"/>
      <w:szCs w:val="21"/>
    </w:rPr>
  </w:style>
  <w:style w:type="paragraph" w:customStyle="1" w:styleId="27">
    <w:name w:val="正文_22_0"/>
    <w:next w:val="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正文文本_0"/>
    <w:basedOn w:val="27"/>
    <w:next w:val="27"/>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2741</Words>
  <Characters>2829</Characters>
  <Lines>0</Lines>
  <Paragraphs>0</Paragraphs>
  <TotalTime>0</TotalTime>
  <ScaleCrop>false</ScaleCrop>
  <LinksUpToDate>false</LinksUpToDate>
  <CharactersWithSpaces>2841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2023-11-09T02:57:00Z</dcterms:created>
  <dc:creator>高山流水</dc:creator>
  <cp:lastModifiedBy>...</cp:lastModifiedBy>
  <cp:lastPrinted>2024-11-06T05:49:00Z</cp:lastPrinted>
  <dcterms:modified xsi:type="dcterms:W3CDTF">2025-02-24T06:10:37Z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4F0C578967A446EC8CA657A132B4C429_11</vt:lpwstr>
  </property>
  <property fmtid="{D5CDD505-2E9C-101B-9397-08002B2CF9AE}" pid="4" name="KSOTemplateDocerSaveRecord">
    <vt:lpwstr>eyJoZGlkIjoiMzg0ZDIyNTViOTE0ZDc1MWZmZDJmYzNiM2ZiZWQ4MWYiLCJ1c2VySWQiOiIxMTQwMzY5MDAwIn0=</vt:lpwstr>
  </property>
</Properties>
</file>