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D89F0">
      <w:pPr>
        <w:pStyle w:val="2"/>
        <w:spacing w:before="120" w:after="120"/>
      </w:pPr>
      <w:r>
        <w:rPr>
          <w:rFonts w:hint="eastAsia"/>
          <w:highlight w:val="white"/>
        </w:rPr>
        <w:t>采购内容与要求</w:t>
      </w:r>
    </w:p>
    <w:p w14:paraId="5C3633D9">
      <w:pPr>
        <w:pStyle w:val="3"/>
        <w:numPr>
          <w:ilvl w:val="0"/>
          <w:numId w:val="0"/>
        </w:numPr>
        <w:ind w:firstLine="2711" w:firstLineChars="900"/>
        <w:jc w:val="both"/>
        <w:rPr>
          <w:rFonts w:hint="eastAsia"/>
        </w:rPr>
      </w:pPr>
      <w:r>
        <w:rPr>
          <w:rFonts w:hint="eastAsia" w:ascii="宋体" w:hAnsi="宋体" w:eastAsia="宋体" w:cs="宋体"/>
        </w:rPr>
        <w:t>第一节</w:t>
      </w:r>
      <w:r>
        <w:rPr>
          <w:rFonts w:hint="eastAsia"/>
        </w:rPr>
        <w:t xml:space="preserve">   </w:t>
      </w:r>
      <w:r>
        <w:rPr>
          <w:rFonts w:hint="eastAsia" w:ascii="宋体" w:hAnsi="宋体" w:eastAsia="宋体" w:cs="宋体"/>
        </w:rPr>
        <w:t>服务要求</w:t>
      </w:r>
    </w:p>
    <w:p w14:paraId="385EDDCC">
      <w:pPr>
        <w:spacing w:before="240" w:beforeLines="100" w:after="240" w:afterLines="100" w:line="300" w:lineRule="auto"/>
        <w:ind w:firstLine="422" w:firstLineChars="200"/>
        <w:rPr>
          <w:rStyle w:val="11"/>
          <w:rFonts w:hint="eastAsia" w:ascii="宋体" w:hAnsi="宋体" w:eastAsia="宋体" w:cs="宋体"/>
          <w:b/>
          <w:bCs/>
          <w:sz w:val="21"/>
          <w:szCs w:val="21"/>
        </w:rPr>
      </w:pPr>
      <w:r>
        <w:rPr>
          <w:rStyle w:val="11"/>
          <w:rFonts w:hint="eastAsia" w:ascii="宋体" w:hAnsi="宋体" w:eastAsia="宋体" w:cs="宋体"/>
          <w:b/>
          <w:bCs/>
          <w:sz w:val="21"/>
          <w:szCs w:val="21"/>
        </w:rPr>
        <w:t>投标人所提供的服务不仅要符合相应的国际及国内行业标准要求，还应满足本服务规范书中的服务要求。以下所有内容为本次招标的基本要求，投标人可在响应基本要求的前提下，优于以下标准和要求投标。</w:t>
      </w:r>
    </w:p>
    <w:p w14:paraId="26BF3758">
      <w:pPr>
        <w:pageBreakBefore w:val="0"/>
        <w:widowControl w:val="0"/>
        <w:kinsoku/>
        <w:wordWrap/>
        <w:overflowPunct/>
        <w:topLinePunct w:val="0"/>
        <w:autoSpaceDE/>
        <w:autoSpaceDN/>
        <w:bidi w:val="0"/>
        <w:adjustRightInd/>
        <w:snapToGrid/>
        <w:spacing w:line="360" w:lineRule="auto"/>
        <w:ind w:right="0" w:firstLine="720" w:firstLineChars="0"/>
        <w:textAlignment w:val="auto"/>
        <w:rPr>
          <w:rStyle w:val="10"/>
          <w:rFonts w:hint="eastAsia" w:ascii="宋体" w:hAnsi="宋体" w:eastAsia="宋体" w:cs="宋体"/>
          <w:b/>
          <w:bCs/>
          <w:color w:val="000000"/>
          <w:kern w:val="2"/>
          <w:sz w:val="21"/>
          <w:szCs w:val="21"/>
          <w:lang w:val="en-US" w:eastAsia="zh-CN" w:bidi="ar-SA"/>
        </w:rPr>
      </w:pPr>
      <w:r>
        <w:rPr>
          <w:rStyle w:val="10"/>
          <w:rFonts w:hint="eastAsia" w:ascii="宋体" w:hAnsi="宋体" w:eastAsia="宋体" w:cs="宋体"/>
          <w:b/>
          <w:bCs/>
          <w:color w:val="000000"/>
          <w:kern w:val="2"/>
          <w:sz w:val="21"/>
          <w:szCs w:val="21"/>
          <w:lang w:val="en-US" w:eastAsia="zh-CN" w:bidi="ar-SA"/>
        </w:rPr>
        <w:t>一、项目概况</w:t>
      </w:r>
    </w:p>
    <w:p w14:paraId="173289B5">
      <w:pPr>
        <w:keepNext w:val="0"/>
        <w:keepLines w:val="0"/>
        <w:pageBreakBefore w:val="0"/>
        <w:widowControl w:val="0"/>
        <w:kinsoku/>
        <w:wordWrap/>
        <w:overflowPunct/>
        <w:topLinePunct w:val="0"/>
        <w:autoSpaceDE/>
        <w:autoSpaceDN/>
        <w:bidi w:val="0"/>
        <w:adjustRightInd/>
        <w:snapToGrid/>
        <w:spacing w:line="360" w:lineRule="auto"/>
        <w:ind w:right="0" w:firstLine="7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1、项目名称：衡阳县中医医院职工食堂食材配送服务政府采购项目</w:t>
      </w:r>
    </w:p>
    <w:p w14:paraId="08583941">
      <w:pPr>
        <w:keepNext w:val="0"/>
        <w:keepLines w:val="0"/>
        <w:pageBreakBefore w:val="0"/>
        <w:widowControl w:val="0"/>
        <w:kinsoku/>
        <w:wordWrap/>
        <w:overflowPunct/>
        <w:topLinePunct w:val="0"/>
        <w:autoSpaceDE/>
        <w:autoSpaceDN/>
        <w:bidi w:val="0"/>
        <w:adjustRightInd/>
        <w:snapToGrid/>
        <w:spacing w:line="360" w:lineRule="auto"/>
        <w:ind w:right="0" w:firstLine="7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2、项目预算：</w:t>
      </w:r>
      <w:r>
        <w:rPr>
          <w:rFonts w:hint="eastAsia" w:ascii="宋体" w:hAnsi="宋体" w:eastAsia="宋体" w:cs="宋体"/>
          <w:sz w:val="21"/>
          <w:szCs w:val="21"/>
          <w:lang w:val="en-US" w:eastAsia="zh-CN"/>
        </w:rPr>
        <w:t xml:space="preserve"> 2300000元</w:t>
      </w:r>
    </w:p>
    <w:p w14:paraId="77DC13BD">
      <w:pPr>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eastAsia" w:ascii="宋体" w:hAnsi="宋体" w:eastAsia="宋体" w:cs="宋体"/>
          <w:sz w:val="21"/>
          <w:szCs w:val="21"/>
          <w:lang w:val="en-US" w:eastAsia="zh-CN"/>
        </w:rPr>
        <w:t>3、服务期限：1年</w:t>
      </w:r>
    </w:p>
    <w:p w14:paraId="12251616">
      <w:pPr>
        <w:pStyle w:val="12"/>
        <w:keepNext/>
        <w:keepLines/>
        <w:pageBreakBefore w:val="0"/>
        <w:widowControl w:val="0"/>
        <w:kinsoku/>
        <w:wordWrap/>
        <w:overflowPunct/>
        <w:topLinePunct w:val="0"/>
        <w:autoSpaceDE/>
        <w:autoSpaceDN/>
        <w:bidi w:val="0"/>
        <w:adjustRightInd/>
        <w:snapToGrid/>
        <w:spacing w:before="0" w:after="0" w:line="360" w:lineRule="auto"/>
        <w:ind w:right="0" w:firstLine="720" w:firstLineChars="0"/>
        <w:textAlignment w:val="auto"/>
        <w:rPr>
          <w:rStyle w:val="10"/>
          <w:rFonts w:hint="eastAsia" w:ascii="宋体" w:hAnsi="宋体" w:eastAsia="宋体" w:cs="宋体"/>
          <w:b/>
          <w:bCs/>
          <w:color w:val="000000"/>
          <w:kern w:val="2"/>
          <w:sz w:val="21"/>
          <w:szCs w:val="21"/>
          <w:lang w:val="en-US" w:eastAsia="zh-CN" w:bidi="ar-SA"/>
        </w:rPr>
      </w:pPr>
      <w:r>
        <w:rPr>
          <w:rStyle w:val="10"/>
          <w:rFonts w:hint="eastAsia" w:ascii="宋体" w:hAnsi="宋体" w:eastAsia="宋体" w:cs="宋体"/>
          <w:b/>
          <w:bCs/>
          <w:color w:val="000000"/>
          <w:kern w:val="2"/>
          <w:sz w:val="21"/>
          <w:szCs w:val="21"/>
          <w:lang w:val="en-US" w:eastAsia="zh-CN" w:bidi="ar-SA"/>
        </w:rPr>
        <w:t>二、项目背景：</w:t>
      </w:r>
    </w:p>
    <w:p w14:paraId="39044AE4">
      <w:pPr>
        <w:keepNext w:val="0"/>
        <w:keepLines w:val="0"/>
        <w:pageBreakBefore w:val="0"/>
        <w:widowControl w:val="0"/>
        <w:kinsoku/>
        <w:wordWrap/>
        <w:overflowPunct/>
        <w:topLinePunct w:val="0"/>
        <w:autoSpaceDE/>
        <w:autoSpaceDN/>
        <w:bidi w:val="0"/>
        <w:adjustRightInd/>
        <w:snapToGrid/>
        <w:spacing w:line="360" w:lineRule="auto"/>
        <w:ind w:right="0" w:firstLine="7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确保食堂食品安全、营养及食材的配送质量,进一步规范食堂管理,现采用公开招标方式确定一家专业配送公司承担衡阳县中医医院食堂食材的统一配送，服务期限为壹年。采购内容主要为米面粮油、肉类、蔬菜等。我院职工食堂目前每天就餐总人数约为500人,所供物资价格以市场批发价格为依据，价格随行就市，但不得高于市场平均批发价格。所供数量和品种根据采购人提供的采购计划单来确定，确保所供物资原材料安全可靠，符合国家及地方相关行业标准。</w:t>
      </w:r>
    </w:p>
    <w:p w14:paraId="5E8A1704">
      <w:pPr>
        <w:keepNext w:val="0"/>
        <w:keepLines w:val="0"/>
        <w:pageBreakBefore w:val="0"/>
        <w:widowControl w:val="0"/>
        <w:kinsoku/>
        <w:wordWrap/>
        <w:overflowPunct/>
        <w:topLinePunct w:val="0"/>
        <w:autoSpaceDE/>
        <w:autoSpaceDN/>
        <w:bidi w:val="0"/>
        <w:adjustRightInd/>
        <w:snapToGrid/>
        <w:spacing w:line="360" w:lineRule="auto"/>
        <w:ind w:right="0" w:firstLine="720" w:firstLineChars="0"/>
        <w:textAlignment w:val="auto"/>
        <w:rPr>
          <w:rStyle w:val="10"/>
          <w:rFonts w:hint="eastAsia" w:ascii="宋体" w:hAnsi="宋体" w:eastAsia="宋体" w:cs="宋体"/>
          <w:b/>
          <w:bCs/>
          <w:color w:val="000000"/>
          <w:kern w:val="2"/>
          <w:sz w:val="21"/>
          <w:szCs w:val="21"/>
          <w:lang w:val="en-US" w:eastAsia="zh-CN" w:bidi="ar-SA"/>
        </w:rPr>
      </w:pPr>
      <w:r>
        <w:rPr>
          <w:rStyle w:val="10"/>
          <w:rFonts w:hint="eastAsia" w:ascii="宋体" w:hAnsi="宋体" w:eastAsia="宋体" w:cs="宋体"/>
          <w:b/>
          <w:bCs/>
          <w:color w:val="000000"/>
          <w:kern w:val="2"/>
          <w:sz w:val="21"/>
          <w:szCs w:val="21"/>
          <w:lang w:val="en-US" w:eastAsia="zh-CN" w:bidi="ar-SA"/>
        </w:rPr>
        <w:t>三、执行标准</w:t>
      </w:r>
    </w:p>
    <w:p w14:paraId="265AD798">
      <w:pPr>
        <w:pStyle w:val="1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0" w:firstLine="72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《中华人民共和国食品安全法》、《食品安全法实施条例》、《餐饮服务食品安全监督管理办法》及其他相关食品质量安全标准。</w:t>
      </w:r>
    </w:p>
    <w:p w14:paraId="64786A63">
      <w:pPr>
        <w:pStyle w:val="1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0" w:firstLine="720" w:firstLineChars="0"/>
        <w:textAlignment w:val="auto"/>
        <w:outlineLvl w:val="9"/>
        <w:rPr>
          <w:rStyle w:val="10"/>
          <w:rFonts w:hint="eastAsia" w:ascii="宋体" w:hAnsi="宋体" w:eastAsia="宋体" w:cs="宋体"/>
          <w:b/>
          <w:bCs/>
          <w:color w:val="000000"/>
          <w:kern w:val="2"/>
          <w:sz w:val="21"/>
          <w:szCs w:val="21"/>
          <w:lang w:val="en-US" w:eastAsia="zh-CN" w:bidi="ar-SA"/>
        </w:rPr>
      </w:pPr>
      <w:r>
        <w:rPr>
          <w:rStyle w:val="10"/>
          <w:rFonts w:hint="eastAsia" w:ascii="宋体" w:hAnsi="宋体" w:eastAsia="宋体" w:cs="宋体"/>
          <w:b/>
          <w:bCs/>
          <w:color w:val="000000"/>
          <w:kern w:val="2"/>
          <w:sz w:val="21"/>
          <w:szCs w:val="21"/>
          <w:lang w:val="en-US" w:eastAsia="zh-CN" w:bidi="ar-SA"/>
        </w:rPr>
        <w:t>四、供货范围及质量要求</w:t>
      </w:r>
    </w:p>
    <w:p w14:paraId="2A27FFB0">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lang w:val="en-US" w:eastAsia="zh-CN"/>
        </w:rPr>
      </w:pPr>
      <w:r>
        <w:rPr>
          <w:rFonts w:hint="eastAsia"/>
          <w:lang w:val="en-US" w:eastAsia="zh-CN"/>
        </w:rPr>
        <w:t>供货范围为食堂运营所需的相关物资，主要包括米面粮油、蔬菜等。供应商提供产品均应为正规生产的新鲜（冷冻食品除外）、检验合格、无毒无辐射产品，符合国家有关卫生、质量、包装和保质标准。要使用有效期内的产品,其中：</w:t>
      </w:r>
    </w:p>
    <w:p w14:paraId="2ECFFE2E">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（一）供应产品质量要求</w:t>
      </w:r>
    </w:p>
    <w:p w14:paraId="7A9AD9C4">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1.蔬菜、瓜果</w:t>
      </w:r>
    </w:p>
    <w:p w14:paraId="16AE8A44">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瓜果类、蔬菜类必须是优质货品，残留农药或污染物不超过相关标准，供货商必须保证所供应的蔬菜符合国家相关食品安全卫生标准，每批次供货必须提供农药残留检测报告，保证送货质量，诚实守信：</w:t>
      </w:r>
    </w:p>
    <w:p w14:paraId="3C593141">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1）叶菜类：外形正常，叶梗光滑幼嬾，不干瘪凋萎，无过多黄叶，色泽正常。去除根须，不含土，无虫害，大白菜、卷心菜切开心不变黑，无腐烂情形，无明显浸水现象。农药残留不超标。</w:t>
      </w:r>
    </w:p>
    <w:p w14:paraId="00114A53">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2）瓜果类：外表光亮无斑点，有新鲜连接的秧，形状正常、大小均匀，无软塌，成熟度适度。无腐烂，无污染，清洁、新鲜，无异味、无病虫损害。农药残留不超标。</w:t>
      </w:r>
    </w:p>
    <w:p w14:paraId="185FB9B7">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3）根茎类（如香芋、土豆、莴笋）：无虫咬、发芽、发霉现象，新鲜。农药残留不超标。</w:t>
      </w:r>
    </w:p>
    <w:p w14:paraId="616BA6D2">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4）花果类（如西兰花、白菜花）：无虫害，成熟度良好，新鲜固有的色泽鲜明，无发霉发黄。农药残留不超标。</w:t>
      </w:r>
    </w:p>
    <w:p w14:paraId="044100A7">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2.冷冻类</w:t>
      </w:r>
    </w:p>
    <w:p w14:paraId="10FA893D">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冷冻禽类食品要求清晰列出产品品牌、规格、类型、包装方式、包装净重等相关参数，应保持较好的外观及质量等级，经检验检疫合格的冷冻类食品。</w:t>
      </w:r>
    </w:p>
    <w:p w14:paraId="5DC8DA70">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3.干货、副食品、调料、易耗品等</w:t>
      </w:r>
    </w:p>
    <w:p w14:paraId="43F5C204">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保持较好外观，达到特级、一级或者相应的等级</w:t>
      </w:r>
      <w:r>
        <w:rPr>
          <w:rFonts w:hint="eastAsia"/>
          <w:lang w:val="en-US" w:eastAsia="zh-CN"/>
        </w:rPr>
        <w:t>及有效期内</w:t>
      </w:r>
      <w:r>
        <w:rPr>
          <w:rFonts w:hint="default"/>
          <w:lang w:val="en-US" w:eastAsia="zh-CN"/>
        </w:rPr>
        <w:t>。</w:t>
      </w:r>
    </w:p>
    <w:p w14:paraId="1F5D1DF0">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4、米</w:t>
      </w:r>
    </w:p>
    <w:p w14:paraId="2FD2EBB5">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色泽精白明亮，颗粒大小均匀、丰满坚实，粒面光滑、完整，少有腹白、爆腰粒和碎米，具有正常的米香；无虫蛀粒、黄粒米、霉变粒和病斑粒，无杂质；无霉味、哈喇味、酸败味、油污味等异味。无毒、无污染，符合国家食品安全标准，有检验合格证。</w:t>
      </w:r>
    </w:p>
    <w:p w14:paraId="2A8F6761">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5.粮油</w:t>
      </w:r>
    </w:p>
    <w:p w14:paraId="52075707">
      <w:pPr>
        <w:pStyle w:val="13"/>
        <w:pageBreakBefore w:val="0"/>
        <w:kinsoku/>
        <w:wordWrap/>
        <w:overflowPunct/>
        <w:topLinePunct w:val="0"/>
        <w:autoSpaceDE/>
        <w:autoSpaceDN/>
        <w:bidi w:val="0"/>
        <w:adjustRightInd/>
        <w:snapToGrid/>
        <w:spacing w:line="360" w:lineRule="auto"/>
        <w:ind w:firstLine="720" w:firstLineChars="0"/>
        <w:textAlignment w:val="auto"/>
        <w:rPr>
          <w:rFonts w:hint="default"/>
          <w:lang w:val="en-US" w:eastAsia="zh-CN"/>
        </w:rPr>
      </w:pPr>
      <w:r>
        <w:rPr>
          <w:rFonts w:hint="default"/>
          <w:lang w:val="en-US" w:eastAsia="zh-CN"/>
        </w:rPr>
        <w:t>产品须具备厂商卫生检验合格证；油等级须为不低于国家最新标准规定的一级压榨菜籽油。要求提供品牌美誉度高、市场占有率高的产品，并提供商品溯源。</w:t>
      </w:r>
    </w:p>
    <w:p w14:paraId="5B162050">
      <w:pPr>
        <w:keepNext/>
        <w:keepLines/>
        <w:pageBreakBefore w:val="0"/>
        <w:widowControl/>
        <w:kinsoku/>
        <w:wordWrap/>
        <w:overflowPunct/>
        <w:topLinePunct w:val="0"/>
        <w:autoSpaceDE/>
        <w:autoSpaceDN/>
        <w:bidi w:val="0"/>
        <w:adjustRightInd/>
        <w:snapToGrid/>
        <w:spacing w:line="360" w:lineRule="auto"/>
        <w:ind w:right="0" w:firstLine="720" w:firstLineChars="0"/>
        <w:jc w:val="left"/>
        <w:textAlignment w:val="auto"/>
        <w:outlineLvl w:val="1"/>
        <w:rPr>
          <w:rStyle w:val="10"/>
          <w:rFonts w:hint="eastAsia" w:ascii="宋体" w:hAnsi="宋体" w:eastAsia="宋体" w:cs="宋体"/>
          <w:b/>
          <w:bCs/>
          <w:color w:val="000000"/>
          <w:kern w:val="2"/>
          <w:sz w:val="21"/>
          <w:szCs w:val="21"/>
          <w:lang w:val="en-US" w:eastAsia="zh-CN" w:bidi="ar-SA"/>
        </w:rPr>
      </w:pPr>
    </w:p>
    <w:p w14:paraId="4C22229C">
      <w:pPr>
        <w:keepNext/>
        <w:keepLines/>
        <w:pageBreakBefore w:val="0"/>
        <w:widowControl/>
        <w:kinsoku/>
        <w:wordWrap/>
        <w:overflowPunct/>
        <w:topLinePunct w:val="0"/>
        <w:autoSpaceDE/>
        <w:autoSpaceDN/>
        <w:bidi w:val="0"/>
        <w:adjustRightInd/>
        <w:snapToGrid/>
        <w:spacing w:line="360" w:lineRule="auto"/>
        <w:ind w:right="0" w:firstLine="720" w:firstLineChars="0"/>
        <w:jc w:val="left"/>
        <w:textAlignment w:val="auto"/>
        <w:outlineLvl w:val="1"/>
        <w:rPr>
          <w:rStyle w:val="10"/>
          <w:rFonts w:hint="eastAsia" w:ascii="宋体" w:hAnsi="宋体" w:eastAsia="宋体" w:cs="宋体"/>
          <w:b/>
          <w:bCs/>
          <w:color w:val="000000"/>
          <w:kern w:val="2"/>
          <w:sz w:val="21"/>
          <w:szCs w:val="21"/>
          <w:lang w:val="en-US" w:eastAsia="zh-CN" w:bidi="ar-SA"/>
        </w:rPr>
      </w:pPr>
      <w:bookmarkStart w:id="0" w:name="_Toc256000015"/>
      <w:r>
        <w:rPr>
          <w:rStyle w:val="10"/>
          <w:rFonts w:hint="eastAsia" w:ascii="宋体" w:hAnsi="宋体" w:eastAsia="宋体" w:cs="宋体"/>
          <w:b/>
          <w:bCs/>
          <w:color w:val="000000"/>
          <w:kern w:val="2"/>
          <w:sz w:val="21"/>
          <w:szCs w:val="21"/>
          <w:lang w:val="en-US" w:eastAsia="zh-CN" w:bidi="ar-SA"/>
        </w:rPr>
        <w:t>五、供货要求</w:t>
      </w:r>
      <w:bookmarkEnd w:id="0"/>
    </w:p>
    <w:p w14:paraId="66DF26AF">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（一）供货时间</w:t>
      </w:r>
    </w:p>
    <w:p w14:paraId="4A9B7FF3">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采购人提前 1 天向供应商提供“采购计划单”一式两份，供应商需次日上午8:00按“采购计划单”明细运输至指定地点并进行分类（双方有特殊约定的按照约定时间配送）。</w:t>
      </w:r>
    </w:p>
    <w:p w14:paraId="6D1E36BE">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（二）供货要求</w:t>
      </w:r>
    </w:p>
    <w:p w14:paraId="39A63D0C">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1.供应商必须具备符合行业规定及满足供货需要的仓储、交通运输等设施设备，确保食品原料的安全储存和安全运输。</w:t>
      </w:r>
    </w:p>
    <w:p w14:paraId="3AB1714C">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2.供应商提供的食品原料必须是符合国家标准及行业标准的食品。</w:t>
      </w:r>
    </w:p>
    <w:p w14:paraId="7C993F06">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3.供应商针对本项目要配置“运输专用货车”。</w:t>
      </w:r>
    </w:p>
    <w:p w14:paraId="2A453C8C">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4.食品运输必须采用符合卫生标准的外包装和运载工具，并且要保持清洁和定期消毒。运输车厢的内仓，应使用抗腐蚀、防潮，易清洁消毒的材料。车厢内无不良气味、异味。食品堆放科学合理，避免造成食品的交叉污染，如对温度有要求的食品应确定食品温度。</w:t>
      </w:r>
    </w:p>
    <w:p w14:paraId="29DA0E26">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5. 冷藏、冷冻食品和肉类必须整个运输过程应科学合理，运输车辆应定期清洁，保持性能稳定，使运输食品处于恒定的环境中。</w:t>
      </w:r>
    </w:p>
    <w:p w14:paraId="09AD2CD1">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5.运输过程须保证食品的卫生与安全，交通工具应停放在采购人指定的地点。</w:t>
      </w:r>
    </w:p>
    <w:p w14:paraId="0AE1840B">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6.供应商需有合作的无公害农产品蔬菜种植基地。</w:t>
      </w:r>
    </w:p>
    <w:p w14:paraId="5BF88D48">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7.供货过程中如采购人验收质量不合格的，供应商必须于一个小时内重新送货上门。供应商如送货迟到超过30分钟以上一次提出口头警告，并要求作出书面保证，二次扣当月总货款的10%。三次以上，采购人将解除其供应合同，由此造成的所有损失由供应商自行承担。</w:t>
      </w:r>
    </w:p>
    <w:p w14:paraId="766FE0AD">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8. 供应商配送时需提供“送货清单”一式两份给采购人，“送货清单”内容需包含产品名称、产品来源、产品重量、产品单价及总价等内容，由采购人根据 “送货清单”核准称重。</w:t>
      </w:r>
    </w:p>
    <w:p w14:paraId="67E3B247">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（三）验收要求</w:t>
      </w:r>
    </w:p>
    <w:p w14:paraId="1F03C552">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1.本项目所指的商品及服务应符合招标文件的所述的标准；如果没有提及适用标准，则应符合中华人民共和国国家标准或行业标准；所有标准必须是有关机构发布的最新版本的标准。</w:t>
      </w:r>
    </w:p>
    <w:p w14:paraId="0A9112DE">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2.商品有包装的，商品的包装必须完整清洁（无损、无污、无皱），有注册商标、成分、生产日期、生产厂家和保质期等。采购人有权拒收包装不整齐、已拆封的商品。</w:t>
      </w:r>
    </w:p>
    <w:p w14:paraId="09E7DA48">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3.采购人发现商品出现损坏（包括表面损坏），或出现水渍、串味、受潮等导致商品性质改变的，供应商必须无条件退货或更换商品。</w:t>
      </w:r>
    </w:p>
    <w:p w14:paraId="627740F8">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4.所供物资按除箱净重过磅，最终交易重量以采购人确认的过磅数为准。</w:t>
      </w:r>
    </w:p>
    <w:p w14:paraId="26C8470F">
      <w:pPr>
        <w:pStyle w:val="13"/>
        <w:pageBreakBefore w:val="0"/>
        <w:kinsoku/>
        <w:wordWrap/>
        <w:overflowPunct/>
        <w:topLinePunct w:val="0"/>
        <w:autoSpaceDE/>
        <w:autoSpaceDN/>
        <w:bidi w:val="0"/>
        <w:adjustRightInd/>
        <w:snapToGrid/>
        <w:spacing w:line="360" w:lineRule="auto"/>
        <w:ind w:firstLine="720" w:firstLineChars="0"/>
        <w:textAlignment w:val="auto"/>
        <w:rPr>
          <w:rFonts w:hint="eastAsia" w:eastAsia="宋体" w:cs="Times New Roman"/>
          <w:lang w:val="en-US" w:eastAsia="zh-CN"/>
        </w:rPr>
      </w:pPr>
      <w:r>
        <w:rPr>
          <w:rFonts w:hint="eastAsia" w:eastAsia="宋体" w:cs="Times New Roman"/>
          <w:lang w:val="en-US" w:eastAsia="zh-CN"/>
        </w:rPr>
        <w:t>5.供应商所供物资超出“采购计划单”明细的采购人自行退货，不再接收。</w:t>
      </w:r>
    </w:p>
    <w:p w14:paraId="00BA9B60">
      <w:pPr>
        <w:pStyle w:val="14"/>
        <w:keepNext w:val="0"/>
        <w:keepLines w:val="0"/>
        <w:pageBreakBefore w:val="0"/>
        <w:widowControl w:val="0"/>
        <w:kinsoku/>
        <w:wordWrap/>
        <w:overflowPunct/>
        <w:topLinePunct w:val="0"/>
        <w:autoSpaceDE/>
        <w:autoSpaceDN/>
        <w:bidi w:val="0"/>
        <w:adjustRightInd/>
        <w:snapToGrid/>
        <w:spacing w:line="360" w:lineRule="auto"/>
        <w:ind w:left="0" w:leftChars="0" w:right="0" w:firstLine="720" w:firstLineChars="0"/>
        <w:textAlignment w:val="auto"/>
        <w:rPr>
          <w:rFonts w:hint="eastAsia" w:ascii="宋体" w:hAnsi="宋体" w:eastAsia="宋体" w:cs="宋体"/>
          <w:b/>
          <w:bCs/>
          <w:color w:val="auto"/>
          <w:kern w:val="2"/>
          <w:sz w:val="21"/>
          <w:szCs w:val="21"/>
          <w:highlight w:val="white"/>
          <w:lang w:val="en-US" w:eastAsia="zh-CN" w:bidi="ar-SA"/>
        </w:rPr>
      </w:pPr>
      <w:r>
        <w:rPr>
          <w:rFonts w:hint="eastAsia" w:ascii="宋体" w:hAnsi="宋体" w:eastAsia="宋体" w:cs="宋体"/>
          <w:b/>
          <w:bCs/>
          <w:color w:val="auto"/>
          <w:kern w:val="2"/>
          <w:sz w:val="21"/>
          <w:szCs w:val="21"/>
          <w:highlight w:val="white"/>
          <w:lang w:val="en-US" w:eastAsia="zh-CN" w:bidi="ar-SA"/>
        </w:rPr>
        <w:t>六、结算</w:t>
      </w:r>
    </w:p>
    <w:p w14:paraId="0542596F">
      <w:pPr>
        <w:keepNext w:val="0"/>
        <w:keepLines w:val="0"/>
        <w:pageBreakBefore w:val="0"/>
        <w:widowControl w:val="0"/>
        <w:kinsoku/>
        <w:wordWrap/>
        <w:overflowPunct/>
        <w:topLinePunct w:val="0"/>
        <w:autoSpaceDE/>
        <w:autoSpaceDN/>
        <w:bidi w:val="0"/>
        <w:adjustRightInd/>
        <w:snapToGrid/>
        <w:spacing w:line="360" w:lineRule="auto"/>
        <w:ind w:firstLine="720" w:firstLineChars="0"/>
        <w:jc w:val="both"/>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1.每月定一次基准价格（由采购人与供货商双方共同商定为当月第一周前3个工作日某一天），以市场考察的批发价格作为基准价格。基准价格一经确定，双方必须严格执行，不受市场物价波动影响，不得调价。</w:t>
      </w:r>
    </w:p>
    <w:p w14:paraId="6B9B2D32">
      <w:pPr>
        <w:keepNext w:val="0"/>
        <w:keepLines w:val="0"/>
        <w:pageBreakBefore w:val="0"/>
        <w:widowControl w:val="0"/>
        <w:kinsoku/>
        <w:wordWrap/>
        <w:overflowPunct/>
        <w:topLinePunct w:val="0"/>
        <w:autoSpaceDE/>
        <w:autoSpaceDN/>
        <w:bidi w:val="0"/>
        <w:adjustRightInd/>
        <w:snapToGrid/>
        <w:spacing w:line="360" w:lineRule="auto"/>
        <w:ind w:firstLine="720" w:firstLineChars="0"/>
        <w:jc w:val="both"/>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2.以每天的“采购计划单”及“送货清单”数量明细及价格，按月结算。</w:t>
      </w:r>
    </w:p>
    <w:p w14:paraId="631864ED">
      <w:pPr>
        <w:keepNext w:val="0"/>
        <w:keepLines w:val="0"/>
        <w:pageBreakBefore w:val="0"/>
        <w:widowControl w:val="0"/>
        <w:kinsoku/>
        <w:wordWrap/>
        <w:overflowPunct/>
        <w:topLinePunct w:val="0"/>
        <w:autoSpaceDE/>
        <w:autoSpaceDN/>
        <w:bidi w:val="0"/>
        <w:adjustRightInd/>
        <w:snapToGrid/>
        <w:spacing w:line="360" w:lineRule="auto"/>
        <w:ind w:firstLine="720" w:firstLineChars="0"/>
        <w:jc w:val="both"/>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3.结算价＝实际采购量×采购人审核后的基准价格×中标折扣率</w:t>
      </w:r>
    </w:p>
    <w:p w14:paraId="61C2DB0D">
      <w:pPr>
        <w:pStyle w:val="5"/>
        <w:keepNext w:val="0"/>
        <w:keepLines w:val="0"/>
        <w:pageBreakBefore w:val="0"/>
        <w:widowControl w:val="0"/>
        <w:kinsoku/>
        <w:wordWrap/>
        <w:overflowPunct/>
        <w:topLinePunct w:val="0"/>
        <w:autoSpaceDE/>
        <w:autoSpaceDN/>
        <w:bidi w:val="0"/>
        <w:adjustRightInd/>
        <w:snapToGrid/>
        <w:spacing w:line="360" w:lineRule="auto"/>
        <w:ind w:firstLine="720" w:firstLineChars="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4.结算价格包括采购价和运输到指定地点所发生的运费、人工费、利润、税金等一切可能发生的费用，需开具正规有效发票，采购人不再支付任何其他费用。</w:t>
      </w:r>
    </w:p>
    <w:p w14:paraId="25A71F93">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firstLine="720" w:firstLineChars="0"/>
        <w:textAlignment w:val="auto"/>
        <w:rPr>
          <w:rFonts w:hint="eastAsia" w:ascii="宋体" w:hAnsi="宋体" w:eastAsia="宋体" w:cs="宋体"/>
          <w:b/>
          <w:bCs/>
          <w:color w:val="auto"/>
          <w:kern w:val="2"/>
          <w:sz w:val="21"/>
          <w:szCs w:val="21"/>
          <w:highlight w:val="white"/>
          <w:lang w:val="en-US" w:eastAsia="zh-CN" w:bidi="ar-SA"/>
        </w:rPr>
      </w:pPr>
      <w:r>
        <w:rPr>
          <w:rFonts w:hint="eastAsia" w:ascii="宋体" w:hAnsi="宋体" w:eastAsia="宋体" w:cs="宋体"/>
          <w:b/>
          <w:bCs/>
          <w:color w:val="auto"/>
          <w:kern w:val="2"/>
          <w:sz w:val="21"/>
          <w:szCs w:val="21"/>
          <w:highlight w:val="white"/>
          <w:lang w:val="en-US" w:eastAsia="zh-CN" w:bidi="ar-SA"/>
        </w:rPr>
        <w:t>七、供应期限</w:t>
      </w:r>
    </w:p>
    <w:p w14:paraId="59227453">
      <w:pPr>
        <w:pStyle w:val="16"/>
        <w:keepNext w:val="0"/>
        <w:keepLines w:val="0"/>
        <w:pageBreakBefore w:val="0"/>
        <w:kinsoku/>
        <w:wordWrap/>
        <w:overflowPunct/>
        <w:topLinePunct w:val="0"/>
        <w:autoSpaceDE/>
        <w:autoSpaceDN/>
        <w:bidi w:val="0"/>
        <w:adjustRightInd/>
        <w:snapToGrid/>
        <w:spacing w:line="360" w:lineRule="auto"/>
        <w:ind w:left="0" w:leftChars="0" w:right="0" w:firstLine="72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服务周期：壹年</w:t>
      </w:r>
    </w:p>
    <w:p w14:paraId="593A4803">
      <w:pPr>
        <w:pStyle w:val="16"/>
        <w:keepNext w:val="0"/>
        <w:keepLines w:val="0"/>
        <w:pageBreakBefore w:val="0"/>
        <w:kinsoku/>
        <w:wordWrap/>
        <w:overflowPunct/>
        <w:topLinePunct w:val="0"/>
        <w:autoSpaceDE/>
        <w:autoSpaceDN/>
        <w:bidi w:val="0"/>
        <w:adjustRightInd/>
        <w:snapToGrid/>
        <w:spacing w:line="360" w:lineRule="auto"/>
        <w:ind w:left="0" w:leftChars="0" w:right="0" w:firstLine="720" w:firstLineChars="0"/>
        <w:textAlignment w:val="auto"/>
        <w:rPr>
          <w:rFonts w:hint="eastAsia" w:ascii="宋体" w:hAnsi="宋体" w:eastAsia="宋体" w:cs="宋体"/>
          <w:b/>
          <w:bCs/>
          <w:color w:val="auto"/>
          <w:kern w:val="2"/>
          <w:sz w:val="21"/>
          <w:szCs w:val="21"/>
          <w:highlight w:val="white"/>
          <w:lang w:val="en-US" w:eastAsia="zh-CN" w:bidi="ar-SA"/>
        </w:rPr>
      </w:pPr>
      <w:r>
        <w:rPr>
          <w:rFonts w:hint="eastAsia" w:ascii="宋体" w:hAnsi="宋体" w:eastAsia="宋体" w:cs="宋体"/>
          <w:b/>
          <w:bCs/>
          <w:color w:val="auto"/>
          <w:kern w:val="2"/>
          <w:sz w:val="21"/>
          <w:szCs w:val="21"/>
          <w:highlight w:val="white"/>
          <w:lang w:val="en-US" w:eastAsia="zh-CN" w:bidi="ar-SA"/>
        </w:rPr>
        <w:t>八、违约责任</w:t>
      </w:r>
    </w:p>
    <w:p w14:paraId="643B7E4F">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1.因供应商原因未按时提供“采购计划单”中需交货的数量、质量等不符合合同约定，使采购人遭受损失或因此扰乱正常管理秩序的，供应商承担相应的违约责任，每次最低处1000元违约金。</w:t>
      </w:r>
    </w:p>
    <w:p w14:paraId="7F05D112">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 采购人不定期对市场批发价格进行考察，如发现供应商所供价格有高于市场批发价的行为，第一次扣除供应商当月货款的20%作为违约金，如供应商第二次出现类似行为，则采购人有权终止合同。</w:t>
      </w:r>
    </w:p>
    <w:p w14:paraId="591C03DE">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 供应商出现供货能力不足的现象以至采购人有证据证明供应商无继续履约能力，或供应商擅自将与采购人签订的供货项目提供给其他供应商的，采购人有权终止合同。并要求供应商对其违约行为给采购人造成的损失进行赔偿。违约金将先行在履约保证金中扣除。</w:t>
      </w:r>
    </w:p>
    <w:p w14:paraId="6A661917">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 供应商提供物资的规格、卫生质量标准与合同规定不符时，采购人可以拒收，并向采购人偿付逾期货或少交部分商品总值的5％的违约金，违约金将先行在履约保证金中扣除。若连续出现3次类似情况的，采购人有权终止合同。</w:t>
      </w:r>
    </w:p>
    <w:p w14:paraId="628B4EA5">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5.供应商提供假冒伪劣、过期、变质的、有毒食品的，一经发现，除无条件退货或换货外，还将受到如下处理：</w:t>
      </w:r>
    </w:p>
    <w:p w14:paraId="3F77D65F">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①供应商提供假冒伪劣、过期、变质食品的，要求无条件退货或换货外，被处以当次供应物资货款 2 倍的违约金，违约金由供货结算款内扣除。</w:t>
      </w:r>
    </w:p>
    <w:p w14:paraId="0D5C274C">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供应商提供有毒食品的，造成食品安全事故的，经有关单位鉴定原因后，如确实因供应商提供物资的问题，供应商除需负担全数之医药费、没收履约保证金外，采购人无条件取消供应商供货资格，供应商同时承担相应的民事及刑事法律责任及放弃先诉抗辩权。</w:t>
      </w:r>
    </w:p>
    <w:p w14:paraId="20AFE3F1">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 供应商所供物资若为国家公布的伪劣产品，供应商须无条件更换，并承担全部费用及法律责任。</w:t>
      </w:r>
    </w:p>
    <w:p w14:paraId="746B00E3">
      <w:pPr>
        <w:pStyle w:val="6"/>
        <w:pageBreakBefore w:val="0"/>
        <w:kinsoku/>
        <w:wordWrap/>
        <w:overflowPunct/>
        <w:topLinePunct w:val="0"/>
        <w:autoSpaceDE/>
        <w:autoSpaceDN/>
        <w:bidi w:val="0"/>
        <w:adjustRightInd/>
        <w:snapToGrid/>
        <w:spacing w:after="0" w:line="360" w:lineRule="auto"/>
        <w:ind w:right="0" w:firstLine="72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7．采购人认为供应商所供物资质量与合同不符的，双方协商不成时，经鉴定所供物资确为伪劣商品的，采购人有权终止合同，供应商应承担货品的检测费用及违约费。</w:t>
      </w:r>
    </w:p>
    <w:p w14:paraId="6F51AB1D">
      <w:pPr>
        <w:numPr>
          <w:ilvl w:val="0"/>
          <w:numId w:val="0"/>
        </w:numPr>
        <w:spacing w:before="98" w:line="219" w:lineRule="auto"/>
        <w:jc w:val="center"/>
        <w:outlineLvl w:val="1"/>
        <w:rPr>
          <w:rFonts w:hint="eastAsia" w:ascii="宋体" w:hAnsi="宋体" w:eastAsia="宋体" w:cs="宋体"/>
          <w:b/>
          <w:bCs/>
          <w:color w:val="auto"/>
          <w:spacing w:val="-6"/>
          <w:sz w:val="30"/>
          <w:szCs w:val="30"/>
        </w:rPr>
      </w:pPr>
      <w:r>
        <w:rPr>
          <w:rFonts w:hint="eastAsia" w:ascii="宋体" w:hAnsi="宋体" w:eastAsia="宋体" w:cs="宋体"/>
          <w:b/>
          <w:bCs/>
          <w:color w:val="auto"/>
          <w:spacing w:val="-6"/>
          <w:sz w:val="30"/>
          <w:szCs w:val="30"/>
          <w:lang w:eastAsia="zh-CN"/>
        </w:rPr>
        <w:t>第二节</w:t>
      </w:r>
      <w:r>
        <w:rPr>
          <w:rFonts w:hint="eastAsia" w:ascii="宋体" w:hAnsi="宋体" w:eastAsia="宋体" w:cs="宋体"/>
          <w:b/>
          <w:bCs/>
          <w:color w:val="auto"/>
          <w:spacing w:val="-6"/>
          <w:sz w:val="30"/>
          <w:szCs w:val="30"/>
          <w:lang w:val="en-US" w:eastAsia="zh-CN"/>
        </w:rPr>
        <w:t xml:space="preserve"> </w:t>
      </w:r>
      <w:r>
        <w:rPr>
          <w:rFonts w:hint="eastAsia" w:ascii="宋体" w:hAnsi="宋体" w:eastAsia="宋体" w:cs="宋体"/>
          <w:b/>
          <w:bCs/>
          <w:color w:val="auto"/>
          <w:spacing w:val="-6"/>
          <w:sz w:val="30"/>
          <w:szCs w:val="30"/>
        </w:rPr>
        <w:t>商</w:t>
      </w:r>
      <w:r>
        <w:rPr>
          <w:rFonts w:hint="eastAsia" w:ascii="宋体" w:hAnsi="宋体" w:eastAsia="宋体" w:cs="宋体"/>
          <w:b/>
          <w:bCs/>
          <w:color w:val="auto"/>
          <w:spacing w:val="-6"/>
          <w:sz w:val="30"/>
          <w:szCs w:val="30"/>
          <w:lang w:val="en-US" w:eastAsia="zh-CN"/>
        </w:rPr>
        <w:t xml:space="preserve"> </w:t>
      </w:r>
      <w:r>
        <w:rPr>
          <w:rFonts w:hint="eastAsia" w:ascii="宋体" w:hAnsi="宋体" w:eastAsia="宋体" w:cs="宋体"/>
          <w:b/>
          <w:bCs/>
          <w:color w:val="auto"/>
          <w:spacing w:val="-6"/>
          <w:sz w:val="30"/>
          <w:szCs w:val="30"/>
        </w:rPr>
        <w:t>务</w:t>
      </w:r>
      <w:r>
        <w:rPr>
          <w:rFonts w:hint="eastAsia" w:ascii="宋体" w:hAnsi="宋体" w:eastAsia="宋体" w:cs="宋体"/>
          <w:b/>
          <w:bCs/>
          <w:color w:val="auto"/>
          <w:spacing w:val="-6"/>
          <w:sz w:val="30"/>
          <w:szCs w:val="30"/>
          <w:lang w:val="en-US" w:eastAsia="zh-CN"/>
        </w:rPr>
        <w:t xml:space="preserve"> </w:t>
      </w:r>
      <w:r>
        <w:rPr>
          <w:rFonts w:hint="eastAsia" w:ascii="宋体" w:hAnsi="宋体" w:eastAsia="宋体" w:cs="宋体"/>
          <w:b/>
          <w:bCs/>
          <w:color w:val="auto"/>
          <w:spacing w:val="-6"/>
          <w:sz w:val="30"/>
          <w:szCs w:val="30"/>
        </w:rPr>
        <w:t>要</w:t>
      </w:r>
      <w:r>
        <w:rPr>
          <w:rFonts w:hint="eastAsia" w:ascii="宋体" w:hAnsi="宋体" w:eastAsia="宋体" w:cs="宋体"/>
          <w:b/>
          <w:bCs/>
          <w:color w:val="auto"/>
          <w:spacing w:val="-6"/>
          <w:sz w:val="30"/>
          <w:szCs w:val="30"/>
          <w:lang w:val="en-US" w:eastAsia="zh-CN"/>
        </w:rPr>
        <w:t xml:space="preserve"> </w:t>
      </w:r>
      <w:r>
        <w:rPr>
          <w:rFonts w:hint="eastAsia" w:ascii="宋体" w:hAnsi="宋体" w:eastAsia="宋体" w:cs="宋体"/>
          <w:b/>
          <w:bCs/>
          <w:color w:val="auto"/>
          <w:spacing w:val="-6"/>
          <w:sz w:val="30"/>
          <w:szCs w:val="30"/>
        </w:rPr>
        <w:t>求</w:t>
      </w:r>
    </w:p>
    <w:p w14:paraId="1B46C727">
      <w:pPr>
        <w:spacing w:before="78" w:line="184" w:lineRule="auto"/>
        <w:ind w:left="698"/>
        <w:rPr>
          <w:rFonts w:hint="eastAsia" w:ascii="宋体" w:hAnsi="宋体" w:eastAsia="宋体" w:cs="宋体"/>
          <w:color w:val="auto"/>
          <w:spacing w:val="-2"/>
          <w:sz w:val="21"/>
          <w:szCs w:val="21"/>
        </w:rPr>
      </w:pPr>
    </w:p>
    <w:p w14:paraId="13E45637">
      <w:pPr>
        <w:spacing w:before="78" w:line="184" w:lineRule="auto"/>
        <w:ind w:left="698"/>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134620</wp:posOffset>
                </wp:positionV>
                <wp:extent cx="136525" cy="1028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6525" cy="102870"/>
                        </a:xfrm>
                        <a:prstGeom prst="rect">
                          <a:avLst/>
                        </a:prstGeom>
                        <a:noFill/>
                        <a:ln>
                          <a:noFill/>
                        </a:ln>
                        <a:effectLst/>
                      </wps:spPr>
                      <wps:txbx>
                        <w:txbxContent>
                          <w:p w14:paraId="0CC94F92">
                            <w:pPr>
                              <w:spacing w:before="20" w:line="121" w:lineRule="exact"/>
                              <w:jc w:val="right"/>
                              <w:rPr>
                                <w:rFonts w:ascii="宋体" w:hAnsi="宋体" w:eastAsia="宋体" w:cs="宋体"/>
                                <w:sz w:val="24"/>
                                <w:szCs w:val="24"/>
                              </w:rPr>
                            </w:pPr>
                          </w:p>
                        </w:txbxContent>
                      </wps:txbx>
                      <wps:bodyPr lIns="0" tIns="0" rIns="0" bIns="0" upright="1"/>
                    </wps:wsp>
                  </a:graphicData>
                </a:graphic>
              </wp:anchor>
            </w:drawing>
          </mc:Choice>
          <mc:Fallback>
            <w:pict>
              <v:shape id="_x0000_s1026" o:spid="_x0000_s1026" o:spt="202" type="#_x0000_t202" style="position:absolute;left:0pt;margin-left:46.5pt;margin-top:10.6pt;height:8.1pt;width:10.75pt;z-index:251659264;mso-width-relative:page;mso-height-relative:page;" filled="f" stroked="f" coordsize="21600,21600" o:gfxdata="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91tUtgAAAAIAQAADwAAAAAAAAABACAAAAAiAAAAZHJzL2Rvd25yZXYueG1s&#10;UEsBAhQAFAAAAAgAh07iQGXII7u/AQAAfwMAAA4AAAAAAAAAAQAgAAAAJwEAAGRycy9lMm9Eb2Mu&#10;eG1sUEsFBgAAAAAGAAYAWQEAAFgFAAAAAA==&#10;">
                <v:fill on="f" focussize="0,0"/>
                <v:stroke on="f"/>
                <v:imagedata o:title=""/>
                <o:lock v:ext="edit" aspectratio="f"/>
                <v:textbox inset="0mm,0mm,0mm,0mm">
                  <w:txbxContent>
                    <w:p w14:paraId="0CC94F92">
                      <w:pPr>
                        <w:spacing w:before="20" w:line="121" w:lineRule="exact"/>
                        <w:jc w:val="right"/>
                        <w:rPr>
                          <w:rFonts w:ascii="宋体" w:hAnsi="宋体" w:eastAsia="宋体" w:cs="宋体"/>
                          <w:sz w:val="24"/>
                          <w:szCs w:val="24"/>
                        </w:rPr>
                      </w:pPr>
                    </w:p>
                  </w:txbxContent>
                </v:textbox>
              </v:shape>
            </w:pict>
          </mc:Fallback>
        </mc:AlternateContent>
      </w:r>
      <w:r>
        <w:rPr>
          <w:rFonts w:hint="eastAsia" w:ascii="宋体" w:hAnsi="宋体" w:eastAsia="宋体" w:cs="宋体"/>
          <w:color w:val="auto"/>
          <w:spacing w:val="-2"/>
          <w:sz w:val="21"/>
          <w:szCs w:val="21"/>
        </w:rPr>
        <w:t xml:space="preserve">一 </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主要商务要求</w:t>
      </w:r>
    </w:p>
    <w:p w14:paraId="37F563B8">
      <w:pPr>
        <w:spacing w:line="190" w:lineRule="exact"/>
        <w:rPr>
          <w:rFonts w:hint="eastAsia" w:ascii="宋体" w:hAnsi="宋体" w:eastAsia="宋体" w:cs="宋体"/>
          <w:color w:val="auto"/>
          <w:sz w:val="21"/>
          <w:szCs w:val="21"/>
        </w:rPr>
      </w:pPr>
    </w:p>
    <w:tbl>
      <w:tblPr>
        <w:tblStyle w:val="18"/>
        <w:tblW w:w="91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220"/>
      </w:tblGrid>
      <w:tr w14:paraId="2AC9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971" w:type="dxa"/>
            <w:noWrap w:val="0"/>
            <w:vAlign w:val="top"/>
          </w:tcPr>
          <w:p w14:paraId="782EBD99">
            <w:pPr>
              <w:pStyle w:val="17"/>
              <w:spacing w:before="224" w:line="220" w:lineRule="auto"/>
              <w:ind w:firstLine="206" w:firstLineChars="100"/>
              <w:rPr>
                <w:rFonts w:hint="eastAsia" w:ascii="宋体" w:hAnsi="宋体" w:eastAsia="宋体" w:cs="宋体"/>
                <w:color w:val="auto"/>
                <w:sz w:val="21"/>
                <w:szCs w:val="21"/>
              </w:rPr>
            </w:pPr>
            <w:r>
              <w:rPr>
                <w:rFonts w:hint="eastAsia" w:ascii="宋体" w:hAnsi="宋体" w:eastAsia="宋体" w:cs="宋体"/>
                <w:color w:val="auto"/>
                <w:spacing w:val="-2"/>
                <w:sz w:val="21"/>
                <w:szCs w:val="21"/>
              </w:rPr>
              <w:t>履行合同的时间、地点及方式</w:t>
            </w:r>
          </w:p>
        </w:tc>
        <w:tc>
          <w:tcPr>
            <w:tcW w:w="6220" w:type="dxa"/>
            <w:noWrap w:val="0"/>
            <w:vAlign w:val="top"/>
          </w:tcPr>
          <w:p w14:paraId="0F91A1CC">
            <w:pPr>
              <w:pStyle w:val="17"/>
              <w:spacing w:before="68" w:line="229" w:lineRule="auto"/>
              <w:ind w:left="242" w:leftChars="104" w:right="491" w:hanging="24" w:hangingChars="12"/>
              <w:jc w:val="both"/>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履行合同的时间：</w:t>
            </w:r>
            <w:r>
              <w:rPr>
                <w:rFonts w:hint="eastAsia" w:cs="宋体"/>
                <w:color w:val="auto"/>
                <w:spacing w:val="-1"/>
                <w:sz w:val="21"/>
                <w:szCs w:val="21"/>
                <w:lang w:eastAsia="zh-CN"/>
              </w:rPr>
              <w:t>自签订合同之日起</w:t>
            </w:r>
            <w:r>
              <w:rPr>
                <w:rFonts w:hint="eastAsia" w:cs="宋体"/>
                <w:color w:val="auto"/>
                <w:spacing w:val="-1"/>
                <w:sz w:val="21"/>
                <w:szCs w:val="21"/>
                <w:lang w:val="en-US" w:eastAsia="zh-CN"/>
              </w:rPr>
              <w:t>1年</w:t>
            </w:r>
            <w:bookmarkStart w:id="1" w:name="_GoBack"/>
            <w:bookmarkEnd w:id="1"/>
          </w:p>
          <w:p w14:paraId="7E69309A">
            <w:pPr>
              <w:pStyle w:val="17"/>
              <w:spacing w:before="68" w:line="229" w:lineRule="auto"/>
              <w:ind w:left="244" w:leftChars="104" w:right="491" w:hanging="26" w:hangingChars="12"/>
              <w:jc w:val="both"/>
              <w:rPr>
                <w:rFonts w:hint="eastAsia" w:ascii="宋体" w:hAnsi="宋体" w:eastAsia="宋体" w:cs="宋体"/>
                <w:color w:val="auto"/>
                <w:spacing w:val="5"/>
                <w:sz w:val="21"/>
                <w:szCs w:val="21"/>
              </w:rPr>
            </w:pPr>
            <w:r>
              <w:rPr>
                <w:rFonts w:hint="eastAsia" w:cs="宋体"/>
                <w:color w:val="auto"/>
                <w:spacing w:val="5"/>
                <w:sz w:val="21"/>
                <w:szCs w:val="21"/>
                <w:lang w:eastAsia="zh-CN"/>
              </w:rPr>
              <w:t>方式：现场履约</w:t>
            </w:r>
            <w:r>
              <w:rPr>
                <w:rFonts w:hint="eastAsia" w:ascii="宋体" w:hAnsi="宋体" w:eastAsia="宋体" w:cs="宋体"/>
                <w:color w:val="auto"/>
                <w:spacing w:val="5"/>
                <w:sz w:val="21"/>
                <w:szCs w:val="21"/>
              </w:rPr>
              <w:t xml:space="preserve"> </w:t>
            </w:r>
          </w:p>
          <w:p w14:paraId="2E829505">
            <w:pPr>
              <w:pStyle w:val="17"/>
              <w:spacing w:before="68" w:line="229" w:lineRule="auto"/>
              <w:ind w:left="242" w:leftChars="104" w:right="491" w:hanging="24" w:hangingChars="12"/>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履行合同的地点：甲方指定地点。</w:t>
            </w:r>
          </w:p>
        </w:tc>
      </w:tr>
      <w:tr w14:paraId="67D12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971" w:type="dxa"/>
            <w:noWrap w:val="0"/>
            <w:vAlign w:val="top"/>
          </w:tcPr>
          <w:p w14:paraId="29E7B0A6">
            <w:pPr>
              <w:pStyle w:val="17"/>
              <w:spacing w:before="217" w:line="219" w:lineRule="auto"/>
              <w:ind w:firstLine="618" w:firstLineChars="300"/>
              <w:jc w:val="left"/>
              <w:rPr>
                <w:rFonts w:hint="eastAsia" w:ascii="宋体" w:hAnsi="宋体" w:eastAsia="宋体" w:cs="宋体"/>
                <w:color w:val="auto"/>
                <w:sz w:val="21"/>
                <w:szCs w:val="21"/>
              </w:rPr>
            </w:pPr>
            <w:r>
              <w:rPr>
                <w:rFonts w:hint="eastAsia" w:ascii="宋体" w:hAnsi="宋体" w:eastAsia="宋体" w:cs="宋体"/>
                <w:color w:val="auto"/>
                <w:spacing w:val="-2"/>
                <w:sz w:val="21"/>
                <w:szCs w:val="21"/>
              </w:rPr>
              <w:t>服务质量保证期</w:t>
            </w:r>
          </w:p>
        </w:tc>
        <w:tc>
          <w:tcPr>
            <w:tcW w:w="6220" w:type="dxa"/>
            <w:noWrap w:val="0"/>
            <w:vAlign w:val="top"/>
          </w:tcPr>
          <w:p w14:paraId="3E9375E7">
            <w:pPr>
              <w:pStyle w:val="17"/>
              <w:spacing w:before="96" w:line="227" w:lineRule="auto"/>
              <w:ind w:left="245" w:leftChars="104" w:hanging="27" w:hangingChars="12"/>
              <w:jc w:val="both"/>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提供自合同签订之日起，到服务完成为止（具体以签订合同</w:t>
            </w:r>
          </w:p>
          <w:p w14:paraId="08B43EC5">
            <w:pPr>
              <w:pStyle w:val="17"/>
              <w:spacing w:before="96" w:line="227" w:lineRule="auto"/>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日期为准）</w:t>
            </w:r>
          </w:p>
        </w:tc>
      </w:tr>
      <w:tr w14:paraId="0CC3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2971" w:type="dxa"/>
            <w:noWrap w:val="0"/>
            <w:vAlign w:val="top"/>
          </w:tcPr>
          <w:p w14:paraId="686C3062">
            <w:pPr>
              <w:pStyle w:val="17"/>
              <w:spacing w:before="219" w:line="221" w:lineRule="auto"/>
              <w:ind w:firstLine="792" w:firstLineChars="400"/>
              <w:jc w:val="left"/>
              <w:rPr>
                <w:rFonts w:hint="eastAsia" w:ascii="宋体" w:hAnsi="宋体" w:eastAsia="宋体" w:cs="宋体"/>
                <w:color w:val="auto"/>
                <w:sz w:val="21"/>
                <w:szCs w:val="21"/>
              </w:rPr>
            </w:pPr>
            <w:r>
              <w:rPr>
                <w:rFonts w:hint="eastAsia" w:ascii="宋体" w:hAnsi="宋体" w:eastAsia="宋体" w:cs="宋体"/>
                <w:color w:val="auto"/>
                <w:spacing w:val="-6"/>
                <w:sz w:val="21"/>
                <w:szCs w:val="21"/>
              </w:rPr>
              <w:t>响应时间</w:t>
            </w:r>
          </w:p>
        </w:tc>
        <w:tc>
          <w:tcPr>
            <w:tcW w:w="6220" w:type="dxa"/>
            <w:noWrap w:val="0"/>
            <w:vAlign w:val="top"/>
          </w:tcPr>
          <w:p w14:paraId="485F6C39">
            <w:pPr>
              <w:pStyle w:val="17"/>
              <w:spacing w:before="218" w:line="220" w:lineRule="auto"/>
              <w:ind w:left="242" w:leftChars="104" w:hanging="24" w:hangingChars="1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7*24 小时实时响应。</w:t>
            </w:r>
          </w:p>
        </w:tc>
      </w:tr>
      <w:tr w14:paraId="732B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971" w:type="dxa"/>
            <w:noWrap w:val="0"/>
            <w:vAlign w:val="top"/>
          </w:tcPr>
          <w:p w14:paraId="4FFFE480">
            <w:pPr>
              <w:spacing w:line="257" w:lineRule="auto"/>
              <w:jc w:val="left"/>
              <w:rPr>
                <w:rFonts w:hint="eastAsia" w:ascii="宋体" w:hAnsi="宋体" w:eastAsia="宋体" w:cs="宋体"/>
                <w:color w:val="auto"/>
                <w:sz w:val="21"/>
                <w:szCs w:val="21"/>
              </w:rPr>
            </w:pPr>
          </w:p>
          <w:p w14:paraId="4B9D480E">
            <w:pPr>
              <w:spacing w:line="257" w:lineRule="auto"/>
              <w:jc w:val="left"/>
              <w:rPr>
                <w:rFonts w:hint="eastAsia" w:ascii="宋体" w:hAnsi="宋体" w:eastAsia="宋体" w:cs="宋体"/>
                <w:color w:val="auto"/>
                <w:sz w:val="21"/>
                <w:szCs w:val="21"/>
              </w:rPr>
            </w:pPr>
          </w:p>
          <w:p w14:paraId="6E9BEB83">
            <w:pPr>
              <w:pStyle w:val="17"/>
              <w:spacing w:before="78" w:line="218" w:lineRule="auto"/>
              <w:ind w:firstLine="208" w:firstLineChars="100"/>
              <w:jc w:val="left"/>
              <w:rPr>
                <w:rFonts w:hint="eastAsia" w:ascii="宋体" w:hAnsi="宋体" w:eastAsia="宋体" w:cs="宋体"/>
                <w:color w:val="auto"/>
                <w:sz w:val="21"/>
                <w:szCs w:val="21"/>
              </w:rPr>
            </w:pPr>
            <w:r>
              <w:rPr>
                <w:rFonts w:hint="eastAsia" w:ascii="宋体" w:hAnsi="宋体" w:eastAsia="宋体" w:cs="宋体"/>
                <w:color w:val="auto"/>
                <w:spacing w:val="-1"/>
                <w:sz w:val="21"/>
                <w:szCs w:val="21"/>
              </w:rPr>
              <w:t>合同价款支付方式和条件</w:t>
            </w:r>
          </w:p>
        </w:tc>
        <w:tc>
          <w:tcPr>
            <w:tcW w:w="6220" w:type="dxa"/>
            <w:noWrap w:val="0"/>
            <w:vAlign w:val="top"/>
          </w:tcPr>
          <w:p w14:paraId="50379620">
            <w:pPr>
              <w:pStyle w:val="17"/>
              <w:spacing w:before="168" w:line="373" w:lineRule="auto"/>
              <w:ind w:right="218" w:firstLine="210" w:firstLineChars="100"/>
              <w:jc w:val="both"/>
              <w:rPr>
                <w:rFonts w:hint="eastAsia" w:ascii="宋体" w:hAnsi="宋体" w:eastAsia="宋体" w:cs="宋体"/>
                <w:color w:val="auto"/>
                <w:sz w:val="21"/>
                <w:szCs w:val="21"/>
              </w:rPr>
            </w:pPr>
            <w:r>
              <w:rPr>
                <w:rFonts w:hint="eastAsia" w:ascii="宋体" w:hAnsi="宋体" w:eastAsia="宋体" w:cs="宋体"/>
                <w:bCs/>
                <w:color w:val="auto"/>
                <w:kern w:val="2"/>
                <w:sz w:val="21"/>
                <w:szCs w:val="21"/>
                <w:highlight w:val="none"/>
                <w:lang w:val="en-US" w:eastAsia="zh-CN" w:bidi="ar-SA"/>
              </w:rPr>
              <w:t>所供物资运送至采购人指定地点并经验收合格后，以 “采购计划单”及“送货清单”数量明细，按月结算。结算前乙方应按结算金额及时提供相关票据，采购人在收到供应商票据30日内支付货款。</w:t>
            </w:r>
          </w:p>
        </w:tc>
      </w:tr>
      <w:tr w14:paraId="21B0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971" w:type="dxa"/>
            <w:noWrap w:val="0"/>
            <w:vAlign w:val="top"/>
          </w:tcPr>
          <w:p w14:paraId="1E74AD9C">
            <w:pPr>
              <w:pStyle w:val="17"/>
              <w:spacing w:before="292" w:line="220" w:lineRule="auto"/>
              <w:ind w:firstLine="1188" w:firstLineChars="600"/>
              <w:outlineLvl w:val="0"/>
              <w:rPr>
                <w:rFonts w:hint="eastAsia" w:ascii="宋体" w:hAnsi="宋体" w:eastAsia="宋体" w:cs="宋体"/>
                <w:color w:val="auto"/>
                <w:sz w:val="21"/>
                <w:szCs w:val="21"/>
              </w:rPr>
            </w:pPr>
            <w:r>
              <w:rPr>
                <w:rFonts w:hint="eastAsia" w:ascii="宋体" w:hAnsi="宋体" w:eastAsia="宋体" w:cs="宋体"/>
                <w:color w:val="auto"/>
                <w:spacing w:val="-6"/>
                <w:sz w:val="21"/>
                <w:szCs w:val="21"/>
              </w:rPr>
              <w:t>其他</w:t>
            </w:r>
          </w:p>
        </w:tc>
        <w:tc>
          <w:tcPr>
            <w:tcW w:w="6220" w:type="dxa"/>
            <w:noWrap w:val="0"/>
            <w:vAlign w:val="top"/>
          </w:tcPr>
          <w:p w14:paraId="520D66AA">
            <w:pPr>
              <w:pStyle w:val="17"/>
              <w:spacing w:before="35" w:line="361" w:lineRule="auto"/>
              <w:ind w:left="108" w:right="107"/>
              <w:rPr>
                <w:rFonts w:hint="eastAsia" w:ascii="宋体" w:hAnsi="宋体" w:eastAsia="宋体" w:cs="宋体"/>
                <w:color w:val="auto"/>
                <w:sz w:val="21"/>
                <w:szCs w:val="21"/>
              </w:rPr>
            </w:pPr>
            <w:r>
              <w:rPr>
                <w:rFonts w:hint="eastAsia" w:ascii="宋体" w:hAnsi="宋体" w:eastAsia="宋体" w:cs="宋体"/>
                <w:b/>
                <w:bCs/>
                <w:color w:val="auto"/>
                <w:spacing w:val="12"/>
                <w:sz w:val="21"/>
                <w:szCs w:val="21"/>
              </w:rPr>
              <w:t>对于上述项目要求，投标人应在投标文件中进行</w:t>
            </w:r>
            <w:r>
              <w:rPr>
                <w:rFonts w:hint="eastAsia" w:ascii="宋体" w:hAnsi="宋体" w:eastAsia="宋体" w:cs="宋体"/>
                <w:b/>
                <w:bCs/>
                <w:color w:val="auto"/>
                <w:spacing w:val="11"/>
                <w:sz w:val="21"/>
                <w:szCs w:val="21"/>
              </w:rPr>
              <w:t>回应，作出</w:t>
            </w:r>
            <w:r>
              <w:rPr>
                <w:rFonts w:hint="eastAsia" w:ascii="宋体" w:hAnsi="宋体" w:eastAsia="宋体" w:cs="宋体"/>
                <w:color w:val="auto"/>
                <w:sz w:val="21"/>
                <w:szCs w:val="21"/>
              </w:rPr>
              <w:t xml:space="preserve"> </w:t>
            </w:r>
            <w:r>
              <w:rPr>
                <w:rFonts w:hint="eastAsia" w:ascii="宋体" w:hAnsi="宋体" w:eastAsia="宋体" w:cs="宋体"/>
                <w:b/>
                <w:bCs/>
                <w:color w:val="auto"/>
                <w:spacing w:val="5"/>
                <w:sz w:val="21"/>
                <w:szCs w:val="21"/>
              </w:rPr>
              <w:t>承诺及说明。</w:t>
            </w:r>
          </w:p>
        </w:tc>
      </w:tr>
    </w:tbl>
    <w:p w14:paraId="16C1C4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MmRjNTgwNWQwZmI0Y2VlM2YwNTY2OWEyYzhjYTMifQ=="/>
  </w:docVars>
  <w:rsids>
    <w:rsidRoot w:val="404F5AC0"/>
    <w:rsid w:val="38F00B77"/>
    <w:rsid w:val="404F5AC0"/>
    <w:rsid w:val="50CD5B8C"/>
    <w:rsid w:val="7ECA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pacing w:before="50" w:beforeLines="50" w:after="50" w:afterLines="50" w:line="360" w:lineRule="auto"/>
      <w:jc w:val="center"/>
      <w:outlineLvl w:val="0"/>
    </w:pPr>
    <w:rPr>
      <w:rFonts w:ascii="黑体" w:hAnsi="黑体" w:eastAsia="黑体" w:cs="Times New Roman"/>
      <w:b/>
      <w:bCs/>
      <w:kern w:val="32"/>
      <w:sz w:val="36"/>
      <w:szCs w:val="48"/>
    </w:rPr>
  </w:style>
  <w:style w:type="paragraph" w:styleId="3">
    <w:name w:val="heading 2"/>
    <w:basedOn w:val="1"/>
    <w:next w:val="1"/>
    <w:qFormat/>
    <w:uiPriority w:val="0"/>
    <w:pPr>
      <w:keepNext/>
      <w:spacing w:before="120" w:after="120"/>
      <w:jc w:val="center"/>
      <w:outlineLvl w:val="1"/>
    </w:pPr>
    <w:rPr>
      <w:rFonts w:ascii="Times New Roman" w:hAnsi="Times New Roman" w:eastAsia="Times New Roman" w:cs="Times New Roman"/>
      <w:b/>
      <w:bCs/>
      <w:iCs/>
      <w:sz w:val="30"/>
      <w:szCs w:val="36"/>
    </w:rPr>
  </w:style>
  <w:style w:type="paragraph" w:styleId="4">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Document Map"/>
    <w:basedOn w:val="1"/>
    <w:unhideWhenUsed/>
    <w:qFormat/>
    <w:uiPriority w:val="99"/>
    <w:rPr>
      <w:rFonts w:ascii="Microsoft YaHei UI" w:eastAsia="Microsoft YaHei UI"/>
      <w:sz w:val="18"/>
      <w:szCs w:val="18"/>
    </w:rPr>
  </w:style>
  <w:style w:type="paragraph" w:styleId="6">
    <w:name w:val="Body Text"/>
    <w:basedOn w:val="1"/>
    <w:qFormat/>
    <w:uiPriority w:val="0"/>
    <w:pPr>
      <w:spacing w:after="120"/>
    </w:pPr>
  </w:style>
  <w:style w:type="paragraph" w:styleId="7">
    <w:name w:val="toc 2"/>
    <w:basedOn w:val="1"/>
    <w:next w:val="1"/>
    <w:unhideWhenUsed/>
    <w:qFormat/>
    <w:uiPriority w:val="39"/>
    <w:pPr>
      <w:spacing w:after="100" w:line="259" w:lineRule="auto"/>
      <w:ind w:left="220"/>
    </w:pPr>
    <w:rPr>
      <w:rFonts w:ascii="Calibri" w:hAnsi="Calibri" w:eastAsia="宋体"/>
      <w:sz w:val="22"/>
    </w:rPr>
  </w:style>
  <w:style w:type="paragraph" w:styleId="8">
    <w:name w:val="Body Text First Indent"/>
    <w:basedOn w:val="6"/>
    <w:unhideWhenUsed/>
    <w:qFormat/>
    <w:uiPriority w:val="99"/>
    <w:pPr>
      <w:ind w:firstLine="420" w:firstLineChars="100"/>
    </w:pPr>
  </w:style>
  <w:style w:type="character" w:customStyle="1" w:styleId="11">
    <w:name w:val="NormalCharacter"/>
    <w:semiHidden/>
    <w:qFormat/>
    <w:uiPriority w:val="0"/>
  </w:style>
  <w:style w:type="paragraph" w:customStyle="1" w:styleId="12">
    <w:name w:val="标题 4_9"/>
    <w:basedOn w:val="13"/>
    <w:next w:val="13"/>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1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列出段落1"/>
    <w:basedOn w:val="15"/>
    <w:next w:val="4"/>
    <w:qFormat/>
    <w:uiPriority w:val="99"/>
    <w:pPr>
      <w:ind w:firstLine="420" w:firstLineChars="200"/>
    </w:pPr>
  </w:style>
  <w:style w:type="paragraph" w:customStyle="1" w:styleId="15">
    <w:name w:val="正文_10_43"/>
    <w:qFormat/>
    <w:uiPriority w:val="0"/>
    <w:pPr>
      <w:widowControl w:val="0"/>
      <w:jc w:val="both"/>
    </w:pPr>
    <w:rPr>
      <w:rFonts w:ascii="Calibri" w:hAnsi="Calibri" w:eastAsia="宋体" w:cs="Times New Roman"/>
      <w:kern w:val="2"/>
      <w:sz w:val="24"/>
      <w:szCs w:val="22"/>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3327</Words>
  <Characters>3378</Characters>
  <Lines>0</Lines>
  <Paragraphs>0</Paragraphs>
  <TotalTime>0</TotalTime>
  <ScaleCrop>false</ScaleCrop>
  <LinksUpToDate>false</LinksUpToDate>
  <CharactersWithSpaces>3402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2024-05-08T09:16:00Z</dcterms:created>
  <dc:creator>当红河遇到塔山</dc:creator>
  <cp:lastModifiedBy>朵朵</cp:lastModifiedBy>
  <dcterms:modified xsi:type="dcterms:W3CDTF">2025-05-26T02:40:51Z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3FA6645287EA4FC0B1EC6A18014D8822_13</vt:lpwstr>
  </property>
  <property fmtid="{D5CDD505-2E9C-101B-9397-08002B2CF9AE}" pid="4" name="KSOTemplateDocerSaveRecord">
    <vt:lpwstr>eyJoZGlkIjoiOTIwYmM1YmQ5OWEwMTU2MDI1OTJmZDJlM2FlOWM0YmYiLCJ1c2VySWQiOiI1MTEwNDU4NTQifQ==</vt:lpwstr>
  </property>
</Properties>
</file>