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EBA36ED">
      <w:pPr>
        <w:rPr>
          <w:sz w:val="40"/>
          <w:szCs w:val="44"/>
        </w:rPr>
      </w:pPr>
    </w:p>
    <w:p w14:paraId="18FB1F42">
      <w:pPr>
        <w:rPr>
          <w:sz w:val="44"/>
          <w:szCs w:val="48"/>
        </w:rPr>
      </w:pPr>
    </w:p>
    <w:p w14:paraId="303A8B1C">
      <w:pPr>
        <w:rPr>
          <w:sz w:val="44"/>
          <w:szCs w:val="48"/>
        </w:rPr>
      </w:pPr>
    </w:p>
    <w:p w14:paraId="743DDE1B">
      <w:pPr>
        <w:rPr>
          <w:sz w:val="44"/>
          <w:szCs w:val="48"/>
        </w:rPr>
      </w:pPr>
    </w:p>
    <w:p w14:paraId="0B912E10">
      <w:pPr>
        <w:jc w:val="center"/>
        <w:rPr>
          <w:rFonts w:ascii="宋体" w:hAnsi="宋体" w:eastAsia="宋体"/>
          <w:sz w:val="44"/>
          <w:szCs w:val="48"/>
        </w:rPr>
      </w:pPr>
      <w:r>
        <w:rPr>
          <w:rFonts w:hint="eastAsia" w:ascii="宋体" w:hAnsi="宋体" w:eastAsia="宋体"/>
          <w:sz w:val="44"/>
          <w:szCs w:val="48"/>
        </w:rPr>
        <w:t>建设项目环境影响报告表</w:t>
      </w:r>
    </w:p>
    <w:p w14:paraId="3A0B166F">
      <w:pPr>
        <w:jc w:val="center"/>
        <w:rPr>
          <w:rFonts w:ascii="宋体" w:hAnsi="宋体" w:eastAsia="宋体"/>
          <w:sz w:val="32"/>
          <w:szCs w:val="36"/>
        </w:rPr>
      </w:pPr>
      <w:r>
        <w:rPr>
          <w:rFonts w:hint="eastAsia" w:ascii="宋体" w:hAnsi="宋体" w:eastAsia="宋体"/>
          <w:sz w:val="32"/>
          <w:szCs w:val="36"/>
        </w:rPr>
        <w:t>（污染影响类）</w:t>
      </w:r>
    </w:p>
    <w:p w14:paraId="6F4F4F3E">
      <w:pPr>
        <w:jc w:val="center"/>
        <w:rPr>
          <w:rFonts w:ascii="宋体" w:hAnsi="宋体" w:eastAsia="宋体"/>
          <w:sz w:val="32"/>
          <w:szCs w:val="36"/>
        </w:rPr>
      </w:pPr>
    </w:p>
    <w:p w14:paraId="21D8FCB8">
      <w:pPr>
        <w:jc w:val="center"/>
        <w:rPr>
          <w:rFonts w:ascii="宋体" w:hAnsi="宋体" w:eastAsia="宋体"/>
          <w:sz w:val="32"/>
          <w:szCs w:val="36"/>
        </w:rPr>
      </w:pPr>
    </w:p>
    <w:p w14:paraId="40CF9430">
      <w:pPr>
        <w:jc w:val="center"/>
        <w:rPr>
          <w:rFonts w:ascii="宋体" w:hAnsi="宋体" w:eastAsia="宋体"/>
          <w:sz w:val="32"/>
          <w:szCs w:val="36"/>
        </w:rPr>
      </w:pPr>
    </w:p>
    <w:p w14:paraId="7A99C474">
      <w:pPr>
        <w:jc w:val="center"/>
        <w:rPr>
          <w:rFonts w:ascii="宋体" w:hAnsi="宋体" w:eastAsia="宋体"/>
          <w:sz w:val="32"/>
          <w:szCs w:val="36"/>
        </w:rPr>
      </w:pPr>
    </w:p>
    <w:p w14:paraId="7A2A5637">
      <w:pPr>
        <w:jc w:val="center"/>
        <w:rPr>
          <w:rFonts w:ascii="宋体" w:hAnsi="宋体" w:eastAsia="宋体"/>
          <w:sz w:val="32"/>
          <w:szCs w:val="36"/>
        </w:rPr>
      </w:pPr>
    </w:p>
    <w:p w14:paraId="777BDC36">
      <w:pPr>
        <w:jc w:val="left"/>
        <w:rPr>
          <w:rFonts w:ascii="宋体" w:hAnsi="宋体" w:eastAsia="宋体"/>
          <w:sz w:val="32"/>
          <w:szCs w:val="36"/>
        </w:rPr>
      </w:pPr>
    </w:p>
    <w:p w14:paraId="03E729BC">
      <w:pPr>
        <w:ind w:left="1600" w:hanging="1600" w:hangingChars="500"/>
        <w:jc w:val="left"/>
        <w:rPr>
          <w:rFonts w:ascii="宋体" w:hAnsi="宋体" w:eastAsia="宋体"/>
          <w:sz w:val="32"/>
          <w:szCs w:val="36"/>
          <w:u w:val="single"/>
        </w:rPr>
      </w:pPr>
      <w:r>
        <w:rPr>
          <w:rFonts w:hint="eastAsia" w:ascii="宋体" w:hAnsi="宋体" w:eastAsia="宋体"/>
          <w:sz w:val="32"/>
          <w:szCs w:val="36"/>
        </w:rPr>
        <w:t>项目名称：</w:t>
      </w:r>
      <w:r>
        <w:rPr>
          <w:rFonts w:hint="eastAsia" w:ascii="宋体" w:hAnsi="宋体" w:eastAsia="宋体"/>
          <w:sz w:val="32"/>
          <w:szCs w:val="36"/>
          <w:u w:val="single"/>
          <w:lang w:val="en-US" w:eastAsia="zh-CN"/>
        </w:rPr>
        <w:t>衡阳华永燃气有限公司液化气充装站建设项目</w:t>
      </w:r>
      <w:r>
        <w:rPr>
          <w:rFonts w:hint="eastAsia" w:ascii="宋体" w:hAnsi="宋体" w:eastAsia="宋体"/>
          <w:sz w:val="2"/>
          <w:szCs w:val="2"/>
          <w:u w:val="single"/>
        </w:rPr>
        <w:t>.</w:t>
      </w:r>
    </w:p>
    <w:p w14:paraId="2906A9EA">
      <w:pPr>
        <w:ind w:left="1600" w:hanging="1600" w:hangingChars="500"/>
        <w:jc w:val="left"/>
        <w:rPr>
          <w:rFonts w:ascii="宋体" w:hAnsi="宋体" w:eastAsia="宋体"/>
          <w:sz w:val="32"/>
          <w:szCs w:val="36"/>
          <w:u w:val="single"/>
        </w:rPr>
      </w:pPr>
      <w:r>
        <w:rPr>
          <w:rFonts w:hint="eastAsia" w:ascii="宋体" w:hAnsi="宋体" w:eastAsia="宋体"/>
          <w:sz w:val="32"/>
          <w:szCs w:val="36"/>
        </w:rPr>
        <w:t>建设单位：</w:t>
      </w:r>
      <w:r>
        <w:rPr>
          <w:rFonts w:hint="eastAsia" w:ascii="宋体" w:hAnsi="宋体" w:eastAsia="宋体"/>
          <w:sz w:val="32"/>
          <w:szCs w:val="36"/>
          <w:u w:val="single"/>
        </w:rPr>
        <w:t xml:space="preserve"> </w:t>
      </w:r>
      <w:r>
        <w:rPr>
          <w:rFonts w:ascii="宋体" w:hAnsi="宋体" w:eastAsia="宋体"/>
          <w:sz w:val="32"/>
          <w:szCs w:val="36"/>
          <w:u w:val="single"/>
        </w:rPr>
        <w:t xml:space="preserve">   </w:t>
      </w:r>
      <w:r>
        <w:rPr>
          <w:rFonts w:hint="eastAsia" w:ascii="宋体" w:hAnsi="宋体" w:eastAsia="宋体"/>
          <w:sz w:val="32"/>
          <w:szCs w:val="36"/>
          <w:u w:val="single"/>
        </w:rPr>
        <w:t xml:space="preserve"> </w:t>
      </w:r>
      <w:r>
        <w:rPr>
          <w:rFonts w:ascii="宋体" w:hAnsi="宋体" w:eastAsia="宋体"/>
          <w:sz w:val="32"/>
          <w:szCs w:val="36"/>
          <w:u w:val="single"/>
        </w:rPr>
        <w:t xml:space="preserve"> </w:t>
      </w:r>
      <w:r>
        <w:rPr>
          <w:rFonts w:hint="eastAsia" w:ascii="宋体" w:hAnsi="宋体" w:eastAsia="宋体"/>
          <w:sz w:val="32"/>
          <w:szCs w:val="36"/>
          <w:u w:val="single"/>
          <w:lang w:val="en-US" w:eastAsia="zh-CN"/>
        </w:rPr>
        <w:t>衡阳华永燃气有限公司</w:t>
      </w:r>
      <w:r>
        <w:rPr>
          <w:rFonts w:ascii="宋体" w:hAnsi="宋体" w:eastAsia="宋体"/>
          <w:sz w:val="32"/>
          <w:szCs w:val="36"/>
          <w:u w:val="single"/>
        </w:rPr>
        <w:t xml:space="preserve">   </w:t>
      </w:r>
      <w:r>
        <w:rPr>
          <w:rFonts w:hint="eastAsia" w:ascii="宋体" w:hAnsi="宋体" w:eastAsia="宋体"/>
          <w:sz w:val="32"/>
          <w:szCs w:val="36"/>
          <w:u w:val="single"/>
          <w:lang w:val="en-US" w:eastAsia="zh-CN"/>
        </w:rPr>
        <w:t xml:space="preserve">   </w:t>
      </w:r>
      <w:r>
        <w:rPr>
          <w:rFonts w:ascii="宋体" w:hAnsi="宋体" w:eastAsia="宋体"/>
          <w:sz w:val="32"/>
          <w:szCs w:val="36"/>
          <w:u w:val="single"/>
        </w:rPr>
        <w:t xml:space="preserve">        </w:t>
      </w:r>
      <w:r>
        <w:rPr>
          <w:rFonts w:hint="eastAsia" w:ascii="宋体" w:hAnsi="宋体" w:eastAsia="宋体"/>
          <w:sz w:val="2"/>
          <w:szCs w:val="2"/>
          <w:u w:val="single"/>
        </w:rPr>
        <w:t>.</w:t>
      </w:r>
    </w:p>
    <w:p w14:paraId="3E94E396">
      <w:pPr>
        <w:ind w:left="1600" w:hanging="1600" w:hangingChars="500"/>
        <w:jc w:val="left"/>
        <w:rPr>
          <w:rFonts w:ascii="宋体" w:hAnsi="宋体" w:eastAsia="宋体"/>
          <w:sz w:val="2"/>
          <w:szCs w:val="2"/>
          <w:u w:val="single"/>
        </w:rPr>
      </w:pPr>
      <w:r>
        <w:rPr>
          <w:rFonts w:hint="eastAsia" w:ascii="宋体" w:hAnsi="宋体" w:eastAsia="宋体"/>
          <w:sz w:val="32"/>
          <w:szCs w:val="36"/>
        </w:rPr>
        <w:t>编制日期：</w:t>
      </w:r>
      <w:r>
        <w:rPr>
          <w:rFonts w:hint="eastAsia" w:ascii="宋体" w:hAnsi="宋体" w:eastAsia="宋体"/>
          <w:sz w:val="32"/>
          <w:szCs w:val="36"/>
          <w:u w:val="single"/>
        </w:rPr>
        <w:t xml:space="preserve"> </w:t>
      </w:r>
      <w:r>
        <w:rPr>
          <w:rFonts w:ascii="宋体" w:hAnsi="宋体" w:eastAsia="宋体"/>
          <w:sz w:val="32"/>
          <w:szCs w:val="36"/>
          <w:u w:val="single"/>
        </w:rPr>
        <w:t xml:space="preserve">    </w:t>
      </w:r>
      <w:r>
        <w:rPr>
          <w:rFonts w:hint="eastAsia" w:ascii="宋体" w:hAnsi="宋体" w:eastAsia="宋体"/>
          <w:sz w:val="32"/>
          <w:szCs w:val="36"/>
          <w:u w:val="single"/>
        </w:rPr>
        <w:t xml:space="preserve"> </w:t>
      </w:r>
      <w:r>
        <w:rPr>
          <w:rFonts w:ascii="宋体" w:hAnsi="宋体" w:eastAsia="宋体"/>
          <w:sz w:val="32"/>
          <w:szCs w:val="36"/>
          <w:u w:val="single"/>
        </w:rPr>
        <w:t xml:space="preserve">     </w:t>
      </w:r>
      <w:r>
        <w:rPr>
          <w:rFonts w:hint="eastAsia" w:ascii="宋体" w:hAnsi="宋体" w:eastAsia="宋体"/>
          <w:sz w:val="32"/>
          <w:szCs w:val="36"/>
          <w:u w:val="single"/>
          <w:lang w:val="en-US" w:eastAsia="zh-CN"/>
        </w:rPr>
        <w:t>2025年4月</w:t>
      </w:r>
      <w:r>
        <w:rPr>
          <w:rFonts w:ascii="宋体" w:hAnsi="宋体" w:eastAsia="宋体"/>
          <w:sz w:val="32"/>
          <w:szCs w:val="36"/>
          <w:u w:val="single"/>
        </w:rPr>
        <w:t xml:space="preserve">                   </w:t>
      </w:r>
      <w:r>
        <w:rPr>
          <w:rFonts w:hint="eastAsia" w:ascii="宋体" w:hAnsi="宋体" w:eastAsia="宋体"/>
          <w:sz w:val="2"/>
          <w:szCs w:val="2"/>
          <w:u w:val="single"/>
        </w:rPr>
        <w:t>.</w:t>
      </w:r>
    </w:p>
    <w:p w14:paraId="19DF9D11">
      <w:pPr>
        <w:ind w:left="100" w:hanging="100" w:hangingChars="500"/>
        <w:jc w:val="left"/>
        <w:rPr>
          <w:rFonts w:ascii="宋体" w:hAnsi="宋体" w:eastAsia="宋体"/>
          <w:sz w:val="2"/>
          <w:szCs w:val="2"/>
          <w:u w:val="single"/>
        </w:rPr>
      </w:pPr>
    </w:p>
    <w:p w14:paraId="3DAA5EA9">
      <w:pPr>
        <w:ind w:left="100" w:hanging="100" w:hangingChars="500"/>
        <w:jc w:val="left"/>
        <w:rPr>
          <w:rFonts w:ascii="宋体" w:hAnsi="宋体" w:eastAsia="宋体"/>
          <w:sz w:val="2"/>
          <w:szCs w:val="2"/>
          <w:u w:val="single"/>
        </w:rPr>
      </w:pPr>
    </w:p>
    <w:p w14:paraId="7473317F">
      <w:pPr>
        <w:ind w:left="100" w:hanging="100" w:hangingChars="500"/>
        <w:jc w:val="left"/>
        <w:rPr>
          <w:rFonts w:ascii="宋体" w:hAnsi="宋体" w:eastAsia="宋体"/>
          <w:sz w:val="2"/>
          <w:szCs w:val="2"/>
          <w:u w:val="single"/>
        </w:rPr>
      </w:pPr>
    </w:p>
    <w:p w14:paraId="3C524165">
      <w:pPr>
        <w:ind w:left="1600" w:hanging="1600" w:hangingChars="500"/>
        <w:jc w:val="left"/>
        <w:rPr>
          <w:rFonts w:ascii="宋体" w:hAnsi="宋体" w:eastAsia="宋体"/>
          <w:sz w:val="32"/>
          <w:szCs w:val="36"/>
        </w:rPr>
      </w:pPr>
    </w:p>
    <w:p w14:paraId="422154D5">
      <w:pPr>
        <w:ind w:left="1600" w:hanging="1600" w:hangingChars="500"/>
        <w:jc w:val="left"/>
        <w:rPr>
          <w:rFonts w:ascii="宋体" w:hAnsi="宋体" w:eastAsia="宋体"/>
          <w:sz w:val="32"/>
          <w:szCs w:val="36"/>
        </w:rPr>
      </w:pPr>
    </w:p>
    <w:p w14:paraId="53BCEFE5">
      <w:pPr>
        <w:ind w:left="1600" w:hanging="1600" w:hangingChars="500"/>
        <w:jc w:val="left"/>
        <w:rPr>
          <w:rFonts w:ascii="宋体" w:hAnsi="宋体" w:eastAsia="宋体"/>
          <w:sz w:val="32"/>
          <w:szCs w:val="36"/>
        </w:rPr>
      </w:pPr>
    </w:p>
    <w:p w14:paraId="666ED435">
      <w:pPr>
        <w:ind w:left="1600" w:hanging="1600" w:hangingChars="500"/>
        <w:jc w:val="center"/>
        <w:rPr>
          <w:rFonts w:hint="eastAsia" w:ascii="宋体" w:hAnsi="宋体" w:eastAsia="宋体"/>
          <w:sz w:val="32"/>
          <w:szCs w:val="36"/>
        </w:rPr>
        <w:sectPr>
          <w:footerReference r:id="rId3" w:type="default"/>
          <w:pgSz w:w="11906" w:h="16838"/>
          <w:pgMar w:top="1440" w:right="1800" w:bottom="1440" w:left="1800" w:header="851" w:footer="992" w:gutter="0"/>
          <w:cols w:space="425" w:num="1"/>
          <w:docGrid w:type="lines" w:linePitch="312" w:charSpace="0"/>
        </w:sectPr>
      </w:pPr>
      <w:r>
        <w:rPr>
          <w:rFonts w:hint="eastAsia" w:ascii="宋体" w:hAnsi="宋体" w:eastAsia="宋体"/>
          <w:sz w:val="32"/>
          <w:szCs w:val="36"/>
        </w:rPr>
        <w:t>中华人民共和国生态环境部制</w:t>
      </w:r>
    </w:p>
    <w:p w14:paraId="138AE6A1">
      <w:pPr>
        <w:ind w:left="1600" w:hanging="1050" w:hangingChars="500"/>
        <w:jc w:val="center"/>
        <w:rPr>
          <w:rFonts w:hint="eastAsia" w:ascii="宋体" w:hAnsi="宋体" w:eastAsia="宋体"/>
          <w:sz w:val="32"/>
          <w:szCs w:val="36"/>
        </w:rPr>
        <w:sectPr>
          <w:pgSz w:w="11906" w:h="16838"/>
          <w:pgMar w:top="1440" w:right="1800" w:bottom="1440" w:left="1800" w:header="851" w:footer="992" w:gutter="0"/>
          <w:cols w:space="425" w:num="1"/>
          <w:docGrid w:type="lines" w:linePitch="312" w:charSpace="0"/>
        </w:sectPr>
      </w:pPr>
      <w:r>
        <w:drawing>
          <wp:anchor distT="0" distB="0" distL="114300" distR="114300" simplePos="0" relativeHeight="251664384" behindDoc="0" locked="0" layoutInCell="1" allowOverlap="1">
            <wp:simplePos x="0" y="0"/>
            <wp:positionH relativeFrom="column">
              <wp:posOffset>-1082675</wp:posOffset>
            </wp:positionH>
            <wp:positionV relativeFrom="paragraph">
              <wp:posOffset>-802640</wp:posOffset>
            </wp:positionV>
            <wp:extent cx="7321550" cy="10490835"/>
            <wp:effectExtent l="0" t="0" r="12700" b="5715"/>
            <wp:wrapNone/>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6"/>
                    <a:stretch>
                      <a:fillRect/>
                    </a:stretch>
                  </pic:blipFill>
                  <pic:spPr>
                    <a:xfrm>
                      <a:off x="0" y="0"/>
                      <a:ext cx="7321550" cy="10490835"/>
                    </a:xfrm>
                    <a:prstGeom prst="rect">
                      <a:avLst/>
                    </a:prstGeom>
                    <a:noFill/>
                    <a:ln>
                      <a:noFill/>
                    </a:ln>
                  </pic:spPr>
                </pic:pic>
              </a:graphicData>
            </a:graphic>
          </wp:anchor>
        </w:drawing>
      </w:r>
    </w:p>
    <w:p w14:paraId="311EABB3">
      <w:pPr>
        <w:ind w:left="1600" w:hanging="1050" w:hangingChars="500"/>
        <w:jc w:val="center"/>
        <w:rPr>
          <w:rFonts w:hint="eastAsia" w:ascii="宋体" w:hAnsi="宋体" w:eastAsia="宋体"/>
          <w:sz w:val="32"/>
          <w:szCs w:val="36"/>
        </w:rPr>
        <w:sectPr>
          <w:pgSz w:w="11906" w:h="16838"/>
          <w:pgMar w:top="1440" w:right="1800" w:bottom="1440" w:left="1800" w:header="851" w:footer="992" w:gutter="0"/>
          <w:cols w:space="425" w:num="1"/>
          <w:docGrid w:type="lines" w:linePitch="312" w:charSpace="0"/>
        </w:sectPr>
      </w:pPr>
      <w:r>
        <w:drawing>
          <wp:anchor distT="0" distB="0" distL="114300" distR="114300" simplePos="0" relativeHeight="251665408" behindDoc="0" locked="0" layoutInCell="1" allowOverlap="1">
            <wp:simplePos x="0" y="0"/>
            <wp:positionH relativeFrom="column">
              <wp:posOffset>-961390</wp:posOffset>
            </wp:positionH>
            <wp:positionV relativeFrom="paragraph">
              <wp:posOffset>-803275</wp:posOffset>
            </wp:positionV>
            <wp:extent cx="7218680" cy="10278745"/>
            <wp:effectExtent l="0" t="0" r="1270" b="8255"/>
            <wp:wrapNone/>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7"/>
                    <a:stretch>
                      <a:fillRect/>
                    </a:stretch>
                  </pic:blipFill>
                  <pic:spPr>
                    <a:xfrm>
                      <a:off x="0" y="0"/>
                      <a:ext cx="7218680" cy="10278745"/>
                    </a:xfrm>
                    <a:prstGeom prst="rect">
                      <a:avLst/>
                    </a:prstGeom>
                    <a:noFill/>
                    <a:ln>
                      <a:noFill/>
                    </a:ln>
                  </pic:spPr>
                </pic:pic>
              </a:graphicData>
            </a:graphic>
          </wp:anchor>
        </w:drawing>
      </w:r>
    </w:p>
    <w:p w14:paraId="672C0AE6">
      <w:pPr>
        <w:pStyle w:val="64"/>
        <w:bidi w:val="0"/>
      </w:pPr>
      <w:r>
        <w:drawing>
          <wp:inline distT="0" distB="0" distL="0" distR="0">
            <wp:extent cx="5497195" cy="7790815"/>
            <wp:effectExtent l="0" t="0" r="8255" b="635"/>
            <wp:docPr id="5755214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521483" name="图片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504501" cy="7801324"/>
                    </a:xfrm>
                    <a:prstGeom prst="rect">
                      <a:avLst/>
                    </a:prstGeom>
                    <a:noFill/>
                  </pic:spPr>
                </pic:pic>
              </a:graphicData>
            </a:graphic>
          </wp:inline>
        </w:drawing>
      </w:r>
    </w:p>
    <w:p w14:paraId="66EBBF4B">
      <w:pPr>
        <w:pStyle w:val="64"/>
        <w:bidi w:val="0"/>
      </w:pPr>
    </w:p>
    <w:p w14:paraId="1259F67B">
      <w:pPr>
        <w:pStyle w:val="64"/>
        <w:bidi w:val="0"/>
      </w:pPr>
    </w:p>
    <w:p w14:paraId="6086B543">
      <w:pPr>
        <w:pStyle w:val="64"/>
        <w:bidi w:val="0"/>
      </w:pPr>
    </w:p>
    <w:p w14:paraId="246FD47D">
      <w:pPr>
        <w:pStyle w:val="64"/>
        <w:bidi w:val="0"/>
      </w:pPr>
    </w:p>
    <w:p w14:paraId="13D46E84">
      <w:pPr>
        <w:pStyle w:val="64"/>
        <w:bidi w:val="0"/>
        <w:rPr>
          <w:rFonts w:hint="eastAsia" w:eastAsia="宋体"/>
          <w:lang w:eastAsia="zh-CN"/>
        </w:rPr>
      </w:pPr>
      <w:r>
        <w:rPr>
          <w:rFonts w:hint="eastAsia" w:eastAsia="宋体"/>
          <w:lang w:eastAsia="zh-CN"/>
        </w:rPr>
        <w:drawing>
          <wp:anchor distT="0" distB="0" distL="114300" distR="114300" simplePos="0" relativeHeight="251663360" behindDoc="0" locked="0" layoutInCell="1" allowOverlap="1">
            <wp:simplePos x="0" y="0"/>
            <wp:positionH relativeFrom="column">
              <wp:posOffset>-1514475</wp:posOffset>
            </wp:positionH>
            <wp:positionV relativeFrom="paragraph">
              <wp:posOffset>1572895</wp:posOffset>
            </wp:positionV>
            <wp:extent cx="8684260" cy="5480685"/>
            <wp:effectExtent l="0" t="0" r="5715" b="2540"/>
            <wp:wrapNone/>
            <wp:docPr id="47" name="图片 47" descr="174528648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745286482032"/>
                    <pic:cNvPicPr>
                      <a:picLocks noChangeAspect="1"/>
                    </pic:cNvPicPr>
                  </pic:nvPicPr>
                  <pic:blipFill>
                    <a:blip r:embed="rId9"/>
                    <a:stretch>
                      <a:fillRect/>
                    </a:stretch>
                  </pic:blipFill>
                  <pic:spPr>
                    <a:xfrm rot="16200000">
                      <a:off x="0" y="0"/>
                      <a:ext cx="8684260" cy="5480685"/>
                    </a:xfrm>
                    <a:prstGeom prst="rect">
                      <a:avLst/>
                    </a:prstGeom>
                  </pic:spPr>
                </pic:pic>
              </a:graphicData>
            </a:graphic>
          </wp:anchor>
        </w:drawing>
      </w:r>
    </w:p>
    <w:p w14:paraId="4FDFEE9D">
      <w:pPr>
        <w:pStyle w:val="64"/>
        <w:bidi w:val="0"/>
        <w:rPr>
          <w:rFonts w:hint="eastAsia"/>
          <w:lang w:eastAsia="zh-CN"/>
        </w:rPr>
      </w:pPr>
    </w:p>
    <w:p w14:paraId="79E76554">
      <w:pPr>
        <w:pStyle w:val="64"/>
        <w:bidi w:val="0"/>
        <w:rPr>
          <w:rFonts w:hint="eastAsia"/>
          <w:lang w:eastAsia="zh-CN"/>
        </w:rPr>
      </w:pPr>
    </w:p>
    <w:p w14:paraId="3BBFEA20">
      <w:pPr>
        <w:pStyle w:val="64"/>
        <w:bidi w:val="0"/>
        <w:rPr>
          <w:rFonts w:hint="eastAsia"/>
          <w:lang w:eastAsia="zh-CN"/>
        </w:rPr>
        <w:sectPr>
          <w:pgSz w:w="11906" w:h="16838"/>
          <w:pgMar w:top="1440" w:right="1800" w:bottom="1440" w:left="1800" w:header="851" w:footer="992" w:gutter="0"/>
          <w:cols w:space="425" w:num="1"/>
          <w:docGrid w:type="lines" w:linePitch="312" w:charSpace="0"/>
        </w:sectPr>
      </w:pPr>
    </w:p>
    <w:p w14:paraId="34C2596C">
      <w:pPr>
        <w:pStyle w:val="64"/>
        <w:bidi w:val="0"/>
        <w:rPr>
          <w:rFonts w:hint="eastAsia"/>
          <w:lang w:eastAsia="zh-CN"/>
        </w:rPr>
        <w:sectPr>
          <w:pgSz w:w="11906" w:h="16838"/>
          <w:pgMar w:top="1440" w:right="1800" w:bottom="1440" w:left="1800" w:header="851" w:footer="992" w:gutter="0"/>
          <w:cols w:space="425" w:num="1"/>
          <w:docGrid w:type="lines" w:linePitch="312" w:charSpace="0"/>
        </w:sectPr>
      </w:pPr>
      <w:r>
        <w:drawing>
          <wp:inline distT="0" distB="0" distL="0" distR="0">
            <wp:extent cx="5271770" cy="7402830"/>
            <wp:effectExtent l="0" t="0" r="5080" b="7620"/>
            <wp:docPr id="3651831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83159" name="图片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1770" cy="7402830"/>
                    </a:xfrm>
                    <a:prstGeom prst="rect">
                      <a:avLst/>
                    </a:prstGeom>
                    <a:noFill/>
                    <a:ln>
                      <a:noFill/>
                    </a:ln>
                  </pic:spPr>
                </pic:pic>
              </a:graphicData>
            </a:graphic>
          </wp:inline>
        </w:drawing>
      </w:r>
      <w:r>
        <w:drawing>
          <wp:inline distT="0" distB="0" distL="114300" distR="114300">
            <wp:extent cx="5271135" cy="7159625"/>
            <wp:effectExtent l="0" t="0" r="5715" b="3175"/>
            <wp:docPr id="4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3"/>
                    <pic:cNvPicPr>
                      <a:picLocks noChangeAspect="1"/>
                    </pic:cNvPicPr>
                  </pic:nvPicPr>
                  <pic:blipFill>
                    <a:blip r:embed="rId11"/>
                    <a:stretch>
                      <a:fillRect/>
                    </a:stretch>
                  </pic:blipFill>
                  <pic:spPr>
                    <a:xfrm>
                      <a:off x="0" y="0"/>
                      <a:ext cx="5271135" cy="7159625"/>
                    </a:xfrm>
                    <a:prstGeom prst="rect">
                      <a:avLst/>
                    </a:prstGeom>
                    <a:noFill/>
                    <a:ln>
                      <a:noFill/>
                    </a:ln>
                  </pic:spPr>
                </pic:pic>
              </a:graphicData>
            </a:graphic>
          </wp:inline>
        </w:drawing>
      </w:r>
      <w:r>
        <w:drawing>
          <wp:inline distT="0" distB="0" distL="114300" distR="114300">
            <wp:extent cx="5273040" cy="7404735"/>
            <wp:effectExtent l="0" t="0" r="3810" b="5715"/>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pic:cNvPicPr>
                  </pic:nvPicPr>
                  <pic:blipFill>
                    <a:blip r:embed="rId12"/>
                    <a:stretch>
                      <a:fillRect/>
                    </a:stretch>
                  </pic:blipFill>
                  <pic:spPr>
                    <a:xfrm>
                      <a:off x="0" y="0"/>
                      <a:ext cx="5273040" cy="7404735"/>
                    </a:xfrm>
                    <a:prstGeom prst="rect">
                      <a:avLst/>
                    </a:prstGeom>
                    <a:noFill/>
                    <a:ln>
                      <a:noFill/>
                    </a:ln>
                  </pic:spPr>
                </pic:pic>
              </a:graphicData>
            </a:graphic>
          </wp:inline>
        </w:drawing>
      </w:r>
      <w:r>
        <w:drawing>
          <wp:inline distT="0" distB="0" distL="114300" distR="114300">
            <wp:extent cx="5266690" cy="7352030"/>
            <wp:effectExtent l="0" t="0" r="10160" b="1270"/>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13"/>
                    <a:stretch>
                      <a:fillRect/>
                    </a:stretch>
                  </pic:blipFill>
                  <pic:spPr>
                    <a:xfrm>
                      <a:off x="0" y="0"/>
                      <a:ext cx="5266690" cy="7352030"/>
                    </a:xfrm>
                    <a:prstGeom prst="rect">
                      <a:avLst/>
                    </a:prstGeom>
                    <a:noFill/>
                    <a:ln>
                      <a:noFill/>
                    </a:ln>
                  </pic:spPr>
                </pic:pic>
              </a:graphicData>
            </a:graphic>
          </wp:inline>
        </w:drawing>
      </w:r>
      <w:bookmarkStart w:id="41" w:name="_GoBack"/>
      <w:bookmarkEnd w:id="41"/>
    </w:p>
    <w:p w14:paraId="1F37FB28">
      <w:pPr>
        <w:pStyle w:val="57"/>
        <w:spacing w:line="360" w:lineRule="auto"/>
        <w:jc w:val="center"/>
        <w:rPr>
          <w:rFonts w:ascii="Times New Roman" w:hAnsi="Times New Roman" w:eastAsia="宋体" w:cs="Times New Roman"/>
          <w:color w:val="auto"/>
        </w:rPr>
      </w:pPr>
      <w:r>
        <w:rPr>
          <w:rFonts w:ascii="Times New Roman" w:hAnsi="Times New Roman" w:eastAsia="宋体" w:cs="Times New Roman"/>
          <w:color w:val="auto"/>
          <w:lang w:val="zh-CN"/>
        </w:rPr>
        <w:t>目录</w:t>
      </w:r>
    </w:p>
    <w:p w14:paraId="47FD3F13">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TOC \o "1-3" \h \z \u </w:instrText>
      </w:r>
      <w:r>
        <w:rPr>
          <w:rFonts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_Toc5730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一、建设项目基本情况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_Toc5730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0F3256F7">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_Toc19351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rPr>
        <w:t>二、建设项目工程分析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_Toc19351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594BD3B7">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_Toc18666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rPr>
        <w:t>三、区域环境质量现状、环境保护目标及评价标准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_Toc18666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5C9B2F28">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_Toc203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rPr>
        <w:t>四、主要环境影响和保护措施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5EA83EF0">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_Toc30091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rPr>
        <w:t>五、环境保护措施监督检查清单</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_Toc30091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30667AE6">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_Toc32341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rPr>
        <w:t>六、结论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_Toc32341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53B8810B">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_Toc14915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rPr>
        <w:t>附表：建设项目污染物排放量汇总表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_Toc14915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4FA28C5D">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_Toc8518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rPr>
        <w:t>附件1：委托书</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_Toc8518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18A1DDCE">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_Toc710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rPr>
        <w:t>附件2：</w:t>
      </w:r>
      <w:r>
        <w:rPr>
          <w:rFonts w:hint="default" w:ascii="Times New Roman" w:hAnsi="Times New Roman" w:eastAsia="宋体" w:cs="Times New Roman"/>
          <w:sz w:val="24"/>
          <w:szCs w:val="24"/>
          <w:lang w:val="en-US" w:eastAsia="zh-CN"/>
        </w:rPr>
        <w:t>项目备案证明</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_Toc710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5458AE04">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_Toc9692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rPr>
        <w:t>附件3：</w:t>
      </w:r>
      <w:r>
        <w:rPr>
          <w:rFonts w:hint="default" w:ascii="Times New Roman" w:hAnsi="Times New Roman" w:eastAsia="宋体" w:cs="Times New Roman"/>
          <w:sz w:val="24"/>
          <w:szCs w:val="24"/>
          <w:lang w:val="en-US" w:eastAsia="zh-CN"/>
        </w:rPr>
        <w:t>建设用地规划许可证</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_Toc9692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3D6F7E43">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_Toc1100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rPr>
        <w:t>附件4：</w:t>
      </w:r>
      <w:r>
        <w:rPr>
          <w:rFonts w:hint="default" w:ascii="Times New Roman" w:hAnsi="Times New Roman" w:eastAsia="宋体" w:cs="Times New Roman"/>
          <w:sz w:val="24"/>
          <w:szCs w:val="24"/>
          <w:lang w:val="en-US" w:eastAsia="zh-CN"/>
        </w:rPr>
        <w:t>建设工程规划许可证</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_Toc1100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3AB5950C">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_Toc30358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rPr>
        <w:t>附件5：</w:t>
      </w:r>
      <w:r>
        <w:rPr>
          <w:rFonts w:hint="default" w:ascii="Times New Roman" w:hAnsi="Times New Roman" w:eastAsia="宋体" w:cs="Times New Roman"/>
          <w:sz w:val="24"/>
          <w:szCs w:val="24"/>
          <w:lang w:val="en-US" w:eastAsia="zh-CN"/>
        </w:rPr>
        <w:t>不动产权证</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_Toc30358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5B8AA928">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_Toc2263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lang w:val="en-US" w:eastAsia="zh-CN"/>
        </w:rPr>
        <w:t>附件6：建筑工程施工许可证</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_Toc2263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089AC6D2">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_Toc8428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lang w:val="en-US" w:eastAsia="zh-CN"/>
        </w:rPr>
        <w:t>附件7：建设单位营业执照</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_Toc8428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20473A4C">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_Toc3471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rPr>
        <w:t>附图1：地理位置图</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_Toc3471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5860C7E6">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_Toc1199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rPr>
        <w:t>附图2：项目总平面布置图</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_Toc1199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52DD6991">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_Toc5420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rPr>
        <w:t>附图3：项目周边环境敏感目标分布图</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_Toc5420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7911C941">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_Toc15183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rPr>
        <w:t>附图4：环境质量监测点位图</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_Toc15183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2A02D899">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hint="default" w:ascii="Times New Roman" w:hAnsi="Times New Roman" w:eastAsia="宋体" w:cs="Times New Roman"/>
          <w:bCs/>
          <w:sz w:val="24"/>
          <w:szCs w:val="24"/>
          <w:lang w:val="zh-CN"/>
        </w:rPr>
        <w:fldChar w:fldCharType="begin"/>
      </w:r>
      <w:r>
        <w:rPr>
          <w:rFonts w:hint="default" w:ascii="Times New Roman" w:hAnsi="Times New Roman" w:eastAsia="宋体" w:cs="Times New Roman"/>
          <w:bCs/>
          <w:sz w:val="24"/>
          <w:szCs w:val="24"/>
          <w:lang w:val="zh-CN"/>
        </w:rPr>
        <w:instrText xml:space="preserve"> HYPERLINK \l _Toc22150 </w:instrText>
      </w:r>
      <w:r>
        <w:rPr>
          <w:rFonts w:hint="default" w:ascii="Times New Roman" w:hAnsi="Times New Roman" w:eastAsia="宋体" w:cs="Times New Roman"/>
          <w:bCs/>
          <w:sz w:val="24"/>
          <w:szCs w:val="24"/>
          <w:lang w:val="zh-CN"/>
        </w:rPr>
        <w:fldChar w:fldCharType="separate"/>
      </w:r>
      <w:r>
        <w:rPr>
          <w:rFonts w:hint="default" w:ascii="Times New Roman" w:hAnsi="Times New Roman" w:eastAsia="宋体" w:cs="Times New Roman"/>
          <w:sz w:val="24"/>
          <w:szCs w:val="24"/>
        </w:rPr>
        <w:t>附图</w:t>
      </w:r>
      <w:r>
        <w:rPr>
          <w:rFonts w:hint="default"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：现状照片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_Toc22150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lang w:val="zh-CN"/>
        </w:rPr>
        <w:fldChar w:fldCharType="end"/>
      </w:r>
    </w:p>
    <w:p w14:paraId="41AAE2CE">
      <w:pPr>
        <w:spacing w:line="360" w:lineRule="auto"/>
      </w:pPr>
      <w:r>
        <w:rPr>
          <w:rFonts w:ascii="Times New Roman" w:hAnsi="Times New Roman" w:eastAsia="宋体" w:cs="Times New Roman"/>
          <w:bCs/>
          <w:szCs w:val="24"/>
          <w:lang w:val="zh-CN"/>
        </w:rPr>
        <w:fldChar w:fldCharType="end"/>
      </w:r>
    </w:p>
    <w:p w14:paraId="411C29D3">
      <w:pPr>
        <w:ind w:left="1600" w:hanging="1600" w:hangingChars="500"/>
        <w:jc w:val="center"/>
        <w:rPr>
          <w:rFonts w:ascii="宋体" w:hAnsi="宋体" w:eastAsia="宋体"/>
          <w:sz w:val="32"/>
          <w:szCs w:val="36"/>
        </w:rPr>
        <w:sectPr>
          <w:pgSz w:w="11906" w:h="16838"/>
          <w:pgMar w:top="1440" w:right="1800" w:bottom="1440" w:left="1800" w:header="851" w:footer="992" w:gutter="0"/>
          <w:cols w:space="425" w:num="1"/>
          <w:docGrid w:type="lines" w:linePitch="312" w:charSpace="0"/>
        </w:sectPr>
      </w:pPr>
    </w:p>
    <w:p w14:paraId="06ED5B23">
      <w:pPr>
        <w:pStyle w:val="29"/>
      </w:pPr>
      <w:bookmarkStart w:id="0" w:name="_Toc5730"/>
      <w:r>
        <w:rPr>
          <w:rFonts w:hint="eastAsia"/>
        </w:rPr>
        <w:t>一、建设项目基本情况</w:t>
      </w:r>
      <w:bookmarkEnd w:id="0"/>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50"/>
        <w:gridCol w:w="1162"/>
        <w:gridCol w:w="1807"/>
        <w:gridCol w:w="1673"/>
        <w:gridCol w:w="2970"/>
      </w:tblGrid>
      <w:tr w14:paraId="58DD9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794FA152">
            <w:pPr>
              <w:pStyle w:val="26"/>
              <w:rPr>
                <w:sz w:val="24"/>
              </w:rPr>
            </w:pPr>
            <w:r>
              <w:rPr>
                <w:rFonts w:hint="eastAsia"/>
                <w:sz w:val="24"/>
              </w:rPr>
              <w:t>建设项目名称</w:t>
            </w:r>
          </w:p>
        </w:tc>
        <w:tc>
          <w:tcPr>
            <w:tcW w:w="6450" w:type="dxa"/>
            <w:gridSpan w:val="3"/>
          </w:tcPr>
          <w:p w14:paraId="7EECAE09">
            <w:pPr>
              <w:pStyle w:val="26"/>
              <w:rPr>
                <w:rFonts w:hint="default" w:eastAsia="宋体"/>
                <w:sz w:val="24"/>
                <w:szCs w:val="32"/>
                <w:lang w:val="en-US" w:eastAsia="zh-CN"/>
              </w:rPr>
            </w:pPr>
            <w:r>
              <w:rPr>
                <w:rFonts w:hint="eastAsia"/>
                <w:sz w:val="24"/>
                <w:szCs w:val="32"/>
                <w:lang w:val="en-US" w:eastAsia="zh-CN"/>
              </w:rPr>
              <w:t>衡阳华永燃气有限公司液化气充装站建设项目</w:t>
            </w:r>
          </w:p>
        </w:tc>
      </w:tr>
      <w:tr w14:paraId="0819D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48965287">
            <w:pPr>
              <w:pStyle w:val="26"/>
              <w:rPr>
                <w:sz w:val="24"/>
              </w:rPr>
            </w:pPr>
            <w:r>
              <w:rPr>
                <w:rFonts w:hint="eastAsia"/>
                <w:sz w:val="24"/>
              </w:rPr>
              <w:t>项目代码</w:t>
            </w:r>
          </w:p>
        </w:tc>
        <w:tc>
          <w:tcPr>
            <w:tcW w:w="6450" w:type="dxa"/>
            <w:gridSpan w:val="3"/>
          </w:tcPr>
          <w:p w14:paraId="49E8EEB1">
            <w:pPr>
              <w:pStyle w:val="26"/>
              <w:rPr>
                <w:rFonts w:hint="default" w:eastAsia="宋体"/>
                <w:sz w:val="24"/>
                <w:lang w:val="en-US" w:eastAsia="zh-CN"/>
              </w:rPr>
            </w:pPr>
            <w:r>
              <w:rPr>
                <w:rFonts w:hint="eastAsia"/>
                <w:sz w:val="24"/>
                <w:lang w:val="en-US" w:eastAsia="zh-CN"/>
              </w:rPr>
              <w:t>2107-430421-04-05-501285</w:t>
            </w:r>
          </w:p>
        </w:tc>
      </w:tr>
      <w:tr w14:paraId="1CF0B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62DFAD3F">
            <w:pPr>
              <w:pStyle w:val="26"/>
              <w:rPr>
                <w:sz w:val="24"/>
              </w:rPr>
            </w:pPr>
            <w:r>
              <w:rPr>
                <w:rFonts w:hint="eastAsia"/>
                <w:sz w:val="24"/>
              </w:rPr>
              <w:t>建设单位联系人</w:t>
            </w:r>
          </w:p>
        </w:tc>
        <w:tc>
          <w:tcPr>
            <w:tcW w:w="1807" w:type="dxa"/>
          </w:tcPr>
          <w:p w14:paraId="075AA728">
            <w:pPr>
              <w:pStyle w:val="26"/>
              <w:rPr>
                <w:sz w:val="24"/>
              </w:rPr>
            </w:pPr>
            <w:r>
              <w:rPr>
                <w:rFonts w:hint="eastAsia"/>
                <w:sz w:val="24"/>
              </w:rPr>
              <w:t>许永红</w:t>
            </w:r>
          </w:p>
        </w:tc>
        <w:tc>
          <w:tcPr>
            <w:tcW w:w="1673" w:type="dxa"/>
          </w:tcPr>
          <w:p w14:paraId="3BCB6F97">
            <w:pPr>
              <w:pStyle w:val="26"/>
              <w:rPr>
                <w:sz w:val="24"/>
              </w:rPr>
            </w:pPr>
            <w:r>
              <w:rPr>
                <w:rFonts w:hint="eastAsia"/>
                <w:sz w:val="24"/>
              </w:rPr>
              <w:t>联系方式</w:t>
            </w:r>
          </w:p>
        </w:tc>
        <w:tc>
          <w:tcPr>
            <w:tcW w:w="2970" w:type="dxa"/>
          </w:tcPr>
          <w:p w14:paraId="3A0640CC">
            <w:pPr>
              <w:pStyle w:val="26"/>
              <w:rPr>
                <w:sz w:val="24"/>
              </w:rPr>
            </w:pPr>
            <w:r>
              <w:rPr>
                <w:rFonts w:hint="eastAsia"/>
                <w:sz w:val="24"/>
              </w:rPr>
              <w:t>13507353378</w:t>
            </w:r>
          </w:p>
        </w:tc>
      </w:tr>
      <w:tr w14:paraId="47BDB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5985697D">
            <w:pPr>
              <w:pStyle w:val="26"/>
              <w:rPr>
                <w:sz w:val="24"/>
              </w:rPr>
            </w:pPr>
            <w:r>
              <w:rPr>
                <w:rFonts w:hint="eastAsia"/>
                <w:sz w:val="24"/>
              </w:rPr>
              <w:t>建设地点</w:t>
            </w:r>
          </w:p>
        </w:tc>
        <w:tc>
          <w:tcPr>
            <w:tcW w:w="6450" w:type="dxa"/>
            <w:gridSpan w:val="3"/>
          </w:tcPr>
          <w:p w14:paraId="6E2CCCE7">
            <w:pPr>
              <w:pStyle w:val="26"/>
              <w:rPr>
                <w:rFonts w:hint="default" w:eastAsia="宋体"/>
                <w:sz w:val="24"/>
                <w:lang w:val="en-US" w:eastAsia="zh-CN"/>
              </w:rPr>
            </w:pPr>
            <w:r>
              <w:rPr>
                <w:rFonts w:hint="eastAsia"/>
                <w:sz w:val="24"/>
                <w:lang w:val="en-US" w:eastAsia="zh-CN"/>
              </w:rPr>
              <w:t>湖南省衡阳市衡阳县集兵镇太栗村胡家组</w:t>
            </w:r>
          </w:p>
        </w:tc>
      </w:tr>
      <w:tr w14:paraId="5A800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54B107F9">
            <w:pPr>
              <w:pStyle w:val="26"/>
              <w:rPr>
                <w:sz w:val="24"/>
              </w:rPr>
            </w:pPr>
            <w:r>
              <w:rPr>
                <w:rFonts w:hint="eastAsia"/>
                <w:sz w:val="24"/>
              </w:rPr>
              <w:t>地理坐标</w:t>
            </w:r>
          </w:p>
        </w:tc>
        <w:tc>
          <w:tcPr>
            <w:tcW w:w="6450" w:type="dxa"/>
            <w:gridSpan w:val="3"/>
          </w:tcPr>
          <w:p w14:paraId="268BC136">
            <w:pPr>
              <w:pStyle w:val="26"/>
              <w:rPr>
                <w:sz w:val="24"/>
              </w:rPr>
            </w:pPr>
            <w:r>
              <w:rPr>
                <w:rFonts w:hint="default" w:ascii="Times New Roman" w:hAnsi="Times New Roman" w:cs="Times New Roman"/>
                <w:sz w:val="24"/>
                <w:lang w:val="en-US" w:eastAsia="zh-CN"/>
              </w:rPr>
              <w:t>东经</w:t>
            </w:r>
            <w:r>
              <w:rPr>
                <w:rFonts w:hint="default" w:ascii="Times New Roman" w:hAnsi="Times New Roman" w:cs="Times New Roman"/>
                <w:sz w:val="24"/>
              </w:rPr>
              <w:t>112°37′25.71</w:t>
            </w:r>
            <w:r>
              <w:rPr>
                <w:rFonts w:hint="default" w:ascii="Times New Roman" w:hAnsi="Times New Roman" w:cs="Times New Roman"/>
                <w:sz w:val="24"/>
                <w:lang w:val="en-US" w:eastAsia="zh-CN"/>
              </w:rPr>
              <w:t>1</w:t>
            </w:r>
            <w:r>
              <w:rPr>
                <w:rFonts w:hint="default" w:ascii="Times New Roman" w:hAnsi="Times New Roman" w:cs="Times New Roman"/>
                <w:sz w:val="24"/>
              </w:rPr>
              <w:t>″,</w:t>
            </w:r>
            <w:r>
              <w:rPr>
                <w:rFonts w:hint="default" w:ascii="Times New Roman" w:hAnsi="Times New Roman" w:cs="Times New Roman"/>
                <w:sz w:val="24"/>
                <w:lang w:val="en-US" w:eastAsia="zh-CN"/>
              </w:rPr>
              <w:t>北纬</w:t>
            </w:r>
            <w:r>
              <w:rPr>
                <w:rFonts w:hint="default" w:ascii="Times New Roman" w:hAnsi="Times New Roman" w:cs="Times New Roman"/>
                <w:sz w:val="24"/>
              </w:rPr>
              <w:t>27°01′0.73</w:t>
            </w:r>
            <w:r>
              <w:rPr>
                <w:rFonts w:hint="default" w:ascii="Times New Roman" w:hAnsi="Times New Roman" w:cs="Times New Roman"/>
                <w:sz w:val="24"/>
                <w:lang w:val="en-US" w:eastAsia="zh-CN"/>
              </w:rPr>
              <w:t>0</w:t>
            </w:r>
            <w:r>
              <w:rPr>
                <w:rFonts w:hint="default" w:ascii="Times New Roman" w:hAnsi="Times New Roman" w:cs="Times New Roman"/>
                <w:sz w:val="24"/>
              </w:rPr>
              <w:t>″</w:t>
            </w:r>
          </w:p>
        </w:tc>
      </w:tr>
      <w:tr w14:paraId="5BBAA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1E4B9FD2">
            <w:pPr>
              <w:pStyle w:val="26"/>
              <w:rPr>
                <w:sz w:val="24"/>
              </w:rPr>
            </w:pPr>
            <w:r>
              <w:rPr>
                <w:rFonts w:hint="eastAsia"/>
                <w:sz w:val="24"/>
              </w:rPr>
              <w:t>国民经济</w:t>
            </w:r>
          </w:p>
          <w:p w14:paraId="7BCEC628">
            <w:pPr>
              <w:pStyle w:val="26"/>
              <w:rPr>
                <w:sz w:val="24"/>
              </w:rPr>
            </w:pPr>
            <w:r>
              <w:rPr>
                <w:rFonts w:hint="eastAsia"/>
                <w:sz w:val="24"/>
              </w:rPr>
              <w:t>行业类别</w:t>
            </w:r>
          </w:p>
        </w:tc>
        <w:tc>
          <w:tcPr>
            <w:tcW w:w="1807" w:type="dxa"/>
            <w:vAlign w:val="center"/>
          </w:tcPr>
          <w:p w14:paraId="44293E4D">
            <w:pPr>
              <w:pStyle w:val="26"/>
              <w:rPr>
                <w:rFonts w:hint="eastAsia"/>
                <w:sz w:val="24"/>
                <w:lang w:val="en-US" w:eastAsia="zh-CN"/>
              </w:rPr>
            </w:pPr>
            <w:r>
              <w:rPr>
                <w:rFonts w:hint="eastAsia"/>
                <w:sz w:val="24"/>
                <w:lang w:val="en-US" w:eastAsia="zh-CN"/>
              </w:rPr>
              <w:t>G5941油气仓储</w:t>
            </w:r>
          </w:p>
          <w:p w14:paraId="0D05CC47">
            <w:pPr>
              <w:pStyle w:val="26"/>
              <w:rPr>
                <w:rFonts w:hint="default"/>
                <w:sz w:val="24"/>
                <w:lang w:val="en-US" w:eastAsia="zh-CN"/>
              </w:rPr>
            </w:pPr>
            <w:r>
              <w:rPr>
                <w:rFonts w:hint="eastAsia"/>
                <w:sz w:val="24"/>
                <w:lang w:val="en-US" w:eastAsia="zh-CN"/>
              </w:rPr>
              <w:t>D4512液化石油气生产和供应业</w:t>
            </w:r>
          </w:p>
        </w:tc>
        <w:tc>
          <w:tcPr>
            <w:tcW w:w="1673" w:type="dxa"/>
            <w:vAlign w:val="center"/>
          </w:tcPr>
          <w:p w14:paraId="2CF030D9">
            <w:pPr>
              <w:pStyle w:val="26"/>
              <w:rPr>
                <w:sz w:val="24"/>
              </w:rPr>
            </w:pPr>
            <w:r>
              <w:rPr>
                <w:rFonts w:hint="eastAsia"/>
                <w:sz w:val="24"/>
              </w:rPr>
              <w:t>建设项目</w:t>
            </w:r>
          </w:p>
          <w:p w14:paraId="7D47FBF1">
            <w:pPr>
              <w:pStyle w:val="26"/>
              <w:rPr>
                <w:sz w:val="24"/>
              </w:rPr>
            </w:pPr>
            <w:r>
              <w:rPr>
                <w:rFonts w:hint="eastAsia"/>
                <w:sz w:val="24"/>
              </w:rPr>
              <w:t>行业类别</w:t>
            </w:r>
          </w:p>
        </w:tc>
        <w:tc>
          <w:tcPr>
            <w:tcW w:w="2970" w:type="dxa"/>
          </w:tcPr>
          <w:p w14:paraId="4694F653">
            <w:pPr>
              <w:pStyle w:val="26"/>
              <w:rPr>
                <w:rFonts w:hint="default" w:eastAsia="宋体"/>
                <w:sz w:val="24"/>
                <w:lang w:val="en-US" w:eastAsia="zh-CN"/>
              </w:rPr>
            </w:pPr>
            <w:r>
              <w:rPr>
                <w:rFonts w:hint="eastAsia"/>
                <w:sz w:val="24"/>
                <w:lang w:val="en-US" w:eastAsia="zh-CN"/>
              </w:rPr>
              <w:t>五十三、装卸搬运和仓储业59-149、危险品仓储594-其他（含有毒、有害、危险品的仓储；含液化天然气库）</w:t>
            </w:r>
          </w:p>
        </w:tc>
      </w:tr>
      <w:tr w14:paraId="27FE4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202E716C">
            <w:pPr>
              <w:pStyle w:val="26"/>
              <w:rPr>
                <w:sz w:val="24"/>
              </w:rPr>
            </w:pPr>
            <w:r>
              <w:rPr>
                <w:rFonts w:hint="eastAsia"/>
                <w:sz w:val="24"/>
              </w:rPr>
              <w:t>建设性质</w:t>
            </w:r>
          </w:p>
        </w:tc>
        <w:tc>
          <w:tcPr>
            <w:tcW w:w="1807" w:type="dxa"/>
            <w:vAlign w:val="center"/>
          </w:tcPr>
          <w:p w14:paraId="4A5A509D">
            <w:pPr>
              <w:pStyle w:val="26"/>
              <w:jc w:val="both"/>
              <w:rPr>
                <w:rFonts w:ascii="Segoe UI Symbol" w:hAnsi="Segoe UI Symbol" w:cs="Segoe UI Symbol"/>
                <w:sz w:val="24"/>
              </w:rPr>
            </w:pPr>
            <w:r>
              <w:rPr>
                <w:rFonts w:hint="eastAsia" w:ascii="Segoe UI Symbol" w:hAnsi="Segoe UI Symbol" w:cs="Segoe UI Symbol"/>
                <w:sz w:val="24"/>
                <w:lang w:eastAsia="zh-CN"/>
              </w:rPr>
              <w:t>☑</w:t>
            </w:r>
            <w:r>
              <w:rPr>
                <w:rFonts w:hint="eastAsia" w:ascii="Segoe UI Symbol" w:hAnsi="Segoe UI Symbol" w:cs="Segoe UI Symbol"/>
                <w:sz w:val="24"/>
              </w:rPr>
              <w:t>新建（迁建）</w:t>
            </w:r>
          </w:p>
          <w:p w14:paraId="22C12984">
            <w:pPr>
              <w:pStyle w:val="26"/>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改建</w:t>
            </w:r>
          </w:p>
          <w:p w14:paraId="2F9988DC">
            <w:pPr>
              <w:pStyle w:val="26"/>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扩建</w:t>
            </w:r>
          </w:p>
          <w:p w14:paraId="30C20584">
            <w:pPr>
              <w:pStyle w:val="26"/>
              <w:jc w:val="both"/>
              <w:rPr>
                <w:sz w:val="24"/>
              </w:rPr>
            </w:pPr>
            <w:r>
              <w:rPr>
                <w:rFonts w:ascii="Segoe UI Symbol" w:hAnsi="Segoe UI Symbol" w:cs="Segoe UI Symbol"/>
                <w:sz w:val="24"/>
              </w:rPr>
              <w:t>☐</w:t>
            </w:r>
            <w:r>
              <w:rPr>
                <w:rFonts w:hint="eastAsia" w:ascii="Segoe UI Symbol" w:hAnsi="Segoe UI Symbol" w:cs="Segoe UI Symbol"/>
                <w:sz w:val="24"/>
              </w:rPr>
              <w:t>技术改造</w:t>
            </w:r>
          </w:p>
        </w:tc>
        <w:tc>
          <w:tcPr>
            <w:tcW w:w="1673" w:type="dxa"/>
            <w:vAlign w:val="center"/>
          </w:tcPr>
          <w:p w14:paraId="0DA1CE7A">
            <w:pPr>
              <w:pStyle w:val="26"/>
              <w:rPr>
                <w:sz w:val="24"/>
              </w:rPr>
            </w:pPr>
            <w:r>
              <w:rPr>
                <w:rFonts w:hint="eastAsia"/>
                <w:sz w:val="24"/>
              </w:rPr>
              <w:t>建设项目</w:t>
            </w:r>
          </w:p>
          <w:p w14:paraId="1E5A6528">
            <w:pPr>
              <w:pStyle w:val="26"/>
              <w:rPr>
                <w:sz w:val="24"/>
              </w:rPr>
            </w:pPr>
            <w:r>
              <w:rPr>
                <w:rFonts w:hint="eastAsia"/>
                <w:sz w:val="24"/>
              </w:rPr>
              <w:t>申报情形</w:t>
            </w:r>
          </w:p>
        </w:tc>
        <w:tc>
          <w:tcPr>
            <w:tcW w:w="2970" w:type="dxa"/>
          </w:tcPr>
          <w:p w14:paraId="237B5D60">
            <w:pPr>
              <w:pStyle w:val="26"/>
              <w:jc w:val="both"/>
              <w:rPr>
                <w:rFonts w:ascii="Segoe UI Symbol" w:hAnsi="Segoe UI Symbol" w:cs="Segoe UI Symbol"/>
                <w:sz w:val="24"/>
              </w:rPr>
            </w:pPr>
            <w:r>
              <w:rPr>
                <w:rFonts w:hint="eastAsia" w:ascii="Segoe UI Symbol" w:hAnsi="Segoe UI Symbol" w:cs="Segoe UI Symbol"/>
                <w:sz w:val="24"/>
                <w:lang w:eastAsia="zh-CN"/>
              </w:rPr>
              <w:t>☑</w:t>
            </w:r>
            <w:r>
              <w:rPr>
                <w:rFonts w:hint="eastAsia" w:ascii="Segoe UI Symbol" w:hAnsi="Segoe UI Symbol" w:cs="Segoe UI Symbol"/>
                <w:sz w:val="24"/>
              </w:rPr>
              <w:t>首次申报项目</w:t>
            </w:r>
          </w:p>
          <w:p w14:paraId="19ADD269">
            <w:pPr>
              <w:pStyle w:val="26"/>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不予批准后再次申报项目</w:t>
            </w:r>
          </w:p>
          <w:p w14:paraId="3F34314C">
            <w:pPr>
              <w:pStyle w:val="26"/>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超五年重新审核项目</w:t>
            </w:r>
          </w:p>
          <w:p w14:paraId="0CE77EF5">
            <w:pPr>
              <w:pStyle w:val="26"/>
              <w:jc w:val="both"/>
              <w:rPr>
                <w:sz w:val="24"/>
              </w:rPr>
            </w:pPr>
            <w:r>
              <w:rPr>
                <w:rFonts w:ascii="Segoe UI Symbol" w:hAnsi="Segoe UI Symbol" w:cs="Segoe UI Symbol"/>
                <w:sz w:val="24"/>
              </w:rPr>
              <w:t>☐</w:t>
            </w:r>
            <w:r>
              <w:rPr>
                <w:rFonts w:hint="eastAsia" w:ascii="Segoe UI Symbol" w:hAnsi="Segoe UI Symbol" w:cs="Segoe UI Symbol"/>
                <w:sz w:val="24"/>
              </w:rPr>
              <w:t>重大变动重新报批项目</w:t>
            </w:r>
          </w:p>
        </w:tc>
      </w:tr>
      <w:tr w14:paraId="5E9CB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7F2206D0">
            <w:pPr>
              <w:pStyle w:val="26"/>
              <w:rPr>
                <w:sz w:val="24"/>
              </w:rPr>
            </w:pPr>
            <w:r>
              <w:rPr>
                <w:rFonts w:hint="eastAsia"/>
                <w:sz w:val="24"/>
              </w:rPr>
              <w:t>项目审批（核准/备案）部门（选填）</w:t>
            </w:r>
          </w:p>
        </w:tc>
        <w:tc>
          <w:tcPr>
            <w:tcW w:w="1807" w:type="dxa"/>
            <w:vAlign w:val="center"/>
          </w:tcPr>
          <w:p w14:paraId="576C62E8">
            <w:pPr>
              <w:pStyle w:val="26"/>
              <w:rPr>
                <w:rFonts w:hint="default" w:ascii="Segoe UI Symbol" w:hAnsi="Segoe UI Symbol" w:eastAsia="宋体" w:cs="Segoe UI Symbol"/>
                <w:sz w:val="24"/>
                <w:lang w:val="en-US" w:eastAsia="zh-CN"/>
              </w:rPr>
            </w:pPr>
            <w:r>
              <w:rPr>
                <w:rFonts w:hint="eastAsia" w:ascii="Segoe UI Symbol" w:hAnsi="Segoe UI Symbol" w:cs="Segoe UI Symbol"/>
                <w:sz w:val="24"/>
                <w:lang w:val="en-US" w:eastAsia="zh-CN"/>
              </w:rPr>
              <w:t>衡阳县发展和改革局</w:t>
            </w:r>
          </w:p>
        </w:tc>
        <w:tc>
          <w:tcPr>
            <w:tcW w:w="1673" w:type="dxa"/>
            <w:vAlign w:val="center"/>
          </w:tcPr>
          <w:p w14:paraId="741B362B">
            <w:pPr>
              <w:pStyle w:val="26"/>
              <w:rPr>
                <w:sz w:val="24"/>
              </w:rPr>
            </w:pPr>
            <w:r>
              <w:rPr>
                <w:rFonts w:hint="eastAsia"/>
                <w:sz w:val="24"/>
              </w:rPr>
              <w:t>项目审批（核准/备案）文号（选填）</w:t>
            </w:r>
          </w:p>
        </w:tc>
        <w:tc>
          <w:tcPr>
            <w:tcW w:w="2970" w:type="dxa"/>
            <w:vAlign w:val="center"/>
          </w:tcPr>
          <w:p w14:paraId="52FA124C">
            <w:pPr>
              <w:pStyle w:val="25"/>
              <w:bidi w:val="0"/>
              <w:rPr>
                <w:rFonts w:hint="default" w:ascii="Segoe UI Symbol" w:hAnsi="Segoe UI Symbol" w:eastAsia="宋体" w:cs="Segoe UI Symbol"/>
                <w:lang w:val="en-US" w:eastAsia="zh-CN"/>
              </w:rPr>
            </w:pPr>
            <w:r>
              <w:rPr>
                <w:rFonts w:hint="eastAsia"/>
                <w:lang w:val="en-US" w:eastAsia="zh-CN"/>
              </w:rPr>
              <w:t>2022年10月10日</w:t>
            </w:r>
          </w:p>
        </w:tc>
      </w:tr>
      <w:tr w14:paraId="07E1F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0771374E">
            <w:pPr>
              <w:pStyle w:val="26"/>
              <w:rPr>
                <w:sz w:val="24"/>
              </w:rPr>
            </w:pPr>
            <w:r>
              <w:rPr>
                <w:rFonts w:hint="eastAsia"/>
                <w:sz w:val="24"/>
              </w:rPr>
              <w:t>总投资（万元）</w:t>
            </w:r>
          </w:p>
        </w:tc>
        <w:tc>
          <w:tcPr>
            <w:tcW w:w="1807" w:type="dxa"/>
            <w:vAlign w:val="center"/>
          </w:tcPr>
          <w:p w14:paraId="1D6350CD">
            <w:pPr>
              <w:pStyle w:val="26"/>
              <w:rPr>
                <w:rFonts w:hint="default" w:eastAsia="宋体"/>
                <w:sz w:val="24"/>
                <w:lang w:val="en-US" w:eastAsia="zh-CN"/>
              </w:rPr>
            </w:pPr>
            <w:r>
              <w:rPr>
                <w:rFonts w:hint="eastAsia"/>
                <w:sz w:val="24"/>
                <w:lang w:val="en-US" w:eastAsia="zh-CN"/>
              </w:rPr>
              <w:t>3000</w:t>
            </w:r>
          </w:p>
        </w:tc>
        <w:tc>
          <w:tcPr>
            <w:tcW w:w="1673" w:type="dxa"/>
            <w:vAlign w:val="center"/>
          </w:tcPr>
          <w:p w14:paraId="061F9B6C">
            <w:pPr>
              <w:pStyle w:val="26"/>
              <w:rPr>
                <w:sz w:val="24"/>
              </w:rPr>
            </w:pPr>
            <w:r>
              <w:rPr>
                <w:rFonts w:hint="eastAsia"/>
                <w:sz w:val="24"/>
              </w:rPr>
              <w:t>环保投资（万元）</w:t>
            </w:r>
          </w:p>
        </w:tc>
        <w:tc>
          <w:tcPr>
            <w:tcW w:w="2970" w:type="dxa"/>
            <w:vAlign w:val="center"/>
          </w:tcPr>
          <w:p w14:paraId="059A34A3">
            <w:pPr>
              <w:pStyle w:val="26"/>
              <w:rPr>
                <w:rFonts w:hint="default" w:eastAsia="宋体"/>
                <w:sz w:val="24"/>
                <w:lang w:val="en-US" w:eastAsia="zh-CN"/>
              </w:rPr>
            </w:pPr>
            <w:r>
              <w:rPr>
                <w:rFonts w:hint="eastAsia"/>
                <w:sz w:val="24"/>
                <w:lang w:val="en-US" w:eastAsia="zh-CN"/>
              </w:rPr>
              <w:t>80.5</w:t>
            </w:r>
          </w:p>
        </w:tc>
      </w:tr>
      <w:tr w14:paraId="4EA83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4E331E0E">
            <w:pPr>
              <w:pStyle w:val="26"/>
              <w:rPr>
                <w:sz w:val="24"/>
              </w:rPr>
            </w:pPr>
            <w:r>
              <w:rPr>
                <w:rFonts w:hint="eastAsia"/>
                <w:sz w:val="24"/>
              </w:rPr>
              <w:t>环保投资占比（%）</w:t>
            </w:r>
          </w:p>
        </w:tc>
        <w:tc>
          <w:tcPr>
            <w:tcW w:w="1807" w:type="dxa"/>
            <w:vAlign w:val="center"/>
          </w:tcPr>
          <w:p w14:paraId="1A14DA80">
            <w:pPr>
              <w:pStyle w:val="26"/>
              <w:rPr>
                <w:rFonts w:hint="default" w:eastAsia="宋体"/>
                <w:sz w:val="24"/>
                <w:lang w:val="en-US" w:eastAsia="zh-CN"/>
              </w:rPr>
            </w:pPr>
            <w:r>
              <w:rPr>
                <w:rFonts w:hint="eastAsia"/>
                <w:sz w:val="24"/>
                <w:lang w:val="en-US" w:eastAsia="zh-CN"/>
              </w:rPr>
              <w:t>2.68</w:t>
            </w:r>
          </w:p>
        </w:tc>
        <w:tc>
          <w:tcPr>
            <w:tcW w:w="1673" w:type="dxa"/>
            <w:vAlign w:val="center"/>
          </w:tcPr>
          <w:p w14:paraId="2D0F2B0E">
            <w:pPr>
              <w:pStyle w:val="26"/>
              <w:rPr>
                <w:sz w:val="24"/>
              </w:rPr>
            </w:pPr>
            <w:r>
              <w:rPr>
                <w:rFonts w:hint="eastAsia"/>
                <w:sz w:val="24"/>
              </w:rPr>
              <w:t>施工工期</w:t>
            </w:r>
          </w:p>
        </w:tc>
        <w:tc>
          <w:tcPr>
            <w:tcW w:w="2970" w:type="dxa"/>
            <w:vAlign w:val="center"/>
          </w:tcPr>
          <w:p w14:paraId="39F387A9">
            <w:pPr>
              <w:pStyle w:val="26"/>
              <w:rPr>
                <w:rFonts w:hint="default" w:eastAsia="宋体"/>
                <w:sz w:val="24"/>
                <w:lang w:val="en-US" w:eastAsia="zh-CN"/>
              </w:rPr>
            </w:pPr>
            <w:r>
              <w:rPr>
                <w:rFonts w:hint="eastAsia"/>
                <w:sz w:val="24"/>
                <w:lang w:val="en-US" w:eastAsia="zh-CN"/>
              </w:rPr>
              <w:t>24个月</w:t>
            </w:r>
          </w:p>
        </w:tc>
      </w:tr>
      <w:tr w14:paraId="3C3B0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5FEC9494">
            <w:pPr>
              <w:pStyle w:val="26"/>
              <w:rPr>
                <w:sz w:val="24"/>
              </w:rPr>
            </w:pPr>
            <w:r>
              <w:rPr>
                <w:rFonts w:hint="eastAsia"/>
                <w:sz w:val="24"/>
              </w:rPr>
              <w:t>是否开工建设</w:t>
            </w:r>
          </w:p>
        </w:tc>
        <w:tc>
          <w:tcPr>
            <w:tcW w:w="1807" w:type="dxa"/>
            <w:vAlign w:val="center"/>
          </w:tcPr>
          <w:p w14:paraId="4C911457">
            <w:pPr>
              <w:pStyle w:val="26"/>
              <w:jc w:val="both"/>
              <w:rPr>
                <w:rFonts w:ascii="Segoe UI Symbol" w:hAnsi="Segoe UI Symbol" w:cs="Segoe UI Symbol"/>
                <w:sz w:val="24"/>
              </w:rPr>
            </w:pPr>
            <w:r>
              <w:rPr>
                <w:rFonts w:hint="eastAsia" w:ascii="Segoe UI Symbol" w:hAnsi="Segoe UI Symbol" w:cs="Segoe UI Symbol"/>
                <w:sz w:val="24"/>
                <w:lang w:eastAsia="zh-CN"/>
              </w:rPr>
              <w:t>□</w:t>
            </w:r>
            <w:r>
              <w:rPr>
                <w:rFonts w:hint="eastAsia" w:ascii="Segoe UI Symbol" w:hAnsi="Segoe UI Symbol" w:cs="Segoe UI Symbol"/>
                <w:sz w:val="24"/>
              </w:rPr>
              <w:t>否</w:t>
            </w:r>
          </w:p>
          <w:p w14:paraId="120CD426">
            <w:pPr>
              <w:pStyle w:val="26"/>
              <w:jc w:val="both"/>
              <w:rPr>
                <w:rFonts w:hint="default" w:ascii="Segoe UI Symbol" w:hAnsi="Segoe UI Symbol" w:eastAsia="宋体" w:cs="Segoe UI Symbol"/>
                <w:sz w:val="24"/>
                <w:lang w:val="en-US" w:eastAsia="zh-CN"/>
              </w:rPr>
            </w:pPr>
            <w:r>
              <w:rPr>
                <w:rFonts w:hint="eastAsia" w:ascii="Segoe UI Symbol" w:hAnsi="Segoe UI Symbol" w:cs="Segoe UI Symbol"/>
                <w:sz w:val="24"/>
                <w:lang w:eastAsia="zh-CN"/>
              </w:rPr>
              <w:t>☑</w:t>
            </w:r>
            <w:r>
              <w:rPr>
                <w:rFonts w:hint="eastAsia" w:ascii="Segoe UI Symbol" w:hAnsi="Segoe UI Symbol" w:cs="Segoe UI Symbol"/>
                <w:sz w:val="24"/>
              </w:rPr>
              <w:t>是</w:t>
            </w:r>
            <w:r>
              <w:rPr>
                <w:rFonts w:hint="eastAsia" w:ascii="Segoe UI Symbol" w:hAnsi="Segoe UI Symbol" w:cs="Segoe UI Symbol"/>
                <w:sz w:val="24"/>
                <w:lang w:eastAsia="zh-CN"/>
              </w:rPr>
              <w:t>：</w:t>
            </w:r>
            <w:r>
              <w:rPr>
                <w:rFonts w:hint="eastAsia" w:ascii="Segoe UI Symbol" w:hAnsi="Segoe UI Symbol" w:cs="Segoe UI Symbol"/>
                <w:sz w:val="24"/>
                <w:lang w:val="en-US" w:eastAsia="zh-CN"/>
              </w:rPr>
              <w:t>已经完成主体建筑建设，尚未安装设备和运营</w:t>
            </w:r>
          </w:p>
        </w:tc>
        <w:tc>
          <w:tcPr>
            <w:tcW w:w="1673" w:type="dxa"/>
            <w:vAlign w:val="center"/>
          </w:tcPr>
          <w:p w14:paraId="11337C3E">
            <w:pPr>
              <w:pStyle w:val="26"/>
              <w:rPr>
                <w:sz w:val="24"/>
              </w:rPr>
            </w:pPr>
            <w:r>
              <w:rPr>
                <w:rFonts w:hint="eastAsia"/>
                <w:sz w:val="24"/>
              </w:rPr>
              <w:t>用地（用海）面积（m</w:t>
            </w:r>
            <w:r>
              <w:rPr>
                <w:sz w:val="24"/>
                <w:vertAlign w:val="superscript"/>
              </w:rPr>
              <w:t>2</w:t>
            </w:r>
            <w:r>
              <w:rPr>
                <w:rFonts w:hint="eastAsia"/>
                <w:sz w:val="24"/>
              </w:rPr>
              <w:t>）</w:t>
            </w:r>
          </w:p>
        </w:tc>
        <w:tc>
          <w:tcPr>
            <w:tcW w:w="2970" w:type="dxa"/>
            <w:vAlign w:val="center"/>
          </w:tcPr>
          <w:p w14:paraId="7F32001B">
            <w:pPr>
              <w:pStyle w:val="26"/>
              <w:rPr>
                <w:rFonts w:hint="default" w:eastAsia="宋体"/>
                <w:sz w:val="24"/>
                <w:lang w:val="en-US" w:eastAsia="zh-CN"/>
              </w:rPr>
            </w:pPr>
            <w:r>
              <w:rPr>
                <w:rFonts w:hint="eastAsia"/>
                <w:sz w:val="24"/>
                <w:lang w:val="en-US" w:eastAsia="zh-CN"/>
              </w:rPr>
              <w:t>11171.80</w:t>
            </w:r>
          </w:p>
        </w:tc>
      </w:tr>
      <w:tr w14:paraId="14613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50" w:type="dxa"/>
            <w:vAlign w:val="center"/>
          </w:tcPr>
          <w:p w14:paraId="51135601">
            <w:pPr>
              <w:pStyle w:val="26"/>
              <w:rPr>
                <w:sz w:val="24"/>
              </w:rPr>
            </w:pPr>
            <w:r>
              <w:rPr>
                <w:rFonts w:hint="eastAsia"/>
                <w:sz w:val="24"/>
              </w:rPr>
              <w:t>专项评价</w:t>
            </w:r>
          </w:p>
          <w:p w14:paraId="23050A5C">
            <w:pPr>
              <w:pStyle w:val="26"/>
              <w:rPr>
                <w:sz w:val="24"/>
              </w:rPr>
            </w:pPr>
            <w:r>
              <w:rPr>
                <w:rFonts w:hint="eastAsia"/>
                <w:sz w:val="24"/>
              </w:rPr>
              <w:t>设置情况</w:t>
            </w:r>
          </w:p>
        </w:tc>
        <w:tc>
          <w:tcPr>
            <w:tcW w:w="7612" w:type="dxa"/>
            <w:gridSpan w:val="4"/>
            <w:vAlign w:val="center"/>
          </w:tcPr>
          <w:p w14:paraId="329C39AF">
            <w:pPr>
              <w:pStyle w:val="25"/>
              <w:ind w:firstLine="480"/>
            </w:pPr>
            <w:r>
              <w:rPr>
                <w:rFonts w:hint="eastAsia"/>
              </w:rPr>
              <w:t>根据《建设项目环境影响报告表编制技术指南（污染影响类）（试行）》专项评价设置原则及本项目情况对照如下：</w:t>
            </w:r>
          </w:p>
          <w:p w14:paraId="2E5DAF77">
            <w:pPr>
              <w:pStyle w:val="24"/>
              <w:spacing w:before="156"/>
            </w:pPr>
            <w:r>
              <w:rPr>
                <w:rFonts w:hint="eastAsia"/>
              </w:rPr>
              <w:t>表1-1专项评价设置原则表</w:t>
            </w:r>
          </w:p>
          <w:tbl>
            <w:tblPr>
              <w:tblStyle w:val="1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909"/>
              <w:gridCol w:w="3520"/>
              <w:gridCol w:w="2180"/>
              <w:gridCol w:w="934"/>
            </w:tblGrid>
            <w:tr w14:paraId="24166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602" w:type="pct"/>
                  <w:vAlign w:val="center"/>
                </w:tcPr>
                <w:p w14:paraId="5B21273E">
                  <w:pPr>
                    <w:pStyle w:val="48"/>
                  </w:pPr>
                  <w:r>
                    <w:rPr>
                      <w:rFonts w:hint="eastAsia"/>
                    </w:rPr>
                    <w:t>专项评价</w:t>
                  </w:r>
                </w:p>
                <w:p w14:paraId="21EB6C83">
                  <w:pPr>
                    <w:pStyle w:val="48"/>
                  </w:pPr>
                  <w:r>
                    <w:rPr>
                      <w:rFonts w:hint="eastAsia"/>
                    </w:rPr>
                    <w:t>的类别</w:t>
                  </w:r>
                </w:p>
              </w:tc>
              <w:tc>
                <w:tcPr>
                  <w:tcW w:w="2332" w:type="pct"/>
                  <w:vAlign w:val="center"/>
                </w:tcPr>
                <w:p w14:paraId="5FAEA226">
                  <w:pPr>
                    <w:pStyle w:val="48"/>
                  </w:pPr>
                  <w:r>
                    <w:rPr>
                      <w:rFonts w:hint="eastAsia"/>
                    </w:rPr>
                    <w:t>设置原则</w:t>
                  </w:r>
                </w:p>
              </w:tc>
              <w:tc>
                <w:tcPr>
                  <w:tcW w:w="1444" w:type="pct"/>
                  <w:vAlign w:val="center"/>
                </w:tcPr>
                <w:p w14:paraId="498F6D5C">
                  <w:pPr>
                    <w:pStyle w:val="48"/>
                  </w:pPr>
                  <w:r>
                    <w:rPr>
                      <w:rFonts w:hint="eastAsia"/>
                    </w:rPr>
                    <w:t>本项目情况</w:t>
                  </w:r>
                </w:p>
              </w:tc>
              <w:tc>
                <w:tcPr>
                  <w:tcW w:w="619" w:type="pct"/>
                  <w:vAlign w:val="center"/>
                </w:tcPr>
                <w:p w14:paraId="1E634F4C">
                  <w:pPr>
                    <w:pStyle w:val="48"/>
                  </w:pPr>
                  <w:r>
                    <w:rPr>
                      <w:rFonts w:hint="eastAsia"/>
                    </w:rPr>
                    <w:t>是否设置</w:t>
                  </w:r>
                </w:p>
                <w:p w14:paraId="62E5C729">
                  <w:pPr>
                    <w:pStyle w:val="48"/>
                  </w:pPr>
                  <w:r>
                    <w:rPr>
                      <w:rFonts w:hint="eastAsia"/>
                    </w:rPr>
                    <w:t>专项评价</w:t>
                  </w:r>
                </w:p>
              </w:tc>
            </w:tr>
            <w:tr w14:paraId="4DBA5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602" w:type="pct"/>
                  <w:vAlign w:val="center"/>
                </w:tcPr>
                <w:p w14:paraId="0A22546A">
                  <w:pPr>
                    <w:pStyle w:val="48"/>
                  </w:pPr>
                  <w:r>
                    <w:rPr>
                      <w:rFonts w:hint="eastAsia"/>
                    </w:rPr>
                    <w:t>大气</w:t>
                  </w:r>
                </w:p>
              </w:tc>
              <w:tc>
                <w:tcPr>
                  <w:tcW w:w="2332" w:type="pct"/>
                  <w:vAlign w:val="center"/>
                </w:tcPr>
                <w:p w14:paraId="620D261F">
                  <w:pPr>
                    <w:pStyle w:val="48"/>
                  </w:pPr>
                  <w:r>
                    <w:rPr>
                      <w:rFonts w:hint="eastAsia"/>
                    </w:rPr>
                    <w:t>排放废气含有毒有害污染物</w:t>
                  </w:r>
                  <w:r>
                    <w:rPr>
                      <w:rFonts w:hint="eastAsia"/>
                      <w:vertAlign w:val="superscript"/>
                    </w:rPr>
                    <w:t>1</w:t>
                  </w:r>
                  <w:r>
                    <w:t>、二噁英、苯并[a]芘、氰化物、氯气且厂界外500米范围内有环境空气保护目标2的建设项目</w:t>
                  </w:r>
                </w:p>
              </w:tc>
              <w:tc>
                <w:tcPr>
                  <w:tcW w:w="1444" w:type="pct"/>
                  <w:vAlign w:val="center"/>
                </w:tcPr>
                <w:p w14:paraId="2D7C5545">
                  <w:pPr>
                    <w:pStyle w:val="48"/>
                  </w:pPr>
                  <w:r>
                    <w:rPr>
                      <w:rFonts w:hint="eastAsia"/>
                    </w:rPr>
                    <w:t>本项目不排放有毒有害污染物、二噁英、</w:t>
                  </w:r>
                  <w:r>
                    <w:t>苯并[a]芘、氰化物、氯气</w:t>
                  </w:r>
                  <w:r>
                    <w:rPr>
                      <w:rFonts w:hint="eastAsia"/>
                    </w:rPr>
                    <w:t>等污染物</w:t>
                  </w:r>
                </w:p>
              </w:tc>
              <w:tc>
                <w:tcPr>
                  <w:tcW w:w="619" w:type="pct"/>
                  <w:vAlign w:val="center"/>
                </w:tcPr>
                <w:p w14:paraId="15E00206">
                  <w:pPr>
                    <w:pStyle w:val="48"/>
                  </w:pPr>
                  <w:r>
                    <w:rPr>
                      <w:rFonts w:hint="eastAsia"/>
                    </w:rPr>
                    <w:t>否</w:t>
                  </w:r>
                </w:p>
              </w:tc>
            </w:tr>
            <w:tr w14:paraId="210C9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602" w:type="pct"/>
                  <w:vAlign w:val="center"/>
                </w:tcPr>
                <w:p w14:paraId="01C33337">
                  <w:pPr>
                    <w:pStyle w:val="48"/>
                  </w:pPr>
                  <w:r>
                    <w:rPr>
                      <w:rFonts w:hint="eastAsia"/>
                    </w:rPr>
                    <w:t>地表水</w:t>
                  </w:r>
                </w:p>
              </w:tc>
              <w:tc>
                <w:tcPr>
                  <w:tcW w:w="2332" w:type="pct"/>
                  <w:vAlign w:val="center"/>
                </w:tcPr>
                <w:p w14:paraId="38906A25">
                  <w:pPr>
                    <w:pStyle w:val="48"/>
                  </w:pPr>
                  <w:r>
                    <w:rPr>
                      <w:rFonts w:hint="eastAsia"/>
                    </w:rPr>
                    <w:t>新增工业废水直排建设项目（槽罐车外送污水处理厂的除外）；新增废水直排的污水集中处理厂</w:t>
                  </w:r>
                </w:p>
              </w:tc>
              <w:tc>
                <w:tcPr>
                  <w:tcW w:w="1444" w:type="pct"/>
                  <w:vAlign w:val="center"/>
                </w:tcPr>
                <w:p w14:paraId="1744EAE2">
                  <w:pPr>
                    <w:pStyle w:val="48"/>
                    <w:rPr>
                      <w:rFonts w:hint="default" w:eastAsia="宋体"/>
                      <w:lang w:val="en-US" w:eastAsia="zh-CN"/>
                    </w:rPr>
                  </w:pPr>
                  <w:r>
                    <w:rPr>
                      <w:rFonts w:hint="eastAsia"/>
                      <w:lang w:val="en-US" w:eastAsia="zh-CN"/>
                    </w:rPr>
                    <w:t>本项目无工业废水外排</w:t>
                  </w:r>
                </w:p>
              </w:tc>
              <w:tc>
                <w:tcPr>
                  <w:tcW w:w="619" w:type="pct"/>
                  <w:vAlign w:val="center"/>
                </w:tcPr>
                <w:p w14:paraId="49F397A0">
                  <w:pPr>
                    <w:pStyle w:val="48"/>
                  </w:pPr>
                  <w:r>
                    <w:rPr>
                      <w:rFonts w:hint="eastAsia"/>
                    </w:rPr>
                    <w:t>否</w:t>
                  </w:r>
                </w:p>
              </w:tc>
            </w:tr>
            <w:tr w14:paraId="3B560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602" w:type="pct"/>
                  <w:vAlign w:val="center"/>
                </w:tcPr>
                <w:p w14:paraId="7C4E062B">
                  <w:pPr>
                    <w:pStyle w:val="48"/>
                  </w:pPr>
                  <w:r>
                    <w:rPr>
                      <w:rFonts w:hint="eastAsia"/>
                    </w:rPr>
                    <w:t>环境风险</w:t>
                  </w:r>
                </w:p>
              </w:tc>
              <w:tc>
                <w:tcPr>
                  <w:tcW w:w="2332" w:type="pct"/>
                  <w:vAlign w:val="center"/>
                </w:tcPr>
                <w:p w14:paraId="584FA870">
                  <w:pPr>
                    <w:pStyle w:val="48"/>
                  </w:pPr>
                  <w:r>
                    <w:rPr>
                      <w:rFonts w:hint="eastAsia"/>
                      <w:color w:val="000000"/>
                      <w:szCs w:val="21"/>
                    </w:rPr>
                    <w:t>有毒有害和易燃易爆危险物质存储量超过临界量</w:t>
                  </w:r>
                  <w:r>
                    <w:rPr>
                      <w:rFonts w:hint="eastAsia"/>
                      <w:color w:val="000000"/>
                      <w:sz w:val="11"/>
                      <w:szCs w:val="11"/>
                    </w:rPr>
                    <w:t>3</w:t>
                  </w:r>
                  <w:r>
                    <w:rPr>
                      <w:rFonts w:hint="eastAsia"/>
                      <w:color w:val="000000"/>
                      <w:szCs w:val="21"/>
                    </w:rPr>
                    <w:t>的建设项目</w:t>
                  </w:r>
                </w:p>
              </w:tc>
              <w:tc>
                <w:tcPr>
                  <w:tcW w:w="1444" w:type="pct"/>
                  <w:vAlign w:val="center"/>
                </w:tcPr>
                <w:p w14:paraId="02FDC49B">
                  <w:pPr>
                    <w:pStyle w:val="48"/>
                    <w:rPr>
                      <w:rFonts w:hint="default" w:eastAsia="宋体"/>
                      <w:lang w:val="en-US" w:eastAsia="zh-CN"/>
                    </w:rPr>
                  </w:pPr>
                  <w:r>
                    <w:rPr>
                      <w:rFonts w:hint="eastAsia"/>
                      <w:lang w:val="en-US" w:eastAsia="zh-CN"/>
                    </w:rPr>
                    <w:t>项目液化石油气贮存量超过临界量</w:t>
                  </w:r>
                </w:p>
              </w:tc>
              <w:tc>
                <w:tcPr>
                  <w:tcW w:w="619" w:type="pct"/>
                  <w:vAlign w:val="center"/>
                </w:tcPr>
                <w:p w14:paraId="5C6C21B5">
                  <w:pPr>
                    <w:pStyle w:val="48"/>
                    <w:rPr>
                      <w:rFonts w:hint="eastAsia" w:eastAsia="宋体"/>
                      <w:lang w:val="en-US" w:eastAsia="zh-CN"/>
                    </w:rPr>
                  </w:pPr>
                  <w:r>
                    <w:rPr>
                      <w:rFonts w:hint="eastAsia"/>
                      <w:lang w:val="en-US" w:eastAsia="zh-CN"/>
                    </w:rPr>
                    <w:t>是</w:t>
                  </w:r>
                </w:p>
              </w:tc>
            </w:tr>
            <w:tr w14:paraId="1B9CF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602" w:type="pct"/>
                  <w:vAlign w:val="center"/>
                </w:tcPr>
                <w:p w14:paraId="6F5D25CD">
                  <w:pPr>
                    <w:pStyle w:val="48"/>
                  </w:pPr>
                  <w:r>
                    <w:rPr>
                      <w:rFonts w:hint="eastAsia"/>
                    </w:rPr>
                    <w:t>生态</w:t>
                  </w:r>
                </w:p>
              </w:tc>
              <w:tc>
                <w:tcPr>
                  <w:tcW w:w="2332" w:type="pct"/>
                  <w:vAlign w:val="center"/>
                </w:tcPr>
                <w:p w14:paraId="6380149E">
                  <w:pPr>
                    <w:pStyle w:val="48"/>
                    <w:rPr>
                      <w:color w:val="000000"/>
                      <w:szCs w:val="21"/>
                    </w:rPr>
                  </w:pPr>
                  <w:r>
                    <w:rPr>
                      <w:rFonts w:hint="eastAsia"/>
                      <w:color w:val="000000"/>
                      <w:szCs w:val="21"/>
                    </w:rPr>
                    <w:t>取水口下游</w:t>
                  </w:r>
                  <w:r>
                    <w:rPr>
                      <w:color w:val="000000"/>
                      <w:szCs w:val="21"/>
                    </w:rPr>
                    <w:t>500米范围内有重要水生生物的自然产卵场、索饵场、越冬场和</w:t>
                  </w:r>
                  <w:r>
                    <w:rPr>
                      <w:rFonts w:hint="eastAsia"/>
                      <w:color w:val="000000"/>
                      <w:szCs w:val="21"/>
                    </w:rPr>
                    <w:t>洄游通道的新增河道取水的污染类建设项目</w:t>
                  </w:r>
                </w:p>
              </w:tc>
              <w:tc>
                <w:tcPr>
                  <w:tcW w:w="1444" w:type="pct"/>
                  <w:vAlign w:val="center"/>
                </w:tcPr>
                <w:p w14:paraId="43A3E803">
                  <w:pPr>
                    <w:pStyle w:val="48"/>
                  </w:pPr>
                  <w:r>
                    <w:rPr>
                      <w:rFonts w:hint="eastAsia"/>
                    </w:rPr>
                    <w:t>本项目不设置取水口</w:t>
                  </w:r>
                </w:p>
              </w:tc>
              <w:tc>
                <w:tcPr>
                  <w:tcW w:w="619" w:type="pct"/>
                  <w:vAlign w:val="center"/>
                </w:tcPr>
                <w:p w14:paraId="0208832D">
                  <w:pPr>
                    <w:pStyle w:val="48"/>
                  </w:pPr>
                  <w:r>
                    <w:rPr>
                      <w:rFonts w:hint="eastAsia"/>
                    </w:rPr>
                    <w:t>否</w:t>
                  </w:r>
                </w:p>
              </w:tc>
            </w:tr>
            <w:tr w14:paraId="3E2EF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c>
                <w:tcPr>
                  <w:tcW w:w="602" w:type="pct"/>
                  <w:vAlign w:val="center"/>
                </w:tcPr>
                <w:p w14:paraId="70E729A7">
                  <w:pPr>
                    <w:pStyle w:val="48"/>
                  </w:pPr>
                  <w:r>
                    <w:rPr>
                      <w:rFonts w:hint="eastAsia"/>
                    </w:rPr>
                    <w:t>海洋</w:t>
                  </w:r>
                </w:p>
              </w:tc>
              <w:tc>
                <w:tcPr>
                  <w:tcW w:w="2332" w:type="pct"/>
                  <w:vAlign w:val="center"/>
                </w:tcPr>
                <w:p w14:paraId="6F35EB32">
                  <w:pPr>
                    <w:pStyle w:val="48"/>
                    <w:rPr>
                      <w:color w:val="000000"/>
                      <w:szCs w:val="21"/>
                    </w:rPr>
                  </w:pPr>
                  <w:r>
                    <w:rPr>
                      <w:rFonts w:hint="eastAsia"/>
                      <w:color w:val="000000"/>
                      <w:szCs w:val="21"/>
                    </w:rPr>
                    <w:t>直接向海排放污染物的海洋工程建设项目</w:t>
                  </w:r>
                </w:p>
              </w:tc>
              <w:tc>
                <w:tcPr>
                  <w:tcW w:w="1444" w:type="pct"/>
                  <w:vAlign w:val="center"/>
                </w:tcPr>
                <w:p w14:paraId="028CBD00">
                  <w:pPr>
                    <w:pStyle w:val="48"/>
                  </w:pPr>
                  <w:r>
                    <w:rPr>
                      <w:rFonts w:hint="eastAsia"/>
                    </w:rPr>
                    <w:t>本项目不涉及海洋</w:t>
                  </w:r>
                </w:p>
              </w:tc>
              <w:tc>
                <w:tcPr>
                  <w:tcW w:w="619" w:type="pct"/>
                  <w:vAlign w:val="center"/>
                </w:tcPr>
                <w:p w14:paraId="6C3B68C3">
                  <w:pPr>
                    <w:pStyle w:val="48"/>
                  </w:pPr>
                  <w:r>
                    <w:rPr>
                      <w:rFonts w:hint="eastAsia"/>
                    </w:rPr>
                    <w:t>否</w:t>
                  </w:r>
                </w:p>
              </w:tc>
            </w:tr>
          </w:tbl>
          <w:p w14:paraId="17BCE305">
            <w:pPr>
              <w:pStyle w:val="25"/>
              <w:bidi w:val="0"/>
            </w:pPr>
            <w:r>
              <w:rPr>
                <w:rFonts w:hint="eastAsia"/>
              </w:rPr>
              <w:t>根据上表可知，</w:t>
            </w:r>
            <w:r>
              <w:rPr>
                <w:rFonts w:hint="eastAsia"/>
                <w:lang w:val="en-US" w:eastAsia="zh-CN"/>
              </w:rPr>
              <w:t>本项目需要设置环境风险专项评价</w:t>
            </w:r>
            <w:r>
              <w:rPr>
                <w:rFonts w:hint="eastAsia"/>
              </w:rPr>
              <w:t>。</w:t>
            </w:r>
          </w:p>
        </w:tc>
      </w:tr>
      <w:tr w14:paraId="1620D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50" w:type="dxa"/>
            <w:vAlign w:val="center"/>
          </w:tcPr>
          <w:p w14:paraId="709F7A71">
            <w:pPr>
              <w:pStyle w:val="26"/>
              <w:rPr>
                <w:sz w:val="24"/>
              </w:rPr>
            </w:pPr>
            <w:r>
              <w:rPr>
                <w:rFonts w:hint="eastAsia"/>
                <w:sz w:val="24"/>
              </w:rPr>
              <w:t>规划情况</w:t>
            </w:r>
          </w:p>
        </w:tc>
        <w:tc>
          <w:tcPr>
            <w:tcW w:w="7612" w:type="dxa"/>
            <w:gridSpan w:val="4"/>
          </w:tcPr>
          <w:p w14:paraId="1DE982A0">
            <w:pPr>
              <w:pStyle w:val="25"/>
              <w:ind w:firstLine="480"/>
            </w:pPr>
            <w:r>
              <w:rPr>
                <w:rFonts w:hint="eastAsia"/>
              </w:rPr>
              <w:t>规划名称：《</w:t>
            </w:r>
            <w:r>
              <w:rPr>
                <w:rFonts w:hint="eastAsia"/>
                <w:lang w:val="en-US" w:eastAsia="zh-CN"/>
              </w:rPr>
              <w:t>衡阳</w:t>
            </w:r>
            <w:r>
              <w:rPr>
                <w:rFonts w:hint="eastAsia"/>
              </w:rPr>
              <w:t>县国土空间总体规划（2021年~2035年）》</w:t>
            </w:r>
          </w:p>
          <w:p w14:paraId="09184261">
            <w:pPr>
              <w:pStyle w:val="25"/>
              <w:ind w:firstLine="480"/>
            </w:pPr>
            <w:r>
              <w:rPr>
                <w:rFonts w:hint="eastAsia"/>
              </w:rPr>
              <w:t>审批单位：湖南省人民政府</w:t>
            </w:r>
          </w:p>
          <w:p w14:paraId="417232B5">
            <w:pPr>
              <w:pStyle w:val="25"/>
              <w:ind w:firstLine="480"/>
            </w:pPr>
            <w:r>
              <w:rPr>
                <w:rFonts w:hint="eastAsia"/>
              </w:rPr>
              <w:t>审批文号：湘政函〔2024〕78号</w:t>
            </w:r>
          </w:p>
        </w:tc>
      </w:tr>
      <w:tr w14:paraId="67454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50" w:type="dxa"/>
            <w:vAlign w:val="center"/>
          </w:tcPr>
          <w:p w14:paraId="703C526B">
            <w:pPr>
              <w:pStyle w:val="26"/>
              <w:rPr>
                <w:sz w:val="24"/>
              </w:rPr>
            </w:pPr>
            <w:r>
              <w:rPr>
                <w:rFonts w:hint="eastAsia"/>
                <w:sz w:val="24"/>
              </w:rPr>
              <w:t>规划环境影</w:t>
            </w:r>
          </w:p>
          <w:p w14:paraId="2A319E6C">
            <w:pPr>
              <w:pStyle w:val="26"/>
              <w:rPr>
                <w:sz w:val="24"/>
              </w:rPr>
            </w:pPr>
            <w:r>
              <w:rPr>
                <w:rFonts w:hint="eastAsia"/>
                <w:sz w:val="24"/>
              </w:rPr>
              <w:t>响评价情况</w:t>
            </w:r>
          </w:p>
        </w:tc>
        <w:tc>
          <w:tcPr>
            <w:tcW w:w="7612" w:type="dxa"/>
            <w:gridSpan w:val="4"/>
            <w:vAlign w:val="center"/>
          </w:tcPr>
          <w:p w14:paraId="4C976688">
            <w:pPr>
              <w:pStyle w:val="25"/>
              <w:ind w:firstLine="480"/>
              <w:jc w:val="both"/>
              <w:rPr>
                <w:rFonts w:hint="eastAsia" w:eastAsia="宋体"/>
                <w:lang w:val="en-US" w:eastAsia="zh-CN"/>
              </w:rPr>
            </w:pPr>
            <w:r>
              <w:rPr>
                <w:rFonts w:hint="eastAsia"/>
                <w:lang w:val="en-US" w:eastAsia="zh-CN"/>
              </w:rPr>
              <w:t>无</w:t>
            </w:r>
          </w:p>
        </w:tc>
      </w:tr>
      <w:tr w14:paraId="75E1E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50" w:type="dxa"/>
            <w:vAlign w:val="center"/>
          </w:tcPr>
          <w:p w14:paraId="057E4BD9">
            <w:pPr>
              <w:pStyle w:val="26"/>
              <w:rPr>
                <w:sz w:val="24"/>
              </w:rPr>
            </w:pPr>
            <w:r>
              <w:rPr>
                <w:rFonts w:hint="eastAsia"/>
                <w:sz w:val="24"/>
              </w:rPr>
              <w:t>规划及规划</w:t>
            </w:r>
          </w:p>
          <w:p w14:paraId="33720278">
            <w:pPr>
              <w:pStyle w:val="26"/>
              <w:rPr>
                <w:sz w:val="24"/>
              </w:rPr>
            </w:pPr>
            <w:r>
              <w:rPr>
                <w:rFonts w:hint="eastAsia"/>
                <w:sz w:val="24"/>
              </w:rPr>
              <w:t>环境影响评</w:t>
            </w:r>
          </w:p>
          <w:p w14:paraId="4A3663EE">
            <w:pPr>
              <w:pStyle w:val="26"/>
              <w:rPr>
                <w:sz w:val="24"/>
              </w:rPr>
            </w:pPr>
            <w:r>
              <w:rPr>
                <w:rFonts w:hint="eastAsia"/>
                <w:sz w:val="24"/>
              </w:rPr>
              <w:t>价符合性分析</w:t>
            </w:r>
          </w:p>
        </w:tc>
        <w:tc>
          <w:tcPr>
            <w:tcW w:w="7612" w:type="dxa"/>
            <w:gridSpan w:val="4"/>
            <w:vAlign w:val="center"/>
          </w:tcPr>
          <w:p w14:paraId="26F6391D">
            <w:pPr>
              <w:pStyle w:val="25"/>
              <w:ind w:firstLine="480"/>
              <w:rPr>
                <w:rFonts w:hint="default" w:eastAsia="宋体"/>
                <w:lang w:val="en-US" w:eastAsia="zh-CN"/>
              </w:rPr>
            </w:pPr>
            <w:r>
              <w:rPr>
                <w:rFonts w:hint="eastAsia"/>
              </w:rPr>
              <w:t>经叠图分析，本项目用地不涉及</w:t>
            </w:r>
            <w:r>
              <w:rPr>
                <w:rFonts w:hint="eastAsia"/>
                <w:lang w:val="en-US" w:eastAsia="zh-CN"/>
              </w:rPr>
              <w:t>衡阳</w:t>
            </w:r>
            <w:r>
              <w:rPr>
                <w:rFonts w:hint="eastAsia"/>
              </w:rPr>
              <w:t>县生态保护红线、永久基本农田，项目用地位于城镇开发边界范围内。因此本项目建设符合《</w:t>
            </w:r>
            <w:r>
              <w:rPr>
                <w:rFonts w:hint="eastAsia"/>
                <w:lang w:val="en-US" w:eastAsia="zh-CN"/>
              </w:rPr>
              <w:t>衡阳</w:t>
            </w:r>
            <w:r>
              <w:rPr>
                <w:rFonts w:hint="eastAsia"/>
              </w:rPr>
              <w:t>县国土空间总体规划（2021年~2035年）》中关于县域国土空间控制线规划要求，根据其中心城区规划范围，本项目并未处于中心城区，本项目所处地块并未进行土地利用规划，</w:t>
            </w:r>
            <w:r>
              <w:rPr>
                <w:rFonts w:hint="eastAsia"/>
                <w:lang w:val="en-US" w:eastAsia="zh-CN"/>
              </w:rPr>
              <w:t>且本项目已经办理建设用地规划许可证，衡阳县自然资源局已批准项目地块作为工业用地使用。</w:t>
            </w:r>
          </w:p>
          <w:p w14:paraId="3B08DBA4">
            <w:pPr>
              <w:pStyle w:val="25"/>
              <w:bidi w:val="0"/>
            </w:pPr>
            <w:r>
              <w:rPr>
                <w:rFonts w:hint="eastAsia"/>
              </w:rPr>
              <w:t>综上所述，本项目建设符合《衡</w:t>
            </w:r>
            <w:r>
              <w:rPr>
                <w:rFonts w:hint="eastAsia"/>
                <w:lang w:val="en-US" w:eastAsia="zh-CN"/>
              </w:rPr>
              <w:t>阳</w:t>
            </w:r>
            <w:r>
              <w:rPr>
                <w:rFonts w:hint="eastAsia"/>
              </w:rPr>
              <w:t>县国土空间总体规划（2021年~2035年）》中相关要求。</w:t>
            </w:r>
          </w:p>
        </w:tc>
      </w:tr>
      <w:tr w14:paraId="101B2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50" w:type="dxa"/>
            <w:vAlign w:val="center"/>
          </w:tcPr>
          <w:p w14:paraId="4A6BCBC5">
            <w:pPr>
              <w:pStyle w:val="26"/>
              <w:rPr>
                <w:sz w:val="24"/>
              </w:rPr>
            </w:pPr>
            <w:r>
              <w:rPr>
                <w:rFonts w:hint="eastAsia"/>
                <w:sz w:val="24"/>
              </w:rPr>
              <w:t>其他符合</w:t>
            </w:r>
          </w:p>
          <w:p w14:paraId="18AC62C8">
            <w:pPr>
              <w:pStyle w:val="26"/>
              <w:rPr>
                <w:sz w:val="24"/>
              </w:rPr>
            </w:pPr>
            <w:r>
              <w:rPr>
                <w:rFonts w:hint="eastAsia"/>
                <w:sz w:val="24"/>
              </w:rPr>
              <w:t>性分析</w:t>
            </w:r>
          </w:p>
        </w:tc>
        <w:tc>
          <w:tcPr>
            <w:tcW w:w="7612" w:type="dxa"/>
            <w:gridSpan w:val="4"/>
          </w:tcPr>
          <w:p w14:paraId="2856417D">
            <w:pPr>
              <w:pStyle w:val="25"/>
              <w:ind w:firstLine="480"/>
              <w:rPr>
                <w:rFonts w:hint="eastAsia"/>
                <w:lang w:val="en-US" w:eastAsia="zh-CN"/>
              </w:rPr>
            </w:pPr>
            <w:r>
              <w:rPr>
                <w:rFonts w:hint="eastAsia"/>
                <w:lang w:val="en-US" w:eastAsia="zh-CN"/>
              </w:rPr>
              <w:t>1、产业政策符合性分析</w:t>
            </w:r>
          </w:p>
          <w:p w14:paraId="01DC28F0">
            <w:pPr>
              <w:pStyle w:val="25"/>
              <w:ind w:firstLine="480"/>
              <w:rPr>
                <w:rFonts w:hint="default"/>
                <w:lang w:val="en-US" w:eastAsia="zh-CN"/>
              </w:rPr>
            </w:pPr>
            <w:r>
              <w:rPr>
                <w:rFonts w:hint="eastAsia"/>
                <w:lang w:val="en-US" w:eastAsia="zh-CN"/>
              </w:rPr>
              <w:t>本项目属于G5941油气仓储、D4512液化石油气生产和供应业，对比《产业结构调整指导目录（2024年本）》，本项目不属于其中的“淘汰类”“限制类”及“鼓励类”，可视为“允许类”，因此项目建设符合国家产业政策。</w:t>
            </w:r>
          </w:p>
          <w:p w14:paraId="1EA93164">
            <w:pPr>
              <w:pStyle w:val="25"/>
              <w:ind w:firstLine="480"/>
              <w:rPr>
                <w:rFonts w:hint="eastAsia"/>
                <w:lang w:val="en-US" w:eastAsia="zh-CN"/>
              </w:rPr>
            </w:pPr>
            <w:r>
              <w:rPr>
                <w:rFonts w:hint="eastAsia"/>
                <w:lang w:val="en-US" w:eastAsia="zh-CN"/>
              </w:rPr>
              <w:t>2、生态环境管控要求符合性分析</w:t>
            </w:r>
          </w:p>
          <w:p w14:paraId="615C11FC">
            <w:pPr>
              <w:pStyle w:val="25"/>
              <w:ind w:firstLine="480"/>
              <w:rPr>
                <w:rFonts w:hint="eastAsia"/>
                <w:lang w:val="en-US" w:eastAsia="zh-CN"/>
              </w:rPr>
            </w:pPr>
            <w:r>
              <w:rPr>
                <w:rFonts w:hint="eastAsia"/>
                <w:lang w:val="en-US" w:eastAsia="zh-CN"/>
              </w:rPr>
              <w:t>（1）生态保护红线</w:t>
            </w:r>
          </w:p>
          <w:p w14:paraId="678606D8">
            <w:pPr>
              <w:pStyle w:val="25"/>
              <w:ind w:firstLine="480"/>
              <w:rPr>
                <w:rFonts w:hint="default"/>
                <w:lang w:val="en-US" w:eastAsia="zh-CN"/>
              </w:rPr>
            </w:pPr>
            <w:r>
              <w:rPr>
                <w:rFonts w:hint="eastAsia"/>
                <w:lang w:val="en-US" w:eastAsia="zh-CN"/>
              </w:rPr>
              <w:t>本项目</w:t>
            </w:r>
            <w:r>
              <w:rPr>
                <w:rFonts w:hint="eastAsia"/>
                <w:color w:val="FF0000"/>
                <w:lang w:val="en-US" w:eastAsia="zh-CN"/>
              </w:rPr>
              <w:t>已</w:t>
            </w:r>
            <w:r>
              <w:rPr>
                <w:rFonts w:hint="eastAsia"/>
                <w:lang w:val="en-US" w:eastAsia="zh-CN"/>
              </w:rPr>
              <w:t>获取衡阳县自然资源局颁发的建设用地规划许可证及不动产权证，确定本项目所用地块为工业用地，因此可判定项目用地不涉及生态保护红线。</w:t>
            </w:r>
          </w:p>
          <w:p w14:paraId="5C5D683B">
            <w:pPr>
              <w:pStyle w:val="25"/>
              <w:ind w:firstLine="480"/>
              <w:rPr>
                <w:rFonts w:hint="eastAsia"/>
                <w:lang w:val="en-US" w:eastAsia="zh-CN"/>
              </w:rPr>
            </w:pPr>
            <w:r>
              <w:rPr>
                <w:rFonts w:hint="eastAsia"/>
                <w:lang w:val="en-US" w:eastAsia="zh-CN"/>
              </w:rPr>
              <w:t>（2）资源利用上线</w:t>
            </w:r>
          </w:p>
          <w:p w14:paraId="479B4FA9">
            <w:pPr>
              <w:pStyle w:val="25"/>
              <w:ind w:firstLine="480"/>
              <w:rPr>
                <w:rFonts w:hint="default"/>
                <w:lang w:val="en-US" w:eastAsia="zh-CN"/>
              </w:rPr>
            </w:pPr>
            <w:r>
              <w:rPr>
                <w:rFonts w:hint="eastAsia"/>
                <w:lang w:val="en-US" w:eastAsia="zh-CN"/>
              </w:rPr>
              <w:t>本项目属于液化石油气供应业，主要进行液化石油气的分装，主要消耗能源为电能，且用电量较少，符合区域资源利用上线要求。</w:t>
            </w:r>
          </w:p>
          <w:p w14:paraId="1F05A65B">
            <w:pPr>
              <w:pStyle w:val="25"/>
              <w:ind w:firstLine="480"/>
              <w:rPr>
                <w:rFonts w:hint="eastAsia"/>
                <w:lang w:val="en-US" w:eastAsia="zh-CN"/>
              </w:rPr>
            </w:pPr>
            <w:r>
              <w:rPr>
                <w:rFonts w:hint="eastAsia"/>
                <w:lang w:val="en-US" w:eastAsia="zh-CN"/>
              </w:rPr>
              <w:t>（3）环境质量底线</w:t>
            </w:r>
          </w:p>
          <w:p w14:paraId="0FDB3D3B">
            <w:pPr>
              <w:pStyle w:val="25"/>
              <w:ind w:firstLine="480"/>
              <w:rPr>
                <w:rFonts w:hint="default"/>
                <w:lang w:val="en-US" w:eastAsia="zh-CN"/>
              </w:rPr>
            </w:pPr>
            <w:r>
              <w:rPr>
                <w:rFonts w:hint="eastAsia"/>
                <w:lang w:val="en-US" w:eastAsia="zh-CN"/>
              </w:rPr>
              <w:t>项目区域属于环境空气质量达标区，经补充检测，区域NMHC浓度也能满足《大气污染物综合排放标准详解》中推荐限值要求；项目周边地表水体（湘江）水质能够满足《地表水环境质量标准》（GB3838-2002）Ⅱ类水质标准要求；项目南侧和西侧敏感点声环境质量现状能够满足《声环境质量标准》（GB3096-2008）2类标准要求，东侧敏感点声环境质量现状能够满足4a类标准要求。项目所处区域环境容量充足，且本项目废气、噪声均能达标排放，无生产废水外排，生活污水经化粪池处理后用于周边农田施肥，生活垃圾委托环卫部门处置，残液委托有资质单位处置，项目各类污染物均能达标排放或妥善处置，不会突破区域环境质量底线。</w:t>
            </w:r>
          </w:p>
          <w:p w14:paraId="25CF82C2">
            <w:pPr>
              <w:pStyle w:val="25"/>
              <w:ind w:firstLine="480"/>
              <w:rPr>
                <w:rFonts w:hint="eastAsia"/>
                <w:lang w:val="en-US" w:eastAsia="zh-CN"/>
              </w:rPr>
            </w:pPr>
            <w:r>
              <w:rPr>
                <w:rFonts w:hint="eastAsia"/>
                <w:lang w:val="en-US" w:eastAsia="zh-CN"/>
              </w:rPr>
              <w:t>（4）生态环境准入清单</w:t>
            </w:r>
          </w:p>
          <w:p w14:paraId="4808EC52">
            <w:pPr>
              <w:pStyle w:val="25"/>
              <w:ind w:firstLine="480"/>
              <w:rPr>
                <w:rFonts w:hint="eastAsia"/>
                <w:lang w:val="en-US" w:eastAsia="zh-CN"/>
              </w:rPr>
            </w:pPr>
            <w:r>
              <w:rPr>
                <w:rFonts w:hint="eastAsia"/>
                <w:lang w:val="en-US" w:eastAsia="zh-CN"/>
              </w:rPr>
              <w:t>本项目位于衡阳县集兵镇，对比《衡阳市生态环境分区管控更新成果（2023年版）》，本项目与集兵镇生态环境管控要求相符，具体如下：</w:t>
            </w:r>
          </w:p>
          <w:p w14:paraId="68346C6A">
            <w:pPr>
              <w:pStyle w:val="24"/>
              <w:bidi w:val="0"/>
              <w:rPr>
                <w:rFonts w:hint="eastAsia"/>
                <w:lang w:val="en-US" w:eastAsia="zh-CN"/>
              </w:rPr>
            </w:pPr>
            <w:r>
              <w:rPr>
                <w:rFonts w:hint="eastAsia"/>
                <w:lang w:val="en-US" w:eastAsia="zh-CN"/>
              </w:rPr>
              <w:t>表1-2  项目与集兵镇生态环境管控要求相符性分析表</w:t>
            </w:r>
          </w:p>
          <w:tbl>
            <w:tblPr>
              <w:tblStyle w:val="19"/>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5"/>
              <w:gridCol w:w="417"/>
              <w:gridCol w:w="700"/>
              <w:gridCol w:w="719"/>
              <w:gridCol w:w="964"/>
              <w:gridCol w:w="305"/>
              <w:gridCol w:w="3078"/>
              <w:gridCol w:w="692"/>
            </w:tblGrid>
            <w:tr w14:paraId="3BC4A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7" w:type="pct"/>
                  <w:gridSpan w:val="2"/>
                  <w:vAlign w:val="center"/>
                </w:tcPr>
                <w:p w14:paraId="4DC4BBE3">
                  <w:pPr>
                    <w:pStyle w:val="26"/>
                    <w:bidi w:val="0"/>
                    <w:jc w:val="center"/>
                    <w:rPr>
                      <w:rFonts w:hint="default"/>
                      <w:lang w:val="en-US" w:eastAsia="zh-CN"/>
                    </w:rPr>
                  </w:pPr>
                  <w:r>
                    <w:rPr>
                      <w:rFonts w:hint="eastAsia"/>
                      <w:lang w:val="en-US" w:eastAsia="zh-CN"/>
                    </w:rPr>
                    <w:t>环境管控单元编码</w:t>
                  </w:r>
                </w:p>
              </w:tc>
              <w:tc>
                <w:tcPr>
                  <w:tcW w:w="464" w:type="pct"/>
                  <w:vAlign w:val="center"/>
                </w:tcPr>
                <w:p w14:paraId="24969F64">
                  <w:pPr>
                    <w:pStyle w:val="26"/>
                    <w:bidi w:val="0"/>
                    <w:jc w:val="center"/>
                    <w:rPr>
                      <w:rFonts w:hint="default"/>
                      <w:lang w:val="en-US" w:eastAsia="zh-CN"/>
                    </w:rPr>
                  </w:pPr>
                  <w:r>
                    <w:rPr>
                      <w:rFonts w:hint="eastAsia"/>
                      <w:lang w:val="en-US" w:eastAsia="zh-CN"/>
                    </w:rPr>
                    <w:t>单元名称</w:t>
                  </w:r>
                </w:p>
              </w:tc>
              <w:tc>
                <w:tcPr>
                  <w:tcW w:w="476" w:type="pct"/>
                  <w:vAlign w:val="center"/>
                </w:tcPr>
                <w:p w14:paraId="28F9893F">
                  <w:pPr>
                    <w:pStyle w:val="26"/>
                    <w:bidi w:val="0"/>
                    <w:jc w:val="center"/>
                    <w:rPr>
                      <w:rFonts w:hint="default"/>
                      <w:lang w:val="en-US" w:eastAsia="zh-CN"/>
                    </w:rPr>
                  </w:pPr>
                  <w:r>
                    <w:rPr>
                      <w:rFonts w:hint="eastAsia"/>
                      <w:lang w:val="en-US" w:eastAsia="zh-CN"/>
                    </w:rPr>
                    <w:t>单元分类</w:t>
                  </w:r>
                </w:p>
              </w:tc>
              <w:tc>
                <w:tcPr>
                  <w:tcW w:w="639" w:type="pct"/>
                  <w:vAlign w:val="center"/>
                </w:tcPr>
                <w:p w14:paraId="628D4374">
                  <w:pPr>
                    <w:pStyle w:val="26"/>
                    <w:bidi w:val="0"/>
                    <w:jc w:val="center"/>
                    <w:rPr>
                      <w:rFonts w:hint="default"/>
                      <w:lang w:val="en-US" w:eastAsia="zh-CN"/>
                    </w:rPr>
                  </w:pPr>
                  <w:r>
                    <w:rPr>
                      <w:rFonts w:hint="eastAsia"/>
                      <w:lang w:val="en-US" w:eastAsia="zh-CN"/>
                    </w:rPr>
                    <w:t>主体功能定位</w:t>
                  </w:r>
                </w:p>
              </w:tc>
              <w:tc>
                <w:tcPr>
                  <w:tcW w:w="2702" w:type="pct"/>
                  <w:gridSpan w:val="3"/>
                  <w:vAlign w:val="center"/>
                </w:tcPr>
                <w:p w14:paraId="6C5CDAC4">
                  <w:pPr>
                    <w:pStyle w:val="26"/>
                    <w:bidi w:val="0"/>
                    <w:jc w:val="center"/>
                    <w:rPr>
                      <w:rFonts w:hint="default"/>
                      <w:lang w:val="en-US" w:eastAsia="zh-CN"/>
                    </w:rPr>
                  </w:pPr>
                  <w:r>
                    <w:rPr>
                      <w:rFonts w:hint="eastAsia"/>
                      <w:lang w:val="en-US" w:eastAsia="zh-CN"/>
                    </w:rPr>
                    <w:t>主要环境问题及重要敏感目标</w:t>
                  </w:r>
                </w:p>
              </w:tc>
            </w:tr>
            <w:tr w14:paraId="3F9CC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7" w:type="pct"/>
                  <w:gridSpan w:val="2"/>
                  <w:vAlign w:val="center"/>
                </w:tcPr>
                <w:p w14:paraId="5414DA3A">
                  <w:pPr>
                    <w:pStyle w:val="26"/>
                    <w:bidi w:val="0"/>
                    <w:jc w:val="center"/>
                    <w:rPr>
                      <w:rFonts w:hint="default"/>
                      <w:lang w:val="en-US" w:eastAsia="zh-CN"/>
                    </w:rPr>
                  </w:pPr>
                  <w:r>
                    <w:rPr>
                      <w:rFonts w:hint="eastAsia"/>
                      <w:lang w:val="en-US" w:eastAsia="zh-CN"/>
                    </w:rPr>
                    <w:t>ZH43042130002</w:t>
                  </w:r>
                </w:p>
              </w:tc>
              <w:tc>
                <w:tcPr>
                  <w:tcW w:w="464" w:type="pct"/>
                  <w:vAlign w:val="center"/>
                </w:tcPr>
                <w:p w14:paraId="62423B30">
                  <w:pPr>
                    <w:pStyle w:val="26"/>
                    <w:bidi w:val="0"/>
                    <w:jc w:val="center"/>
                    <w:rPr>
                      <w:rFonts w:hint="default"/>
                      <w:lang w:val="en-US" w:eastAsia="zh-CN"/>
                    </w:rPr>
                  </w:pPr>
                  <w:r>
                    <w:rPr>
                      <w:rFonts w:hint="eastAsia"/>
                      <w:lang w:val="en-US" w:eastAsia="zh-CN"/>
                    </w:rPr>
                    <w:t>集兵镇</w:t>
                  </w:r>
                </w:p>
              </w:tc>
              <w:tc>
                <w:tcPr>
                  <w:tcW w:w="476" w:type="pct"/>
                  <w:vAlign w:val="center"/>
                </w:tcPr>
                <w:p w14:paraId="16916C41">
                  <w:pPr>
                    <w:pStyle w:val="26"/>
                    <w:bidi w:val="0"/>
                    <w:jc w:val="center"/>
                    <w:rPr>
                      <w:rFonts w:hint="default"/>
                      <w:lang w:val="en-US" w:eastAsia="zh-CN"/>
                    </w:rPr>
                  </w:pPr>
                  <w:r>
                    <w:rPr>
                      <w:rFonts w:hint="eastAsia"/>
                      <w:lang w:val="en-US" w:eastAsia="zh-CN"/>
                    </w:rPr>
                    <w:t>一般管控单元</w:t>
                  </w:r>
                </w:p>
              </w:tc>
              <w:tc>
                <w:tcPr>
                  <w:tcW w:w="639" w:type="pct"/>
                  <w:vAlign w:val="center"/>
                </w:tcPr>
                <w:p w14:paraId="5F4618B8">
                  <w:pPr>
                    <w:pStyle w:val="26"/>
                    <w:bidi w:val="0"/>
                    <w:jc w:val="center"/>
                    <w:rPr>
                      <w:rFonts w:hint="default"/>
                      <w:lang w:val="en-US" w:eastAsia="zh-CN"/>
                    </w:rPr>
                  </w:pPr>
                  <w:r>
                    <w:rPr>
                      <w:rFonts w:hint="eastAsia" w:ascii="宋体" w:hAnsi="宋体" w:eastAsia="宋体" w:cs="宋体"/>
                      <w:kern w:val="0"/>
                      <w:szCs w:val="21"/>
                      <w:highlight w:val="none"/>
                    </w:rPr>
                    <w:t>农产品主产区</w:t>
                  </w:r>
                </w:p>
              </w:tc>
              <w:tc>
                <w:tcPr>
                  <w:tcW w:w="2702" w:type="pct"/>
                  <w:gridSpan w:val="3"/>
                  <w:vAlign w:val="center"/>
                </w:tcPr>
                <w:p w14:paraId="79F2F8D7">
                  <w:pPr>
                    <w:pStyle w:val="26"/>
                    <w:bidi w:val="0"/>
                    <w:jc w:val="center"/>
                    <w:rPr>
                      <w:rFonts w:hint="eastAsia" w:ascii="宋体" w:hAnsi="宋体" w:eastAsia="宋体" w:cs="宋体"/>
                      <w:kern w:val="0"/>
                      <w:szCs w:val="21"/>
                      <w:highlight w:val="none"/>
                    </w:rPr>
                  </w:pPr>
                  <w:r>
                    <w:rPr>
                      <w:rFonts w:hint="eastAsia" w:ascii="宋体" w:hAnsi="宋体" w:eastAsia="宋体" w:cs="宋体"/>
                      <w:kern w:val="0"/>
                      <w:szCs w:val="21"/>
                      <w:highlight w:val="none"/>
                    </w:rPr>
                    <w:t>1、界牌镇高岭土、钠长石开采水土流失、生态破坏，废水未能实现“零排放”，其他乡镇污水管网配套建设滞后；</w:t>
                  </w:r>
                </w:p>
                <w:p w14:paraId="5BBE0CCA">
                  <w:pPr>
                    <w:pStyle w:val="26"/>
                    <w:bidi w:val="0"/>
                    <w:jc w:val="center"/>
                    <w:rPr>
                      <w:rFonts w:hint="eastAsia" w:ascii="宋体" w:hAnsi="宋体" w:eastAsia="宋体" w:cs="宋体"/>
                      <w:kern w:val="0"/>
                      <w:szCs w:val="21"/>
                      <w:highlight w:val="none"/>
                    </w:rPr>
                  </w:pPr>
                  <w:r>
                    <w:rPr>
                      <w:rFonts w:hint="eastAsia" w:ascii="宋体" w:hAnsi="宋体" w:eastAsia="宋体" w:cs="宋体"/>
                      <w:kern w:val="0"/>
                      <w:szCs w:val="21"/>
                      <w:highlight w:val="none"/>
                    </w:rPr>
                    <w:t>湖南岣嵝峰国家森林公园、湖南南岳衡山国家级自然保护区、湖南衡阳黄门寨省级地质公园、湘江衡阳段四大家鱼国家级水产种质资源保护区</w:t>
                  </w:r>
                </w:p>
              </w:tc>
            </w:tr>
            <w:tr w14:paraId="258A5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14:paraId="39A1FA16">
                  <w:pPr>
                    <w:pStyle w:val="26"/>
                    <w:bidi w:val="0"/>
                    <w:jc w:val="center"/>
                    <w:rPr>
                      <w:rFonts w:hint="default"/>
                      <w:lang w:val="en-US" w:eastAsia="zh-CN"/>
                    </w:rPr>
                  </w:pPr>
                  <w:r>
                    <w:rPr>
                      <w:rFonts w:hint="eastAsia"/>
                      <w:lang w:val="en-US" w:eastAsia="zh-CN"/>
                    </w:rPr>
                    <w:t>管控纬度</w:t>
                  </w:r>
                </w:p>
              </w:tc>
              <w:tc>
                <w:tcPr>
                  <w:tcW w:w="2059" w:type="pct"/>
                  <w:gridSpan w:val="5"/>
                  <w:vAlign w:val="center"/>
                </w:tcPr>
                <w:p w14:paraId="7B9A0AAF">
                  <w:pPr>
                    <w:pStyle w:val="26"/>
                    <w:bidi w:val="0"/>
                    <w:jc w:val="center"/>
                    <w:rPr>
                      <w:rFonts w:hint="default"/>
                      <w:lang w:val="en-US" w:eastAsia="zh-CN"/>
                    </w:rPr>
                  </w:pPr>
                  <w:r>
                    <w:rPr>
                      <w:rFonts w:hint="eastAsia"/>
                      <w:lang w:val="en-US" w:eastAsia="zh-CN"/>
                    </w:rPr>
                    <w:t>管控要求</w:t>
                  </w:r>
                </w:p>
              </w:tc>
              <w:tc>
                <w:tcPr>
                  <w:tcW w:w="2041" w:type="pct"/>
                  <w:vAlign w:val="center"/>
                </w:tcPr>
                <w:p w14:paraId="0C2A2A36">
                  <w:pPr>
                    <w:pStyle w:val="26"/>
                    <w:bidi w:val="0"/>
                    <w:jc w:val="center"/>
                    <w:rPr>
                      <w:rFonts w:hint="default"/>
                      <w:lang w:val="en-US" w:eastAsia="zh-CN"/>
                    </w:rPr>
                  </w:pPr>
                  <w:r>
                    <w:rPr>
                      <w:rFonts w:hint="eastAsia"/>
                      <w:lang w:val="en-US" w:eastAsia="zh-CN"/>
                    </w:rPr>
                    <w:t>项目情况</w:t>
                  </w:r>
                </w:p>
              </w:tc>
              <w:tc>
                <w:tcPr>
                  <w:tcW w:w="458" w:type="pct"/>
                  <w:vAlign w:val="center"/>
                </w:tcPr>
                <w:p w14:paraId="7ADF350A">
                  <w:pPr>
                    <w:pStyle w:val="26"/>
                    <w:bidi w:val="0"/>
                    <w:jc w:val="center"/>
                    <w:rPr>
                      <w:rFonts w:hint="default"/>
                      <w:lang w:val="en-US" w:eastAsia="zh-CN"/>
                    </w:rPr>
                  </w:pPr>
                  <w:r>
                    <w:rPr>
                      <w:rFonts w:hint="eastAsia"/>
                      <w:lang w:val="en-US" w:eastAsia="zh-CN"/>
                    </w:rPr>
                    <w:t>符合性</w:t>
                  </w:r>
                </w:p>
              </w:tc>
            </w:tr>
            <w:tr w14:paraId="7FC5D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14:paraId="4471A4F4">
                  <w:pPr>
                    <w:pStyle w:val="26"/>
                    <w:bidi w:val="0"/>
                    <w:jc w:val="center"/>
                    <w:rPr>
                      <w:rFonts w:hint="default"/>
                      <w:lang w:val="en-US" w:eastAsia="zh-CN"/>
                    </w:rPr>
                  </w:pPr>
                  <w:r>
                    <w:rPr>
                      <w:rFonts w:hint="eastAsia"/>
                      <w:lang w:val="en-US" w:eastAsia="zh-CN"/>
                    </w:rPr>
                    <w:t>空间布局约束</w:t>
                  </w:r>
                </w:p>
              </w:tc>
              <w:tc>
                <w:tcPr>
                  <w:tcW w:w="2059" w:type="pct"/>
                  <w:gridSpan w:val="5"/>
                  <w:vAlign w:val="center"/>
                </w:tcPr>
                <w:p w14:paraId="0103E6C2">
                  <w:pPr>
                    <w:pStyle w:val="26"/>
                    <w:bidi w:val="0"/>
                    <w:jc w:val="both"/>
                    <w:rPr>
                      <w:rFonts w:hint="eastAsia"/>
                      <w:lang w:val="en-US" w:eastAsia="zh-CN"/>
                    </w:rPr>
                  </w:pPr>
                  <w:r>
                    <w:rPr>
                      <w:rFonts w:hint="eastAsia"/>
                      <w:lang w:val="en-US" w:eastAsia="zh-CN"/>
                    </w:rPr>
                    <w:t>（1.1）除在安全或者产业布局等方面有特殊要求的以外，新建有污染物排放的工业项目，应当按照规定进入工业园区或者工业集聚区。</w:t>
                  </w:r>
                </w:p>
                <w:p w14:paraId="099FE394">
                  <w:pPr>
                    <w:pStyle w:val="26"/>
                    <w:bidi w:val="0"/>
                    <w:jc w:val="both"/>
                    <w:rPr>
                      <w:rFonts w:hint="eastAsia"/>
                      <w:lang w:val="en-US" w:eastAsia="zh-CN"/>
                    </w:rPr>
                  </w:pPr>
                  <w:r>
                    <w:rPr>
                      <w:rFonts w:hint="eastAsia"/>
                      <w:lang w:val="en-US" w:eastAsia="zh-CN"/>
                    </w:rPr>
                    <w:t>（1.2）养殖业按划定的禁养区、限养区、适养区实施分类管理。</w:t>
                  </w:r>
                </w:p>
              </w:tc>
              <w:tc>
                <w:tcPr>
                  <w:tcW w:w="2041" w:type="pct"/>
                  <w:vAlign w:val="center"/>
                </w:tcPr>
                <w:p w14:paraId="27911D0C">
                  <w:pPr>
                    <w:pStyle w:val="26"/>
                    <w:bidi w:val="0"/>
                    <w:jc w:val="both"/>
                    <w:rPr>
                      <w:rFonts w:hint="eastAsia"/>
                      <w:lang w:val="en-US" w:eastAsia="zh-CN"/>
                    </w:rPr>
                  </w:pPr>
                  <w:r>
                    <w:rPr>
                      <w:rFonts w:hint="eastAsia"/>
                      <w:lang w:val="en-US" w:eastAsia="zh-CN"/>
                    </w:rPr>
                    <w:t>（1.1）本项目属于液化石油气充装站建设项目，主要服务于集兵镇各区域，但集兵镇并无工业园或工业集聚区，因此本项目在选址方面有特殊要求；</w:t>
                  </w:r>
                </w:p>
                <w:p w14:paraId="23BA8AD6">
                  <w:pPr>
                    <w:pStyle w:val="26"/>
                    <w:bidi w:val="0"/>
                    <w:jc w:val="both"/>
                    <w:rPr>
                      <w:rFonts w:hint="default"/>
                      <w:lang w:val="en-US" w:eastAsia="zh-CN"/>
                    </w:rPr>
                  </w:pPr>
                  <w:r>
                    <w:rPr>
                      <w:rFonts w:hint="eastAsia"/>
                      <w:lang w:val="en-US" w:eastAsia="zh-CN"/>
                    </w:rPr>
                    <w:t>（1.2）本项目不涉及养殖</w:t>
                  </w:r>
                </w:p>
              </w:tc>
              <w:tc>
                <w:tcPr>
                  <w:tcW w:w="458" w:type="pct"/>
                  <w:vAlign w:val="center"/>
                </w:tcPr>
                <w:p w14:paraId="615D286E">
                  <w:pPr>
                    <w:pStyle w:val="26"/>
                    <w:bidi w:val="0"/>
                    <w:jc w:val="center"/>
                    <w:rPr>
                      <w:rFonts w:hint="default"/>
                      <w:lang w:val="en-US" w:eastAsia="zh-CN"/>
                    </w:rPr>
                  </w:pPr>
                  <w:r>
                    <w:rPr>
                      <w:rFonts w:hint="eastAsia"/>
                      <w:lang w:val="en-US" w:eastAsia="zh-CN"/>
                    </w:rPr>
                    <w:t>符合</w:t>
                  </w:r>
                </w:p>
              </w:tc>
            </w:tr>
            <w:tr w14:paraId="3285F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14:paraId="6C0067E6">
                  <w:pPr>
                    <w:pStyle w:val="26"/>
                    <w:bidi w:val="0"/>
                    <w:jc w:val="center"/>
                    <w:rPr>
                      <w:rFonts w:hint="default"/>
                      <w:lang w:val="en-US" w:eastAsia="zh-CN"/>
                    </w:rPr>
                  </w:pPr>
                  <w:r>
                    <w:rPr>
                      <w:rFonts w:hint="eastAsia"/>
                      <w:lang w:val="en-US" w:eastAsia="zh-CN"/>
                    </w:rPr>
                    <w:t>污染物排放管控</w:t>
                  </w:r>
                </w:p>
              </w:tc>
              <w:tc>
                <w:tcPr>
                  <w:tcW w:w="2059" w:type="pct"/>
                  <w:gridSpan w:val="5"/>
                  <w:vAlign w:val="center"/>
                </w:tcPr>
                <w:p w14:paraId="1A2A1886">
                  <w:pPr>
                    <w:kinsoku/>
                    <w:wordWrap/>
                    <w:overflowPunct/>
                    <w:topLinePunct w:val="0"/>
                    <w:bidi w:val="0"/>
                    <w:spacing w:line="300" w:lineRule="auto"/>
                    <w:jc w:val="both"/>
                    <w:textAlignment w:val="auto"/>
                    <w:rPr>
                      <w:rFonts w:hint="eastAsia" w:ascii="宋体" w:hAnsi="宋体" w:eastAsia="宋体" w:cs="宋体"/>
                      <w:szCs w:val="21"/>
                      <w:highlight w:val="none"/>
                    </w:rPr>
                  </w:pPr>
                  <w:r>
                    <w:rPr>
                      <w:rFonts w:hint="eastAsia" w:ascii="宋体" w:hAnsi="宋体" w:eastAsia="宋体" w:cs="宋体"/>
                      <w:szCs w:val="21"/>
                      <w:highlight w:val="none"/>
                    </w:rPr>
                    <w:t>（2.1）</w:t>
                  </w:r>
                  <w:r>
                    <w:rPr>
                      <w:rFonts w:hint="eastAsia" w:ascii="宋体" w:hAnsi="宋体" w:eastAsia="宋体" w:cs="宋体"/>
                      <w:strike w:val="0"/>
                      <w:dstrike w:val="0"/>
                      <w:kern w:val="0"/>
                      <w:szCs w:val="21"/>
                      <w:highlight w:val="none"/>
                    </w:rPr>
                    <w:t>因地制宜开展农村生活污水处理设施建设，完善“五位一体”的县域农村生活污水治理设施运维管理体系，建立长效的农村生活污水运行管理机制。</w:t>
                  </w:r>
                </w:p>
                <w:p w14:paraId="7E9EA987">
                  <w:pPr>
                    <w:pStyle w:val="26"/>
                    <w:bidi w:val="0"/>
                    <w:jc w:val="both"/>
                    <w:rPr>
                      <w:rFonts w:hint="eastAsia"/>
                      <w:lang w:val="en-US" w:eastAsia="zh-CN"/>
                    </w:rPr>
                  </w:pPr>
                  <w:r>
                    <w:rPr>
                      <w:rFonts w:hint="eastAsia" w:ascii="宋体" w:hAnsi="宋体" w:eastAsia="宋体" w:cs="宋体"/>
                      <w:szCs w:val="21"/>
                      <w:highlight w:val="none"/>
                    </w:rPr>
                    <w:t>（2.2）</w:t>
                  </w:r>
                  <w:r>
                    <w:rPr>
                      <w:rFonts w:hint="eastAsia" w:ascii="宋体" w:hAnsi="宋体" w:eastAsia="宋体" w:cs="宋体"/>
                      <w:strike w:val="0"/>
                      <w:dstrike w:val="0"/>
                      <w:szCs w:val="21"/>
                      <w:highlight w:val="none"/>
                    </w:rPr>
                    <w:t>重点行业企业实施强制清洁生产审核，重点工业企业完成无组织排放治理改造；强化重点行业挥发性有机物污染治理，实行区域内VOCs排放等量或倍量削减替代，交通运输设备制造、工程机械制造和家具制造行业全面推行油性漆改水性漆。禁止露天烧烤直排，</w:t>
                  </w:r>
                  <w:r>
                    <w:rPr>
                      <w:rFonts w:hint="eastAsia" w:ascii="宋体" w:hAnsi="宋体" w:eastAsia="宋体" w:cs="宋体"/>
                      <w:strike w:val="0"/>
                      <w:dstrike w:val="0"/>
                      <w:szCs w:val="21"/>
                      <w:highlight w:val="none"/>
                      <w:lang w:eastAsia="zh-CN"/>
                    </w:rPr>
                    <w:t>禁止垃圾露天焚烧</w:t>
                  </w:r>
                  <w:r>
                    <w:rPr>
                      <w:rFonts w:hint="eastAsia" w:ascii="宋体" w:hAnsi="宋体" w:eastAsia="宋体" w:cs="宋体"/>
                      <w:strike w:val="0"/>
                      <w:dstrike w:val="0"/>
                      <w:szCs w:val="21"/>
                      <w:highlight w:val="none"/>
                    </w:rPr>
                    <w:t>。禁止在商住、学校、医疗、养老机构、人口密集区和公共服务设施等周边新建有色金属冶炼、化工等行业企业</w:t>
                  </w:r>
                  <w:r>
                    <w:rPr>
                      <w:rFonts w:hint="eastAsia" w:ascii="宋体" w:hAnsi="宋体" w:eastAsia="宋体" w:cs="宋体"/>
                      <w:strike w:val="0"/>
                      <w:dstrike w:val="0"/>
                      <w:kern w:val="0"/>
                      <w:szCs w:val="21"/>
                      <w:highlight w:val="none"/>
                      <w:lang w:eastAsia="zh-CN"/>
                    </w:rPr>
                    <w:t>。</w:t>
                  </w:r>
                  <w:r>
                    <w:rPr>
                      <w:rFonts w:hint="eastAsia" w:ascii="宋体" w:hAnsi="宋体" w:eastAsia="宋体" w:cs="宋体"/>
                      <w:szCs w:val="21"/>
                      <w:highlight w:val="none"/>
                    </w:rPr>
                    <w:br w:type="textWrapping"/>
                  </w:r>
                  <w:r>
                    <w:rPr>
                      <w:rFonts w:hint="eastAsia" w:ascii="宋体" w:hAnsi="宋体" w:eastAsia="宋体" w:cs="宋体"/>
                      <w:strike w:val="0"/>
                      <w:dstrike w:val="0"/>
                      <w:szCs w:val="21"/>
                      <w:highlight w:val="none"/>
                    </w:rPr>
                    <w:t>（2.3）</w:t>
                  </w:r>
                  <w:r>
                    <w:rPr>
                      <w:rFonts w:hint="eastAsia" w:ascii="宋体" w:hAnsi="宋体" w:eastAsia="宋体" w:cs="宋体"/>
                      <w:strike w:val="0"/>
                      <w:dstrike w:val="0"/>
                      <w:kern w:val="0"/>
                      <w:szCs w:val="21"/>
                      <w:highlight w:val="none"/>
                      <w:lang w:eastAsia="zh-CN"/>
                    </w:rPr>
                    <w:t>完善垃圾收集外运设施，建立外运处理制度，禁止在集镇、居民点及其附近任意焚烧；加强畜禽养殖污染防治。畜禽规模养殖场（小区）配套建设废弃物处理设施的比例达到85%以上。</w:t>
                  </w:r>
                </w:p>
              </w:tc>
              <w:tc>
                <w:tcPr>
                  <w:tcW w:w="2041" w:type="pct"/>
                  <w:vAlign w:val="center"/>
                </w:tcPr>
                <w:p w14:paraId="4D43626A">
                  <w:pPr>
                    <w:pStyle w:val="26"/>
                    <w:bidi w:val="0"/>
                    <w:jc w:val="both"/>
                    <w:rPr>
                      <w:rFonts w:hint="eastAsia"/>
                      <w:lang w:val="en-US" w:eastAsia="zh-CN"/>
                    </w:rPr>
                  </w:pPr>
                  <w:r>
                    <w:rPr>
                      <w:rFonts w:hint="eastAsia"/>
                      <w:lang w:val="en-US" w:eastAsia="zh-CN"/>
                    </w:rPr>
                    <w:t>（2.1）本项目生活污水经化粪池处理后定期清掏用作农肥，属于生活污水资源化利用，符合要求；</w:t>
                  </w:r>
                </w:p>
                <w:p w14:paraId="66E7A93F">
                  <w:pPr>
                    <w:pStyle w:val="26"/>
                    <w:bidi w:val="0"/>
                    <w:jc w:val="both"/>
                    <w:rPr>
                      <w:rFonts w:hint="eastAsia"/>
                      <w:lang w:val="en-US" w:eastAsia="zh-CN"/>
                    </w:rPr>
                  </w:pPr>
                  <w:r>
                    <w:rPr>
                      <w:rFonts w:hint="eastAsia"/>
                      <w:lang w:val="en-US" w:eastAsia="zh-CN"/>
                    </w:rPr>
                    <w:t>（2.2）建设单位不属于重点行业企业，本项目液化石油气的贮存及充装均属于高压作业，全密封作业，尽量降低了VOCs的无组织排放。本项目不属于有色金属冶炼、化工等行业企业。</w:t>
                  </w:r>
                </w:p>
                <w:p w14:paraId="7FD7206A">
                  <w:pPr>
                    <w:pStyle w:val="26"/>
                    <w:bidi w:val="0"/>
                    <w:jc w:val="both"/>
                    <w:rPr>
                      <w:rFonts w:hint="default"/>
                      <w:lang w:val="en-US" w:eastAsia="zh-CN"/>
                    </w:rPr>
                  </w:pPr>
                  <w:r>
                    <w:rPr>
                      <w:rFonts w:hint="eastAsia"/>
                      <w:lang w:val="en-US" w:eastAsia="zh-CN"/>
                    </w:rPr>
                    <w:t>（2.3）本项目生活垃圾委托当地环卫部门处置，残液委托有资质单位收集处置，不涉及一般固废。</w:t>
                  </w:r>
                </w:p>
              </w:tc>
              <w:tc>
                <w:tcPr>
                  <w:tcW w:w="458" w:type="pct"/>
                  <w:vAlign w:val="center"/>
                </w:tcPr>
                <w:p w14:paraId="43ACCECE">
                  <w:pPr>
                    <w:pStyle w:val="26"/>
                    <w:bidi w:val="0"/>
                    <w:jc w:val="center"/>
                    <w:rPr>
                      <w:rFonts w:hint="default"/>
                      <w:lang w:val="en-US" w:eastAsia="zh-CN"/>
                    </w:rPr>
                  </w:pPr>
                  <w:r>
                    <w:rPr>
                      <w:rFonts w:hint="eastAsia"/>
                      <w:lang w:val="en-US" w:eastAsia="zh-CN"/>
                    </w:rPr>
                    <w:t>符合</w:t>
                  </w:r>
                </w:p>
              </w:tc>
            </w:tr>
            <w:tr w14:paraId="305FA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14:paraId="4F43CC05">
                  <w:pPr>
                    <w:pStyle w:val="26"/>
                    <w:bidi w:val="0"/>
                    <w:jc w:val="center"/>
                    <w:rPr>
                      <w:rFonts w:hint="default"/>
                      <w:lang w:val="en-US" w:eastAsia="zh-CN"/>
                    </w:rPr>
                  </w:pPr>
                  <w:r>
                    <w:rPr>
                      <w:rFonts w:hint="eastAsia"/>
                      <w:lang w:val="en-US" w:eastAsia="zh-CN"/>
                    </w:rPr>
                    <w:t>环境风险防控</w:t>
                  </w:r>
                </w:p>
              </w:tc>
              <w:tc>
                <w:tcPr>
                  <w:tcW w:w="2059" w:type="pct"/>
                  <w:gridSpan w:val="5"/>
                  <w:vAlign w:val="center"/>
                </w:tcPr>
                <w:p w14:paraId="2B152D71">
                  <w:pPr>
                    <w:pStyle w:val="26"/>
                    <w:bidi w:val="0"/>
                    <w:jc w:val="both"/>
                    <w:rPr>
                      <w:rFonts w:hint="eastAsia"/>
                      <w:lang w:val="en-US" w:eastAsia="zh-CN"/>
                    </w:rPr>
                  </w:pPr>
                  <w:r>
                    <w:rPr>
                      <w:rFonts w:hint="eastAsia" w:ascii="宋体" w:hAnsi="宋体" w:eastAsia="宋体" w:cs="宋体"/>
                      <w:szCs w:val="21"/>
                      <w:highlight w:val="none"/>
                    </w:rPr>
                    <w:t>（3.1）</w:t>
                  </w:r>
                  <w:r>
                    <w:rPr>
                      <w:rFonts w:hint="eastAsia" w:ascii="宋体" w:hAnsi="宋体" w:eastAsia="宋体" w:cs="宋体"/>
                      <w:strike w:val="0"/>
                      <w:dstrike w:val="0"/>
                      <w:kern w:val="0"/>
                      <w:szCs w:val="21"/>
                      <w:highlight w:val="none"/>
                    </w:rPr>
                    <w:t>加强生态环境保护日常监管和线下监控，健全环境风险预警防控体系，推进重点流域、重要水源地风险防控；建立生态环境风险隐患排查制度和重大生态环境风险源数据库，实行动态跟踪监控和管理；设立生态环境风险监督员，及时核查核实群众举报、舆情反映等渠道获取的问题，建立问题清单和整改清单，消除环境风险。</w:t>
                  </w:r>
                  <w:r>
                    <w:rPr>
                      <w:rFonts w:hint="eastAsia" w:ascii="宋体" w:hAnsi="宋体" w:eastAsia="宋体" w:cs="宋体"/>
                      <w:strike/>
                      <w:dstrike w:val="0"/>
                      <w:szCs w:val="21"/>
                      <w:highlight w:val="none"/>
                    </w:rPr>
                    <w:br w:type="textWrapping"/>
                  </w:r>
                  <w:r>
                    <w:rPr>
                      <w:rFonts w:hint="eastAsia" w:ascii="宋体" w:hAnsi="宋体" w:eastAsia="宋体" w:cs="宋体"/>
                      <w:strike w:val="0"/>
                      <w:dstrike w:val="0"/>
                      <w:szCs w:val="21"/>
                      <w:highlight w:val="none"/>
                    </w:rPr>
                    <w:t>（3.2）</w:t>
                  </w:r>
                  <w:r>
                    <w:rPr>
                      <w:rFonts w:hint="eastAsia" w:ascii="宋体" w:hAnsi="宋体" w:eastAsia="宋体" w:cs="宋体"/>
                      <w:bCs/>
                      <w:szCs w:val="21"/>
                      <w:highlight w:val="none"/>
                    </w:rPr>
                    <w:t>加强污染耕地环境风险控制</w:t>
                  </w:r>
                  <w:r>
                    <w:rPr>
                      <w:rFonts w:hint="eastAsia" w:ascii="宋体" w:hAnsi="宋体" w:eastAsia="宋体" w:cs="宋体"/>
                      <w:bCs/>
                      <w:szCs w:val="21"/>
                      <w:highlight w:val="none"/>
                      <w:lang w:eastAsia="zh-CN"/>
                    </w:rPr>
                    <w:t>。</w:t>
                  </w:r>
                  <w:r>
                    <w:rPr>
                      <w:rFonts w:hint="eastAsia" w:ascii="宋体" w:hAnsi="宋体" w:eastAsia="宋体" w:cs="宋体"/>
                      <w:bCs/>
                      <w:szCs w:val="21"/>
                      <w:highlight w:val="none"/>
                    </w:rPr>
                    <w:t>对已污染的耕地实施分类管理，采取农艺调控、种植业结构调整、土壤污染治理与修复等措施，确保耕地安全利用；污染严重且难以修复的耕地依法划定为农产品禁止生产区域。加强农用土地复垦风险评估管理</w:t>
                  </w:r>
                  <w:r>
                    <w:rPr>
                      <w:rFonts w:hint="eastAsia" w:ascii="宋体" w:hAnsi="宋体" w:eastAsia="宋体" w:cs="宋体"/>
                      <w:bCs/>
                      <w:szCs w:val="21"/>
                      <w:highlight w:val="none"/>
                      <w:lang w:eastAsia="zh-CN"/>
                    </w:rPr>
                    <w:t>。</w:t>
                  </w:r>
                </w:p>
              </w:tc>
              <w:tc>
                <w:tcPr>
                  <w:tcW w:w="2041" w:type="pct"/>
                  <w:vAlign w:val="center"/>
                </w:tcPr>
                <w:p w14:paraId="134682F1">
                  <w:pPr>
                    <w:pStyle w:val="26"/>
                    <w:bidi w:val="0"/>
                    <w:jc w:val="both"/>
                    <w:rPr>
                      <w:rFonts w:hint="eastAsia"/>
                      <w:lang w:val="en-US" w:eastAsia="zh-CN"/>
                    </w:rPr>
                  </w:pPr>
                  <w:r>
                    <w:rPr>
                      <w:rFonts w:hint="eastAsia"/>
                      <w:lang w:val="en-US" w:eastAsia="zh-CN"/>
                    </w:rPr>
                    <w:t>（3.1）本项目已落实相关安全防控距离要求，本次环评编制了环境风险专项评价，对项目环境风险进行了全面评估，并提出了环境风险防范措施和应急措施，项目在落实环评所提措施后，环境风险可控。</w:t>
                  </w:r>
                </w:p>
                <w:p w14:paraId="740DFDE4">
                  <w:pPr>
                    <w:pStyle w:val="26"/>
                    <w:bidi w:val="0"/>
                    <w:jc w:val="both"/>
                    <w:rPr>
                      <w:rFonts w:hint="default"/>
                      <w:lang w:val="en-US" w:eastAsia="zh-CN"/>
                    </w:rPr>
                  </w:pPr>
                  <w:r>
                    <w:rPr>
                      <w:rFonts w:hint="eastAsia"/>
                      <w:lang w:val="en-US" w:eastAsia="zh-CN"/>
                    </w:rPr>
                    <w:t>（3.2）本项目不涉及耕地。</w:t>
                  </w:r>
                </w:p>
              </w:tc>
              <w:tc>
                <w:tcPr>
                  <w:tcW w:w="458" w:type="pct"/>
                  <w:vAlign w:val="center"/>
                </w:tcPr>
                <w:p w14:paraId="045FF6B0">
                  <w:pPr>
                    <w:pStyle w:val="26"/>
                    <w:bidi w:val="0"/>
                    <w:jc w:val="center"/>
                    <w:rPr>
                      <w:rFonts w:hint="default"/>
                      <w:lang w:val="en-US" w:eastAsia="zh-CN"/>
                    </w:rPr>
                  </w:pPr>
                  <w:r>
                    <w:rPr>
                      <w:rFonts w:hint="eastAsia"/>
                      <w:lang w:val="en-US" w:eastAsia="zh-CN"/>
                    </w:rPr>
                    <w:t>符合</w:t>
                  </w:r>
                </w:p>
              </w:tc>
            </w:tr>
            <w:tr w14:paraId="6986A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14:paraId="12E80C9C">
                  <w:pPr>
                    <w:pStyle w:val="26"/>
                    <w:bidi w:val="0"/>
                    <w:jc w:val="center"/>
                    <w:rPr>
                      <w:rFonts w:hint="default"/>
                      <w:lang w:val="en-US" w:eastAsia="zh-CN"/>
                    </w:rPr>
                  </w:pPr>
                  <w:r>
                    <w:rPr>
                      <w:rFonts w:hint="eastAsia"/>
                      <w:lang w:val="en-US" w:eastAsia="zh-CN"/>
                    </w:rPr>
                    <w:t>资源开发效率要求</w:t>
                  </w:r>
                </w:p>
              </w:tc>
              <w:tc>
                <w:tcPr>
                  <w:tcW w:w="2059" w:type="pct"/>
                  <w:gridSpan w:val="5"/>
                  <w:vAlign w:val="center"/>
                </w:tcPr>
                <w:p w14:paraId="676E11F0">
                  <w:pPr>
                    <w:pStyle w:val="26"/>
                    <w:bidi w:val="0"/>
                    <w:jc w:val="both"/>
                    <w:rPr>
                      <w:rFonts w:hint="eastAsia"/>
                      <w:lang w:val="en-US" w:eastAsia="zh-CN"/>
                    </w:rPr>
                  </w:pPr>
                  <w:r>
                    <w:rPr>
                      <w:rFonts w:hint="eastAsia" w:ascii="宋体" w:hAnsi="宋体" w:eastAsia="宋体" w:cs="宋体"/>
                      <w:szCs w:val="21"/>
                      <w:highlight w:val="none"/>
                    </w:rPr>
                    <w:t>（4.1）能源：</w:t>
                  </w:r>
                  <w:r>
                    <w:rPr>
                      <w:rFonts w:hint="eastAsia" w:ascii="宋体" w:hAnsi="宋体" w:eastAsia="宋体" w:cs="宋体"/>
                      <w:kern w:val="0"/>
                      <w:szCs w:val="21"/>
                      <w:highlight w:val="none"/>
                      <w:lang w:eastAsia="zh-CN"/>
                    </w:rPr>
                    <w:t>鼓励企业使用清洁能源，营造全社会节能减排和保护环境的良好氛围。激发用户侧可再生能源电力需求，鼓励用户绿色出行。</w:t>
                  </w:r>
                  <w:r>
                    <w:rPr>
                      <w:rFonts w:hint="eastAsia" w:ascii="宋体" w:hAnsi="宋体" w:eastAsia="宋体" w:cs="宋体"/>
                      <w:szCs w:val="21"/>
                      <w:highlight w:val="none"/>
                    </w:rPr>
                    <w:br w:type="textWrapping"/>
                  </w:r>
                  <w:r>
                    <w:rPr>
                      <w:rFonts w:hint="eastAsia" w:ascii="宋体" w:hAnsi="宋体" w:eastAsia="宋体" w:cs="宋体"/>
                      <w:szCs w:val="21"/>
                      <w:highlight w:val="none"/>
                    </w:rPr>
                    <w:t>（4.2）水资源：</w:t>
                  </w:r>
                  <w:r>
                    <w:rPr>
                      <w:rFonts w:hint="eastAsia" w:ascii="宋体" w:hAnsi="宋体" w:eastAsia="宋体" w:cs="宋体"/>
                      <w:kern w:val="0"/>
                      <w:szCs w:val="21"/>
                      <w:highlight w:val="none"/>
                    </w:rPr>
                    <w:t>落实水资源消耗总量和强度双控行动，推动经济社会发展布局与水资源承载能力相适应</w:t>
                  </w:r>
                  <w:r>
                    <w:rPr>
                      <w:rFonts w:hint="eastAsia" w:ascii="宋体" w:hAnsi="宋体" w:eastAsia="宋体" w:cs="宋体"/>
                      <w:kern w:val="0"/>
                      <w:szCs w:val="21"/>
                      <w:highlight w:val="none"/>
                      <w:lang w:eastAsia="zh-CN"/>
                    </w:rPr>
                    <w:t>。</w:t>
                  </w:r>
                </w:p>
              </w:tc>
              <w:tc>
                <w:tcPr>
                  <w:tcW w:w="2041" w:type="pct"/>
                  <w:vAlign w:val="center"/>
                </w:tcPr>
                <w:p w14:paraId="4C233D74">
                  <w:pPr>
                    <w:pStyle w:val="26"/>
                    <w:bidi w:val="0"/>
                    <w:jc w:val="center"/>
                    <w:rPr>
                      <w:rFonts w:hint="eastAsia"/>
                      <w:lang w:val="en-US" w:eastAsia="zh-CN"/>
                    </w:rPr>
                  </w:pPr>
                  <w:r>
                    <w:rPr>
                      <w:rFonts w:hint="eastAsia"/>
                      <w:lang w:val="en-US" w:eastAsia="zh-CN"/>
                    </w:rPr>
                    <w:t>（4.1）本项目使用电能，且用量较少，符合节能减排要求；</w:t>
                  </w:r>
                </w:p>
                <w:p w14:paraId="341B8D6C">
                  <w:pPr>
                    <w:pStyle w:val="26"/>
                    <w:bidi w:val="0"/>
                    <w:jc w:val="center"/>
                    <w:rPr>
                      <w:rFonts w:hint="default"/>
                      <w:lang w:val="en-US" w:eastAsia="zh-CN"/>
                    </w:rPr>
                  </w:pPr>
                  <w:r>
                    <w:rPr>
                      <w:rFonts w:hint="eastAsia"/>
                      <w:lang w:val="en-US" w:eastAsia="zh-CN"/>
                    </w:rPr>
                    <w:t>（4.2）本项目</w:t>
                  </w:r>
                  <w:r>
                    <w:rPr>
                      <w:rFonts w:hint="eastAsia"/>
                      <w:color w:val="FF0000"/>
                      <w:lang w:val="en-US" w:eastAsia="zh-CN"/>
                    </w:rPr>
                    <w:t>无生产用水</w:t>
                  </w:r>
                  <w:r>
                    <w:rPr>
                      <w:rFonts w:hint="eastAsia"/>
                      <w:lang w:val="en-US" w:eastAsia="zh-CN"/>
                    </w:rPr>
                    <w:t>，仅少量生活用水</w:t>
                  </w:r>
                </w:p>
              </w:tc>
              <w:tc>
                <w:tcPr>
                  <w:tcW w:w="458" w:type="pct"/>
                  <w:vAlign w:val="center"/>
                </w:tcPr>
                <w:p w14:paraId="0F57831C">
                  <w:pPr>
                    <w:pStyle w:val="26"/>
                    <w:bidi w:val="0"/>
                    <w:jc w:val="center"/>
                    <w:rPr>
                      <w:rFonts w:hint="default"/>
                      <w:lang w:val="en-US" w:eastAsia="zh-CN"/>
                    </w:rPr>
                  </w:pPr>
                  <w:r>
                    <w:rPr>
                      <w:rFonts w:hint="eastAsia"/>
                      <w:lang w:val="en-US" w:eastAsia="zh-CN"/>
                    </w:rPr>
                    <w:t>符合</w:t>
                  </w:r>
                </w:p>
              </w:tc>
            </w:tr>
          </w:tbl>
          <w:p w14:paraId="4876EBE1">
            <w:pPr>
              <w:pStyle w:val="25"/>
              <w:ind w:firstLine="480"/>
              <w:rPr>
                <w:rFonts w:hint="eastAsia"/>
                <w:lang w:val="en-US" w:eastAsia="zh-CN"/>
              </w:rPr>
            </w:pPr>
            <w:r>
              <w:rPr>
                <w:rFonts w:hint="eastAsia"/>
                <w:lang w:val="en-US" w:eastAsia="zh-CN"/>
              </w:rPr>
              <w:t>3、与《液化石油气供应工程设计规范》（GB51142-2015）符合性分析</w:t>
            </w:r>
          </w:p>
          <w:p w14:paraId="491F7D64">
            <w:pPr>
              <w:pStyle w:val="25"/>
              <w:ind w:firstLine="480"/>
              <w:rPr>
                <w:rFonts w:hint="eastAsia"/>
                <w:lang w:val="en-US" w:eastAsia="zh-CN"/>
              </w:rPr>
            </w:pPr>
            <w:r>
              <w:rPr>
                <w:rFonts w:hint="eastAsia"/>
                <w:lang w:val="en-US" w:eastAsia="zh-CN"/>
              </w:rPr>
              <w:t>本项目属于液化石油气灌装站，对比相关要求如下：</w:t>
            </w:r>
          </w:p>
          <w:p w14:paraId="6B089A42">
            <w:pPr>
              <w:pStyle w:val="63"/>
              <w:bidi w:val="0"/>
              <w:rPr>
                <w:rFonts w:hint="default"/>
                <w:lang w:val="en-US" w:eastAsia="zh-CN"/>
              </w:rPr>
            </w:pPr>
            <w:r>
              <w:rPr>
                <w:rFonts w:hint="eastAsia"/>
                <w:lang w:val="en-US" w:eastAsia="zh-CN"/>
              </w:rPr>
              <w:t>表1-3  与《液化石油气供应工程设计规范》符合性分析表</w:t>
            </w:r>
          </w:p>
          <w:tbl>
            <w:tblPr>
              <w:tblStyle w:val="19"/>
              <w:tblW w:w="75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3096"/>
              <w:gridCol w:w="2904"/>
              <w:gridCol w:w="874"/>
            </w:tblGrid>
            <w:tr w14:paraId="580BD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Align w:val="center"/>
                </w:tcPr>
                <w:p w14:paraId="0B1B08E3">
                  <w:pPr>
                    <w:pStyle w:val="26"/>
                    <w:bidi w:val="0"/>
                    <w:jc w:val="center"/>
                    <w:rPr>
                      <w:rFonts w:hint="default"/>
                      <w:lang w:val="en-US" w:eastAsia="zh-CN"/>
                    </w:rPr>
                  </w:pPr>
                  <w:r>
                    <w:rPr>
                      <w:rFonts w:hint="eastAsia"/>
                      <w:lang w:val="en-US" w:eastAsia="zh-CN"/>
                    </w:rPr>
                    <w:t>类别</w:t>
                  </w:r>
                </w:p>
              </w:tc>
              <w:tc>
                <w:tcPr>
                  <w:tcW w:w="3096" w:type="dxa"/>
                  <w:vAlign w:val="center"/>
                </w:tcPr>
                <w:p w14:paraId="3DB1CFB3">
                  <w:pPr>
                    <w:pStyle w:val="26"/>
                    <w:bidi w:val="0"/>
                    <w:jc w:val="center"/>
                    <w:rPr>
                      <w:rFonts w:hint="default"/>
                      <w:lang w:val="en-US" w:eastAsia="zh-CN"/>
                    </w:rPr>
                  </w:pPr>
                  <w:r>
                    <w:rPr>
                      <w:rFonts w:hint="eastAsia"/>
                      <w:lang w:val="en-US" w:eastAsia="zh-CN"/>
                    </w:rPr>
                    <w:t>规范要求</w:t>
                  </w:r>
                </w:p>
              </w:tc>
              <w:tc>
                <w:tcPr>
                  <w:tcW w:w="2904" w:type="dxa"/>
                  <w:vAlign w:val="center"/>
                </w:tcPr>
                <w:p w14:paraId="25870F23">
                  <w:pPr>
                    <w:pStyle w:val="26"/>
                    <w:bidi w:val="0"/>
                    <w:jc w:val="center"/>
                    <w:rPr>
                      <w:rFonts w:hint="default"/>
                      <w:lang w:val="en-US" w:eastAsia="zh-CN"/>
                    </w:rPr>
                  </w:pPr>
                  <w:r>
                    <w:rPr>
                      <w:rFonts w:hint="eastAsia"/>
                      <w:lang w:val="en-US" w:eastAsia="zh-CN"/>
                    </w:rPr>
                    <w:t>项目情况</w:t>
                  </w:r>
                </w:p>
              </w:tc>
              <w:tc>
                <w:tcPr>
                  <w:tcW w:w="874" w:type="dxa"/>
                  <w:vAlign w:val="center"/>
                </w:tcPr>
                <w:p w14:paraId="6E0CF832">
                  <w:pPr>
                    <w:pStyle w:val="26"/>
                    <w:bidi w:val="0"/>
                    <w:jc w:val="center"/>
                    <w:rPr>
                      <w:rFonts w:hint="default"/>
                      <w:lang w:val="en-US" w:eastAsia="zh-CN"/>
                    </w:rPr>
                  </w:pPr>
                  <w:r>
                    <w:rPr>
                      <w:rFonts w:hint="eastAsia"/>
                      <w:lang w:val="en-US" w:eastAsia="zh-CN"/>
                    </w:rPr>
                    <w:t>符合性</w:t>
                  </w:r>
                </w:p>
              </w:tc>
            </w:tr>
            <w:tr w14:paraId="52BCE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restart"/>
                  <w:vAlign w:val="center"/>
                </w:tcPr>
                <w:p w14:paraId="38ABA930">
                  <w:pPr>
                    <w:pStyle w:val="26"/>
                    <w:bidi w:val="0"/>
                    <w:jc w:val="center"/>
                    <w:rPr>
                      <w:rFonts w:hint="default"/>
                      <w:lang w:val="en-US" w:eastAsia="zh-CN"/>
                    </w:rPr>
                  </w:pPr>
                  <w:r>
                    <w:rPr>
                      <w:rFonts w:hint="eastAsia"/>
                      <w:lang w:val="en-US" w:eastAsia="zh-CN"/>
                    </w:rPr>
                    <w:t>一般规定</w:t>
                  </w:r>
                </w:p>
              </w:tc>
              <w:tc>
                <w:tcPr>
                  <w:tcW w:w="3096" w:type="dxa"/>
                  <w:vAlign w:val="center"/>
                </w:tcPr>
                <w:p w14:paraId="6C170D0C">
                  <w:pPr>
                    <w:pStyle w:val="26"/>
                    <w:bidi w:val="0"/>
                    <w:jc w:val="center"/>
                    <w:rPr>
                      <w:rFonts w:hint="default"/>
                      <w:lang w:val="en-US" w:eastAsia="zh-CN"/>
                    </w:rPr>
                  </w:pPr>
                  <w:r>
                    <w:rPr>
                      <w:rFonts w:hint="eastAsia"/>
                      <w:lang w:val="en-US" w:eastAsia="zh-CN"/>
                    </w:rPr>
                    <w:t>液化石油气灌装站选址的选择应符合城镇总体规划和城镇燃气专项规划</w:t>
                  </w:r>
                </w:p>
              </w:tc>
              <w:tc>
                <w:tcPr>
                  <w:tcW w:w="2904" w:type="dxa"/>
                  <w:vAlign w:val="center"/>
                </w:tcPr>
                <w:p w14:paraId="56661D43">
                  <w:pPr>
                    <w:pStyle w:val="26"/>
                    <w:bidi w:val="0"/>
                    <w:jc w:val="center"/>
                    <w:rPr>
                      <w:rFonts w:hint="default"/>
                      <w:lang w:val="en-US" w:eastAsia="zh-CN"/>
                    </w:rPr>
                  </w:pPr>
                  <w:r>
                    <w:rPr>
                      <w:rFonts w:hint="eastAsia"/>
                      <w:lang w:val="en-US" w:eastAsia="zh-CN"/>
                    </w:rPr>
                    <w:t>本项目已获得衡阳县自然资源局颁发的建设工程规划许可证，项目符合相关规划</w:t>
                  </w:r>
                </w:p>
              </w:tc>
              <w:tc>
                <w:tcPr>
                  <w:tcW w:w="874" w:type="dxa"/>
                  <w:vAlign w:val="center"/>
                </w:tcPr>
                <w:p w14:paraId="3CA28ABE">
                  <w:pPr>
                    <w:pStyle w:val="26"/>
                    <w:bidi w:val="0"/>
                    <w:jc w:val="center"/>
                    <w:rPr>
                      <w:rFonts w:hint="default"/>
                      <w:lang w:val="en-US" w:eastAsia="zh-CN"/>
                    </w:rPr>
                  </w:pPr>
                  <w:r>
                    <w:rPr>
                      <w:rFonts w:hint="eastAsia"/>
                      <w:lang w:val="en-US" w:eastAsia="zh-CN"/>
                    </w:rPr>
                    <w:t>符合</w:t>
                  </w:r>
                </w:p>
              </w:tc>
            </w:tr>
            <w:tr w14:paraId="28D4A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14:paraId="6A2CDB92">
                  <w:pPr>
                    <w:pStyle w:val="26"/>
                    <w:bidi w:val="0"/>
                    <w:jc w:val="center"/>
                    <w:rPr>
                      <w:rFonts w:hint="default"/>
                      <w:lang w:val="en-US" w:eastAsia="zh-CN"/>
                    </w:rPr>
                  </w:pPr>
                </w:p>
              </w:tc>
              <w:tc>
                <w:tcPr>
                  <w:tcW w:w="3096" w:type="dxa"/>
                  <w:vAlign w:val="center"/>
                </w:tcPr>
                <w:p w14:paraId="08FAF1C7">
                  <w:pPr>
                    <w:pStyle w:val="26"/>
                    <w:bidi w:val="0"/>
                    <w:jc w:val="center"/>
                    <w:rPr>
                      <w:rFonts w:hint="default"/>
                      <w:lang w:val="en-US" w:eastAsia="zh-CN"/>
                    </w:rPr>
                  </w:pPr>
                  <w:r>
                    <w:rPr>
                      <w:rFonts w:hint="eastAsia"/>
                      <w:lang w:val="en-US" w:eastAsia="zh-CN"/>
                    </w:rPr>
                    <w:t>三级及以上的液化石油气灌装站应设置在城镇的边缘或相对独立的安全地带，并应远离居住区、学校、影剧院、体育馆等人员集聚的场所</w:t>
                  </w:r>
                </w:p>
              </w:tc>
              <w:tc>
                <w:tcPr>
                  <w:tcW w:w="2904" w:type="dxa"/>
                  <w:vAlign w:val="center"/>
                </w:tcPr>
                <w:p w14:paraId="110201EE">
                  <w:pPr>
                    <w:pStyle w:val="26"/>
                    <w:bidi w:val="0"/>
                    <w:jc w:val="center"/>
                    <w:rPr>
                      <w:rFonts w:hint="default"/>
                      <w:vertAlign w:val="baseline"/>
                      <w:lang w:val="en-US" w:eastAsia="zh-CN"/>
                    </w:rPr>
                  </w:pPr>
                  <w:r>
                    <w:rPr>
                      <w:rFonts w:hint="eastAsia"/>
                      <w:lang w:val="en-US" w:eastAsia="zh-CN"/>
                    </w:rPr>
                    <w:t>本项目液化石油气总容积为150m</w:t>
                  </w:r>
                  <w:r>
                    <w:rPr>
                      <w:rFonts w:hint="eastAsia"/>
                      <w:vertAlign w:val="superscript"/>
                      <w:lang w:val="en-US" w:eastAsia="zh-CN"/>
                    </w:rPr>
                    <w:t>3</w:t>
                  </w:r>
                  <w:r>
                    <w:rPr>
                      <w:rFonts w:hint="eastAsia"/>
                      <w:vertAlign w:val="baseline"/>
                      <w:lang w:val="en-US" w:eastAsia="zh-CN"/>
                    </w:rPr>
                    <w:t>，单罐容积为50m</w:t>
                  </w:r>
                  <w:r>
                    <w:rPr>
                      <w:rFonts w:hint="eastAsia"/>
                      <w:vertAlign w:val="superscript"/>
                      <w:lang w:val="en-US" w:eastAsia="zh-CN"/>
                    </w:rPr>
                    <w:t>3</w:t>
                  </w:r>
                  <w:r>
                    <w:rPr>
                      <w:rFonts w:hint="eastAsia"/>
                      <w:vertAlign w:val="baseline"/>
                      <w:lang w:val="en-US" w:eastAsia="zh-CN"/>
                    </w:rPr>
                    <w:t>，属于六级液化石油气灌装站，不属于三级及以上</w:t>
                  </w:r>
                </w:p>
              </w:tc>
              <w:tc>
                <w:tcPr>
                  <w:tcW w:w="874" w:type="dxa"/>
                  <w:vAlign w:val="center"/>
                </w:tcPr>
                <w:p w14:paraId="5AAED98A">
                  <w:pPr>
                    <w:pStyle w:val="26"/>
                    <w:bidi w:val="0"/>
                    <w:jc w:val="center"/>
                    <w:rPr>
                      <w:rFonts w:hint="default"/>
                      <w:lang w:val="en-US" w:eastAsia="zh-CN"/>
                    </w:rPr>
                  </w:pPr>
                  <w:r>
                    <w:rPr>
                      <w:rFonts w:hint="eastAsia"/>
                      <w:lang w:val="en-US" w:eastAsia="zh-CN"/>
                    </w:rPr>
                    <w:t>符合</w:t>
                  </w:r>
                </w:p>
              </w:tc>
            </w:tr>
            <w:tr w14:paraId="1D04B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682" w:type="dxa"/>
                  <w:vMerge w:val="continue"/>
                  <w:vAlign w:val="center"/>
                </w:tcPr>
                <w:p w14:paraId="083B62A6">
                  <w:pPr>
                    <w:pStyle w:val="26"/>
                    <w:bidi w:val="0"/>
                    <w:jc w:val="center"/>
                    <w:rPr>
                      <w:rFonts w:hint="default"/>
                      <w:lang w:val="en-US" w:eastAsia="zh-CN"/>
                    </w:rPr>
                  </w:pPr>
                </w:p>
              </w:tc>
              <w:tc>
                <w:tcPr>
                  <w:tcW w:w="3096" w:type="dxa"/>
                  <w:vAlign w:val="center"/>
                </w:tcPr>
                <w:p w14:paraId="174CA901">
                  <w:pPr>
                    <w:pStyle w:val="26"/>
                    <w:bidi w:val="0"/>
                    <w:jc w:val="center"/>
                    <w:rPr>
                      <w:rFonts w:hint="default"/>
                      <w:lang w:val="en-US" w:eastAsia="zh-CN"/>
                    </w:rPr>
                  </w:pPr>
                  <w:r>
                    <w:rPr>
                      <w:rFonts w:hint="eastAsia"/>
                      <w:lang w:val="en-US" w:eastAsia="zh-CN"/>
                    </w:rPr>
                    <w:t>在城市中心城区和人员稠密区建设的液化石油气灌装站应符合第3章的规定</w:t>
                  </w:r>
                </w:p>
              </w:tc>
              <w:tc>
                <w:tcPr>
                  <w:tcW w:w="2904" w:type="dxa"/>
                  <w:vAlign w:val="center"/>
                </w:tcPr>
                <w:p w14:paraId="66663A3C">
                  <w:pPr>
                    <w:pStyle w:val="26"/>
                    <w:bidi w:val="0"/>
                    <w:jc w:val="center"/>
                    <w:rPr>
                      <w:rFonts w:hint="default"/>
                      <w:lang w:val="en-US" w:eastAsia="zh-CN"/>
                    </w:rPr>
                  </w:pPr>
                  <w:r>
                    <w:rPr>
                      <w:rFonts w:hint="eastAsia"/>
                      <w:lang w:val="en-US" w:eastAsia="zh-CN"/>
                    </w:rPr>
                    <w:t>本项目位于衡阳县集兵镇太栗村胡家组，属于农村地区，周边居民分布较为分散，不属于人员稠密区域</w:t>
                  </w:r>
                </w:p>
              </w:tc>
              <w:tc>
                <w:tcPr>
                  <w:tcW w:w="874" w:type="dxa"/>
                  <w:vAlign w:val="center"/>
                </w:tcPr>
                <w:p w14:paraId="5FCDE3C5">
                  <w:pPr>
                    <w:pStyle w:val="26"/>
                    <w:bidi w:val="0"/>
                    <w:jc w:val="center"/>
                    <w:rPr>
                      <w:rFonts w:hint="default"/>
                      <w:lang w:val="en-US" w:eastAsia="zh-CN"/>
                    </w:rPr>
                  </w:pPr>
                  <w:r>
                    <w:rPr>
                      <w:rFonts w:hint="eastAsia"/>
                      <w:lang w:val="en-US" w:eastAsia="zh-CN"/>
                    </w:rPr>
                    <w:t>符合</w:t>
                  </w:r>
                </w:p>
              </w:tc>
            </w:tr>
            <w:tr w14:paraId="303D4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14:paraId="5D9492A8">
                  <w:pPr>
                    <w:pStyle w:val="26"/>
                    <w:bidi w:val="0"/>
                    <w:jc w:val="center"/>
                    <w:rPr>
                      <w:rFonts w:hint="default"/>
                      <w:lang w:val="en-US" w:eastAsia="zh-CN"/>
                    </w:rPr>
                  </w:pPr>
                </w:p>
              </w:tc>
              <w:tc>
                <w:tcPr>
                  <w:tcW w:w="3096" w:type="dxa"/>
                  <w:vAlign w:val="center"/>
                </w:tcPr>
                <w:p w14:paraId="66346F9B">
                  <w:pPr>
                    <w:pStyle w:val="26"/>
                    <w:bidi w:val="0"/>
                    <w:jc w:val="center"/>
                    <w:rPr>
                      <w:rFonts w:hint="default"/>
                      <w:lang w:val="en-US" w:eastAsia="zh-CN"/>
                    </w:rPr>
                  </w:pPr>
                  <w:r>
                    <w:rPr>
                      <w:rFonts w:hint="eastAsia"/>
                      <w:lang w:val="en-US" w:eastAsia="zh-CN"/>
                    </w:rPr>
                    <w:t>应选择地势平坦、开阔、不易积存液化石油气的地段，且应避开地质灾害多发区</w:t>
                  </w:r>
                </w:p>
              </w:tc>
              <w:tc>
                <w:tcPr>
                  <w:tcW w:w="2904" w:type="dxa"/>
                  <w:vAlign w:val="center"/>
                </w:tcPr>
                <w:p w14:paraId="42A2D152">
                  <w:pPr>
                    <w:pStyle w:val="26"/>
                    <w:bidi w:val="0"/>
                    <w:jc w:val="center"/>
                    <w:rPr>
                      <w:rFonts w:hint="default"/>
                      <w:lang w:val="en-US" w:eastAsia="zh-CN"/>
                    </w:rPr>
                  </w:pPr>
                  <w:r>
                    <w:rPr>
                      <w:rFonts w:hint="eastAsia"/>
                      <w:lang w:val="en-US" w:eastAsia="zh-CN"/>
                    </w:rPr>
                    <w:t>项目选址区域地势平坦开阔，不易积存液化石油气，且不属于地质灾害多发区</w:t>
                  </w:r>
                </w:p>
              </w:tc>
              <w:tc>
                <w:tcPr>
                  <w:tcW w:w="874" w:type="dxa"/>
                  <w:vAlign w:val="center"/>
                </w:tcPr>
                <w:p w14:paraId="4C34825B">
                  <w:pPr>
                    <w:pStyle w:val="26"/>
                    <w:bidi w:val="0"/>
                    <w:jc w:val="center"/>
                    <w:rPr>
                      <w:rFonts w:hint="default"/>
                      <w:lang w:val="en-US" w:eastAsia="zh-CN"/>
                    </w:rPr>
                  </w:pPr>
                  <w:r>
                    <w:rPr>
                      <w:rFonts w:hint="eastAsia"/>
                      <w:lang w:val="en-US" w:eastAsia="zh-CN"/>
                    </w:rPr>
                    <w:t>符合</w:t>
                  </w:r>
                </w:p>
              </w:tc>
            </w:tr>
            <w:tr w14:paraId="1178D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14:paraId="05EF0389">
                  <w:pPr>
                    <w:pStyle w:val="26"/>
                    <w:bidi w:val="0"/>
                    <w:jc w:val="center"/>
                    <w:rPr>
                      <w:rFonts w:hint="default"/>
                      <w:lang w:val="en-US" w:eastAsia="zh-CN"/>
                    </w:rPr>
                  </w:pPr>
                </w:p>
              </w:tc>
              <w:tc>
                <w:tcPr>
                  <w:tcW w:w="3096" w:type="dxa"/>
                  <w:vAlign w:val="center"/>
                </w:tcPr>
                <w:p w14:paraId="7BBE3F2B">
                  <w:pPr>
                    <w:pStyle w:val="26"/>
                    <w:bidi w:val="0"/>
                    <w:jc w:val="center"/>
                    <w:rPr>
                      <w:rFonts w:hint="default"/>
                      <w:lang w:val="en-US" w:eastAsia="zh-CN"/>
                    </w:rPr>
                  </w:pPr>
                  <w:r>
                    <w:rPr>
                      <w:rFonts w:hint="eastAsia"/>
                      <w:lang w:val="en-US" w:eastAsia="zh-CN"/>
                    </w:rPr>
                    <w:t>应具备交通、供电、给水排水和通信条件</w:t>
                  </w:r>
                </w:p>
              </w:tc>
              <w:tc>
                <w:tcPr>
                  <w:tcW w:w="2904" w:type="dxa"/>
                  <w:vAlign w:val="center"/>
                </w:tcPr>
                <w:p w14:paraId="70E43765">
                  <w:pPr>
                    <w:pStyle w:val="26"/>
                    <w:bidi w:val="0"/>
                    <w:jc w:val="center"/>
                    <w:rPr>
                      <w:rFonts w:hint="default"/>
                      <w:lang w:val="en-US" w:eastAsia="zh-CN"/>
                    </w:rPr>
                  </w:pPr>
                  <w:r>
                    <w:rPr>
                      <w:rFonts w:hint="eastAsia"/>
                      <w:lang w:val="en-US" w:eastAsia="zh-CN"/>
                    </w:rPr>
                    <w:t>本项目紧邻G107国道，由集兵镇市政供电、市政自来水给水，项目周边排水通畅，具有通信条件</w:t>
                  </w:r>
                </w:p>
              </w:tc>
              <w:tc>
                <w:tcPr>
                  <w:tcW w:w="874" w:type="dxa"/>
                  <w:vAlign w:val="center"/>
                </w:tcPr>
                <w:p w14:paraId="68F47576">
                  <w:pPr>
                    <w:pStyle w:val="26"/>
                    <w:bidi w:val="0"/>
                    <w:jc w:val="center"/>
                    <w:rPr>
                      <w:rFonts w:hint="default"/>
                      <w:lang w:val="en-US" w:eastAsia="zh-CN"/>
                    </w:rPr>
                  </w:pPr>
                  <w:r>
                    <w:rPr>
                      <w:rFonts w:hint="eastAsia"/>
                      <w:lang w:val="en-US" w:eastAsia="zh-CN"/>
                    </w:rPr>
                    <w:t>符合</w:t>
                  </w:r>
                </w:p>
              </w:tc>
            </w:tr>
            <w:tr w14:paraId="7F12E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14:paraId="4B2A42C2">
                  <w:pPr>
                    <w:pStyle w:val="26"/>
                    <w:bidi w:val="0"/>
                    <w:jc w:val="center"/>
                    <w:rPr>
                      <w:rFonts w:hint="default"/>
                      <w:lang w:val="en-US" w:eastAsia="zh-CN"/>
                    </w:rPr>
                  </w:pPr>
                </w:p>
              </w:tc>
              <w:tc>
                <w:tcPr>
                  <w:tcW w:w="3096" w:type="dxa"/>
                  <w:vAlign w:val="center"/>
                </w:tcPr>
                <w:p w14:paraId="19079155">
                  <w:pPr>
                    <w:pStyle w:val="26"/>
                    <w:bidi w:val="0"/>
                    <w:jc w:val="center"/>
                    <w:rPr>
                      <w:rFonts w:hint="default"/>
                      <w:lang w:val="en-US" w:eastAsia="zh-CN"/>
                    </w:rPr>
                  </w:pPr>
                  <w:r>
                    <w:rPr>
                      <w:rFonts w:hint="eastAsia"/>
                      <w:lang w:val="en-US" w:eastAsia="zh-CN"/>
                    </w:rPr>
                    <w:t>宜选择所在地区全年最小频率风向的上风侧</w:t>
                  </w:r>
                </w:p>
              </w:tc>
              <w:tc>
                <w:tcPr>
                  <w:tcW w:w="2904" w:type="dxa"/>
                  <w:vAlign w:val="center"/>
                </w:tcPr>
                <w:p w14:paraId="0DEA8A38">
                  <w:pPr>
                    <w:pStyle w:val="26"/>
                    <w:bidi w:val="0"/>
                    <w:jc w:val="center"/>
                    <w:rPr>
                      <w:rFonts w:hint="default"/>
                      <w:lang w:val="en-US" w:eastAsia="zh-CN"/>
                    </w:rPr>
                  </w:pPr>
                  <w:r>
                    <w:rPr>
                      <w:rFonts w:hint="eastAsia"/>
                      <w:lang w:val="en-US" w:eastAsia="zh-CN"/>
                    </w:rPr>
                    <w:t>本项目位于集兵镇的西南侧，区域主导风向为北风，本项目属于主导风向的下风向</w:t>
                  </w:r>
                </w:p>
              </w:tc>
              <w:tc>
                <w:tcPr>
                  <w:tcW w:w="874" w:type="dxa"/>
                  <w:vAlign w:val="center"/>
                </w:tcPr>
                <w:p w14:paraId="4E568CBD">
                  <w:pPr>
                    <w:pStyle w:val="26"/>
                    <w:bidi w:val="0"/>
                    <w:jc w:val="center"/>
                    <w:rPr>
                      <w:rFonts w:hint="default"/>
                      <w:lang w:val="en-US" w:eastAsia="zh-CN"/>
                    </w:rPr>
                  </w:pPr>
                  <w:r>
                    <w:rPr>
                      <w:rFonts w:hint="eastAsia"/>
                      <w:lang w:val="en-US" w:eastAsia="zh-CN"/>
                    </w:rPr>
                    <w:t>符合</w:t>
                  </w:r>
                </w:p>
              </w:tc>
            </w:tr>
            <w:tr w14:paraId="38156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restart"/>
                  <w:vAlign w:val="center"/>
                </w:tcPr>
                <w:p w14:paraId="37C3BA66">
                  <w:pPr>
                    <w:pStyle w:val="26"/>
                    <w:bidi w:val="0"/>
                    <w:jc w:val="center"/>
                    <w:rPr>
                      <w:rFonts w:hint="default"/>
                      <w:lang w:val="en-US" w:eastAsia="zh-CN"/>
                    </w:rPr>
                  </w:pPr>
                  <w:r>
                    <w:rPr>
                      <w:rFonts w:hint="eastAsia"/>
                      <w:lang w:val="en-US" w:eastAsia="zh-CN"/>
                    </w:rPr>
                    <w:t>平面布置</w:t>
                  </w:r>
                </w:p>
              </w:tc>
              <w:tc>
                <w:tcPr>
                  <w:tcW w:w="3096" w:type="dxa"/>
                  <w:vAlign w:val="center"/>
                </w:tcPr>
                <w:p w14:paraId="28B47899">
                  <w:pPr>
                    <w:pStyle w:val="26"/>
                    <w:bidi w:val="0"/>
                    <w:jc w:val="center"/>
                    <w:rPr>
                      <w:rFonts w:hint="default"/>
                      <w:lang w:val="en-US" w:eastAsia="zh-CN"/>
                    </w:rPr>
                  </w:pPr>
                  <w:r>
                    <w:rPr>
                      <w:rFonts w:hint="eastAsia"/>
                      <w:lang w:val="en-US" w:eastAsia="zh-CN"/>
                    </w:rPr>
                    <w:t>液化石油气灌装站边界应设置围墙。生产区应设置高度不低于2m的不燃烧实体围墙，辅助区可设置不燃烧非实体围墙</w:t>
                  </w:r>
                </w:p>
              </w:tc>
              <w:tc>
                <w:tcPr>
                  <w:tcW w:w="2904" w:type="dxa"/>
                  <w:vAlign w:val="center"/>
                </w:tcPr>
                <w:p w14:paraId="5F17DC2E">
                  <w:pPr>
                    <w:pStyle w:val="26"/>
                    <w:bidi w:val="0"/>
                    <w:jc w:val="center"/>
                    <w:rPr>
                      <w:rFonts w:hint="default"/>
                      <w:lang w:val="en-US" w:eastAsia="zh-CN"/>
                    </w:rPr>
                  </w:pPr>
                  <w:r>
                    <w:rPr>
                      <w:rFonts w:hint="eastAsia"/>
                      <w:color w:val="FF0000"/>
                      <w:lang w:val="en-US" w:eastAsia="zh-CN"/>
                    </w:rPr>
                    <w:t>本项目</w:t>
                  </w:r>
                  <w:r>
                    <w:rPr>
                      <w:rFonts w:hint="eastAsia"/>
                      <w:lang w:val="en-US" w:eastAsia="zh-CN"/>
                    </w:rPr>
                    <w:t>厂区设置了2.2m高不燃烧实体围墙</w:t>
                  </w:r>
                </w:p>
              </w:tc>
              <w:tc>
                <w:tcPr>
                  <w:tcW w:w="874" w:type="dxa"/>
                  <w:vAlign w:val="center"/>
                </w:tcPr>
                <w:p w14:paraId="53AE1D9F">
                  <w:pPr>
                    <w:pStyle w:val="26"/>
                    <w:bidi w:val="0"/>
                    <w:jc w:val="center"/>
                    <w:rPr>
                      <w:rFonts w:hint="default"/>
                      <w:lang w:val="en-US" w:eastAsia="zh-CN"/>
                    </w:rPr>
                  </w:pPr>
                  <w:r>
                    <w:rPr>
                      <w:rFonts w:hint="eastAsia"/>
                      <w:lang w:val="en-US" w:eastAsia="zh-CN"/>
                    </w:rPr>
                    <w:t>符合</w:t>
                  </w:r>
                </w:p>
              </w:tc>
            </w:tr>
            <w:tr w14:paraId="1259C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14:paraId="65632C20">
                  <w:pPr>
                    <w:pStyle w:val="26"/>
                    <w:bidi w:val="0"/>
                    <w:jc w:val="center"/>
                    <w:rPr>
                      <w:rFonts w:hint="eastAsia"/>
                      <w:lang w:val="en-US" w:eastAsia="zh-CN"/>
                    </w:rPr>
                  </w:pPr>
                </w:p>
              </w:tc>
              <w:tc>
                <w:tcPr>
                  <w:tcW w:w="3096" w:type="dxa"/>
                  <w:vAlign w:val="center"/>
                </w:tcPr>
                <w:p w14:paraId="290667F0">
                  <w:pPr>
                    <w:pStyle w:val="26"/>
                    <w:bidi w:val="0"/>
                    <w:jc w:val="center"/>
                    <w:rPr>
                      <w:rFonts w:hint="default"/>
                      <w:lang w:val="en-US" w:eastAsia="zh-CN"/>
                    </w:rPr>
                  </w:pPr>
                  <w:r>
                    <w:rPr>
                      <w:rFonts w:hint="eastAsia"/>
                      <w:lang w:val="en-US" w:eastAsia="zh-CN"/>
                    </w:rPr>
                    <w:t>液化石油气灌装站的生产区和辅助区应各设置1各对外出入口，对外出入库的设置应便于通行和紧急事故时人员的疏散，宽度不应小于4m</w:t>
                  </w:r>
                </w:p>
              </w:tc>
              <w:tc>
                <w:tcPr>
                  <w:tcW w:w="2904" w:type="dxa"/>
                  <w:vAlign w:val="center"/>
                </w:tcPr>
                <w:p w14:paraId="734C979F">
                  <w:pPr>
                    <w:pStyle w:val="26"/>
                    <w:bidi w:val="0"/>
                    <w:jc w:val="center"/>
                    <w:rPr>
                      <w:rFonts w:hint="default"/>
                      <w:lang w:val="en-US" w:eastAsia="zh-CN"/>
                    </w:rPr>
                  </w:pPr>
                  <w:r>
                    <w:rPr>
                      <w:rFonts w:hint="eastAsia"/>
                      <w:lang w:val="en-US" w:eastAsia="zh-CN"/>
                    </w:rPr>
                    <w:t>本项目在东侧紧邻G107国道侧设置了两个出入口，分别为生产区出入口和辅助区出入口，出入口宽度大于4m</w:t>
                  </w:r>
                </w:p>
              </w:tc>
              <w:tc>
                <w:tcPr>
                  <w:tcW w:w="874" w:type="dxa"/>
                  <w:vAlign w:val="center"/>
                </w:tcPr>
                <w:p w14:paraId="38AF510E">
                  <w:pPr>
                    <w:pStyle w:val="26"/>
                    <w:bidi w:val="0"/>
                    <w:jc w:val="center"/>
                    <w:rPr>
                      <w:rFonts w:hint="default"/>
                      <w:lang w:val="en-US" w:eastAsia="zh-CN"/>
                    </w:rPr>
                  </w:pPr>
                  <w:r>
                    <w:rPr>
                      <w:rFonts w:hint="eastAsia"/>
                      <w:lang w:val="en-US" w:eastAsia="zh-CN"/>
                    </w:rPr>
                    <w:t>符合</w:t>
                  </w:r>
                </w:p>
              </w:tc>
            </w:tr>
            <w:tr w14:paraId="4E339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14:paraId="7F98BA9E">
                  <w:pPr>
                    <w:pStyle w:val="26"/>
                    <w:bidi w:val="0"/>
                    <w:jc w:val="center"/>
                    <w:rPr>
                      <w:rFonts w:hint="eastAsia"/>
                      <w:lang w:val="en-US" w:eastAsia="zh-CN"/>
                    </w:rPr>
                  </w:pPr>
                </w:p>
              </w:tc>
              <w:tc>
                <w:tcPr>
                  <w:tcW w:w="3096" w:type="dxa"/>
                  <w:vAlign w:val="center"/>
                </w:tcPr>
                <w:p w14:paraId="50A00A87">
                  <w:pPr>
                    <w:pStyle w:val="26"/>
                    <w:bidi w:val="0"/>
                    <w:jc w:val="center"/>
                    <w:rPr>
                      <w:rFonts w:hint="default"/>
                      <w:lang w:val="en-US" w:eastAsia="zh-CN"/>
                    </w:rPr>
                  </w:pPr>
                  <w:r>
                    <w:rPr>
                      <w:rFonts w:hint="eastAsia"/>
                      <w:lang w:val="en-US" w:eastAsia="zh-CN"/>
                    </w:rPr>
                    <w:t>液化石油气灌装站的生产区内严禁设置地下和半地下建筑</w:t>
                  </w:r>
                </w:p>
              </w:tc>
              <w:tc>
                <w:tcPr>
                  <w:tcW w:w="2904" w:type="dxa"/>
                  <w:vAlign w:val="center"/>
                </w:tcPr>
                <w:p w14:paraId="04698B4A">
                  <w:pPr>
                    <w:pStyle w:val="26"/>
                    <w:bidi w:val="0"/>
                    <w:jc w:val="center"/>
                    <w:rPr>
                      <w:rFonts w:hint="default"/>
                      <w:lang w:val="en-US" w:eastAsia="zh-CN"/>
                    </w:rPr>
                  </w:pPr>
                  <w:r>
                    <w:rPr>
                      <w:rFonts w:hint="eastAsia"/>
                      <w:lang w:val="en-US" w:eastAsia="zh-CN"/>
                    </w:rPr>
                    <w:t>本项目生产区无地下和半地下建筑</w:t>
                  </w:r>
                </w:p>
              </w:tc>
              <w:tc>
                <w:tcPr>
                  <w:tcW w:w="874" w:type="dxa"/>
                  <w:vAlign w:val="center"/>
                </w:tcPr>
                <w:p w14:paraId="32828685">
                  <w:pPr>
                    <w:pStyle w:val="26"/>
                    <w:bidi w:val="0"/>
                    <w:jc w:val="center"/>
                    <w:rPr>
                      <w:rFonts w:hint="default"/>
                      <w:lang w:val="en-US" w:eastAsia="zh-CN"/>
                    </w:rPr>
                  </w:pPr>
                  <w:r>
                    <w:rPr>
                      <w:rFonts w:hint="eastAsia"/>
                      <w:lang w:val="en-US" w:eastAsia="zh-CN"/>
                    </w:rPr>
                    <w:t>符合</w:t>
                  </w:r>
                </w:p>
              </w:tc>
            </w:tr>
            <w:tr w14:paraId="4027A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14:paraId="1A13974C">
                  <w:pPr>
                    <w:pStyle w:val="26"/>
                    <w:bidi w:val="0"/>
                    <w:jc w:val="center"/>
                    <w:rPr>
                      <w:rFonts w:hint="eastAsia"/>
                      <w:lang w:val="en-US" w:eastAsia="zh-CN"/>
                    </w:rPr>
                  </w:pPr>
                </w:p>
              </w:tc>
              <w:tc>
                <w:tcPr>
                  <w:tcW w:w="3096" w:type="dxa"/>
                  <w:vAlign w:val="center"/>
                </w:tcPr>
                <w:p w14:paraId="0C2C2CBA">
                  <w:pPr>
                    <w:pStyle w:val="26"/>
                    <w:bidi w:val="0"/>
                    <w:jc w:val="center"/>
                    <w:rPr>
                      <w:rFonts w:hint="default"/>
                      <w:lang w:val="en-US" w:eastAsia="zh-CN"/>
                    </w:rPr>
                  </w:pPr>
                  <w:r>
                    <w:rPr>
                      <w:rFonts w:hint="eastAsia"/>
                      <w:lang w:val="en-US" w:eastAsia="zh-CN"/>
                    </w:rPr>
                    <w:t>液化石油气灌装站生产区应设置环形消防车道，消防车道宽度不小于4m</w:t>
                  </w:r>
                </w:p>
              </w:tc>
              <w:tc>
                <w:tcPr>
                  <w:tcW w:w="2904" w:type="dxa"/>
                  <w:vAlign w:val="center"/>
                </w:tcPr>
                <w:p w14:paraId="395FB18D">
                  <w:pPr>
                    <w:pStyle w:val="26"/>
                    <w:bidi w:val="0"/>
                    <w:jc w:val="center"/>
                    <w:rPr>
                      <w:rFonts w:hint="default"/>
                      <w:lang w:val="en-US" w:eastAsia="zh-CN"/>
                    </w:rPr>
                  </w:pPr>
                  <w:r>
                    <w:rPr>
                      <w:rFonts w:hint="eastAsia"/>
                      <w:lang w:val="en-US" w:eastAsia="zh-CN"/>
                    </w:rPr>
                    <w:t>本项目生产区设置了环形车道，环形车道宽度大于4m</w:t>
                  </w:r>
                </w:p>
              </w:tc>
              <w:tc>
                <w:tcPr>
                  <w:tcW w:w="874" w:type="dxa"/>
                  <w:vAlign w:val="center"/>
                </w:tcPr>
                <w:p w14:paraId="61CAB3E9">
                  <w:pPr>
                    <w:pStyle w:val="26"/>
                    <w:bidi w:val="0"/>
                    <w:jc w:val="center"/>
                    <w:rPr>
                      <w:rFonts w:hint="default"/>
                      <w:lang w:val="en-US" w:eastAsia="zh-CN"/>
                    </w:rPr>
                  </w:pPr>
                  <w:r>
                    <w:rPr>
                      <w:rFonts w:hint="eastAsia"/>
                      <w:lang w:val="en-US" w:eastAsia="zh-CN"/>
                    </w:rPr>
                    <w:t>符合</w:t>
                  </w:r>
                </w:p>
              </w:tc>
            </w:tr>
            <w:tr w14:paraId="3683A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14:paraId="75EF0962">
                  <w:pPr>
                    <w:pStyle w:val="26"/>
                    <w:bidi w:val="0"/>
                    <w:jc w:val="center"/>
                    <w:rPr>
                      <w:rFonts w:hint="eastAsia"/>
                      <w:lang w:val="en-US" w:eastAsia="zh-CN"/>
                    </w:rPr>
                  </w:pPr>
                </w:p>
              </w:tc>
              <w:tc>
                <w:tcPr>
                  <w:tcW w:w="3096" w:type="dxa"/>
                  <w:vAlign w:val="center"/>
                </w:tcPr>
                <w:p w14:paraId="7DACABE3">
                  <w:pPr>
                    <w:pStyle w:val="26"/>
                    <w:bidi w:val="0"/>
                    <w:jc w:val="center"/>
                    <w:rPr>
                      <w:rFonts w:hint="default"/>
                      <w:lang w:val="en-US" w:eastAsia="zh-CN"/>
                    </w:rPr>
                  </w:pPr>
                  <w:r>
                    <w:rPr>
                      <w:rFonts w:hint="eastAsia"/>
                      <w:lang w:val="en-US" w:eastAsia="zh-CN"/>
                    </w:rPr>
                    <w:t>液化石油气灌装站应设置卸车或充装场地，并应配置车辆固定装置</w:t>
                  </w:r>
                </w:p>
              </w:tc>
              <w:tc>
                <w:tcPr>
                  <w:tcW w:w="2904" w:type="dxa"/>
                  <w:vAlign w:val="center"/>
                </w:tcPr>
                <w:p w14:paraId="7EB5964F">
                  <w:pPr>
                    <w:pStyle w:val="26"/>
                    <w:bidi w:val="0"/>
                    <w:jc w:val="center"/>
                    <w:rPr>
                      <w:rFonts w:hint="default"/>
                      <w:lang w:val="en-US" w:eastAsia="zh-CN"/>
                    </w:rPr>
                  </w:pPr>
                  <w:r>
                    <w:rPr>
                      <w:rFonts w:hint="eastAsia"/>
                      <w:lang w:val="en-US" w:eastAsia="zh-CN"/>
                    </w:rPr>
                    <w:t>本项目设置了卸车场地，并设置了灌瓶间，配备了车辆固定装置</w:t>
                  </w:r>
                </w:p>
              </w:tc>
              <w:tc>
                <w:tcPr>
                  <w:tcW w:w="874" w:type="dxa"/>
                  <w:vAlign w:val="center"/>
                </w:tcPr>
                <w:p w14:paraId="0B3FAC76">
                  <w:pPr>
                    <w:pStyle w:val="26"/>
                    <w:bidi w:val="0"/>
                    <w:jc w:val="center"/>
                    <w:rPr>
                      <w:rFonts w:hint="default"/>
                      <w:lang w:val="en-US" w:eastAsia="zh-CN"/>
                    </w:rPr>
                  </w:pPr>
                  <w:r>
                    <w:rPr>
                      <w:rFonts w:hint="eastAsia"/>
                      <w:lang w:val="en-US" w:eastAsia="zh-CN"/>
                    </w:rPr>
                    <w:t>符合</w:t>
                  </w:r>
                </w:p>
              </w:tc>
            </w:tr>
            <w:tr w14:paraId="48270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14:paraId="0E3F1C25">
                  <w:pPr>
                    <w:pStyle w:val="26"/>
                    <w:bidi w:val="0"/>
                    <w:jc w:val="center"/>
                    <w:rPr>
                      <w:rFonts w:hint="eastAsia"/>
                      <w:lang w:val="en-US" w:eastAsia="zh-CN"/>
                    </w:rPr>
                  </w:pPr>
                </w:p>
              </w:tc>
              <w:tc>
                <w:tcPr>
                  <w:tcW w:w="3096" w:type="dxa"/>
                  <w:vAlign w:val="center"/>
                </w:tcPr>
                <w:p w14:paraId="32C4F44C">
                  <w:pPr>
                    <w:pStyle w:val="26"/>
                    <w:bidi w:val="0"/>
                    <w:jc w:val="center"/>
                    <w:rPr>
                      <w:rFonts w:hint="default"/>
                      <w:lang w:val="en-US" w:eastAsia="zh-CN"/>
                    </w:rPr>
                  </w:pPr>
                  <w:r>
                    <w:rPr>
                      <w:rFonts w:hint="eastAsia"/>
                      <w:lang w:val="en-US" w:eastAsia="zh-CN"/>
                    </w:rPr>
                    <w:t>灌瓶间的钢瓶装卸平台前应设置汽车回车场</w:t>
                  </w:r>
                </w:p>
              </w:tc>
              <w:tc>
                <w:tcPr>
                  <w:tcW w:w="2904" w:type="dxa"/>
                  <w:vAlign w:val="center"/>
                </w:tcPr>
                <w:p w14:paraId="5F600F6C">
                  <w:pPr>
                    <w:pStyle w:val="26"/>
                    <w:bidi w:val="0"/>
                    <w:jc w:val="center"/>
                    <w:rPr>
                      <w:rFonts w:hint="default"/>
                      <w:lang w:val="en-US" w:eastAsia="zh-CN"/>
                    </w:rPr>
                  </w:pPr>
                  <w:r>
                    <w:rPr>
                      <w:rFonts w:hint="eastAsia"/>
                      <w:lang w:val="en-US" w:eastAsia="zh-CN"/>
                    </w:rPr>
                    <w:t>项目灌瓶间前设置了汽车回车场</w:t>
                  </w:r>
                </w:p>
              </w:tc>
              <w:tc>
                <w:tcPr>
                  <w:tcW w:w="874" w:type="dxa"/>
                  <w:vAlign w:val="center"/>
                </w:tcPr>
                <w:p w14:paraId="6003705A">
                  <w:pPr>
                    <w:pStyle w:val="26"/>
                    <w:bidi w:val="0"/>
                    <w:jc w:val="center"/>
                    <w:rPr>
                      <w:rFonts w:hint="eastAsia"/>
                      <w:lang w:val="en-US" w:eastAsia="zh-CN"/>
                    </w:rPr>
                  </w:pPr>
                  <w:r>
                    <w:rPr>
                      <w:rFonts w:hint="eastAsia"/>
                      <w:lang w:val="en-US" w:eastAsia="zh-CN"/>
                    </w:rPr>
                    <w:t>符合</w:t>
                  </w:r>
                </w:p>
              </w:tc>
            </w:tr>
            <w:tr w14:paraId="77BBF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restart"/>
                  <w:vAlign w:val="center"/>
                </w:tcPr>
                <w:p w14:paraId="5D2C58E0">
                  <w:pPr>
                    <w:pStyle w:val="26"/>
                    <w:bidi w:val="0"/>
                    <w:jc w:val="center"/>
                    <w:rPr>
                      <w:rFonts w:hint="default"/>
                      <w:lang w:val="en-US" w:eastAsia="zh-CN"/>
                    </w:rPr>
                  </w:pPr>
                  <w:r>
                    <w:rPr>
                      <w:rFonts w:hint="eastAsia"/>
                      <w:lang w:val="en-US" w:eastAsia="zh-CN"/>
                    </w:rPr>
                    <w:t>工艺设备</w:t>
                  </w:r>
                </w:p>
              </w:tc>
              <w:tc>
                <w:tcPr>
                  <w:tcW w:w="3096" w:type="dxa"/>
                  <w:vAlign w:val="center"/>
                </w:tcPr>
                <w:p w14:paraId="19F23BC2">
                  <w:pPr>
                    <w:pStyle w:val="26"/>
                    <w:bidi w:val="0"/>
                    <w:jc w:val="center"/>
                    <w:rPr>
                      <w:rFonts w:hint="default"/>
                      <w:lang w:val="en-US" w:eastAsia="zh-CN"/>
                    </w:rPr>
                  </w:pPr>
                  <w:r>
                    <w:rPr>
                      <w:rFonts w:hint="eastAsia"/>
                      <w:lang w:val="en-US" w:eastAsia="zh-CN"/>
                    </w:rPr>
                    <w:t>地上储罐应设置钢梯平台</w:t>
                  </w:r>
                </w:p>
              </w:tc>
              <w:tc>
                <w:tcPr>
                  <w:tcW w:w="2904" w:type="dxa"/>
                  <w:vAlign w:val="center"/>
                </w:tcPr>
                <w:p w14:paraId="52499D83">
                  <w:pPr>
                    <w:pStyle w:val="26"/>
                    <w:bidi w:val="0"/>
                    <w:jc w:val="center"/>
                    <w:rPr>
                      <w:rFonts w:hint="default"/>
                      <w:lang w:val="en-US" w:eastAsia="zh-CN"/>
                    </w:rPr>
                  </w:pPr>
                  <w:r>
                    <w:rPr>
                      <w:rFonts w:hint="eastAsia"/>
                      <w:lang w:val="en-US" w:eastAsia="zh-CN"/>
                    </w:rPr>
                    <w:t>本项目设置了2座钢梯平台</w:t>
                  </w:r>
                </w:p>
              </w:tc>
              <w:tc>
                <w:tcPr>
                  <w:tcW w:w="874" w:type="dxa"/>
                  <w:vAlign w:val="center"/>
                </w:tcPr>
                <w:p w14:paraId="77B919A5">
                  <w:pPr>
                    <w:pStyle w:val="26"/>
                    <w:bidi w:val="0"/>
                    <w:jc w:val="center"/>
                    <w:rPr>
                      <w:rFonts w:hint="default"/>
                      <w:lang w:val="en-US" w:eastAsia="zh-CN"/>
                    </w:rPr>
                  </w:pPr>
                  <w:r>
                    <w:rPr>
                      <w:rFonts w:hint="eastAsia"/>
                      <w:lang w:val="en-US" w:eastAsia="zh-CN"/>
                    </w:rPr>
                    <w:t>符合</w:t>
                  </w:r>
                </w:p>
              </w:tc>
            </w:tr>
            <w:tr w14:paraId="7C6BD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14:paraId="5D6BE7EF">
                  <w:pPr>
                    <w:pStyle w:val="26"/>
                    <w:bidi w:val="0"/>
                    <w:jc w:val="center"/>
                    <w:rPr>
                      <w:rFonts w:hint="eastAsia"/>
                      <w:lang w:val="en-US" w:eastAsia="zh-CN"/>
                    </w:rPr>
                  </w:pPr>
                </w:p>
              </w:tc>
              <w:tc>
                <w:tcPr>
                  <w:tcW w:w="3096" w:type="dxa"/>
                  <w:vAlign w:val="center"/>
                </w:tcPr>
                <w:p w14:paraId="082E66F9">
                  <w:pPr>
                    <w:pStyle w:val="26"/>
                    <w:bidi w:val="0"/>
                    <w:jc w:val="center"/>
                    <w:rPr>
                      <w:rFonts w:hint="default"/>
                      <w:lang w:val="en-US" w:eastAsia="zh-CN"/>
                    </w:rPr>
                  </w:pPr>
                  <w:r>
                    <w:rPr>
                      <w:rFonts w:hint="eastAsia"/>
                      <w:lang w:val="en-US" w:eastAsia="zh-CN"/>
                    </w:rPr>
                    <w:t>液化石油气灌装站应具有泵、机联合运行功能，液化石油气压缩机不宜少于2台</w:t>
                  </w:r>
                </w:p>
              </w:tc>
              <w:tc>
                <w:tcPr>
                  <w:tcW w:w="2904" w:type="dxa"/>
                  <w:vAlign w:val="center"/>
                </w:tcPr>
                <w:p w14:paraId="2A500FD1">
                  <w:pPr>
                    <w:pStyle w:val="26"/>
                    <w:bidi w:val="0"/>
                    <w:jc w:val="center"/>
                    <w:rPr>
                      <w:rFonts w:hint="default"/>
                      <w:lang w:val="en-US" w:eastAsia="zh-CN"/>
                    </w:rPr>
                  </w:pPr>
                  <w:r>
                    <w:rPr>
                      <w:rFonts w:hint="eastAsia"/>
                      <w:lang w:val="en-US" w:eastAsia="zh-CN"/>
                    </w:rPr>
                    <w:t>本项目配备了泵、机联合运行功能，液化石油气压缩机设置了2台</w:t>
                  </w:r>
                </w:p>
              </w:tc>
              <w:tc>
                <w:tcPr>
                  <w:tcW w:w="874" w:type="dxa"/>
                  <w:vAlign w:val="center"/>
                </w:tcPr>
                <w:p w14:paraId="0F94B4A8">
                  <w:pPr>
                    <w:pStyle w:val="26"/>
                    <w:bidi w:val="0"/>
                    <w:jc w:val="center"/>
                    <w:rPr>
                      <w:rFonts w:hint="default"/>
                      <w:lang w:val="en-US" w:eastAsia="zh-CN"/>
                    </w:rPr>
                  </w:pPr>
                  <w:r>
                    <w:rPr>
                      <w:rFonts w:hint="eastAsia"/>
                      <w:lang w:val="en-US" w:eastAsia="zh-CN"/>
                    </w:rPr>
                    <w:t>符合</w:t>
                  </w:r>
                </w:p>
              </w:tc>
            </w:tr>
            <w:tr w14:paraId="3ACD1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14:paraId="1CA4215F">
                  <w:pPr>
                    <w:pStyle w:val="26"/>
                    <w:bidi w:val="0"/>
                    <w:jc w:val="center"/>
                    <w:rPr>
                      <w:rFonts w:hint="eastAsia"/>
                      <w:lang w:val="en-US" w:eastAsia="zh-CN"/>
                    </w:rPr>
                  </w:pPr>
                </w:p>
              </w:tc>
              <w:tc>
                <w:tcPr>
                  <w:tcW w:w="3096" w:type="dxa"/>
                  <w:vAlign w:val="center"/>
                </w:tcPr>
                <w:p w14:paraId="5C7E6BDE">
                  <w:pPr>
                    <w:pStyle w:val="26"/>
                    <w:bidi w:val="0"/>
                    <w:jc w:val="both"/>
                    <w:rPr>
                      <w:rFonts w:hint="eastAsia"/>
                      <w:lang w:val="en-US" w:eastAsia="zh-CN"/>
                    </w:rPr>
                  </w:pPr>
                  <w:r>
                    <w:rPr>
                      <w:rFonts w:hint="eastAsia"/>
                      <w:lang w:val="en-US" w:eastAsia="zh-CN"/>
                    </w:rPr>
                    <w:t>液化石油气泵进出口管段阀门及附件应符合以下规定：</w:t>
                  </w:r>
                </w:p>
                <w:p w14:paraId="0E9FA08D">
                  <w:pPr>
                    <w:pStyle w:val="26"/>
                    <w:bidi w:val="0"/>
                    <w:jc w:val="both"/>
                    <w:rPr>
                      <w:rFonts w:hint="eastAsia"/>
                      <w:lang w:val="en-US" w:eastAsia="zh-CN"/>
                    </w:rPr>
                  </w:pPr>
                  <w:r>
                    <w:rPr>
                      <w:rFonts w:hint="eastAsia"/>
                      <w:lang w:val="en-US" w:eastAsia="zh-CN"/>
                    </w:rPr>
                    <w:t>1、泵进出口管段应设置切断阀和放气阀；</w:t>
                  </w:r>
                </w:p>
                <w:p w14:paraId="5C478C91">
                  <w:pPr>
                    <w:pStyle w:val="26"/>
                    <w:bidi w:val="0"/>
                    <w:jc w:val="both"/>
                    <w:rPr>
                      <w:rFonts w:hint="eastAsia"/>
                      <w:lang w:val="en-US" w:eastAsia="zh-CN"/>
                    </w:rPr>
                  </w:pPr>
                  <w:r>
                    <w:rPr>
                      <w:rFonts w:hint="eastAsia"/>
                      <w:lang w:val="en-US" w:eastAsia="zh-CN"/>
                    </w:rPr>
                    <w:t>2、泵进出口管段应设置过滤器；</w:t>
                  </w:r>
                </w:p>
                <w:p w14:paraId="7DA00F64">
                  <w:pPr>
                    <w:pStyle w:val="26"/>
                    <w:bidi w:val="0"/>
                    <w:jc w:val="both"/>
                    <w:rPr>
                      <w:rFonts w:hint="default"/>
                      <w:lang w:val="en-US" w:eastAsia="zh-CN"/>
                    </w:rPr>
                  </w:pPr>
                  <w:r>
                    <w:rPr>
                      <w:rFonts w:hint="eastAsia"/>
                      <w:lang w:val="en-US" w:eastAsia="zh-CN"/>
                    </w:rPr>
                    <w:t>3、泵进出口管段应设置止回阀，并应设置液相安全回流阀</w:t>
                  </w:r>
                </w:p>
              </w:tc>
              <w:tc>
                <w:tcPr>
                  <w:tcW w:w="2904" w:type="dxa"/>
                  <w:vAlign w:val="center"/>
                </w:tcPr>
                <w:p w14:paraId="6D76ED7F">
                  <w:pPr>
                    <w:pStyle w:val="26"/>
                    <w:bidi w:val="0"/>
                    <w:jc w:val="center"/>
                    <w:rPr>
                      <w:rFonts w:hint="default"/>
                      <w:lang w:val="en-US" w:eastAsia="zh-CN"/>
                    </w:rPr>
                  </w:pPr>
                  <w:r>
                    <w:rPr>
                      <w:rFonts w:hint="eastAsia"/>
                      <w:lang w:val="en-US" w:eastAsia="zh-CN"/>
                    </w:rPr>
                    <w:t>本项目液化石油气泵进出口管段按要求设置了切断阀、放气阀、过滤器及止回阀和回流阀</w:t>
                  </w:r>
                </w:p>
              </w:tc>
              <w:tc>
                <w:tcPr>
                  <w:tcW w:w="874" w:type="dxa"/>
                  <w:vAlign w:val="center"/>
                </w:tcPr>
                <w:p w14:paraId="3AA08C36">
                  <w:pPr>
                    <w:pStyle w:val="26"/>
                    <w:bidi w:val="0"/>
                    <w:jc w:val="center"/>
                    <w:rPr>
                      <w:rFonts w:hint="default"/>
                      <w:lang w:val="en-US" w:eastAsia="zh-CN"/>
                    </w:rPr>
                  </w:pPr>
                  <w:r>
                    <w:rPr>
                      <w:rFonts w:hint="eastAsia"/>
                      <w:lang w:val="en-US" w:eastAsia="zh-CN"/>
                    </w:rPr>
                    <w:t>符合</w:t>
                  </w:r>
                </w:p>
              </w:tc>
            </w:tr>
            <w:tr w14:paraId="0E727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14:paraId="3864BD14">
                  <w:pPr>
                    <w:pStyle w:val="26"/>
                    <w:bidi w:val="0"/>
                    <w:jc w:val="center"/>
                    <w:rPr>
                      <w:rFonts w:hint="eastAsia"/>
                      <w:lang w:val="en-US" w:eastAsia="zh-CN"/>
                    </w:rPr>
                  </w:pPr>
                </w:p>
              </w:tc>
              <w:tc>
                <w:tcPr>
                  <w:tcW w:w="3096" w:type="dxa"/>
                  <w:vAlign w:val="center"/>
                </w:tcPr>
                <w:p w14:paraId="29628F85">
                  <w:pPr>
                    <w:pStyle w:val="26"/>
                    <w:bidi w:val="0"/>
                    <w:jc w:val="both"/>
                    <w:rPr>
                      <w:rFonts w:hint="default"/>
                      <w:lang w:val="en-US" w:eastAsia="zh-CN"/>
                    </w:rPr>
                  </w:pPr>
                  <w:r>
                    <w:rPr>
                      <w:rFonts w:hint="eastAsia"/>
                      <w:lang w:val="en-US" w:eastAsia="zh-CN"/>
                    </w:rPr>
                    <w:t>灌瓶间内钢瓶存放量宜按1~2d的计算月平均日供应量</w:t>
                  </w:r>
                </w:p>
              </w:tc>
              <w:tc>
                <w:tcPr>
                  <w:tcW w:w="2904" w:type="dxa"/>
                  <w:vAlign w:val="center"/>
                </w:tcPr>
                <w:p w14:paraId="0D430A8C">
                  <w:pPr>
                    <w:pStyle w:val="26"/>
                    <w:bidi w:val="0"/>
                    <w:jc w:val="center"/>
                    <w:rPr>
                      <w:rFonts w:hint="default"/>
                      <w:lang w:val="en-US" w:eastAsia="zh-CN"/>
                    </w:rPr>
                  </w:pPr>
                  <w:r>
                    <w:rPr>
                      <w:rFonts w:hint="eastAsia"/>
                      <w:lang w:val="en-US" w:eastAsia="zh-CN"/>
                    </w:rPr>
                    <w:t>本项目灌瓶间内钢瓶存放量不超过2日的平均供应量</w:t>
                  </w:r>
                </w:p>
              </w:tc>
              <w:tc>
                <w:tcPr>
                  <w:tcW w:w="874" w:type="dxa"/>
                  <w:vAlign w:val="center"/>
                </w:tcPr>
                <w:p w14:paraId="4E533B93">
                  <w:pPr>
                    <w:pStyle w:val="26"/>
                    <w:bidi w:val="0"/>
                    <w:jc w:val="center"/>
                    <w:rPr>
                      <w:rFonts w:hint="default"/>
                      <w:lang w:val="en-US" w:eastAsia="zh-CN"/>
                    </w:rPr>
                  </w:pPr>
                  <w:r>
                    <w:rPr>
                      <w:rFonts w:hint="eastAsia"/>
                      <w:lang w:val="en-US" w:eastAsia="zh-CN"/>
                    </w:rPr>
                    <w:t>符合</w:t>
                  </w:r>
                </w:p>
              </w:tc>
            </w:tr>
            <w:tr w14:paraId="2505D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14:paraId="59307A63">
                  <w:pPr>
                    <w:pStyle w:val="26"/>
                    <w:bidi w:val="0"/>
                    <w:jc w:val="center"/>
                    <w:rPr>
                      <w:rFonts w:hint="eastAsia"/>
                      <w:lang w:val="en-US" w:eastAsia="zh-CN"/>
                    </w:rPr>
                  </w:pPr>
                </w:p>
              </w:tc>
              <w:tc>
                <w:tcPr>
                  <w:tcW w:w="3096" w:type="dxa"/>
                  <w:vAlign w:val="center"/>
                </w:tcPr>
                <w:p w14:paraId="23D9D33E">
                  <w:pPr>
                    <w:pStyle w:val="26"/>
                    <w:bidi w:val="0"/>
                    <w:jc w:val="both"/>
                    <w:rPr>
                      <w:rFonts w:hint="default"/>
                      <w:lang w:val="en-US" w:eastAsia="zh-CN"/>
                    </w:rPr>
                  </w:pPr>
                  <w:r>
                    <w:rPr>
                      <w:rFonts w:hint="eastAsia"/>
                      <w:lang w:val="en-US" w:eastAsia="zh-CN"/>
                    </w:rPr>
                    <w:t>储配站和灌装站应设置残液倒空和回收装置</w:t>
                  </w:r>
                </w:p>
              </w:tc>
              <w:tc>
                <w:tcPr>
                  <w:tcW w:w="2904" w:type="dxa"/>
                  <w:vAlign w:val="center"/>
                </w:tcPr>
                <w:p w14:paraId="27DDA7C9">
                  <w:pPr>
                    <w:pStyle w:val="26"/>
                    <w:bidi w:val="0"/>
                    <w:jc w:val="center"/>
                    <w:rPr>
                      <w:rFonts w:hint="default"/>
                      <w:lang w:val="en-US" w:eastAsia="zh-CN"/>
                    </w:rPr>
                  </w:pPr>
                  <w:r>
                    <w:rPr>
                      <w:rFonts w:hint="eastAsia"/>
                      <w:lang w:val="en-US" w:eastAsia="zh-CN"/>
                    </w:rPr>
                    <w:t>本项目设置了倒残液装置及残液罐</w:t>
                  </w:r>
                </w:p>
              </w:tc>
              <w:tc>
                <w:tcPr>
                  <w:tcW w:w="874" w:type="dxa"/>
                  <w:vAlign w:val="center"/>
                </w:tcPr>
                <w:p w14:paraId="37FD0060">
                  <w:pPr>
                    <w:pStyle w:val="26"/>
                    <w:bidi w:val="0"/>
                    <w:jc w:val="center"/>
                    <w:rPr>
                      <w:rFonts w:hint="default"/>
                      <w:lang w:val="en-US" w:eastAsia="zh-CN"/>
                    </w:rPr>
                  </w:pPr>
                  <w:r>
                    <w:rPr>
                      <w:rFonts w:hint="eastAsia"/>
                      <w:lang w:val="en-US" w:eastAsia="zh-CN"/>
                    </w:rPr>
                    <w:t>符合</w:t>
                  </w:r>
                </w:p>
              </w:tc>
            </w:tr>
          </w:tbl>
          <w:p w14:paraId="244BCB0C">
            <w:pPr>
              <w:pStyle w:val="25"/>
              <w:ind w:firstLine="480"/>
              <w:rPr>
                <w:rFonts w:hint="eastAsia"/>
                <w:lang w:val="en-US" w:eastAsia="zh-CN"/>
              </w:rPr>
            </w:pPr>
            <w:r>
              <w:rPr>
                <w:rFonts w:hint="eastAsia"/>
                <w:lang w:val="en-US" w:eastAsia="zh-CN"/>
              </w:rPr>
              <w:t>对比《液化石油气供应工程设计规范》（GB51142-2015）中防火距离规定如下：</w:t>
            </w:r>
          </w:p>
          <w:p w14:paraId="06811D00">
            <w:pPr>
              <w:pStyle w:val="63"/>
              <w:bidi w:val="0"/>
              <w:rPr>
                <w:rFonts w:hint="eastAsia"/>
                <w:lang w:val="en-US" w:eastAsia="zh-CN"/>
              </w:rPr>
            </w:pPr>
            <w:r>
              <w:rPr>
                <w:rFonts w:hint="eastAsia"/>
                <w:lang w:val="en-US" w:eastAsia="zh-CN"/>
              </w:rPr>
              <w:t>表1-4  全压力式储罐与站外建筑、堆场的防火间距（m）</w:t>
            </w:r>
          </w:p>
          <w:tbl>
            <w:tblPr>
              <w:tblStyle w:val="19"/>
              <w:tblW w:w="75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6"/>
              <w:gridCol w:w="550"/>
              <w:gridCol w:w="125"/>
              <w:gridCol w:w="1325"/>
              <w:gridCol w:w="1262"/>
              <w:gridCol w:w="2100"/>
              <w:gridCol w:w="1508"/>
            </w:tblGrid>
            <w:tr w14:paraId="03005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6" w:type="dxa"/>
                  <w:gridSpan w:val="4"/>
                  <w:vAlign w:val="center"/>
                </w:tcPr>
                <w:p w14:paraId="7AE479C2">
                  <w:pPr>
                    <w:pStyle w:val="64"/>
                    <w:bidi w:val="0"/>
                    <w:jc w:val="center"/>
                    <w:rPr>
                      <w:rFonts w:hint="default"/>
                      <w:lang w:val="en-US" w:eastAsia="zh-CN"/>
                    </w:rPr>
                  </w:pPr>
                  <w:r>
                    <w:rPr>
                      <w:rFonts w:hint="eastAsia"/>
                      <w:lang w:val="en-US" w:eastAsia="zh-CN"/>
                    </w:rPr>
                    <w:t>项目</w:t>
                  </w:r>
                </w:p>
              </w:tc>
              <w:tc>
                <w:tcPr>
                  <w:tcW w:w="1262" w:type="dxa"/>
                  <w:vAlign w:val="center"/>
                </w:tcPr>
                <w:p w14:paraId="0C7EC54E">
                  <w:pPr>
                    <w:pStyle w:val="64"/>
                    <w:bidi w:val="0"/>
                    <w:jc w:val="center"/>
                    <w:rPr>
                      <w:rFonts w:hint="default"/>
                      <w:lang w:val="en-US" w:eastAsia="zh-CN"/>
                    </w:rPr>
                  </w:pPr>
                  <w:r>
                    <w:rPr>
                      <w:rFonts w:hint="eastAsia"/>
                      <w:lang w:val="en-US" w:eastAsia="zh-CN"/>
                    </w:rPr>
                    <w:t>间距要求</w:t>
                  </w:r>
                </w:p>
              </w:tc>
              <w:tc>
                <w:tcPr>
                  <w:tcW w:w="2100" w:type="dxa"/>
                  <w:vAlign w:val="center"/>
                </w:tcPr>
                <w:p w14:paraId="1B739A30">
                  <w:pPr>
                    <w:pStyle w:val="64"/>
                    <w:bidi w:val="0"/>
                    <w:jc w:val="center"/>
                    <w:rPr>
                      <w:rFonts w:hint="default"/>
                      <w:lang w:val="en-US" w:eastAsia="zh-CN"/>
                    </w:rPr>
                  </w:pPr>
                  <w:r>
                    <w:rPr>
                      <w:rFonts w:hint="eastAsia"/>
                      <w:lang w:val="en-US" w:eastAsia="zh-CN"/>
                    </w:rPr>
                    <w:t>本项目情况</w:t>
                  </w:r>
                </w:p>
              </w:tc>
              <w:tc>
                <w:tcPr>
                  <w:tcW w:w="1508" w:type="dxa"/>
                  <w:vAlign w:val="center"/>
                </w:tcPr>
                <w:p w14:paraId="7D7AA364">
                  <w:pPr>
                    <w:pStyle w:val="64"/>
                    <w:bidi w:val="0"/>
                    <w:jc w:val="center"/>
                    <w:rPr>
                      <w:rFonts w:hint="default"/>
                      <w:lang w:val="en-US" w:eastAsia="zh-CN"/>
                    </w:rPr>
                  </w:pPr>
                  <w:r>
                    <w:rPr>
                      <w:rFonts w:hint="eastAsia"/>
                      <w:lang w:val="en-US" w:eastAsia="zh-CN"/>
                    </w:rPr>
                    <w:t>是否符合要求</w:t>
                  </w:r>
                </w:p>
              </w:tc>
            </w:tr>
            <w:tr w14:paraId="2C5AA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6" w:type="dxa"/>
                  <w:gridSpan w:val="4"/>
                  <w:vAlign w:val="center"/>
                </w:tcPr>
                <w:p w14:paraId="44B542D0">
                  <w:pPr>
                    <w:pStyle w:val="64"/>
                    <w:bidi w:val="0"/>
                    <w:jc w:val="center"/>
                    <w:rPr>
                      <w:rFonts w:hint="default"/>
                      <w:lang w:val="en-US" w:eastAsia="zh-CN"/>
                    </w:rPr>
                  </w:pPr>
                  <w:r>
                    <w:rPr>
                      <w:rFonts w:hint="eastAsia"/>
                      <w:lang w:val="en-US" w:eastAsia="zh-CN"/>
                    </w:rPr>
                    <w:t>居住区、学校、影剧院、体育馆等重要公共建筑（最外侧建筑物外墙）</w:t>
                  </w:r>
                </w:p>
              </w:tc>
              <w:tc>
                <w:tcPr>
                  <w:tcW w:w="1262" w:type="dxa"/>
                  <w:vAlign w:val="center"/>
                </w:tcPr>
                <w:p w14:paraId="1471F1F6">
                  <w:pPr>
                    <w:pStyle w:val="64"/>
                    <w:bidi w:val="0"/>
                    <w:jc w:val="center"/>
                    <w:rPr>
                      <w:rFonts w:hint="default"/>
                      <w:lang w:val="en-US" w:eastAsia="zh-CN"/>
                    </w:rPr>
                  </w:pPr>
                  <w:r>
                    <w:rPr>
                      <w:rFonts w:hint="eastAsia"/>
                      <w:lang w:val="en-US" w:eastAsia="zh-CN"/>
                    </w:rPr>
                    <w:t>50</w:t>
                  </w:r>
                </w:p>
              </w:tc>
              <w:tc>
                <w:tcPr>
                  <w:tcW w:w="2100" w:type="dxa"/>
                  <w:vAlign w:val="center"/>
                </w:tcPr>
                <w:p w14:paraId="13A62465">
                  <w:pPr>
                    <w:pStyle w:val="64"/>
                    <w:bidi w:val="0"/>
                    <w:jc w:val="center"/>
                    <w:rPr>
                      <w:rFonts w:hint="default"/>
                      <w:lang w:val="en-US" w:eastAsia="zh-CN"/>
                    </w:rPr>
                  </w:pPr>
                  <w:r>
                    <w:rPr>
                      <w:rFonts w:hint="eastAsia"/>
                      <w:lang w:val="en-US" w:eastAsia="zh-CN"/>
                    </w:rPr>
                    <w:t>实际最近距离南侧居民外墙55m</w:t>
                  </w:r>
                </w:p>
              </w:tc>
              <w:tc>
                <w:tcPr>
                  <w:tcW w:w="1508" w:type="dxa"/>
                  <w:vAlign w:val="center"/>
                </w:tcPr>
                <w:p w14:paraId="6C31B583">
                  <w:pPr>
                    <w:pStyle w:val="64"/>
                    <w:bidi w:val="0"/>
                    <w:jc w:val="center"/>
                    <w:rPr>
                      <w:rFonts w:hint="default"/>
                      <w:lang w:val="en-US" w:eastAsia="zh-CN"/>
                    </w:rPr>
                  </w:pPr>
                  <w:r>
                    <w:rPr>
                      <w:rFonts w:hint="eastAsia"/>
                      <w:lang w:val="en-US" w:eastAsia="zh-CN"/>
                    </w:rPr>
                    <w:t>符合</w:t>
                  </w:r>
                </w:p>
              </w:tc>
            </w:tr>
            <w:tr w14:paraId="38B2A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6" w:type="dxa"/>
                  <w:gridSpan w:val="4"/>
                  <w:vAlign w:val="center"/>
                </w:tcPr>
                <w:p w14:paraId="06D3E278">
                  <w:pPr>
                    <w:pStyle w:val="64"/>
                    <w:bidi w:val="0"/>
                    <w:jc w:val="center"/>
                    <w:rPr>
                      <w:rFonts w:hint="default"/>
                      <w:lang w:val="en-US" w:eastAsia="zh-CN"/>
                    </w:rPr>
                  </w:pPr>
                  <w:r>
                    <w:rPr>
                      <w:rFonts w:hint="eastAsia"/>
                      <w:lang w:val="en-US" w:eastAsia="zh-CN"/>
                    </w:rPr>
                    <w:t>工业企业（最外侧建筑外墙）</w:t>
                  </w:r>
                </w:p>
              </w:tc>
              <w:tc>
                <w:tcPr>
                  <w:tcW w:w="1262" w:type="dxa"/>
                  <w:vAlign w:val="center"/>
                </w:tcPr>
                <w:p w14:paraId="18C9F644">
                  <w:pPr>
                    <w:pStyle w:val="64"/>
                    <w:bidi w:val="0"/>
                    <w:jc w:val="center"/>
                    <w:rPr>
                      <w:rFonts w:hint="default"/>
                      <w:lang w:val="en-US" w:eastAsia="zh-CN"/>
                    </w:rPr>
                  </w:pPr>
                  <w:r>
                    <w:rPr>
                      <w:rFonts w:hint="eastAsia"/>
                      <w:lang w:val="en-US" w:eastAsia="zh-CN"/>
                    </w:rPr>
                    <w:t>30</w:t>
                  </w:r>
                </w:p>
              </w:tc>
              <w:tc>
                <w:tcPr>
                  <w:tcW w:w="2100" w:type="dxa"/>
                  <w:vAlign w:val="center"/>
                </w:tcPr>
                <w:p w14:paraId="36029350">
                  <w:pPr>
                    <w:pStyle w:val="64"/>
                    <w:bidi w:val="0"/>
                    <w:jc w:val="center"/>
                    <w:rPr>
                      <w:rFonts w:hint="default"/>
                      <w:lang w:val="en-US" w:eastAsia="zh-CN"/>
                    </w:rPr>
                  </w:pPr>
                  <w:r>
                    <w:rPr>
                      <w:rFonts w:hint="eastAsia"/>
                      <w:lang w:val="en-US" w:eastAsia="zh-CN"/>
                    </w:rPr>
                    <w:t>实际距离北侧渣江米粉厂外墙60m</w:t>
                  </w:r>
                </w:p>
              </w:tc>
              <w:tc>
                <w:tcPr>
                  <w:tcW w:w="1508" w:type="dxa"/>
                  <w:vAlign w:val="center"/>
                </w:tcPr>
                <w:p w14:paraId="78D8367C">
                  <w:pPr>
                    <w:pStyle w:val="64"/>
                    <w:bidi w:val="0"/>
                    <w:jc w:val="center"/>
                    <w:rPr>
                      <w:rFonts w:hint="default"/>
                      <w:lang w:val="en-US" w:eastAsia="zh-CN"/>
                    </w:rPr>
                  </w:pPr>
                  <w:r>
                    <w:rPr>
                      <w:rFonts w:hint="eastAsia"/>
                      <w:lang w:val="en-US" w:eastAsia="zh-CN"/>
                    </w:rPr>
                    <w:t>符合</w:t>
                  </w:r>
                </w:p>
              </w:tc>
            </w:tr>
            <w:tr w14:paraId="16E8D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6" w:type="dxa"/>
                  <w:gridSpan w:val="4"/>
                  <w:vAlign w:val="center"/>
                </w:tcPr>
                <w:p w14:paraId="7720BB9B">
                  <w:pPr>
                    <w:pStyle w:val="64"/>
                    <w:bidi w:val="0"/>
                    <w:jc w:val="center"/>
                    <w:rPr>
                      <w:rFonts w:hint="default"/>
                      <w:lang w:val="en-US" w:eastAsia="zh-CN"/>
                    </w:rPr>
                  </w:pPr>
                  <w:r>
                    <w:rPr>
                      <w:rFonts w:hint="eastAsia"/>
                      <w:lang w:val="en-US" w:eastAsia="zh-CN"/>
                    </w:rPr>
                    <w:t>明火、散发火花点和室外变、配电站</w:t>
                  </w:r>
                </w:p>
              </w:tc>
              <w:tc>
                <w:tcPr>
                  <w:tcW w:w="1262" w:type="dxa"/>
                  <w:vAlign w:val="center"/>
                </w:tcPr>
                <w:p w14:paraId="364CC95F">
                  <w:pPr>
                    <w:pStyle w:val="64"/>
                    <w:bidi w:val="0"/>
                    <w:jc w:val="center"/>
                    <w:rPr>
                      <w:rFonts w:hint="default"/>
                      <w:lang w:val="en-US" w:eastAsia="zh-CN"/>
                    </w:rPr>
                  </w:pPr>
                  <w:r>
                    <w:rPr>
                      <w:rFonts w:hint="eastAsia"/>
                      <w:lang w:val="en-US" w:eastAsia="zh-CN"/>
                    </w:rPr>
                    <w:t>50</w:t>
                  </w:r>
                </w:p>
              </w:tc>
              <w:tc>
                <w:tcPr>
                  <w:tcW w:w="2100" w:type="dxa"/>
                  <w:vAlign w:val="center"/>
                </w:tcPr>
                <w:p w14:paraId="4101F9FA">
                  <w:pPr>
                    <w:pStyle w:val="64"/>
                    <w:bidi w:val="0"/>
                    <w:jc w:val="center"/>
                    <w:rPr>
                      <w:rFonts w:hint="default"/>
                      <w:lang w:val="en-US" w:eastAsia="zh-CN"/>
                    </w:rPr>
                  </w:pPr>
                  <w:r>
                    <w:rPr>
                      <w:rFonts w:hint="eastAsia"/>
                      <w:lang w:val="en-US" w:eastAsia="zh-CN"/>
                    </w:rPr>
                    <w:t>最近明火点位南侧居民厨房，距离约60m</w:t>
                  </w:r>
                </w:p>
              </w:tc>
              <w:tc>
                <w:tcPr>
                  <w:tcW w:w="1508" w:type="dxa"/>
                  <w:vAlign w:val="center"/>
                </w:tcPr>
                <w:p w14:paraId="18A23A10">
                  <w:pPr>
                    <w:pStyle w:val="64"/>
                    <w:bidi w:val="0"/>
                    <w:jc w:val="center"/>
                    <w:rPr>
                      <w:rFonts w:hint="default"/>
                      <w:lang w:val="en-US" w:eastAsia="zh-CN"/>
                    </w:rPr>
                  </w:pPr>
                  <w:r>
                    <w:rPr>
                      <w:rFonts w:hint="eastAsia"/>
                      <w:lang w:val="en-US" w:eastAsia="zh-CN"/>
                    </w:rPr>
                    <w:t>符合</w:t>
                  </w:r>
                </w:p>
              </w:tc>
            </w:tr>
            <w:tr w14:paraId="3A048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6" w:type="dxa"/>
                  <w:gridSpan w:val="4"/>
                  <w:vAlign w:val="center"/>
                </w:tcPr>
                <w:p w14:paraId="0FFAA2F7">
                  <w:pPr>
                    <w:pStyle w:val="64"/>
                    <w:bidi w:val="0"/>
                    <w:jc w:val="center"/>
                    <w:rPr>
                      <w:rFonts w:hint="default"/>
                      <w:lang w:val="en-US" w:eastAsia="zh-CN"/>
                    </w:rPr>
                  </w:pPr>
                  <w:r>
                    <w:rPr>
                      <w:rFonts w:hint="eastAsia"/>
                      <w:lang w:val="en-US" w:eastAsia="zh-CN"/>
                    </w:rPr>
                    <w:t>其他民用建筑</w:t>
                  </w:r>
                </w:p>
              </w:tc>
              <w:tc>
                <w:tcPr>
                  <w:tcW w:w="1262" w:type="dxa"/>
                  <w:vAlign w:val="center"/>
                </w:tcPr>
                <w:p w14:paraId="75CD536F">
                  <w:pPr>
                    <w:pStyle w:val="64"/>
                    <w:bidi w:val="0"/>
                    <w:jc w:val="center"/>
                    <w:rPr>
                      <w:rFonts w:hint="default"/>
                      <w:lang w:val="en-US" w:eastAsia="zh-CN"/>
                    </w:rPr>
                  </w:pPr>
                  <w:r>
                    <w:rPr>
                      <w:rFonts w:hint="eastAsia"/>
                      <w:lang w:val="en-US" w:eastAsia="zh-CN"/>
                    </w:rPr>
                    <w:t>45</w:t>
                  </w:r>
                </w:p>
              </w:tc>
              <w:tc>
                <w:tcPr>
                  <w:tcW w:w="2100" w:type="dxa"/>
                  <w:vAlign w:val="center"/>
                </w:tcPr>
                <w:p w14:paraId="46223D2F">
                  <w:pPr>
                    <w:pStyle w:val="64"/>
                    <w:bidi w:val="0"/>
                    <w:jc w:val="center"/>
                    <w:rPr>
                      <w:rFonts w:hint="default"/>
                      <w:lang w:val="en-US" w:eastAsia="zh-CN"/>
                    </w:rPr>
                  </w:pPr>
                  <w:r>
                    <w:rPr>
                      <w:rFonts w:hint="eastAsia"/>
                      <w:lang w:val="en-US" w:eastAsia="zh-CN"/>
                    </w:rPr>
                    <w:t>最近为南侧居民杂房，最近距离55m</w:t>
                  </w:r>
                </w:p>
              </w:tc>
              <w:tc>
                <w:tcPr>
                  <w:tcW w:w="1508" w:type="dxa"/>
                  <w:vAlign w:val="center"/>
                </w:tcPr>
                <w:p w14:paraId="2C0AD326">
                  <w:pPr>
                    <w:pStyle w:val="64"/>
                    <w:bidi w:val="0"/>
                    <w:jc w:val="center"/>
                    <w:rPr>
                      <w:rFonts w:hint="default"/>
                      <w:lang w:val="en-US" w:eastAsia="zh-CN"/>
                    </w:rPr>
                  </w:pPr>
                  <w:r>
                    <w:rPr>
                      <w:rFonts w:hint="eastAsia"/>
                      <w:lang w:val="en-US" w:eastAsia="zh-CN"/>
                    </w:rPr>
                    <w:t>符合</w:t>
                  </w:r>
                </w:p>
              </w:tc>
            </w:tr>
            <w:tr w14:paraId="28B0E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6" w:type="dxa"/>
                  <w:gridSpan w:val="4"/>
                  <w:vAlign w:val="center"/>
                </w:tcPr>
                <w:p w14:paraId="3831F8D5">
                  <w:pPr>
                    <w:pStyle w:val="64"/>
                    <w:bidi w:val="0"/>
                    <w:jc w:val="center"/>
                    <w:rPr>
                      <w:rFonts w:hint="default"/>
                      <w:lang w:val="en-US" w:eastAsia="zh-CN"/>
                    </w:rPr>
                  </w:pPr>
                  <w:r>
                    <w:rPr>
                      <w:rFonts w:hint="eastAsia"/>
                      <w:lang w:val="en-US" w:eastAsia="zh-CN"/>
                    </w:rPr>
                    <w:t>甲、乙类液体储罐，甲、乙类生产厂房，甲、乙类物品仓库，易燃材料堆场</w:t>
                  </w:r>
                </w:p>
              </w:tc>
              <w:tc>
                <w:tcPr>
                  <w:tcW w:w="1262" w:type="dxa"/>
                  <w:vAlign w:val="center"/>
                </w:tcPr>
                <w:p w14:paraId="2097FE83">
                  <w:pPr>
                    <w:pStyle w:val="64"/>
                    <w:bidi w:val="0"/>
                    <w:jc w:val="center"/>
                    <w:rPr>
                      <w:rFonts w:hint="default"/>
                      <w:lang w:val="en-US" w:eastAsia="zh-CN"/>
                    </w:rPr>
                  </w:pPr>
                  <w:r>
                    <w:rPr>
                      <w:rFonts w:hint="eastAsia"/>
                      <w:lang w:val="en-US" w:eastAsia="zh-CN"/>
                    </w:rPr>
                    <w:t>45</w:t>
                  </w:r>
                </w:p>
              </w:tc>
              <w:tc>
                <w:tcPr>
                  <w:tcW w:w="2100" w:type="dxa"/>
                  <w:vAlign w:val="center"/>
                </w:tcPr>
                <w:p w14:paraId="70DAF391">
                  <w:pPr>
                    <w:pStyle w:val="64"/>
                    <w:bidi w:val="0"/>
                    <w:jc w:val="center"/>
                    <w:rPr>
                      <w:rFonts w:hint="default"/>
                      <w:lang w:val="en-US" w:eastAsia="zh-CN"/>
                    </w:rPr>
                  </w:pPr>
                  <w:r>
                    <w:rPr>
                      <w:rFonts w:hint="eastAsia"/>
                      <w:lang w:val="en-US" w:eastAsia="zh-CN"/>
                    </w:rPr>
                    <w:t>周边100m范围内无甲、乙类液体储罐、仓库及易燃堆场</w:t>
                  </w:r>
                </w:p>
              </w:tc>
              <w:tc>
                <w:tcPr>
                  <w:tcW w:w="1508" w:type="dxa"/>
                  <w:vAlign w:val="center"/>
                </w:tcPr>
                <w:p w14:paraId="3E778C30">
                  <w:pPr>
                    <w:pStyle w:val="64"/>
                    <w:bidi w:val="0"/>
                    <w:jc w:val="center"/>
                    <w:rPr>
                      <w:rFonts w:hint="default"/>
                      <w:lang w:val="en-US" w:eastAsia="zh-CN"/>
                    </w:rPr>
                  </w:pPr>
                  <w:r>
                    <w:rPr>
                      <w:rFonts w:hint="eastAsia"/>
                      <w:lang w:val="en-US" w:eastAsia="zh-CN"/>
                    </w:rPr>
                    <w:t>符合</w:t>
                  </w:r>
                </w:p>
              </w:tc>
            </w:tr>
            <w:tr w14:paraId="57034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6" w:type="dxa"/>
                  <w:gridSpan w:val="4"/>
                  <w:vAlign w:val="center"/>
                </w:tcPr>
                <w:p w14:paraId="0BC8DF92">
                  <w:pPr>
                    <w:pStyle w:val="64"/>
                    <w:bidi w:val="0"/>
                    <w:jc w:val="center"/>
                    <w:rPr>
                      <w:rFonts w:hint="default"/>
                      <w:lang w:val="en-US" w:eastAsia="zh-CN"/>
                    </w:rPr>
                  </w:pPr>
                  <w:r>
                    <w:rPr>
                      <w:rFonts w:hint="eastAsia"/>
                      <w:lang w:val="en-US" w:eastAsia="zh-CN"/>
                    </w:rPr>
                    <w:t>丙类液体储罐，可燃气体储罐，丙、丁类生产厂房，丙、丁类物品仓库</w:t>
                  </w:r>
                </w:p>
              </w:tc>
              <w:tc>
                <w:tcPr>
                  <w:tcW w:w="1262" w:type="dxa"/>
                  <w:vAlign w:val="center"/>
                </w:tcPr>
                <w:p w14:paraId="503ED9E9">
                  <w:pPr>
                    <w:pStyle w:val="64"/>
                    <w:bidi w:val="0"/>
                    <w:jc w:val="center"/>
                    <w:rPr>
                      <w:rFonts w:hint="default"/>
                      <w:lang w:val="en-US" w:eastAsia="zh-CN"/>
                    </w:rPr>
                  </w:pPr>
                  <w:r>
                    <w:rPr>
                      <w:rFonts w:hint="eastAsia"/>
                      <w:lang w:val="en-US" w:eastAsia="zh-CN"/>
                    </w:rPr>
                    <w:t>35</w:t>
                  </w:r>
                </w:p>
              </w:tc>
              <w:tc>
                <w:tcPr>
                  <w:tcW w:w="2100" w:type="dxa"/>
                  <w:vAlign w:val="center"/>
                </w:tcPr>
                <w:p w14:paraId="5E6B71CA">
                  <w:pPr>
                    <w:pStyle w:val="64"/>
                    <w:bidi w:val="0"/>
                    <w:jc w:val="center"/>
                    <w:rPr>
                      <w:rFonts w:hint="default"/>
                      <w:lang w:val="en-US" w:eastAsia="zh-CN"/>
                    </w:rPr>
                  </w:pPr>
                  <w:r>
                    <w:rPr>
                      <w:rFonts w:hint="eastAsia"/>
                      <w:lang w:val="en-US" w:eastAsia="zh-CN"/>
                    </w:rPr>
                    <w:t>周边100m范围内无丙类液体储罐，可燃气体储罐及丙、丁类厂房及仓库</w:t>
                  </w:r>
                </w:p>
              </w:tc>
              <w:tc>
                <w:tcPr>
                  <w:tcW w:w="1508" w:type="dxa"/>
                  <w:vAlign w:val="center"/>
                </w:tcPr>
                <w:p w14:paraId="729FBCF3">
                  <w:pPr>
                    <w:pStyle w:val="64"/>
                    <w:bidi w:val="0"/>
                    <w:jc w:val="center"/>
                    <w:rPr>
                      <w:rFonts w:hint="default"/>
                      <w:lang w:val="en-US" w:eastAsia="zh-CN"/>
                    </w:rPr>
                  </w:pPr>
                  <w:r>
                    <w:rPr>
                      <w:rFonts w:hint="eastAsia"/>
                      <w:lang w:val="en-US" w:eastAsia="zh-CN"/>
                    </w:rPr>
                    <w:t>符合</w:t>
                  </w:r>
                </w:p>
              </w:tc>
            </w:tr>
            <w:tr w14:paraId="65D52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6" w:type="dxa"/>
                  <w:gridSpan w:val="4"/>
                  <w:vAlign w:val="center"/>
                </w:tcPr>
                <w:p w14:paraId="0576DA74">
                  <w:pPr>
                    <w:pStyle w:val="64"/>
                    <w:bidi w:val="0"/>
                    <w:jc w:val="center"/>
                    <w:rPr>
                      <w:rFonts w:hint="default"/>
                      <w:lang w:val="en-US" w:eastAsia="zh-CN"/>
                    </w:rPr>
                  </w:pPr>
                  <w:r>
                    <w:rPr>
                      <w:rFonts w:hint="eastAsia"/>
                      <w:lang w:val="en-US" w:eastAsia="zh-CN"/>
                    </w:rPr>
                    <w:t>助燃气体储罐、可燃材料堆场</w:t>
                  </w:r>
                </w:p>
              </w:tc>
              <w:tc>
                <w:tcPr>
                  <w:tcW w:w="1262" w:type="dxa"/>
                  <w:vAlign w:val="center"/>
                </w:tcPr>
                <w:p w14:paraId="6173B85B">
                  <w:pPr>
                    <w:pStyle w:val="64"/>
                    <w:bidi w:val="0"/>
                    <w:jc w:val="center"/>
                    <w:rPr>
                      <w:rFonts w:hint="default"/>
                      <w:lang w:val="en-US" w:eastAsia="zh-CN"/>
                    </w:rPr>
                  </w:pPr>
                  <w:r>
                    <w:rPr>
                      <w:rFonts w:hint="eastAsia"/>
                      <w:lang w:val="en-US" w:eastAsia="zh-CN"/>
                    </w:rPr>
                    <w:t>30</w:t>
                  </w:r>
                </w:p>
              </w:tc>
              <w:tc>
                <w:tcPr>
                  <w:tcW w:w="2100" w:type="dxa"/>
                  <w:vAlign w:val="center"/>
                </w:tcPr>
                <w:p w14:paraId="220951DA">
                  <w:pPr>
                    <w:pStyle w:val="64"/>
                    <w:bidi w:val="0"/>
                    <w:jc w:val="center"/>
                    <w:rPr>
                      <w:rFonts w:hint="default"/>
                      <w:lang w:val="en-US" w:eastAsia="zh-CN"/>
                    </w:rPr>
                  </w:pPr>
                  <w:r>
                    <w:rPr>
                      <w:rFonts w:hint="eastAsia"/>
                      <w:lang w:val="en-US" w:eastAsia="zh-CN"/>
                    </w:rPr>
                    <w:t>周边100m范围内无助燃气体储罐和可燃材料堆场</w:t>
                  </w:r>
                </w:p>
              </w:tc>
              <w:tc>
                <w:tcPr>
                  <w:tcW w:w="1508" w:type="dxa"/>
                  <w:vAlign w:val="center"/>
                </w:tcPr>
                <w:p w14:paraId="106D04F2">
                  <w:pPr>
                    <w:pStyle w:val="64"/>
                    <w:bidi w:val="0"/>
                    <w:jc w:val="center"/>
                    <w:rPr>
                      <w:rFonts w:hint="default"/>
                      <w:lang w:val="en-US" w:eastAsia="zh-CN"/>
                    </w:rPr>
                  </w:pPr>
                  <w:r>
                    <w:rPr>
                      <w:rFonts w:hint="eastAsia"/>
                      <w:lang w:val="en-US" w:eastAsia="zh-CN"/>
                    </w:rPr>
                    <w:t>符合</w:t>
                  </w:r>
                </w:p>
              </w:tc>
            </w:tr>
            <w:tr w14:paraId="0E53A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6" w:type="dxa"/>
                  <w:vMerge w:val="restart"/>
                  <w:vAlign w:val="center"/>
                </w:tcPr>
                <w:p w14:paraId="591CB21A">
                  <w:pPr>
                    <w:pStyle w:val="64"/>
                    <w:bidi w:val="0"/>
                    <w:jc w:val="center"/>
                    <w:rPr>
                      <w:rFonts w:hint="default"/>
                      <w:lang w:val="en-US" w:eastAsia="zh-CN"/>
                    </w:rPr>
                  </w:pPr>
                  <w:r>
                    <w:rPr>
                      <w:rFonts w:hint="eastAsia"/>
                      <w:lang w:val="en-US" w:eastAsia="zh-CN"/>
                    </w:rPr>
                    <w:t>其他建筑</w:t>
                  </w:r>
                </w:p>
              </w:tc>
              <w:tc>
                <w:tcPr>
                  <w:tcW w:w="675" w:type="dxa"/>
                  <w:gridSpan w:val="2"/>
                  <w:vMerge w:val="restart"/>
                  <w:vAlign w:val="center"/>
                </w:tcPr>
                <w:p w14:paraId="3513436A">
                  <w:pPr>
                    <w:pStyle w:val="64"/>
                    <w:bidi w:val="0"/>
                    <w:jc w:val="center"/>
                    <w:rPr>
                      <w:rFonts w:hint="default"/>
                      <w:lang w:val="en-US" w:eastAsia="zh-CN"/>
                    </w:rPr>
                  </w:pPr>
                  <w:r>
                    <w:rPr>
                      <w:rFonts w:hint="eastAsia"/>
                      <w:lang w:val="en-US" w:eastAsia="zh-CN"/>
                    </w:rPr>
                    <w:t>耐火等级</w:t>
                  </w:r>
                </w:p>
              </w:tc>
              <w:tc>
                <w:tcPr>
                  <w:tcW w:w="1325" w:type="dxa"/>
                  <w:vAlign w:val="center"/>
                </w:tcPr>
                <w:p w14:paraId="6C61BAEE">
                  <w:pPr>
                    <w:pStyle w:val="64"/>
                    <w:bidi w:val="0"/>
                    <w:jc w:val="center"/>
                    <w:rPr>
                      <w:rFonts w:hint="default"/>
                      <w:lang w:val="en-US" w:eastAsia="zh-CN"/>
                    </w:rPr>
                  </w:pPr>
                  <w:r>
                    <w:rPr>
                      <w:rFonts w:hint="eastAsia"/>
                      <w:lang w:val="en-US" w:eastAsia="zh-CN"/>
                    </w:rPr>
                    <w:t>一、二级</w:t>
                  </w:r>
                </w:p>
              </w:tc>
              <w:tc>
                <w:tcPr>
                  <w:tcW w:w="1262" w:type="dxa"/>
                  <w:vAlign w:val="center"/>
                </w:tcPr>
                <w:p w14:paraId="7579E22D">
                  <w:pPr>
                    <w:pStyle w:val="64"/>
                    <w:bidi w:val="0"/>
                    <w:jc w:val="center"/>
                    <w:rPr>
                      <w:rFonts w:hint="default"/>
                      <w:lang w:val="en-US" w:eastAsia="zh-CN"/>
                    </w:rPr>
                  </w:pPr>
                  <w:r>
                    <w:rPr>
                      <w:rFonts w:hint="eastAsia"/>
                      <w:lang w:val="en-US" w:eastAsia="zh-CN"/>
                    </w:rPr>
                    <w:t>20</w:t>
                  </w:r>
                </w:p>
              </w:tc>
              <w:tc>
                <w:tcPr>
                  <w:tcW w:w="2100" w:type="dxa"/>
                  <w:vAlign w:val="center"/>
                </w:tcPr>
                <w:p w14:paraId="5AC40AD0">
                  <w:pPr>
                    <w:pStyle w:val="64"/>
                    <w:bidi w:val="0"/>
                    <w:jc w:val="center"/>
                    <w:rPr>
                      <w:rFonts w:hint="default"/>
                      <w:lang w:val="en-US" w:eastAsia="zh-CN"/>
                    </w:rPr>
                  </w:pPr>
                  <w:r>
                    <w:rPr>
                      <w:rFonts w:hint="eastAsia"/>
                      <w:lang w:val="en-US" w:eastAsia="zh-CN"/>
                    </w:rPr>
                    <w:t>无</w:t>
                  </w:r>
                </w:p>
              </w:tc>
              <w:tc>
                <w:tcPr>
                  <w:tcW w:w="1508" w:type="dxa"/>
                  <w:vAlign w:val="center"/>
                </w:tcPr>
                <w:p w14:paraId="67CB2EA7">
                  <w:pPr>
                    <w:pStyle w:val="64"/>
                    <w:bidi w:val="0"/>
                    <w:jc w:val="center"/>
                    <w:rPr>
                      <w:rFonts w:hint="default"/>
                      <w:lang w:val="en-US" w:eastAsia="zh-CN"/>
                    </w:rPr>
                  </w:pPr>
                  <w:r>
                    <w:rPr>
                      <w:rFonts w:hint="eastAsia"/>
                      <w:lang w:val="en-US" w:eastAsia="zh-CN"/>
                    </w:rPr>
                    <w:t>符合</w:t>
                  </w:r>
                </w:p>
              </w:tc>
            </w:tr>
            <w:tr w14:paraId="543DB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6" w:type="dxa"/>
                  <w:vMerge w:val="continue"/>
                  <w:vAlign w:val="center"/>
                </w:tcPr>
                <w:p w14:paraId="6FCDADDC">
                  <w:pPr>
                    <w:pStyle w:val="64"/>
                    <w:bidi w:val="0"/>
                    <w:jc w:val="center"/>
                    <w:rPr>
                      <w:rFonts w:hint="eastAsia"/>
                      <w:lang w:val="en-US" w:eastAsia="zh-CN"/>
                    </w:rPr>
                  </w:pPr>
                </w:p>
              </w:tc>
              <w:tc>
                <w:tcPr>
                  <w:tcW w:w="675" w:type="dxa"/>
                  <w:gridSpan w:val="2"/>
                  <w:vMerge w:val="continue"/>
                  <w:vAlign w:val="center"/>
                </w:tcPr>
                <w:p w14:paraId="670F81E5">
                  <w:pPr>
                    <w:pStyle w:val="64"/>
                    <w:bidi w:val="0"/>
                    <w:jc w:val="center"/>
                    <w:rPr>
                      <w:rFonts w:hint="eastAsia"/>
                      <w:lang w:val="en-US" w:eastAsia="zh-CN"/>
                    </w:rPr>
                  </w:pPr>
                </w:p>
              </w:tc>
              <w:tc>
                <w:tcPr>
                  <w:tcW w:w="1325" w:type="dxa"/>
                  <w:vAlign w:val="center"/>
                </w:tcPr>
                <w:p w14:paraId="6D395B2D">
                  <w:pPr>
                    <w:pStyle w:val="64"/>
                    <w:bidi w:val="0"/>
                    <w:jc w:val="center"/>
                    <w:rPr>
                      <w:rFonts w:hint="default"/>
                      <w:lang w:val="en-US" w:eastAsia="zh-CN"/>
                    </w:rPr>
                  </w:pPr>
                  <w:r>
                    <w:rPr>
                      <w:rFonts w:hint="eastAsia"/>
                      <w:lang w:val="en-US" w:eastAsia="zh-CN"/>
                    </w:rPr>
                    <w:t>三级</w:t>
                  </w:r>
                </w:p>
              </w:tc>
              <w:tc>
                <w:tcPr>
                  <w:tcW w:w="1262" w:type="dxa"/>
                  <w:vAlign w:val="center"/>
                </w:tcPr>
                <w:p w14:paraId="2FC7C52C">
                  <w:pPr>
                    <w:pStyle w:val="64"/>
                    <w:bidi w:val="0"/>
                    <w:jc w:val="center"/>
                    <w:rPr>
                      <w:rFonts w:hint="default"/>
                      <w:lang w:val="en-US" w:eastAsia="zh-CN"/>
                    </w:rPr>
                  </w:pPr>
                  <w:r>
                    <w:rPr>
                      <w:rFonts w:hint="eastAsia"/>
                      <w:lang w:val="en-US" w:eastAsia="zh-CN"/>
                    </w:rPr>
                    <w:t>25</w:t>
                  </w:r>
                </w:p>
              </w:tc>
              <w:tc>
                <w:tcPr>
                  <w:tcW w:w="2100" w:type="dxa"/>
                  <w:vAlign w:val="center"/>
                </w:tcPr>
                <w:p w14:paraId="405FB17C">
                  <w:pPr>
                    <w:pStyle w:val="64"/>
                    <w:bidi w:val="0"/>
                    <w:jc w:val="center"/>
                    <w:rPr>
                      <w:rFonts w:hint="default"/>
                      <w:lang w:val="en-US" w:eastAsia="zh-CN"/>
                    </w:rPr>
                  </w:pPr>
                  <w:r>
                    <w:rPr>
                      <w:rFonts w:hint="eastAsia"/>
                      <w:lang w:val="en-US" w:eastAsia="zh-CN"/>
                    </w:rPr>
                    <w:t>无</w:t>
                  </w:r>
                </w:p>
              </w:tc>
              <w:tc>
                <w:tcPr>
                  <w:tcW w:w="1508" w:type="dxa"/>
                  <w:vAlign w:val="center"/>
                </w:tcPr>
                <w:p w14:paraId="4B59E6E1">
                  <w:pPr>
                    <w:pStyle w:val="64"/>
                    <w:bidi w:val="0"/>
                    <w:jc w:val="center"/>
                    <w:rPr>
                      <w:rFonts w:hint="default"/>
                      <w:lang w:val="en-US" w:eastAsia="zh-CN"/>
                    </w:rPr>
                  </w:pPr>
                  <w:r>
                    <w:rPr>
                      <w:rFonts w:hint="eastAsia"/>
                      <w:lang w:val="en-US" w:eastAsia="zh-CN"/>
                    </w:rPr>
                    <w:t>符合</w:t>
                  </w:r>
                </w:p>
              </w:tc>
            </w:tr>
            <w:tr w14:paraId="4DC44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6" w:type="dxa"/>
                  <w:vMerge w:val="continue"/>
                  <w:vAlign w:val="center"/>
                </w:tcPr>
                <w:p w14:paraId="36F1D762">
                  <w:pPr>
                    <w:pStyle w:val="64"/>
                    <w:bidi w:val="0"/>
                    <w:jc w:val="center"/>
                    <w:rPr>
                      <w:rFonts w:hint="eastAsia"/>
                      <w:lang w:val="en-US" w:eastAsia="zh-CN"/>
                    </w:rPr>
                  </w:pPr>
                </w:p>
              </w:tc>
              <w:tc>
                <w:tcPr>
                  <w:tcW w:w="675" w:type="dxa"/>
                  <w:gridSpan w:val="2"/>
                  <w:vMerge w:val="continue"/>
                  <w:vAlign w:val="center"/>
                </w:tcPr>
                <w:p w14:paraId="39992B4A">
                  <w:pPr>
                    <w:pStyle w:val="64"/>
                    <w:bidi w:val="0"/>
                    <w:jc w:val="center"/>
                    <w:rPr>
                      <w:rFonts w:hint="eastAsia"/>
                      <w:lang w:val="en-US" w:eastAsia="zh-CN"/>
                    </w:rPr>
                  </w:pPr>
                </w:p>
              </w:tc>
              <w:tc>
                <w:tcPr>
                  <w:tcW w:w="1325" w:type="dxa"/>
                  <w:vAlign w:val="center"/>
                </w:tcPr>
                <w:p w14:paraId="74C3B8B3">
                  <w:pPr>
                    <w:pStyle w:val="64"/>
                    <w:bidi w:val="0"/>
                    <w:jc w:val="center"/>
                    <w:rPr>
                      <w:rFonts w:hint="default"/>
                      <w:lang w:val="en-US" w:eastAsia="zh-CN"/>
                    </w:rPr>
                  </w:pPr>
                  <w:r>
                    <w:rPr>
                      <w:rFonts w:hint="eastAsia"/>
                      <w:lang w:val="en-US" w:eastAsia="zh-CN"/>
                    </w:rPr>
                    <w:t>四级</w:t>
                  </w:r>
                </w:p>
              </w:tc>
              <w:tc>
                <w:tcPr>
                  <w:tcW w:w="1262" w:type="dxa"/>
                  <w:vAlign w:val="center"/>
                </w:tcPr>
                <w:p w14:paraId="5E2E235F">
                  <w:pPr>
                    <w:pStyle w:val="64"/>
                    <w:bidi w:val="0"/>
                    <w:jc w:val="center"/>
                    <w:rPr>
                      <w:rFonts w:hint="default"/>
                      <w:lang w:val="en-US" w:eastAsia="zh-CN"/>
                    </w:rPr>
                  </w:pPr>
                  <w:r>
                    <w:rPr>
                      <w:rFonts w:hint="eastAsia"/>
                      <w:lang w:val="en-US" w:eastAsia="zh-CN"/>
                    </w:rPr>
                    <w:t>30</w:t>
                  </w:r>
                </w:p>
              </w:tc>
              <w:tc>
                <w:tcPr>
                  <w:tcW w:w="2100" w:type="dxa"/>
                  <w:vAlign w:val="center"/>
                </w:tcPr>
                <w:p w14:paraId="3A4D23EF">
                  <w:pPr>
                    <w:pStyle w:val="64"/>
                    <w:bidi w:val="0"/>
                    <w:jc w:val="center"/>
                    <w:rPr>
                      <w:rFonts w:hint="default"/>
                      <w:lang w:val="en-US" w:eastAsia="zh-CN"/>
                    </w:rPr>
                  </w:pPr>
                  <w:r>
                    <w:rPr>
                      <w:rFonts w:hint="eastAsia"/>
                      <w:lang w:val="en-US" w:eastAsia="zh-CN"/>
                    </w:rPr>
                    <w:t>无</w:t>
                  </w:r>
                </w:p>
              </w:tc>
              <w:tc>
                <w:tcPr>
                  <w:tcW w:w="1508" w:type="dxa"/>
                  <w:vAlign w:val="center"/>
                </w:tcPr>
                <w:p w14:paraId="7860B926">
                  <w:pPr>
                    <w:pStyle w:val="64"/>
                    <w:bidi w:val="0"/>
                    <w:jc w:val="center"/>
                    <w:rPr>
                      <w:rFonts w:hint="default"/>
                      <w:lang w:val="en-US" w:eastAsia="zh-CN"/>
                    </w:rPr>
                  </w:pPr>
                  <w:r>
                    <w:rPr>
                      <w:rFonts w:hint="eastAsia"/>
                      <w:lang w:val="en-US" w:eastAsia="zh-CN"/>
                    </w:rPr>
                    <w:t>符合</w:t>
                  </w:r>
                </w:p>
              </w:tc>
            </w:tr>
            <w:tr w14:paraId="7A9583E9">
              <w:tblPrEx>
                <w:tblCellMar>
                  <w:top w:w="0" w:type="dxa"/>
                  <w:left w:w="108" w:type="dxa"/>
                  <w:bottom w:w="0" w:type="dxa"/>
                  <w:right w:w="108" w:type="dxa"/>
                </w:tblCellMar>
              </w:tblPrEx>
              <w:tc>
                <w:tcPr>
                  <w:tcW w:w="1236" w:type="dxa"/>
                  <w:gridSpan w:val="2"/>
                  <w:vMerge w:val="restart"/>
                  <w:vAlign w:val="center"/>
                </w:tcPr>
                <w:p w14:paraId="64B4C6FF">
                  <w:pPr>
                    <w:pStyle w:val="64"/>
                    <w:bidi w:val="0"/>
                    <w:jc w:val="center"/>
                    <w:rPr>
                      <w:rFonts w:hint="default"/>
                      <w:lang w:val="en-US" w:eastAsia="zh-CN"/>
                    </w:rPr>
                  </w:pPr>
                  <w:r>
                    <w:rPr>
                      <w:rFonts w:hint="eastAsia"/>
                      <w:lang w:val="en-US" w:eastAsia="zh-CN"/>
                    </w:rPr>
                    <w:t>铁路（中心线）</w:t>
                  </w:r>
                </w:p>
              </w:tc>
              <w:tc>
                <w:tcPr>
                  <w:tcW w:w="1450" w:type="dxa"/>
                  <w:gridSpan w:val="2"/>
                  <w:vAlign w:val="center"/>
                </w:tcPr>
                <w:p w14:paraId="27884730">
                  <w:pPr>
                    <w:pStyle w:val="64"/>
                    <w:bidi w:val="0"/>
                    <w:jc w:val="center"/>
                    <w:rPr>
                      <w:rFonts w:hint="default"/>
                      <w:lang w:val="en-US" w:eastAsia="zh-CN"/>
                    </w:rPr>
                  </w:pPr>
                  <w:r>
                    <w:rPr>
                      <w:rFonts w:hint="eastAsia"/>
                      <w:lang w:val="en-US" w:eastAsia="zh-CN"/>
                    </w:rPr>
                    <w:t>国家线</w:t>
                  </w:r>
                </w:p>
              </w:tc>
              <w:tc>
                <w:tcPr>
                  <w:tcW w:w="1262" w:type="dxa"/>
                  <w:vAlign w:val="center"/>
                </w:tcPr>
                <w:p w14:paraId="185F02E1">
                  <w:pPr>
                    <w:pStyle w:val="64"/>
                    <w:bidi w:val="0"/>
                    <w:jc w:val="center"/>
                    <w:rPr>
                      <w:rFonts w:hint="default"/>
                      <w:lang w:val="en-US" w:eastAsia="zh-CN"/>
                    </w:rPr>
                  </w:pPr>
                  <w:r>
                    <w:rPr>
                      <w:rFonts w:hint="eastAsia"/>
                      <w:lang w:val="en-US" w:eastAsia="zh-CN"/>
                    </w:rPr>
                    <w:t>70</w:t>
                  </w:r>
                </w:p>
              </w:tc>
              <w:tc>
                <w:tcPr>
                  <w:tcW w:w="2100" w:type="dxa"/>
                  <w:vAlign w:val="center"/>
                </w:tcPr>
                <w:p w14:paraId="5A285EB3">
                  <w:pPr>
                    <w:pStyle w:val="64"/>
                    <w:bidi w:val="0"/>
                    <w:jc w:val="center"/>
                    <w:rPr>
                      <w:rFonts w:hint="default"/>
                      <w:lang w:val="en-US" w:eastAsia="zh-CN"/>
                    </w:rPr>
                  </w:pPr>
                  <w:r>
                    <w:rPr>
                      <w:rFonts w:hint="eastAsia"/>
                      <w:lang w:val="en-US" w:eastAsia="zh-CN"/>
                    </w:rPr>
                    <w:t>无</w:t>
                  </w:r>
                </w:p>
              </w:tc>
              <w:tc>
                <w:tcPr>
                  <w:tcW w:w="1508" w:type="dxa"/>
                  <w:vAlign w:val="center"/>
                </w:tcPr>
                <w:p w14:paraId="7D3F1DFF">
                  <w:pPr>
                    <w:pStyle w:val="64"/>
                    <w:bidi w:val="0"/>
                    <w:jc w:val="center"/>
                    <w:rPr>
                      <w:rFonts w:hint="default"/>
                      <w:lang w:val="en-US" w:eastAsia="zh-CN"/>
                    </w:rPr>
                  </w:pPr>
                  <w:r>
                    <w:rPr>
                      <w:rFonts w:hint="eastAsia"/>
                      <w:lang w:val="en-US" w:eastAsia="zh-CN"/>
                    </w:rPr>
                    <w:t>符合</w:t>
                  </w:r>
                </w:p>
              </w:tc>
            </w:tr>
            <w:tr w14:paraId="40B55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6" w:type="dxa"/>
                  <w:gridSpan w:val="2"/>
                  <w:vMerge w:val="continue"/>
                  <w:vAlign w:val="center"/>
                </w:tcPr>
                <w:p w14:paraId="5A7FE937">
                  <w:pPr>
                    <w:pStyle w:val="64"/>
                    <w:bidi w:val="0"/>
                    <w:jc w:val="center"/>
                    <w:rPr>
                      <w:rFonts w:hint="default"/>
                      <w:lang w:val="en-US" w:eastAsia="zh-CN"/>
                    </w:rPr>
                  </w:pPr>
                </w:p>
              </w:tc>
              <w:tc>
                <w:tcPr>
                  <w:tcW w:w="1450" w:type="dxa"/>
                  <w:gridSpan w:val="2"/>
                  <w:vAlign w:val="center"/>
                </w:tcPr>
                <w:p w14:paraId="29ACD48A">
                  <w:pPr>
                    <w:pStyle w:val="64"/>
                    <w:bidi w:val="0"/>
                    <w:jc w:val="center"/>
                    <w:rPr>
                      <w:rFonts w:hint="default"/>
                      <w:lang w:val="en-US" w:eastAsia="zh-CN"/>
                    </w:rPr>
                  </w:pPr>
                  <w:r>
                    <w:rPr>
                      <w:rFonts w:hint="eastAsia"/>
                      <w:lang w:val="en-US" w:eastAsia="zh-CN"/>
                    </w:rPr>
                    <w:t>企业专用线</w:t>
                  </w:r>
                </w:p>
              </w:tc>
              <w:tc>
                <w:tcPr>
                  <w:tcW w:w="1262" w:type="dxa"/>
                  <w:vAlign w:val="center"/>
                </w:tcPr>
                <w:p w14:paraId="054B6252">
                  <w:pPr>
                    <w:pStyle w:val="64"/>
                    <w:bidi w:val="0"/>
                    <w:jc w:val="center"/>
                    <w:rPr>
                      <w:rFonts w:hint="default"/>
                      <w:lang w:val="en-US" w:eastAsia="zh-CN"/>
                    </w:rPr>
                  </w:pPr>
                  <w:r>
                    <w:rPr>
                      <w:rFonts w:hint="eastAsia"/>
                      <w:lang w:val="en-US" w:eastAsia="zh-CN"/>
                    </w:rPr>
                    <w:t>30</w:t>
                  </w:r>
                </w:p>
              </w:tc>
              <w:tc>
                <w:tcPr>
                  <w:tcW w:w="2100" w:type="dxa"/>
                  <w:vAlign w:val="center"/>
                </w:tcPr>
                <w:p w14:paraId="72B02D36">
                  <w:pPr>
                    <w:pStyle w:val="64"/>
                    <w:bidi w:val="0"/>
                    <w:jc w:val="center"/>
                    <w:rPr>
                      <w:rFonts w:hint="default"/>
                      <w:lang w:val="en-US" w:eastAsia="zh-CN"/>
                    </w:rPr>
                  </w:pPr>
                  <w:r>
                    <w:rPr>
                      <w:rFonts w:hint="eastAsia"/>
                      <w:lang w:val="en-US" w:eastAsia="zh-CN"/>
                    </w:rPr>
                    <w:t>无</w:t>
                  </w:r>
                </w:p>
              </w:tc>
              <w:tc>
                <w:tcPr>
                  <w:tcW w:w="1508" w:type="dxa"/>
                  <w:vAlign w:val="center"/>
                </w:tcPr>
                <w:p w14:paraId="5DFE512F">
                  <w:pPr>
                    <w:pStyle w:val="64"/>
                    <w:bidi w:val="0"/>
                    <w:jc w:val="center"/>
                    <w:rPr>
                      <w:rFonts w:hint="default"/>
                      <w:lang w:val="en-US" w:eastAsia="zh-CN"/>
                    </w:rPr>
                  </w:pPr>
                  <w:r>
                    <w:rPr>
                      <w:rFonts w:hint="eastAsia"/>
                      <w:lang w:val="en-US" w:eastAsia="zh-CN"/>
                    </w:rPr>
                    <w:t>符合</w:t>
                  </w:r>
                </w:p>
              </w:tc>
            </w:tr>
            <w:tr w14:paraId="063D4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6" w:type="dxa"/>
                  <w:gridSpan w:val="2"/>
                  <w:vMerge w:val="restart"/>
                  <w:vAlign w:val="center"/>
                </w:tcPr>
                <w:p w14:paraId="0B89CFEE">
                  <w:pPr>
                    <w:pStyle w:val="64"/>
                    <w:bidi w:val="0"/>
                    <w:jc w:val="center"/>
                    <w:rPr>
                      <w:rFonts w:hint="default"/>
                      <w:lang w:val="en-US" w:eastAsia="zh-CN"/>
                    </w:rPr>
                  </w:pPr>
                  <w:r>
                    <w:rPr>
                      <w:rFonts w:hint="eastAsia"/>
                      <w:lang w:val="en-US" w:eastAsia="zh-CN"/>
                    </w:rPr>
                    <w:t>公路、道路（路边）</w:t>
                  </w:r>
                </w:p>
              </w:tc>
              <w:tc>
                <w:tcPr>
                  <w:tcW w:w="1450" w:type="dxa"/>
                  <w:gridSpan w:val="2"/>
                  <w:vAlign w:val="center"/>
                </w:tcPr>
                <w:p w14:paraId="4940204F">
                  <w:pPr>
                    <w:pStyle w:val="64"/>
                    <w:bidi w:val="0"/>
                    <w:jc w:val="center"/>
                    <w:rPr>
                      <w:rFonts w:hint="default"/>
                      <w:lang w:val="en-US" w:eastAsia="zh-CN"/>
                    </w:rPr>
                  </w:pPr>
                  <w:r>
                    <w:rPr>
                      <w:rFonts w:hint="eastAsia"/>
                      <w:lang w:val="en-US" w:eastAsia="zh-CN"/>
                    </w:rPr>
                    <w:t>高速、Ⅰ、Ⅱ级公路、城市快速</w:t>
                  </w:r>
                </w:p>
              </w:tc>
              <w:tc>
                <w:tcPr>
                  <w:tcW w:w="1262" w:type="dxa"/>
                  <w:vAlign w:val="center"/>
                </w:tcPr>
                <w:p w14:paraId="31D97ACB">
                  <w:pPr>
                    <w:pStyle w:val="64"/>
                    <w:bidi w:val="0"/>
                    <w:jc w:val="center"/>
                    <w:rPr>
                      <w:rFonts w:hint="default"/>
                      <w:lang w:val="en-US" w:eastAsia="zh-CN"/>
                    </w:rPr>
                  </w:pPr>
                  <w:r>
                    <w:rPr>
                      <w:rFonts w:hint="eastAsia"/>
                      <w:lang w:val="en-US" w:eastAsia="zh-CN"/>
                    </w:rPr>
                    <w:t>25</w:t>
                  </w:r>
                </w:p>
              </w:tc>
              <w:tc>
                <w:tcPr>
                  <w:tcW w:w="2100" w:type="dxa"/>
                  <w:vAlign w:val="center"/>
                </w:tcPr>
                <w:p w14:paraId="394A3022">
                  <w:pPr>
                    <w:pStyle w:val="64"/>
                    <w:bidi w:val="0"/>
                    <w:jc w:val="center"/>
                    <w:rPr>
                      <w:rFonts w:hint="default"/>
                      <w:lang w:val="en-US" w:eastAsia="zh-CN"/>
                    </w:rPr>
                  </w:pPr>
                  <w:r>
                    <w:rPr>
                      <w:rFonts w:hint="eastAsia"/>
                      <w:lang w:val="en-US" w:eastAsia="zh-CN"/>
                    </w:rPr>
                    <w:t>距离G107国道路边85m</w:t>
                  </w:r>
                </w:p>
              </w:tc>
              <w:tc>
                <w:tcPr>
                  <w:tcW w:w="1508" w:type="dxa"/>
                  <w:vAlign w:val="center"/>
                </w:tcPr>
                <w:p w14:paraId="31A2D431">
                  <w:pPr>
                    <w:pStyle w:val="64"/>
                    <w:bidi w:val="0"/>
                    <w:jc w:val="center"/>
                    <w:rPr>
                      <w:rFonts w:hint="default"/>
                      <w:lang w:val="en-US" w:eastAsia="zh-CN"/>
                    </w:rPr>
                  </w:pPr>
                  <w:r>
                    <w:rPr>
                      <w:rFonts w:hint="eastAsia"/>
                      <w:lang w:val="en-US" w:eastAsia="zh-CN"/>
                    </w:rPr>
                    <w:t>符合</w:t>
                  </w:r>
                </w:p>
              </w:tc>
            </w:tr>
            <w:tr w14:paraId="00033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6" w:type="dxa"/>
                  <w:gridSpan w:val="2"/>
                  <w:vMerge w:val="continue"/>
                  <w:vAlign w:val="center"/>
                </w:tcPr>
                <w:p w14:paraId="6CC559A6">
                  <w:pPr>
                    <w:pStyle w:val="64"/>
                    <w:bidi w:val="0"/>
                    <w:jc w:val="center"/>
                    <w:rPr>
                      <w:rFonts w:hint="eastAsia"/>
                      <w:lang w:val="en-US" w:eastAsia="zh-CN"/>
                    </w:rPr>
                  </w:pPr>
                </w:p>
              </w:tc>
              <w:tc>
                <w:tcPr>
                  <w:tcW w:w="1450" w:type="dxa"/>
                  <w:gridSpan w:val="2"/>
                  <w:vAlign w:val="center"/>
                </w:tcPr>
                <w:p w14:paraId="7933ED78">
                  <w:pPr>
                    <w:pStyle w:val="64"/>
                    <w:bidi w:val="0"/>
                    <w:jc w:val="center"/>
                    <w:rPr>
                      <w:rFonts w:hint="default"/>
                      <w:lang w:val="en-US" w:eastAsia="zh-CN"/>
                    </w:rPr>
                  </w:pPr>
                  <w:r>
                    <w:rPr>
                      <w:rFonts w:hint="eastAsia"/>
                      <w:lang w:val="en-US" w:eastAsia="zh-CN"/>
                    </w:rPr>
                    <w:t>其他</w:t>
                  </w:r>
                </w:p>
              </w:tc>
              <w:tc>
                <w:tcPr>
                  <w:tcW w:w="1262" w:type="dxa"/>
                  <w:vAlign w:val="center"/>
                </w:tcPr>
                <w:p w14:paraId="3C5E4AFF">
                  <w:pPr>
                    <w:pStyle w:val="64"/>
                    <w:bidi w:val="0"/>
                    <w:jc w:val="center"/>
                    <w:rPr>
                      <w:rFonts w:hint="default"/>
                      <w:lang w:val="en-US" w:eastAsia="zh-CN"/>
                    </w:rPr>
                  </w:pPr>
                  <w:r>
                    <w:rPr>
                      <w:rFonts w:hint="eastAsia"/>
                      <w:lang w:val="en-US" w:eastAsia="zh-CN"/>
                    </w:rPr>
                    <w:t>15</w:t>
                  </w:r>
                </w:p>
              </w:tc>
              <w:tc>
                <w:tcPr>
                  <w:tcW w:w="2100" w:type="dxa"/>
                  <w:vAlign w:val="center"/>
                </w:tcPr>
                <w:p w14:paraId="3731DD6F">
                  <w:pPr>
                    <w:pStyle w:val="64"/>
                    <w:bidi w:val="0"/>
                    <w:jc w:val="center"/>
                    <w:rPr>
                      <w:rFonts w:hint="default"/>
                      <w:lang w:val="en-US" w:eastAsia="zh-CN"/>
                    </w:rPr>
                  </w:pPr>
                  <w:r>
                    <w:rPr>
                      <w:rFonts w:hint="eastAsia"/>
                      <w:lang w:val="en-US" w:eastAsia="zh-CN"/>
                    </w:rPr>
                    <w:t>距离西侧村道30m</w:t>
                  </w:r>
                </w:p>
              </w:tc>
              <w:tc>
                <w:tcPr>
                  <w:tcW w:w="1508" w:type="dxa"/>
                  <w:vAlign w:val="center"/>
                </w:tcPr>
                <w:p w14:paraId="179B0552">
                  <w:pPr>
                    <w:pStyle w:val="64"/>
                    <w:bidi w:val="0"/>
                    <w:jc w:val="center"/>
                    <w:rPr>
                      <w:rFonts w:hint="default"/>
                      <w:lang w:val="en-US" w:eastAsia="zh-CN"/>
                    </w:rPr>
                  </w:pPr>
                  <w:r>
                    <w:rPr>
                      <w:rFonts w:hint="eastAsia"/>
                      <w:lang w:val="en-US" w:eastAsia="zh-CN"/>
                    </w:rPr>
                    <w:t>符合</w:t>
                  </w:r>
                </w:p>
              </w:tc>
            </w:tr>
            <w:tr w14:paraId="1BFEE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6" w:type="dxa"/>
                  <w:gridSpan w:val="4"/>
                  <w:vAlign w:val="center"/>
                </w:tcPr>
                <w:p w14:paraId="7AD80BCD">
                  <w:pPr>
                    <w:pStyle w:val="64"/>
                    <w:bidi w:val="0"/>
                    <w:jc w:val="center"/>
                    <w:rPr>
                      <w:rFonts w:hint="eastAsia"/>
                      <w:lang w:val="en-US" w:eastAsia="zh-CN"/>
                    </w:rPr>
                  </w:pPr>
                  <w:r>
                    <w:rPr>
                      <w:rFonts w:hint="eastAsia"/>
                      <w:lang w:val="en-US" w:eastAsia="zh-CN"/>
                    </w:rPr>
                    <w:t>架空电力线（中心线）</w:t>
                  </w:r>
                </w:p>
              </w:tc>
              <w:tc>
                <w:tcPr>
                  <w:tcW w:w="1262" w:type="dxa"/>
                  <w:vAlign w:val="center"/>
                </w:tcPr>
                <w:p w14:paraId="7A48DAB7">
                  <w:pPr>
                    <w:pStyle w:val="64"/>
                    <w:bidi w:val="0"/>
                    <w:jc w:val="center"/>
                    <w:rPr>
                      <w:rFonts w:hint="default"/>
                      <w:lang w:val="en-US" w:eastAsia="zh-CN"/>
                    </w:rPr>
                  </w:pPr>
                  <w:r>
                    <w:rPr>
                      <w:rFonts w:hint="eastAsia"/>
                      <w:lang w:val="en-US" w:eastAsia="zh-CN"/>
                    </w:rPr>
                    <w:t>1.5倍杆距</w:t>
                  </w:r>
                </w:p>
              </w:tc>
              <w:tc>
                <w:tcPr>
                  <w:tcW w:w="2100" w:type="dxa"/>
                  <w:vAlign w:val="center"/>
                </w:tcPr>
                <w:p w14:paraId="0B9E4C78">
                  <w:pPr>
                    <w:pStyle w:val="64"/>
                    <w:bidi w:val="0"/>
                    <w:jc w:val="center"/>
                    <w:rPr>
                      <w:rFonts w:hint="default"/>
                      <w:lang w:val="en-US" w:eastAsia="zh-CN"/>
                    </w:rPr>
                  </w:pPr>
                  <w:r>
                    <w:rPr>
                      <w:rFonts w:hint="eastAsia"/>
                      <w:lang w:val="en-US" w:eastAsia="zh-CN"/>
                    </w:rPr>
                    <w:t>无</w:t>
                  </w:r>
                </w:p>
              </w:tc>
              <w:tc>
                <w:tcPr>
                  <w:tcW w:w="1508" w:type="dxa"/>
                  <w:vAlign w:val="center"/>
                </w:tcPr>
                <w:p w14:paraId="1451131A">
                  <w:pPr>
                    <w:pStyle w:val="64"/>
                    <w:bidi w:val="0"/>
                    <w:jc w:val="center"/>
                    <w:rPr>
                      <w:rFonts w:hint="default"/>
                      <w:lang w:val="en-US" w:eastAsia="zh-CN"/>
                    </w:rPr>
                  </w:pPr>
                  <w:r>
                    <w:rPr>
                      <w:rFonts w:hint="eastAsia"/>
                      <w:lang w:val="en-US" w:eastAsia="zh-CN"/>
                    </w:rPr>
                    <w:t>符合</w:t>
                  </w:r>
                </w:p>
              </w:tc>
            </w:tr>
            <w:tr w14:paraId="155D2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6" w:type="dxa"/>
                  <w:gridSpan w:val="2"/>
                  <w:vMerge w:val="restart"/>
                  <w:vAlign w:val="center"/>
                </w:tcPr>
                <w:p w14:paraId="29A8164D">
                  <w:pPr>
                    <w:pStyle w:val="64"/>
                    <w:bidi w:val="0"/>
                    <w:jc w:val="center"/>
                    <w:rPr>
                      <w:rFonts w:hint="default"/>
                      <w:lang w:val="en-US" w:eastAsia="zh-CN"/>
                    </w:rPr>
                  </w:pPr>
                  <w:r>
                    <w:rPr>
                      <w:rFonts w:hint="eastAsia"/>
                      <w:lang w:val="en-US" w:eastAsia="zh-CN"/>
                    </w:rPr>
                    <w:t>架空通信线（中心线）</w:t>
                  </w:r>
                </w:p>
              </w:tc>
              <w:tc>
                <w:tcPr>
                  <w:tcW w:w="1450" w:type="dxa"/>
                  <w:gridSpan w:val="2"/>
                  <w:vAlign w:val="center"/>
                </w:tcPr>
                <w:p w14:paraId="109A4E37">
                  <w:pPr>
                    <w:pStyle w:val="64"/>
                    <w:bidi w:val="0"/>
                    <w:jc w:val="center"/>
                    <w:rPr>
                      <w:rFonts w:hint="default"/>
                      <w:lang w:val="en-US" w:eastAsia="zh-CN"/>
                    </w:rPr>
                  </w:pPr>
                  <w:r>
                    <w:rPr>
                      <w:rFonts w:hint="eastAsia"/>
                      <w:lang w:val="en-US" w:eastAsia="zh-CN"/>
                    </w:rPr>
                    <w:t>Ⅰ、Ⅱ级</w:t>
                  </w:r>
                </w:p>
              </w:tc>
              <w:tc>
                <w:tcPr>
                  <w:tcW w:w="1262" w:type="dxa"/>
                  <w:vAlign w:val="center"/>
                </w:tcPr>
                <w:p w14:paraId="6B24FAB5">
                  <w:pPr>
                    <w:pStyle w:val="64"/>
                    <w:bidi w:val="0"/>
                    <w:jc w:val="center"/>
                    <w:rPr>
                      <w:rFonts w:hint="default"/>
                      <w:lang w:val="en-US" w:eastAsia="zh-CN"/>
                    </w:rPr>
                  </w:pPr>
                  <w:r>
                    <w:rPr>
                      <w:rFonts w:hint="eastAsia"/>
                      <w:lang w:val="en-US" w:eastAsia="zh-CN"/>
                    </w:rPr>
                    <w:t>30</w:t>
                  </w:r>
                </w:p>
              </w:tc>
              <w:tc>
                <w:tcPr>
                  <w:tcW w:w="2100" w:type="dxa"/>
                  <w:vAlign w:val="center"/>
                </w:tcPr>
                <w:p w14:paraId="7984BAFC">
                  <w:pPr>
                    <w:pStyle w:val="64"/>
                    <w:bidi w:val="0"/>
                    <w:jc w:val="center"/>
                    <w:rPr>
                      <w:rFonts w:hint="default"/>
                      <w:lang w:val="en-US" w:eastAsia="zh-CN"/>
                    </w:rPr>
                  </w:pPr>
                  <w:r>
                    <w:rPr>
                      <w:rFonts w:hint="eastAsia"/>
                      <w:lang w:val="en-US" w:eastAsia="zh-CN"/>
                    </w:rPr>
                    <w:t>无</w:t>
                  </w:r>
                </w:p>
              </w:tc>
              <w:tc>
                <w:tcPr>
                  <w:tcW w:w="1508" w:type="dxa"/>
                  <w:vAlign w:val="center"/>
                </w:tcPr>
                <w:p w14:paraId="1EA26630">
                  <w:pPr>
                    <w:pStyle w:val="64"/>
                    <w:bidi w:val="0"/>
                    <w:jc w:val="center"/>
                    <w:rPr>
                      <w:rFonts w:hint="default"/>
                      <w:lang w:val="en-US" w:eastAsia="zh-CN"/>
                    </w:rPr>
                  </w:pPr>
                  <w:r>
                    <w:rPr>
                      <w:rFonts w:hint="eastAsia"/>
                      <w:lang w:val="en-US" w:eastAsia="zh-CN"/>
                    </w:rPr>
                    <w:t>符合</w:t>
                  </w:r>
                </w:p>
              </w:tc>
            </w:tr>
            <w:tr w14:paraId="1A12B2D4">
              <w:tblPrEx>
                <w:tblCellMar>
                  <w:top w:w="0" w:type="dxa"/>
                  <w:left w:w="108" w:type="dxa"/>
                  <w:bottom w:w="0" w:type="dxa"/>
                  <w:right w:w="108" w:type="dxa"/>
                </w:tblCellMar>
              </w:tblPrEx>
              <w:tc>
                <w:tcPr>
                  <w:tcW w:w="1236" w:type="dxa"/>
                  <w:gridSpan w:val="2"/>
                  <w:vMerge w:val="continue"/>
                  <w:vAlign w:val="center"/>
                </w:tcPr>
                <w:p w14:paraId="2A586062">
                  <w:pPr>
                    <w:pStyle w:val="64"/>
                    <w:bidi w:val="0"/>
                    <w:jc w:val="center"/>
                    <w:rPr>
                      <w:rFonts w:hint="eastAsia"/>
                      <w:lang w:val="en-US" w:eastAsia="zh-CN"/>
                    </w:rPr>
                  </w:pPr>
                </w:p>
              </w:tc>
              <w:tc>
                <w:tcPr>
                  <w:tcW w:w="1450" w:type="dxa"/>
                  <w:gridSpan w:val="2"/>
                  <w:vAlign w:val="center"/>
                </w:tcPr>
                <w:p w14:paraId="47872742">
                  <w:pPr>
                    <w:pStyle w:val="64"/>
                    <w:bidi w:val="0"/>
                    <w:jc w:val="center"/>
                    <w:rPr>
                      <w:rFonts w:hint="default"/>
                      <w:lang w:val="en-US" w:eastAsia="zh-CN"/>
                    </w:rPr>
                  </w:pPr>
                  <w:r>
                    <w:rPr>
                      <w:rFonts w:hint="eastAsia"/>
                      <w:lang w:val="en-US" w:eastAsia="zh-CN"/>
                    </w:rPr>
                    <w:t>其他</w:t>
                  </w:r>
                </w:p>
              </w:tc>
              <w:tc>
                <w:tcPr>
                  <w:tcW w:w="1262" w:type="dxa"/>
                  <w:vAlign w:val="center"/>
                </w:tcPr>
                <w:p w14:paraId="11EB7D64">
                  <w:pPr>
                    <w:pStyle w:val="64"/>
                    <w:bidi w:val="0"/>
                    <w:jc w:val="center"/>
                    <w:rPr>
                      <w:rFonts w:hint="default"/>
                      <w:lang w:val="en-US" w:eastAsia="zh-CN"/>
                    </w:rPr>
                  </w:pPr>
                  <w:r>
                    <w:rPr>
                      <w:rFonts w:hint="eastAsia"/>
                      <w:lang w:val="en-US" w:eastAsia="zh-CN"/>
                    </w:rPr>
                    <w:t>1.5倍杆距</w:t>
                  </w:r>
                </w:p>
              </w:tc>
              <w:tc>
                <w:tcPr>
                  <w:tcW w:w="2100" w:type="dxa"/>
                  <w:vAlign w:val="center"/>
                </w:tcPr>
                <w:p w14:paraId="47231FC9">
                  <w:pPr>
                    <w:pStyle w:val="64"/>
                    <w:bidi w:val="0"/>
                    <w:jc w:val="center"/>
                    <w:rPr>
                      <w:rFonts w:hint="default"/>
                      <w:lang w:val="en-US" w:eastAsia="zh-CN"/>
                    </w:rPr>
                  </w:pPr>
                  <w:r>
                    <w:rPr>
                      <w:rFonts w:hint="eastAsia"/>
                      <w:lang w:val="en-US" w:eastAsia="zh-CN"/>
                    </w:rPr>
                    <w:t>无</w:t>
                  </w:r>
                </w:p>
              </w:tc>
              <w:tc>
                <w:tcPr>
                  <w:tcW w:w="1508" w:type="dxa"/>
                  <w:vAlign w:val="center"/>
                </w:tcPr>
                <w:p w14:paraId="5AB233C8">
                  <w:pPr>
                    <w:pStyle w:val="64"/>
                    <w:bidi w:val="0"/>
                    <w:jc w:val="center"/>
                    <w:rPr>
                      <w:rFonts w:hint="default"/>
                      <w:lang w:val="en-US" w:eastAsia="zh-CN"/>
                    </w:rPr>
                  </w:pPr>
                  <w:r>
                    <w:rPr>
                      <w:rFonts w:hint="eastAsia"/>
                      <w:lang w:val="en-US" w:eastAsia="zh-CN"/>
                    </w:rPr>
                    <w:t>符合</w:t>
                  </w:r>
                </w:p>
              </w:tc>
            </w:tr>
          </w:tbl>
          <w:p w14:paraId="15B23BEC">
            <w:pPr>
              <w:pStyle w:val="62"/>
              <w:rPr>
                <w:rFonts w:hint="default"/>
                <w:lang w:val="en-US" w:eastAsia="zh-CN"/>
              </w:rPr>
            </w:pPr>
            <w:r>
              <w:rPr>
                <w:rFonts w:hint="eastAsia"/>
                <w:lang w:val="en-US" w:eastAsia="zh-CN"/>
              </w:rPr>
              <w:t>注：按储罐总容积50＜V≤200，单罐容积V</w:t>
            </w:r>
            <w:r>
              <w:rPr>
                <w:rFonts w:hint="default"/>
                <w:lang w:val="en-US" w:eastAsia="zh-CN"/>
              </w:rPr>
              <w:t>’</w:t>
            </w:r>
            <w:r>
              <w:rPr>
                <w:rFonts w:hint="eastAsia"/>
                <w:lang w:val="en-US" w:eastAsia="zh-CN"/>
              </w:rPr>
              <w:t>≤50的防火间距进行核对。</w:t>
            </w:r>
          </w:p>
          <w:p w14:paraId="353ABD73">
            <w:pPr>
              <w:pStyle w:val="25"/>
              <w:ind w:firstLine="480"/>
              <w:rPr>
                <w:rFonts w:hint="eastAsia"/>
                <w:lang w:val="en-US" w:eastAsia="zh-CN"/>
              </w:rPr>
            </w:pPr>
            <w:r>
              <w:rPr>
                <w:rFonts w:hint="eastAsia"/>
                <w:lang w:val="en-US" w:eastAsia="zh-CN"/>
              </w:rPr>
              <w:t>4、与‌《挥发性有机物无组织排放控制标准》（GB 37822-2019）符合性分析</w:t>
            </w:r>
          </w:p>
          <w:p w14:paraId="7C65EB4E">
            <w:pPr>
              <w:pStyle w:val="63"/>
              <w:bidi w:val="0"/>
              <w:rPr>
                <w:rFonts w:hint="eastAsia"/>
                <w:lang w:val="en-US" w:eastAsia="zh-CN"/>
              </w:rPr>
            </w:pPr>
            <w:r>
              <w:rPr>
                <w:rFonts w:hint="eastAsia"/>
                <w:lang w:val="en-US" w:eastAsia="zh-CN"/>
              </w:rPr>
              <w:t>表1-5  与GB 37822-2019控制要求符合性分析表</w:t>
            </w:r>
          </w:p>
          <w:tbl>
            <w:tblPr>
              <w:tblStyle w:val="19"/>
              <w:tblW w:w="75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1"/>
              <w:gridCol w:w="3037"/>
              <w:gridCol w:w="2038"/>
              <w:gridCol w:w="1220"/>
            </w:tblGrid>
            <w:tr w14:paraId="095C7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vAlign w:val="center"/>
                </w:tcPr>
                <w:p w14:paraId="760DA8C8">
                  <w:pPr>
                    <w:pStyle w:val="64"/>
                    <w:bidi w:val="0"/>
                    <w:jc w:val="center"/>
                    <w:rPr>
                      <w:rFonts w:hint="default"/>
                      <w:lang w:val="en-US" w:eastAsia="zh-CN"/>
                    </w:rPr>
                  </w:pPr>
                  <w:r>
                    <w:rPr>
                      <w:rFonts w:hint="eastAsia"/>
                      <w:lang w:val="en-US" w:eastAsia="zh-CN"/>
                    </w:rPr>
                    <w:t>类别</w:t>
                  </w:r>
                </w:p>
              </w:tc>
              <w:tc>
                <w:tcPr>
                  <w:tcW w:w="3037" w:type="dxa"/>
                  <w:vAlign w:val="center"/>
                </w:tcPr>
                <w:p w14:paraId="35C0DD8D">
                  <w:pPr>
                    <w:pStyle w:val="64"/>
                    <w:bidi w:val="0"/>
                    <w:jc w:val="center"/>
                    <w:rPr>
                      <w:rFonts w:hint="default"/>
                      <w:lang w:val="en-US" w:eastAsia="zh-CN"/>
                    </w:rPr>
                  </w:pPr>
                  <w:r>
                    <w:rPr>
                      <w:rFonts w:hint="eastAsia"/>
                      <w:lang w:val="en-US" w:eastAsia="zh-CN"/>
                    </w:rPr>
                    <w:t>控制要求</w:t>
                  </w:r>
                </w:p>
              </w:tc>
              <w:tc>
                <w:tcPr>
                  <w:tcW w:w="2038" w:type="dxa"/>
                  <w:vAlign w:val="center"/>
                </w:tcPr>
                <w:p w14:paraId="135A123B">
                  <w:pPr>
                    <w:pStyle w:val="64"/>
                    <w:bidi w:val="0"/>
                    <w:jc w:val="center"/>
                    <w:rPr>
                      <w:rFonts w:hint="default"/>
                      <w:lang w:val="en-US" w:eastAsia="zh-CN"/>
                    </w:rPr>
                  </w:pPr>
                  <w:r>
                    <w:rPr>
                      <w:rFonts w:hint="eastAsia"/>
                      <w:lang w:val="en-US" w:eastAsia="zh-CN"/>
                    </w:rPr>
                    <w:t>本项目情况</w:t>
                  </w:r>
                </w:p>
              </w:tc>
              <w:tc>
                <w:tcPr>
                  <w:tcW w:w="1220" w:type="dxa"/>
                  <w:vAlign w:val="center"/>
                </w:tcPr>
                <w:p w14:paraId="7810AAE6">
                  <w:pPr>
                    <w:pStyle w:val="64"/>
                    <w:bidi w:val="0"/>
                    <w:jc w:val="center"/>
                    <w:rPr>
                      <w:rFonts w:hint="default"/>
                      <w:lang w:val="en-US" w:eastAsia="zh-CN"/>
                    </w:rPr>
                  </w:pPr>
                  <w:r>
                    <w:rPr>
                      <w:rFonts w:hint="eastAsia"/>
                      <w:lang w:val="en-US" w:eastAsia="zh-CN"/>
                    </w:rPr>
                    <w:t>符合性</w:t>
                  </w:r>
                </w:p>
              </w:tc>
            </w:tr>
            <w:tr w14:paraId="7AEA5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vMerge w:val="restart"/>
                  <w:vAlign w:val="center"/>
                </w:tcPr>
                <w:p w14:paraId="4F173393">
                  <w:pPr>
                    <w:pStyle w:val="64"/>
                    <w:bidi w:val="0"/>
                    <w:jc w:val="center"/>
                    <w:rPr>
                      <w:rFonts w:hint="default"/>
                      <w:lang w:val="en-US" w:eastAsia="zh-CN"/>
                    </w:rPr>
                  </w:pPr>
                  <w:r>
                    <w:rPr>
                      <w:rFonts w:hint="eastAsia"/>
                      <w:lang w:val="en-US" w:eastAsia="zh-CN"/>
                    </w:rPr>
                    <w:t>VOCs物料储存无组织排放控制要求</w:t>
                  </w:r>
                </w:p>
              </w:tc>
              <w:tc>
                <w:tcPr>
                  <w:tcW w:w="3037" w:type="dxa"/>
                  <w:vAlign w:val="center"/>
                </w:tcPr>
                <w:p w14:paraId="15DD63EC">
                  <w:pPr>
                    <w:pStyle w:val="64"/>
                    <w:bidi w:val="0"/>
                    <w:jc w:val="center"/>
                    <w:rPr>
                      <w:rFonts w:hint="default"/>
                      <w:lang w:val="en-US" w:eastAsia="zh-CN"/>
                    </w:rPr>
                  </w:pPr>
                  <w:r>
                    <w:rPr>
                      <w:rFonts w:hint="eastAsia"/>
                      <w:lang w:val="en-US" w:eastAsia="zh-CN"/>
                    </w:rPr>
                    <w:t>VOCs物料应储存于密闭的容器、包装袋、储罐、储库、料仓中</w:t>
                  </w:r>
                </w:p>
              </w:tc>
              <w:tc>
                <w:tcPr>
                  <w:tcW w:w="2038" w:type="dxa"/>
                  <w:vAlign w:val="center"/>
                </w:tcPr>
                <w:p w14:paraId="3DB0EFE3">
                  <w:pPr>
                    <w:pStyle w:val="64"/>
                    <w:bidi w:val="0"/>
                    <w:jc w:val="center"/>
                    <w:rPr>
                      <w:rFonts w:hint="default"/>
                      <w:vertAlign w:val="baseline"/>
                      <w:lang w:val="en-US" w:eastAsia="zh-CN"/>
                    </w:rPr>
                  </w:pPr>
                  <w:r>
                    <w:rPr>
                      <w:rFonts w:hint="eastAsia"/>
                      <w:lang w:val="en-US" w:eastAsia="zh-CN"/>
                    </w:rPr>
                    <w:t>本项目采用50m</w:t>
                  </w:r>
                  <w:r>
                    <w:rPr>
                      <w:rFonts w:hint="eastAsia"/>
                      <w:vertAlign w:val="superscript"/>
                      <w:lang w:val="en-US" w:eastAsia="zh-CN"/>
                    </w:rPr>
                    <w:t>3</w:t>
                  </w:r>
                  <w:r>
                    <w:rPr>
                      <w:rFonts w:hint="eastAsia"/>
                      <w:vertAlign w:val="baseline"/>
                      <w:lang w:val="en-US" w:eastAsia="zh-CN"/>
                    </w:rPr>
                    <w:t>的全压力储罐贮存液化石油气</w:t>
                  </w:r>
                </w:p>
              </w:tc>
              <w:tc>
                <w:tcPr>
                  <w:tcW w:w="1220" w:type="dxa"/>
                  <w:vAlign w:val="center"/>
                </w:tcPr>
                <w:p w14:paraId="74EED3ED">
                  <w:pPr>
                    <w:pStyle w:val="64"/>
                    <w:bidi w:val="0"/>
                    <w:jc w:val="center"/>
                    <w:rPr>
                      <w:rFonts w:hint="default"/>
                      <w:lang w:val="en-US" w:eastAsia="zh-CN"/>
                    </w:rPr>
                  </w:pPr>
                  <w:r>
                    <w:rPr>
                      <w:rFonts w:hint="eastAsia"/>
                      <w:lang w:val="en-US" w:eastAsia="zh-CN"/>
                    </w:rPr>
                    <w:t>符合</w:t>
                  </w:r>
                </w:p>
              </w:tc>
            </w:tr>
            <w:tr w14:paraId="72A28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vMerge w:val="continue"/>
                  <w:vAlign w:val="center"/>
                </w:tcPr>
                <w:p w14:paraId="5286765C">
                  <w:pPr>
                    <w:pStyle w:val="64"/>
                    <w:bidi w:val="0"/>
                    <w:jc w:val="center"/>
                    <w:rPr>
                      <w:rFonts w:hint="eastAsia"/>
                      <w:lang w:val="en-US" w:eastAsia="zh-CN"/>
                    </w:rPr>
                  </w:pPr>
                </w:p>
              </w:tc>
              <w:tc>
                <w:tcPr>
                  <w:tcW w:w="3037" w:type="dxa"/>
                  <w:vAlign w:val="center"/>
                </w:tcPr>
                <w:p w14:paraId="38BEFFD2">
                  <w:pPr>
                    <w:pStyle w:val="64"/>
                    <w:bidi w:val="0"/>
                    <w:jc w:val="center"/>
                    <w:rPr>
                      <w:rFonts w:hint="eastAsia"/>
                      <w:lang w:val="en-US" w:eastAsia="zh-CN"/>
                    </w:rPr>
                  </w:pPr>
                  <w:r>
                    <w:rPr>
                      <w:rFonts w:hint="eastAsia"/>
                      <w:lang w:val="en-US" w:eastAsia="zh-CN"/>
                    </w:rPr>
                    <w:t>储存真实蒸气压&gt;76.6kPa 的挥发性有机液体储罐，应采用低压罐、压力罐或其他等效措施。</w:t>
                  </w:r>
                </w:p>
              </w:tc>
              <w:tc>
                <w:tcPr>
                  <w:tcW w:w="2038" w:type="dxa"/>
                  <w:vAlign w:val="center"/>
                </w:tcPr>
                <w:p w14:paraId="7C0A5AC9">
                  <w:pPr>
                    <w:pStyle w:val="64"/>
                    <w:bidi w:val="0"/>
                    <w:jc w:val="center"/>
                    <w:rPr>
                      <w:rFonts w:hint="default"/>
                      <w:lang w:val="en-US" w:eastAsia="zh-CN"/>
                    </w:rPr>
                  </w:pPr>
                  <w:r>
                    <w:rPr>
                      <w:rFonts w:hint="eastAsia"/>
                      <w:lang w:val="en-US" w:eastAsia="zh-CN"/>
                    </w:rPr>
                    <w:t>本项目采用压力罐贮存液化石油气</w:t>
                  </w:r>
                </w:p>
              </w:tc>
              <w:tc>
                <w:tcPr>
                  <w:tcW w:w="1220" w:type="dxa"/>
                  <w:vAlign w:val="center"/>
                </w:tcPr>
                <w:p w14:paraId="72E2973B">
                  <w:pPr>
                    <w:pStyle w:val="64"/>
                    <w:bidi w:val="0"/>
                    <w:jc w:val="center"/>
                    <w:rPr>
                      <w:rFonts w:hint="default"/>
                      <w:lang w:val="en-US" w:eastAsia="zh-CN"/>
                    </w:rPr>
                  </w:pPr>
                  <w:r>
                    <w:rPr>
                      <w:rFonts w:hint="eastAsia"/>
                      <w:lang w:val="en-US" w:eastAsia="zh-CN"/>
                    </w:rPr>
                    <w:t>符合</w:t>
                  </w:r>
                </w:p>
              </w:tc>
            </w:tr>
            <w:tr w14:paraId="20614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vMerge w:val="restart"/>
                  <w:vAlign w:val="center"/>
                </w:tcPr>
                <w:p w14:paraId="676D095C">
                  <w:pPr>
                    <w:pStyle w:val="64"/>
                    <w:bidi w:val="0"/>
                    <w:jc w:val="center"/>
                    <w:rPr>
                      <w:rFonts w:hint="default"/>
                      <w:lang w:val="en-US" w:eastAsia="zh-CN"/>
                    </w:rPr>
                  </w:pPr>
                  <w:r>
                    <w:rPr>
                      <w:rFonts w:hint="eastAsia"/>
                      <w:lang w:val="en-US" w:eastAsia="zh-CN"/>
                    </w:rPr>
                    <w:t>VOCs物料转移和输送无组织排放控制要求</w:t>
                  </w:r>
                </w:p>
              </w:tc>
              <w:tc>
                <w:tcPr>
                  <w:tcW w:w="3037" w:type="dxa"/>
                  <w:vAlign w:val="center"/>
                </w:tcPr>
                <w:p w14:paraId="70B27995">
                  <w:pPr>
                    <w:pStyle w:val="64"/>
                    <w:bidi w:val="0"/>
                    <w:jc w:val="center"/>
                    <w:rPr>
                      <w:rFonts w:hint="eastAsia"/>
                      <w:lang w:val="en-US" w:eastAsia="zh-CN"/>
                    </w:rPr>
                  </w:pPr>
                  <w:r>
                    <w:rPr>
                      <w:rFonts w:hint="eastAsia"/>
                      <w:lang w:val="en-US" w:eastAsia="zh-CN"/>
                    </w:rPr>
                    <w:t>液态 VOCs 物料应采用密闭管道输送。采用非管道输送方式转移液态 VOCs 物料时，应采用密闭容器、罐车。</w:t>
                  </w:r>
                </w:p>
              </w:tc>
              <w:tc>
                <w:tcPr>
                  <w:tcW w:w="2038" w:type="dxa"/>
                  <w:vAlign w:val="center"/>
                </w:tcPr>
                <w:p w14:paraId="565A109D">
                  <w:pPr>
                    <w:pStyle w:val="64"/>
                    <w:bidi w:val="0"/>
                    <w:jc w:val="center"/>
                    <w:rPr>
                      <w:rFonts w:hint="default"/>
                      <w:lang w:val="en-US" w:eastAsia="zh-CN"/>
                    </w:rPr>
                  </w:pPr>
                  <w:r>
                    <w:rPr>
                      <w:rFonts w:hint="eastAsia"/>
                      <w:lang w:val="en-US" w:eastAsia="zh-CN"/>
                    </w:rPr>
                    <w:t>本项目液化石油气采用密闭管道输送</w:t>
                  </w:r>
                </w:p>
              </w:tc>
              <w:tc>
                <w:tcPr>
                  <w:tcW w:w="1220" w:type="dxa"/>
                  <w:vAlign w:val="center"/>
                </w:tcPr>
                <w:p w14:paraId="08A953B7">
                  <w:pPr>
                    <w:pStyle w:val="64"/>
                    <w:bidi w:val="0"/>
                    <w:jc w:val="center"/>
                    <w:rPr>
                      <w:rFonts w:hint="default"/>
                      <w:lang w:val="en-US" w:eastAsia="zh-CN"/>
                    </w:rPr>
                  </w:pPr>
                  <w:r>
                    <w:rPr>
                      <w:rFonts w:hint="eastAsia"/>
                      <w:lang w:val="en-US" w:eastAsia="zh-CN"/>
                    </w:rPr>
                    <w:t>符合</w:t>
                  </w:r>
                </w:p>
              </w:tc>
            </w:tr>
            <w:tr w14:paraId="18A4C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vMerge w:val="continue"/>
                  <w:vAlign w:val="center"/>
                </w:tcPr>
                <w:p w14:paraId="45FEBE65">
                  <w:pPr>
                    <w:pStyle w:val="64"/>
                    <w:bidi w:val="0"/>
                    <w:jc w:val="center"/>
                    <w:rPr>
                      <w:rFonts w:hint="eastAsia"/>
                      <w:lang w:val="en-US" w:eastAsia="zh-CN"/>
                    </w:rPr>
                  </w:pPr>
                </w:p>
              </w:tc>
              <w:tc>
                <w:tcPr>
                  <w:tcW w:w="3037" w:type="dxa"/>
                  <w:vAlign w:val="center"/>
                </w:tcPr>
                <w:p w14:paraId="4B2FD7A0">
                  <w:pPr>
                    <w:pStyle w:val="64"/>
                    <w:bidi w:val="0"/>
                    <w:jc w:val="center"/>
                    <w:rPr>
                      <w:rFonts w:hint="eastAsia"/>
                      <w:lang w:val="en-US" w:eastAsia="zh-CN"/>
                    </w:rPr>
                  </w:pPr>
                  <w:r>
                    <w:rPr>
                      <w:rFonts w:hint="eastAsia"/>
                      <w:lang w:val="en-US" w:eastAsia="zh-CN"/>
                    </w:rPr>
                    <w:t>挥发性有机液体应采用底部装载方式;若采用顶部浸没式装载，出料管口距离槽(罐)底部高度应小于200 mm。</w:t>
                  </w:r>
                </w:p>
              </w:tc>
              <w:tc>
                <w:tcPr>
                  <w:tcW w:w="2038" w:type="dxa"/>
                  <w:vAlign w:val="center"/>
                </w:tcPr>
                <w:p w14:paraId="0AD048DE">
                  <w:pPr>
                    <w:pStyle w:val="64"/>
                    <w:bidi w:val="0"/>
                    <w:jc w:val="center"/>
                    <w:rPr>
                      <w:rFonts w:hint="default"/>
                      <w:lang w:val="en-US" w:eastAsia="zh-CN"/>
                    </w:rPr>
                  </w:pPr>
                  <w:r>
                    <w:rPr>
                      <w:rFonts w:hint="eastAsia"/>
                      <w:lang w:val="en-US" w:eastAsia="zh-CN"/>
                    </w:rPr>
                    <w:t>本项目液化石油气采用底部装载方式</w:t>
                  </w:r>
                </w:p>
              </w:tc>
              <w:tc>
                <w:tcPr>
                  <w:tcW w:w="1220" w:type="dxa"/>
                  <w:vAlign w:val="center"/>
                </w:tcPr>
                <w:p w14:paraId="0005421C">
                  <w:pPr>
                    <w:pStyle w:val="64"/>
                    <w:bidi w:val="0"/>
                    <w:jc w:val="center"/>
                    <w:rPr>
                      <w:rFonts w:hint="default"/>
                      <w:lang w:val="en-US" w:eastAsia="zh-CN"/>
                    </w:rPr>
                  </w:pPr>
                  <w:r>
                    <w:rPr>
                      <w:rFonts w:hint="eastAsia"/>
                      <w:lang w:val="en-US" w:eastAsia="zh-CN"/>
                    </w:rPr>
                    <w:t>符合</w:t>
                  </w:r>
                </w:p>
              </w:tc>
            </w:tr>
            <w:tr w14:paraId="5A7B3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vAlign w:val="center"/>
                </w:tcPr>
                <w:p w14:paraId="691CBFCC">
                  <w:pPr>
                    <w:pStyle w:val="64"/>
                    <w:bidi w:val="0"/>
                    <w:jc w:val="center"/>
                    <w:rPr>
                      <w:rFonts w:hint="default"/>
                      <w:lang w:val="en-US" w:eastAsia="zh-CN"/>
                    </w:rPr>
                  </w:pPr>
                  <w:r>
                    <w:rPr>
                      <w:rFonts w:hint="eastAsia"/>
                      <w:lang w:val="en-US" w:eastAsia="zh-CN"/>
                    </w:rPr>
                    <w:t>工艺过程VOCs无组织排放控制要求</w:t>
                  </w:r>
                </w:p>
              </w:tc>
              <w:tc>
                <w:tcPr>
                  <w:tcW w:w="3037" w:type="dxa"/>
                  <w:vAlign w:val="center"/>
                </w:tcPr>
                <w:p w14:paraId="1716E558">
                  <w:pPr>
                    <w:pStyle w:val="64"/>
                    <w:bidi w:val="0"/>
                    <w:jc w:val="center"/>
                    <w:rPr>
                      <w:rFonts w:hint="eastAsia"/>
                      <w:lang w:val="en-US" w:eastAsia="zh-CN"/>
                    </w:rPr>
                  </w:pPr>
                  <w:r>
                    <w:rPr>
                      <w:rFonts w:hint="eastAsia"/>
                      <w:lang w:val="en-US" w:eastAsia="zh-CN"/>
                    </w:rPr>
                    <w:t>液态 VOCs 物料应采用密闭管道输送方式或采用高位槽(罐)、桶泵等给料方式密闭投加。无法密闭投加的，应在密闭空间内操作，或进行局部气体收集，废气应排至VOCs 废气收集处理系统。</w:t>
                  </w:r>
                </w:p>
              </w:tc>
              <w:tc>
                <w:tcPr>
                  <w:tcW w:w="2038" w:type="dxa"/>
                  <w:vAlign w:val="center"/>
                </w:tcPr>
                <w:p w14:paraId="2E4509C6">
                  <w:pPr>
                    <w:pStyle w:val="64"/>
                    <w:bidi w:val="0"/>
                    <w:jc w:val="center"/>
                    <w:rPr>
                      <w:rFonts w:hint="default"/>
                      <w:lang w:val="en-US" w:eastAsia="zh-CN"/>
                    </w:rPr>
                  </w:pPr>
                  <w:r>
                    <w:rPr>
                      <w:rFonts w:hint="eastAsia"/>
                      <w:lang w:val="en-US" w:eastAsia="zh-CN"/>
                    </w:rPr>
                    <w:t>本项目液化石油气通过压力管道进行压力充装，全密闭操作</w:t>
                  </w:r>
                </w:p>
              </w:tc>
              <w:tc>
                <w:tcPr>
                  <w:tcW w:w="1220" w:type="dxa"/>
                  <w:vAlign w:val="center"/>
                </w:tcPr>
                <w:p w14:paraId="19C1DC2D">
                  <w:pPr>
                    <w:pStyle w:val="64"/>
                    <w:bidi w:val="0"/>
                    <w:jc w:val="center"/>
                    <w:rPr>
                      <w:rFonts w:hint="default"/>
                      <w:lang w:val="en-US" w:eastAsia="zh-CN"/>
                    </w:rPr>
                  </w:pPr>
                  <w:r>
                    <w:rPr>
                      <w:rFonts w:hint="eastAsia"/>
                      <w:lang w:val="en-US" w:eastAsia="zh-CN"/>
                    </w:rPr>
                    <w:t>符合</w:t>
                  </w:r>
                </w:p>
              </w:tc>
            </w:tr>
            <w:tr w14:paraId="0397F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vAlign w:val="center"/>
                </w:tcPr>
                <w:p w14:paraId="6A00108E">
                  <w:pPr>
                    <w:pStyle w:val="64"/>
                    <w:bidi w:val="0"/>
                    <w:jc w:val="center"/>
                    <w:rPr>
                      <w:rFonts w:hint="default"/>
                      <w:lang w:val="en-US" w:eastAsia="zh-CN"/>
                    </w:rPr>
                  </w:pPr>
                  <w:r>
                    <w:rPr>
                      <w:rFonts w:hint="eastAsia"/>
                      <w:lang w:val="en-US" w:eastAsia="zh-CN"/>
                    </w:rPr>
                    <w:t>设备与管线组件VOCs泄漏控制要求</w:t>
                  </w:r>
                </w:p>
              </w:tc>
              <w:tc>
                <w:tcPr>
                  <w:tcW w:w="3037" w:type="dxa"/>
                  <w:vAlign w:val="center"/>
                </w:tcPr>
                <w:p w14:paraId="08575B58">
                  <w:pPr>
                    <w:pStyle w:val="64"/>
                    <w:bidi w:val="0"/>
                    <w:jc w:val="center"/>
                    <w:rPr>
                      <w:rFonts w:hint="eastAsia"/>
                      <w:lang w:val="en-US" w:eastAsia="zh-CN"/>
                    </w:rPr>
                  </w:pPr>
                  <w:r>
                    <w:rPr>
                      <w:rFonts w:hint="eastAsia"/>
                      <w:lang w:val="en-US" w:eastAsia="zh-CN"/>
                    </w:rPr>
                    <w:t>企业中载有气态 VOCs 物料、液态 VOCs 物料的设备与管线组件的密封点&gt;2000 个，应开展泄漏检测与修复工作。</w:t>
                  </w:r>
                </w:p>
              </w:tc>
              <w:tc>
                <w:tcPr>
                  <w:tcW w:w="2038" w:type="dxa"/>
                  <w:vAlign w:val="center"/>
                </w:tcPr>
                <w:p w14:paraId="1A93BA0B">
                  <w:pPr>
                    <w:pStyle w:val="64"/>
                    <w:bidi w:val="0"/>
                    <w:jc w:val="center"/>
                    <w:rPr>
                      <w:rFonts w:hint="default"/>
                      <w:lang w:val="en-US" w:eastAsia="zh-CN"/>
                    </w:rPr>
                  </w:pPr>
                  <w:r>
                    <w:rPr>
                      <w:rFonts w:hint="eastAsia"/>
                      <w:lang w:val="en-US" w:eastAsia="zh-CN"/>
                    </w:rPr>
                    <w:t>本项目设备动静密封点总计数量394个，不超过2000个，无需开展泄漏检测与修复</w:t>
                  </w:r>
                </w:p>
              </w:tc>
              <w:tc>
                <w:tcPr>
                  <w:tcW w:w="1220" w:type="dxa"/>
                  <w:vAlign w:val="center"/>
                </w:tcPr>
                <w:p w14:paraId="1298837F">
                  <w:pPr>
                    <w:pStyle w:val="64"/>
                    <w:bidi w:val="0"/>
                    <w:jc w:val="center"/>
                    <w:rPr>
                      <w:rFonts w:hint="default"/>
                      <w:lang w:val="en-US" w:eastAsia="zh-CN"/>
                    </w:rPr>
                  </w:pPr>
                  <w:r>
                    <w:rPr>
                      <w:rFonts w:hint="eastAsia"/>
                      <w:lang w:val="en-US" w:eastAsia="zh-CN"/>
                    </w:rPr>
                    <w:t>符合</w:t>
                  </w:r>
                </w:p>
              </w:tc>
            </w:tr>
          </w:tbl>
          <w:p w14:paraId="737ED69E">
            <w:pPr>
              <w:pStyle w:val="62"/>
              <w:rPr>
                <w:rFonts w:hint="default"/>
                <w:lang w:val="en-US" w:eastAsia="zh-CN"/>
              </w:rPr>
            </w:pPr>
            <w:r>
              <w:rPr>
                <w:rFonts w:hint="eastAsia"/>
                <w:lang w:val="en-US" w:eastAsia="zh-CN"/>
              </w:rPr>
              <w:t>根据上表分析，本项目符合‌《挥发性有机物无组织排放控制标准》（GB 37822-2019）要求。</w:t>
            </w:r>
          </w:p>
          <w:p w14:paraId="26B14718">
            <w:pPr>
              <w:pStyle w:val="62"/>
              <w:rPr>
                <w:rFonts w:hint="default"/>
                <w:lang w:val="en-US" w:eastAsia="zh-CN"/>
              </w:rPr>
            </w:pPr>
          </w:p>
        </w:tc>
      </w:tr>
    </w:tbl>
    <w:p w14:paraId="20C5F2F7">
      <w:pPr>
        <w:pStyle w:val="25"/>
        <w:ind w:firstLine="0" w:firstLineChars="0"/>
        <w:sectPr>
          <w:footerReference r:id="rId4" w:type="default"/>
          <w:pgSz w:w="11906" w:h="16838"/>
          <w:pgMar w:top="1440" w:right="1800" w:bottom="1440" w:left="1800" w:header="851" w:footer="992" w:gutter="0"/>
          <w:pgNumType w:start="1"/>
          <w:cols w:space="425" w:num="1"/>
          <w:docGrid w:type="lines" w:linePitch="312" w:charSpace="0"/>
        </w:sectPr>
      </w:pPr>
    </w:p>
    <w:p w14:paraId="37DF991C">
      <w:pPr>
        <w:pStyle w:val="29"/>
      </w:pPr>
      <w:bookmarkStart w:id="1" w:name="_Toc19351"/>
      <w:r>
        <w:rPr>
          <w:rFonts w:hint="eastAsia"/>
        </w:rPr>
        <w:t>二、建设项目工程分析</w:t>
      </w:r>
      <w:bookmarkEnd w:id="1"/>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
        <w:gridCol w:w="688"/>
        <w:gridCol w:w="7442"/>
      </w:tblGrid>
      <w:tr w14:paraId="0911B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Align w:val="center"/>
          </w:tcPr>
          <w:p w14:paraId="251C4BBC">
            <w:pPr>
              <w:pStyle w:val="26"/>
              <w:rPr>
                <w:color w:val="auto"/>
              </w:rPr>
            </w:pPr>
            <w:r>
              <w:rPr>
                <w:rFonts w:hint="eastAsia"/>
                <w:color w:val="auto"/>
              </w:rPr>
              <w:t>建设内容</w:t>
            </w:r>
          </w:p>
        </w:tc>
        <w:tc>
          <w:tcPr>
            <w:tcW w:w="8130" w:type="dxa"/>
            <w:gridSpan w:val="2"/>
          </w:tcPr>
          <w:p w14:paraId="49923540">
            <w:pPr>
              <w:pStyle w:val="25"/>
              <w:bidi w:val="0"/>
              <w:rPr>
                <w:rFonts w:hint="eastAsia"/>
                <w:color w:val="auto"/>
                <w:lang w:val="en-US" w:eastAsia="zh-CN"/>
              </w:rPr>
            </w:pPr>
            <w:r>
              <w:rPr>
                <w:rFonts w:hint="eastAsia"/>
                <w:color w:val="auto"/>
                <w:lang w:val="en-US" w:eastAsia="zh-CN"/>
              </w:rPr>
              <w:t>1、项目由来</w:t>
            </w:r>
          </w:p>
          <w:p w14:paraId="690BB4B6">
            <w:pPr>
              <w:pStyle w:val="25"/>
              <w:bidi w:val="0"/>
              <w:rPr>
                <w:rFonts w:hint="eastAsia"/>
                <w:color w:val="auto"/>
                <w:sz w:val="24"/>
                <w:szCs w:val="32"/>
                <w:lang w:val="en-US" w:eastAsia="zh-CN"/>
              </w:rPr>
            </w:pPr>
            <w:r>
              <w:rPr>
                <w:rFonts w:hint="eastAsia"/>
                <w:color w:val="auto"/>
                <w:lang w:val="en-US" w:eastAsia="zh-CN"/>
              </w:rPr>
              <w:t>为保障衡阳县集兵镇及周边区域的液化气的供应，改善城镇能源结构，提高居民生活品质，</w:t>
            </w:r>
            <w:r>
              <w:rPr>
                <w:rFonts w:hint="eastAsia"/>
                <w:color w:val="auto"/>
                <w:sz w:val="24"/>
                <w:szCs w:val="32"/>
                <w:lang w:val="en-US" w:eastAsia="zh-CN"/>
              </w:rPr>
              <w:t>衡阳华永燃气有限公司拟在</w:t>
            </w:r>
            <w:r>
              <w:rPr>
                <w:rFonts w:hint="eastAsia"/>
                <w:color w:val="auto"/>
                <w:sz w:val="24"/>
                <w:lang w:val="en-US" w:eastAsia="zh-CN"/>
              </w:rPr>
              <w:t>湖南省衡阳市衡阳县集兵镇太栗村胡家组建设</w:t>
            </w:r>
            <w:r>
              <w:rPr>
                <w:rFonts w:hint="eastAsia"/>
                <w:color w:val="auto"/>
                <w:sz w:val="24"/>
                <w:szCs w:val="32"/>
                <w:lang w:val="en-US" w:eastAsia="zh-CN"/>
              </w:rPr>
              <w:t>液化气充装站建设项目，该项目已于2022年10月10日在湖南省投资项目在线审批监管平台备案，并于2023年10月开工，目前已经完成主体建筑结构施工，尚未进行厂区配套设施、主要生产设施施工及安装。</w:t>
            </w:r>
          </w:p>
          <w:p w14:paraId="2D92BA01">
            <w:pPr>
              <w:pStyle w:val="25"/>
              <w:bidi w:val="0"/>
              <w:rPr>
                <w:rFonts w:hint="default"/>
                <w:color w:val="auto"/>
                <w:sz w:val="24"/>
                <w:szCs w:val="32"/>
                <w:lang w:val="en-US" w:eastAsia="zh-CN"/>
              </w:rPr>
            </w:pPr>
            <w:r>
              <w:rPr>
                <w:rFonts w:hint="eastAsia"/>
                <w:color w:val="auto"/>
                <w:sz w:val="24"/>
                <w:szCs w:val="32"/>
                <w:lang w:val="en-US" w:eastAsia="zh-CN"/>
              </w:rPr>
              <w:t>根据《中华人民共和国环境保护法》《中华人民共和国环境影响评价法》《建设项目环境影响评价管理条例》等法律法规要求，建设项目需在开工建设前进行环境影响评价，根据《建设项目环境影响评价分类管理名录（2021年版）》，本项目属于“</w:t>
            </w:r>
            <w:r>
              <w:rPr>
                <w:rFonts w:hint="eastAsia"/>
                <w:color w:val="auto"/>
                <w:sz w:val="24"/>
                <w:lang w:val="en-US" w:eastAsia="zh-CN"/>
              </w:rPr>
              <w:t>五十三、装卸搬运和仓储业59-149、危险品仓储594-其他（含有毒、有害、危险品的仓储；含液化天然气库）</w:t>
            </w:r>
            <w:r>
              <w:rPr>
                <w:rFonts w:hint="eastAsia"/>
                <w:color w:val="auto"/>
                <w:sz w:val="24"/>
                <w:szCs w:val="32"/>
                <w:lang w:val="en-US" w:eastAsia="zh-CN"/>
              </w:rPr>
              <w:t>”，需要编制环境影响报告表，项目在未办理环评手续情况下已于2023年10月开工建设，涉及“未批先建”违法行为，目前建设单位及时进行整改，补充办理环境影响评价手续，于2025年3月委托长沙羽宸环保科技有限公司（以下简称“我公司”）承担项目环境影响评价工作。我公司接受委托后，立即组织技术人员进行现场踏勘及资料收集，结合相关法律法规、技术标准完成了《衡阳华永燃气有限公司液化气充装站建设项目环境影响报告表》的编制工作。</w:t>
            </w:r>
          </w:p>
          <w:p w14:paraId="7CD12A96">
            <w:pPr>
              <w:pStyle w:val="25"/>
              <w:bidi w:val="0"/>
              <w:rPr>
                <w:rFonts w:hint="eastAsia"/>
                <w:color w:val="auto"/>
                <w:lang w:val="en-US" w:eastAsia="zh-CN"/>
              </w:rPr>
            </w:pPr>
            <w:r>
              <w:rPr>
                <w:rFonts w:hint="eastAsia"/>
                <w:color w:val="auto"/>
                <w:lang w:val="en-US" w:eastAsia="zh-CN"/>
              </w:rPr>
              <w:t>2、主要建设内容及建设现状</w:t>
            </w:r>
          </w:p>
          <w:p w14:paraId="3FB874D0">
            <w:pPr>
              <w:pStyle w:val="25"/>
              <w:bidi w:val="0"/>
              <w:rPr>
                <w:rFonts w:hint="eastAsia"/>
                <w:color w:val="auto"/>
                <w:sz w:val="24"/>
                <w:szCs w:val="32"/>
                <w:lang w:val="en-US" w:eastAsia="zh-CN"/>
              </w:rPr>
            </w:pPr>
            <w:r>
              <w:rPr>
                <w:rFonts w:hint="eastAsia"/>
                <w:color w:val="auto"/>
                <w:lang w:val="en-US" w:eastAsia="zh-CN"/>
              </w:rPr>
              <w:t>本项目占地面积11171.80m</w:t>
            </w:r>
            <w:r>
              <w:rPr>
                <w:rFonts w:hint="eastAsia"/>
                <w:color w:val="auto"/>
                <w:vertAlign w:val="superscript"/>
                <w:lang w:val="en-US" w:eastAsia="zh-CN"/>
              </w:rPr>
              <w:t>2</w:t>
            </w:r>
            <w:r>
              <w:rPr>
                <w:rFonts w:hint="eastAsia"/>
                <w:color w:val="auto"/>
                <w:vertAlign w:val="baseline"/>
                <w:lang w:val="en-US" w:eastAsia="zh-CN"/>
              </w:rPr>
              <w:t>，总建筑面积8328.20m</w:t>
            </w:r>
            <w:r>
              <w:rPr>
                <w:rFonts w:hint="eastAsia"/>
                <w:color w:val="auto"/>
                <w:vertAlign w:val="superscript"/>
                <w:lang w:val="en-US" w:eastAsia="zh-CN"/>
              </w:rPr>
              <w:t>2</w:t>
            </w:r>
            <w:r>
              <w:rPr>
                <w:rFonts w:hint="eastAsia"/>
                <w:color w:val="auto"/>
                <w:vertAlign w:val="baseline"/>
                <w:lang w:val="en-US" w:eastAsia="zh-CN"/>
              </w:rPr>
              <w:t>，主要建设内容包括新建3个50立方米液化气储罐、1个50立方米残液罐，消防水池及泵房，建筑面积180平方米，1个及1栋压缩机房及灌瓶车间，建筑面积224平方米；1栋技术研发中心，建筑面积4200平方米，1栋分析实验楼，建筑面积3600平方米，1栋消防水池及水泵房，建筑面积180平方米，卸车操作场地，占地面积4728.85平方米，配套建设亮化、绿化等基础设施。项目已于</w:t>
            </w:r>
            <w:r>
              <w:rPr>
                <w:rFonts w:hint="eastAsia"/>
                <w:color w:val="auto"/>
                <w:sz w:val="24"/>
                <w:szCs w:val="32"/>
                <w:lang w:val="en-US" w:eastAsia="zh-CN"/>
              </w:rPr>
              <w:t>2023年10月开工建设，目前已经完成主体建筑结构施工，具体建设内容及建设现状如下：</w:t>
            </w:r>
          </w:p>
          <w:p w14:paraId="5553F2D2">
            <w:pPr>
              <w:pStyle w:val="25"/>
              <w:bidi w:val="0"/>
              <w:rPr>
                <w:rFonts w:hint="eastAsia"/>
                <w:color w:val="auto"/>
                <w:sz w:val="24"/>
                <w:szCs w:val="32"/>
                <w:lang w:val="en-US" w:eastAsia="zh-CN"/>
              </w:rPr>
            </w:pPr>
          </w:p>
          <w:p w14:paraId="5BDC0BC1">
            <w:pPr>
              <w:pStyle w:val="24"/>
              <w:bidi w:val="0"/>
              <w:rPr>
                <w:rFonts w:hint="eastAsia"/>
                <w:color w:val="auto"/>
                <w:lang w:val="en-US" w:eastAsia="zh-CN"/>
              </w:rPr>
            </w:pPr>
            <w:r>
              <w:rPr>
                <w:rFonts w:hint="eastAsia"/>
                <w:color w:val="auto"/>
                <w:lang w:val="en-US" w:eastAsia="zh-CN"/>
              </w:rPr>
              <w:t>表2-1  项目主要建设内容及建设现状表</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250"/>
              <w:gridCol w:w="3911"/>
              <w:gridCol w:w="1968"/>
            </w:tblGrid>
            <w:tr w14:paraId="5BA87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Align w:val="center"/>
                </w:tcPr>
                <w:p w14:paraId="0F11759E">
                  <w:pPr>
                    <w:pStyle w:val="26"/>
                    <w:bidi w:val="0"/>
                    <w:jc w:val="center"/>
                    <w:rPr>
                      <w:rFonts w:hint="default"/>
                      <w:color w:val="auto"/>
                      <w:lang w:val="en-US" w:eastAsia="zh-CN"/>
                    </w:rPr>
                  </w:pPr>
                  <w:r>
                    <w:rPr>
                      <w:rFonts w:hint="eastAsia"/>
                      <w:color w:val="auto"/>
                      <w:lang w:val="en-US" w:eastAsia="zh-CN"/>
                    </w:rPr>
                    <w:t>类型</w:t>
                  </w:r>
                </w:p>
              </w:tc>
              <w:tc>
                <w:tcPr>
                  <w:tcW w:w="1250" w:type="dxa"/>
                  <w:vAlign w:val="center"/>
                </w:tcPr>
                <w:p w14:paraId="7713510A">
                  <w:pPr>
                    <w:pStyle w:val="26"/>
                    <w:bidi w:val="0"/>
                    <w:jc w:val="center"/>
                    <w:rPr>
                      <w:rFonts w:hint="default"/>
                      <w:color w:val="auto"/>
                      <w:lang w:val="en-US" w:eastAsia="zh-CN"/>
                    </w:rPr>
                  </w:pPr>
                  <w:r>
                    <w:rPr>
                      <w:rFonts w:hint="eastAsia"/>
                      <w:color w:val="auto"/>
                      <w:lang w:val="en-US" w:eastAsia="zh-CN"/>
                    </w:rPr>
                    <w:t>项目</w:t>
                  </w:r>
                </w:p>
              </w:tc>
              <w:tc>
                <w:tcPr>
                  <w:tcW w:w="3911" w:type="dxa"/>
                  <w:vAlign w:val="center"/>
                </w:tcPr>
                <w:p w14:paraId="2F7EB6CC">
                  <w:pPr>
                    <w:pStyle w:val="26"/>
                    <w:bidi w:val="0"/>
                    <w:jc w:val="center"/>
                    <w:rPr>
                      <w:rFonts w:hint="default"/>
                      <w:color w:val="auto"/>
                      <w:lang w:val="en-US" w:eastAsia="zh-CN"/>
                    </w:rPr>
                  </w:pPr>
                  <w:r>
                    <w:rPr>
                      <w:rFonts w:hint="eastAsia"/>
                      <w:color w:val="auto"/>
                      <w:lang w:val="en-US" w:eastAsia="zh-CN"/>
                    </w:rPr>
                    <w:t>主要建设内容</w:t>
                  </w:r>
                </w:p>
              </w:tc>
              <w:tc>
                <w:tcPr>
                  <w:tcW w:w="1968" w:type="dxa"/>
                  <w:vAlign w:val="center"/>
                </w:tcPr>
                <w:p w14:paraId="52D58028">
                  <w:pPr>
                    <w:pStyle w:val="26"/>
                    <w:bidi w:val="0"/>
                    <w:jc w:val="center"/>
                    <w:rPr>
                      <w:rFonts w:hint="default"/>
                      <w:color w:val="auto"/>
                      <w:lang w:val="en-US" w:eastAsia="zh-CN"/>
                    </w:rPr>
                  </w:pPr>
                  <w:r>
                    <w:rPr>
                      <w:rFonts w:hint="eastAsia"/>
                      <w:color w:val="auto"/>
                      <w:lang w:val="en-US" w:eastAsia="zh-CN"/>
                    </w:rPr>
                    <w:t>建设现状</w:t>
                  </w:r>
                </w:p>
              </w:tc>
            </w:tr>
            <w:tr w14:paraId="225E1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restart"/>
                  <w:vAlign w:val="center"/>
                </w:tcPr>
                <w:p w14:paraId="4497D340">
                  <w:pPr>
                    <w:pStyle w:val="26"/>
                    <w:bidi w:val="0"/>
                    <w:jc w:val="center"/>
                    <w:rPr>
                      <w:rFonts w:hint="default"/>
                      <w:color w:val="auto"/>
                      <w:lang w:val="en-US" w:eastAsia="zh-CN"/>
                    </w:rPr>
                  </w:pPr>
                  <w:r>
                    <w:rPr>
                      <w:rFonts w:hint="eastAsia"/>
                      <w:color w:val="auto"/>
                      <w:lang w:val="en-US" w:eastAsia="zh-CN"/>
                    </w:rPr>
                    <w:t>主体工程</w:t>
                  </w:r>
                </w:p>
              </w:tc>
              <w:tc>
                <w:tcPr>
                  <w:tcW w:w="1250" w:type="dxa"/>
                  <w:vAlign w:val="center"/>
                </w:tcPr>
                <w:p w14:paraId="7411C746">
                  <w:pPr>
                    <w:pStyle w:val="26"/>
                    <w:bidi w:val="0"/>
                    <w:jc w:val="center"/>
                    <w:rPr>
                      <w:rFonts w:hint="default"/>
                      <w:color w:val="auto"/>
                      <w:lang w:val="en-US" w:eastAsia="zh-CN"/>
                    </w:rPr>
                  </w:pPr>
                  <w:r>
                    <w:rPr>
                      <w:rFonts w:hint="eastAsia"/>
                      <w:color w:val="auto"/>
                      <w:lang w:val="en-US" w:eastAsia="zh-CN"/>
                    </w:rPr>
                    <w:t>压缩机房/灌瓶车间</w:t>
                  </w:r>
                </w:p>
              </w:tc>
              <w:tc>
                <w:tcPr>
                  <w:tcW w:w="3911" w:type="dxa"/>
                  <w:vAlign w:val="center"/>
                </w:tcPr>
                <w:p w14:paraId="5E9F446D">
                  <w:pPr>
                    <w:pStyle w:val="26"/>
                    <w:bidi w:val="0"/>
                    <w:jc w:val="center"/>
                    <w:rPr>
                      <w:rFonts w:hint="default"/>
                      <w:color w:val="auto"/>
                      <w:vertAlign w:val="baseline"/>
                      <w:lang w:val="en-US" w:eastAsia="zh-CN"/>
                    </w:rPr>
                  </w:pPr>
                  <w:r>
                    <w:rPr>
                      <w:rFonts w:hint="eastAsia"/>
                      <w:color w:val="auto"/>
                      <w:lang w:val="en-US" w:eastAsia="zh-CN"/>
                    </w:rPr>
                    <w:t>1F，占地面积/建筑面积均为224m</w:t>
                  </w:r>
                  <w:r>
                    <w:rPr>
                      <w:rFonts w:hint="eastAsia"/>
                      <w:color w:val="auto"/>
                      <w:vertAlign w:val="superscript"/>
                      <w:lang w:val="en-US" w:eastAsia="zh-CN"/>
                    </w:rPr>
                    <w:t>2</w:t>
                  </w:r>
                  <w:r>
                    <w:rPr>
                      <w:rFonts w:hint="eastAsia"/>
                      <w:color w:val="auto"/>
                      <w:vertAlign w:val="baseline"/>
                      <w:lang w:val="en-US" w:eastAsia="zh-CN"/>
                    </w:rPr>
                    <w:t>，主要布设压缩机及充装设备</w:t>
                  </w:r>
                </w:p>
              </w:tc>
              <w:tc>
                <w:tcPr>
                  <w:tcW w:w="1968" w:type="dxa"/>
                  <w:vAlign w:val="center"/>
                </w:tcPr>
                <w:p w14:paraId="30F4F536">
                  <w:pPr>
                    <w:pStyle w:val="26"/>
                    <w:bidi w:val="0"/>
                    <w:jc w:val="center"/>
                    <w:rPr>
                      <w:rFonts w:hint="default"/>
                      <w:color w:val="auto"/>
                      <w:lang w:val="en-US" w:eastAsia="zh-CN"/>
                    </w:rPr>
                  </w:pPr>
                  <w:r>
                    <w:rPr>
                      <w:rFonts w:hint="eastAsia"/>
                      <w:color w:val="auto"/>
                      <w:lang w:val="en-US" w:eastAsia="zh-CN"/>
                    </w:rPr>
                    <w:t>主体建筑已建成，尚未装修及设施安装</w:t>
                  </w:r>
                </w:p>
              </w:tc>
            </w:tr>
            <w:tr w14:paraId="5DA32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vAlign w:val="center"/>
                </w:tcPr>
                <w:p w14:paraId="735E7B05">
                  <w:pPr>
                    <w:pStyle w:val="26"/>
                    <w:bidi w:val="0"/>
                    <w:jc w:val="center"/>
                    <w:rPr>
                      <w:rFonts w:hint="default"/>
                      <w:color w:val="auto"/>
                      <w:lang w:val="en-US" w:eastAsia="zh-CN"/>
                    </w:rPr>
                  </w:pPr>
                </w:p>
              </w:tc>
              <w:tc>
                <w:tcPr>
                  <w:tcW w:w="1250" w:type="dxa"/>
                  <w:vAlign w:val="center"/>
                </w:tcPr>
                <w:p w14:paraId="5A6284CA">
                  <w:pPr>
                    <w:pStyle w:val="26"/>
                    <w:bidi w:val="0"/>
                    <w:jc w:val="center"/>
                    <w:rPr>
                      <w:rFonts w:hint="default"/>
                      <w:color w:val="auto"/>
                      <w:lang w:val="en-US" w:eastAsia="zh-CN"/>
                    </w:rPr>
                  </w:pPr>
                  <w:r>
                    <w:rPr>
                      <w:rFonts w:hint="eastAsia"/>
                      <w:color w:val="auto"/>
                      <w:lang w:val="en-US" w:eastAsia="zh-CN"/>
                    </w:rPr>
                    <w:t>技术研发中心</w:t>
                  </w:r>
                </w:p>
              </w:tc>
              <w:tc>
                <w:tcPr>
                  <w:tcW w:w="3911" w:type="dxa"/>
                  <w:vAlign w:val="center"/>
                </w:tcPr>
                <w:p w14:paraId="6A9BB4F9">
                  <w:pPr>
                    <w:pStyle w:val="26"/>
                    <w:bidi w:val="0"/>
                    <w:jc w:val="center"/>
                    <w:rPr>
                      <w:rFonts w:hint="default"/>
                      <w:color w:val="auto"/>
                      <w:vertAlign w:val="baseline"/>
                      <w:lang w:val="en-US" w:eastAsia="zh-CN"/>
                    </w:rPr>
                  </w:pPr>
                  <w:r>
                    <w:rPr>
                      <w:rFonts w:hint="eastAsia"/>
                      <w:color w:val="auto"/>
                      <w:lang w:val="en-US" w:eastAsia="zh-CN"/>
                    </w:rPr>
                    <w:t>3F，占地面积1400m</w:t>
                  </w:r>
                  <w:r>
                    <w:rPr>
                      <w:rFonts w:hint="eastAsia"/>
                      <w:color w:val="auto"/>
                      <w:vertAlign w:val="superscript"/>
                      <w:lang w:val="en-US" w:eastAsia="zh-CN"/>
                    </w:rPr>
                    <w:t>2</w:t>
                  </w:r>
                  <w:r>
                    <w:rPr>
                      <w:rFonts w:hint="eastAsia"/>
                      <w:color w:val="auto"/>
                      <w:vertAlign w:val="baseline"/>
                      <w:lang w:val="en-US" w:eastAsia="zh-CN"/>
                    </w:rPr>
                    <w:t>，建筑面积4200m</w:t>
                  </w:r>
                  <w:r>
                    <w:rPr>
                      <w:rFonts w:hint="eastAsia"/>
                      <w:color w:val="auto"/>
                      <w:vertAlign w:val="superscript"/>
                      <w:lang w:val="en-US" w:eastAsia="zh-CN"/>
                    </w:rPr>
                    <w:t>2</w:t>
                  </w:r>
                  <w:r>
                    <w:rPr>
                      <w:rFonts w:hint="eastAsia"/>
                      <w:color w:val="auto"/>
                      <w:vertAlign w:val="baseline"/>
                      <w:lang w:val="en-US" w:eastAsia="zh-CN"/>
                    </w:rPr>
                    <w:t>，目前尚未明确其使用功能，无相关研发计划</w:t>
                  </w:r>
                </w:p>
              </w:tc>
              <w:tc>
                <w:tcPr>
                  <w:tcW w:w="1968" w:type="dxa"/>
                  <w:vAlign w:val="center"/>
                </w:tcPr>
                <w:p w14:paraId="396795D0">
                  <w:pPr>
                    <w:pStyle w:val="26"/>
                    <w:bidi w:val="0"/>
                    <w:jc w:val="center"/>
                    <w:rPr>
                      <w:rFonts w:hint="default"/>
                      <w:color w:val="auto"/>
                      <w:lang w:val="en-US" w:eastAsia="zh-CN"/>
                    </w:rPr>
                  </w:pPr>
                  <w:r>
                    <w:rPr>
                      <w:rFonts w:hint="eastAsia"/>
                      <w:color w:val="auto"/>
                      <w:lang w:val="en-US" w:eastAsia="zh-CN"/>
                    </w:rPr>
                    <w:t>主体建筑已建成，尚未装修及设施安装</w:t>
                  </w:r>
                </w:p>
              </w:tc>
            </w:tr>
            <w:tr w14:paraId="3480C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vAlign w:val="center"/>
                </w:tcPr>
                <w:p w14:paraId="7EBBC441">
                  <w:pPr>
                    <w:pStyle w:val="26"/>
                    <w:bidi w:val="0"/>
                    <w:jc w:val="center"/>
                    <w:rPr>
                      <w:rFonts w:hint="default"/>
                      <w:color w:val="auto"/>
                      <w:lang w:val="en-US" w:eastAsia="zh-CN"/>
                    </w:rPr>
                  </w:pPr>
                </w:p>
              </w:tc>
              <w:tc>
                <w:tcPr>
                  <w:tcW w:w="1250" w:type="dxa"/>
                  <w:vAlign w:val="center"/>
                </w:tcPr>
                <w:p w14:paraId="44DEB2F0">
                  <w:pPr>
                    <w:pStyle w:val="26"/>
                    <w:bidi w:val="0"/>
                    <w:jc w:val="center"/>
                    <w:rPr>
                      <w:rFonts w:hint="default"/>
                      <w:color w:val="auto"/>
                      <w:lang w:val="en-US" w:eastAsia="zh-CN"/>
                    </w:rPr>
                  </w:pPr>
                  <w:r>
                    <w:rPr>
                      <w:rFonts w:hint="eastAsia"/>
                      <w:color w:val="auto"/>
                      <w:lang w:val="en-US" w:eastAsia="zh-CN"/>
                    </w:rPr>
                    <w:t>分析实验楼</w:t>
                  </w:r>
                </w:p>
              </w:tc>
              <w:tc>
                <w:tcPr>
                  <w:tcW w:w="3911" w:type="dxa"/>
                  <w:vAlign w:val="center"/>
                </w:tcPr>
                <w:p w14:paraId="587048B2">
                  <w:pPr>
                    <w:pStyle w:val="26"/>
                    <w:bidi w:val="0"/>
                    <w:jc w:val="center"/>
                    <w:rPr>
                      <w:rFonts w:hint="default"/>
                      <w:color w:val="auto"/>
                      <w:vertAlign w:val="baseline"/>
                      <w:lang w:val="en-US" w:eastAsia="zh-CN"/>
                    </w:rPr>
                  </w:pPr>
                  <w:r>
                    <w:rPr>
                      <w:rFonts w:hint="eastAsia"/>
                      <w:color w:val="auto"/>
                      <w:lang w:val="en-US" w:eastAsia="zh-CN"/>
                    </w:rPr>
                    <w:t>3F，占地面积1200m</w:t>
                  </w:r>
                  <w:r>
                    <w:rPr>
                      <w:rFonts w:hint="eastAsia"/>
                      <w:color w:val="auto"/>
                      <w:vertAlign w:val="superscript"/>
                      <w:lang w:val="en-US" w:eastAsia="zh-CN"/>
                    </w:rPr>
                    <w:t>2</w:t>
                  </w:r>
                  <w:r>
                    <w:rPr>
                      <w:rFonts w:hint="eastAsia"/>
                      <w:color w:val="auto"/>
                      <w:vertAlign w:val="baseline"/>
                      <w:lang w:val="en-US" w:eastAsia="zh-CN"/>
                    </w:rPr>
                    <w:t>，建筑面积3600m</w:t>
                  </w:r>
                  <w:r>
                    <w:rPr>
                      <w:rFonts w:hint="eastAsia"/>
                      <w:color w:val="auto"/>
                      <w:vertAlign w:val="superscript"/>
                      <w:lang w:val="en-US" w:eastAsia="zh-CN"/>
                    </w:rPr>
                    <w:t>2</w:t>
                  </w:r>
                  <w:r>
                    <w:rPr>
                      <w:rFonts w:hint="eastAsia"/>
                      <w:color w:val="auto"/>
                      <w:vertAlign w:val="baseline"/>
                      <w:lang w:val="en-US" w:eastAsia="zh-CN"/>
                    </w:rPr>
                    <w:t>，目前尚未明确其使用功能，无相关分析实验计划</w:t>
                  </w:r>
                </w:p>
              </w:tc>
              <w:tc>
                <w:tcPr>
                  <w:tcW w:w="1968" w:type="dxa"/>
                  <w:shd w:val="clear" w:color="auto" w:fill="auto"/>
                  <w:vAlign w:val="center"/>
                </w:tcPr>
                <w:p w14:paraId="46C0270B">
                  <w:pPr>
                    <w:pStyle w:val="26"/>
                    <w:bidi w:val="0"/>
                    <w:ind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主体建筑已建成，尚未装修及设施安装</w:t>
                  </w:r>
                </w:p>
              </w:tc>
            </w:tr>
            <w:tr w14:paraId="58F6F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Align w:val="center"/>
                </w:tcPr>
                <w:p w14:paraId="5EC6BE5A">
                  <w:pPr>
                    <w:pStyle w:val="26"/>
                    <w:bidi w:val="0"/>
                    <w:jc w:val="center"/>
                    <w:rPr>
                      <w:rFonts w:hint="default"/>
                      <w:color w:val="auto"/>
                      <w:lang w:val="en-US" w:eastAsia="zh-CN"/>
                    </w:rPr>
                  </w:pPr>
                  <w:r>
                    <w:rPr>
                      <w:rFonts w:hint="eastAsia"/>
                      <w:color w:val="auto"/>
                      <w:lang w:val="en-US" w:eastAsia="zh-CN"/>
                    </w:rPr>
                    <w:t>配套工程</w:t>
                  </w:r>
                </w:p>
              </w:tc>
              <w:tc>
                <w:tcPr>
                  <w:tcW w:w="1250" w:type="dxa"/>
                  <w:vAlign w:val="center"/>
                </w:tcPr>
                <w:p w14:paraId="5E57ED58">
                  <w:pPr>
                    <w:pStyle w:val="26"/>
                    <w:bidi w:val="0"/>
                    <w:jc w:val="center"/>
                    <w:rPr>
                      <w:rFonts w:hint="default"/>
                      <w:color w:val="auto"/>
                      <w:lang w:val="en-US" w:eastAsia="zh-CN"/>
                    </w:rPr>
                  </w:pPr>
                  <w:r>
                    <w:rPr>
                      <w:rFonts w:hint="eastAsia"/>
                      <w:color w:val="auto"/>
                      <w:lang w:val="en-US" w:eastAsia="zh-CN"/>
                    </w:rPr>
                    <w:t>消防水池/水泵房</w:t>
                  </w:r>
                </w:p>
              </w:tc>
              <w:tc>
                <w:tcPr>
                  <w:tcW w:w="3911" w:type="dxa"/>
                  <w:vAlign w:val="center"/>
                </w:tcPr>
                <w:p w14:paraId="26F5632A">
                  <w:pPr>
                    <w:pStyle w:val="26"/>
                    <w:bidi w:val="0"/>
                    <w:jc w:val="center"/>
                    <w:rPr>
                      <w:rFonts w:hint="default"/>
                      <w:color w:val="auto"/>
                      <w:vertAlign w:val="baseline"/>
                      <w:lang w:val="en-US" w:eastAsia="zh-CN"/>
                    </w:rPr>
                  </w:pPr>
                  <w:r>
                    <w:rPr>
                      <w:rFonts w:hint="eastAsia"/>
                      <w:color w:val="auto"/>
                      <w:lang w:val="en-US" w:eastAsia="zh-CN"/>
                    </w:rPr>
                    <w:t>1F，占地面积/建筑面积均为180m</w:t>
                  </w:r>
                  <w:r>
                    <w:rPr>
                      <w:rFonts w:hint="eastAsia"/>
                      <w:color w:val="auto"/>
                      <w:vertAlign w:val="superscript"/>
                      <w:lang w:val="en-US" w:eastAsia="zh-CN"/>
                    </w:rPr>
                    <w:t>2</w:t>
                  </w:r>
                  <w:r>
                    <w:rPr>
                      <w:rFonts w:hint="eastAsia"/>
                      <w:color w:val="auto"/>
                      <w:vertAlign w:val="baseline"/>
                      <w:lang w:val="en-US" w:eastAsia="zh-CN"/>
                    </w:rPr>
                    <w:t>，设置300m</w:t>
                  </w:r>
                  <w:r>
                    <w:rPr>
                      <w:rFonts w:hint="eastAsia"/>
                      <w:color w:val="auto"/>
                      <w:vertAlign w:val="superscript"/>
                      <w:lang w:val="en-US" w:eastAsia="zh-CN"/>
                    </w:rPr>
                    <w:t>3</w:t>
                  </w:r>
                  <w:r>
                    <w:rPr>
                      <w:rFonts w:hint="eastAsia"/>
                      <w:color w:val="auto"/>
                      <w:vertAlign w:val="baseline"/>
                      <w:lang w:val="en-US" w:eastAsia="zh-CN"/>
                    </w:rPr>
                    <w:t>消防水池及配套水泵设施</w:t>
                  </w:r>
                </w:p>
              </w:tc>
              <w:tc>
                <w:tcPr>
                  <w:tcW w:w="1968" w:type="dxa"/>
                  <w:vAlign w:val="center"/>
                </w:tcPr>
                <w:p w14:paraId="43606729">
                  <w:pPr>
                    <w:pStyle w:val="26"/>
                    <w:bidi w:val="0"/>
                    <w:jc w:val="center"/>
                    <w:rPr>
                      <w:rFonts w:hint="default"/>
                      <w:color w:val="auto"/>
                      <w:lang w:val="en-US" w:eastAsia="zh-CN"/>
                    </w:rPr>
                  </w:pPr>
                  <w:r>
                    <w:rPr>
                      <w:rFonts w:hint="eastAsia"/>
                      <w:color w:val="auto"/>
                      <w:lang w:val="en-US" w:eastAsia="zh-CN"/>
                    </w:rPr>
                    <w:t>主体建筑已建成，尚未装修及设施安装</w:t>
                  </w:r>
                </w:p>
              </w:tc>
            </w:tr>
            <w:tr w14:paraId="083BA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restart"/>
                  <w:vAlign w:val="center"/>
                </w:tcPr>
                <w:p w14:paraId="04266B71">
                  <w:pPr>
                    <w:pStyle w:val="26"/>
                    <w:bidi w:val="0"/>
                    <w:jc w:val="center"/>
                    <w:rPr>
                      <w:rFonts w:hint="default"/>
                      <w:color w:val="auto"/>
                      <w:lang w:val="en-US" w:eastAsia="zh-CN"/>
                    </w:rPr>
                  </w:pPr>
                  <w:r>
                    <w:rPr>
                      <w:rFonts w:hint="eastAsia"/>
                      <w:color w:val="auto"/>
                      <w:lang w:val="en-US" w:eastAsia="zh-CN"/>
                    </w:rPr>
                    <w:t>储运工程</w:t>
                  </w:r>
                </w:p>
              </w:tc>
              <w:tc>
                <w:tcPr>
                  <w:tcW w:w="1250" w:type="dxa"/>
                  <w:vAlign w:val="center"/>
                </w:tcPr>
                <w:p w14:paraId="2F1D2463">
                  <w:pPr>
                    <w:pStyle w:val="26"/>
                    <w:bidi w:val="0"/>
                    <w:jc w:val="center"/>
                    <w:rPr>
                      <w:rFonts w:hint="default"/>
                      <w:color w:val="auto"/>
                      <w:lang w:val="en-US" w:eastAsia="zh-CN"/>
                    </w:rPr>
                  </w:pPr>
                  <w:r>
                    <w:rPr>
                      <w:rFonts w:hint="eastAsia"/>
                      <w:color w:val="auto"/>
                      <w:lang w:val="en-US" w:eastAsia="zh-CN"/>
                    </w:rPr>
                    <w:t>储罐区</w:t>
                  </w:r>
                </w:p>
              </w:tc>
              <w:tc>
                <w:tcPr>
                  <w:tcW w:w="3911" w:type="dxa"/>
                  <w:vAlign w:val="center"/>
                </w:tcPr>
                <w:p w14:paraId="3987BB79">
                  <w:pPr>
                    <w:pStyle w:val="26"/>
                    <w:bidi w:val="0"/>
                    <w:jc w:val="center"/>
                    <w:rPr>
                      <w:rFonts w:hint="default"/>
                      <w:color w:val="auto"/>
                      <w:vertAlign w:val="baseline"/>
                      <w:lang w:val="en-US" w:eastAsia="zh-CN"/>
                    </w:rPr>
                  </w:pPr>
                  <w:r>
                    <w:rPr>
                      <w:rFonts w:hint="eastAsia"/>
                      <w:color w:val="auto"/>
                      <w:lang w:val="en-US" w:eastAsia="zh-CN"/>
                    </w:rPr>
                    <w:t>储罐区围堰内面积444.22m</w:t>
                  </w:r>
                  <w:r>
                    <w:rPr>
                      <w:rFonts w:hint="eastAsia"/>
                      <w:color w:val="auto"/>
                      <w:vertAlign w:val="superscript"/>
                      <w:lang w:val="en-US" w:eastAsia="zh-CN"/>
                    </w:rPr>
                    <w:t>2</w:t>
                  </w:r>
                  <w:r>
                    <w:rPr>
                      <w:rFonts w:hint="eastAsia"/>
                      <w:color w:val="auto"/>
                      <w:vertAlign w:val="baseline"/>
                      <w:lang w:val="en-US" w:eastAsia="zh-CN"/>
                    </w:rPr>
                    <w:t>，设置3个50m</w:t>
                  </w:r>
                  <w:r>
                    <w:rPr>
                      <w:rFonts w:hint="eastAsia"/>
                      <w:color w:val="auto"/>
                      <w:vertAlign w:val="superscript"/>
                      <w:lang w:val="en-US" w:eastAsia="zh-CN"/>
                    </w:rPr>
                    <w:t>3</w:t>
                  </w:r>
                  <w:r>
                    <w:rPr>
                      <w:rFonts w:hint="eastAsia"/>
                      <w:color w:val="auto"/>
                      <w:vertAlign w:val="baseline"/>
                      <w:lang w:val="en-US" w:eastAsia="zh-CN"/>
                    </w:rPr>
                    <w:t>的液化气储罐和1个50m</w:t>
                  </w:r>
                  <w:r>
                    <w:rPr>
                      <w:rFonts w:hint="eastAsia"/>
                      <w:color w:val="auto"/>
                      <w:vertAlign w:val="superscript"/>
                      <w:lang w:val="en-US" w:eastAsia="zh-CN"/>
                    </w:rPr>
                    <w:t>3</w:t>
                  </w:r>
                  <w:r>
                    <w:rPr>
                      <w:rFonts w:hint="eastAsia"/>
                      <w:color w:val="auto"/>
                      <w:vertAlign w:val="baseline"/>
                      <w:lang w:val="en-US" w:eastAsia="zh-CN"/>
                    </w:rPr>
                    <w:t>的残液罐，均为地面卧式储罐</w:t>
                  </w:r>
                </w:p>
              </w:tc>
              <w:tc>
                <w:tcPr>
                  <w:tcW w:w="1968" w:type="dxa"/>
                  <w:vAlign w:val="center"/>
                </w:tcPr>
                <w:p w14:paraId="74517FC9">
                  <w:pPr>
                    <w:pStyle w:val="26"/>
                    <w:bidi w:val="0"/>
                    <w:jc w:val="center"/>
                    <w:rPr>
                      <w:rFonts w:hint="default"/>
                      <w:color w:val="auto"/>
                      <w:lang w:val="en-US" w:eastAsia="zh-CN"/>
                    </w:rPr>
                  </w:pPr>
                  <w:r>
                    <w:rPr>
                      <w:rFonts w:hint="eastAsia"/>
                      <w:color w:val="auto"/>
                      <w:lang w:val="en-US" w:eastAsia="zh-CN"/>
                    </w:rPr>
                    <w:t>未建设</w:t>
                  </w:r>
                </w:p>
              </w:tc>
            </w:tr>
            <w:tr w14:paraId="19F75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vAlign w:val="center"/>
                </w:tcPr>
                <w:p w14:paraId="1B88ACE0">
                  <w:pPr>
                    <w:pStyle w:val="26"/>
                    <w:bidi w:val="0"/>
                    <w:jc w:val="center"/>
                    <w:rPr>
                      <w:rFonts w:hint="default"/>
                      <w:color w:val="auto"/>
                      <w:lang w:val="en-US" w:eastAsia="zh-CN"/>
                    </w:rPr>
                  </w:pPr>
                </w:p>
              </w:tc>
              <w:tc>
                <w:tcPr>
                  <w:tcW w:w="1250" w:type="dxa"/>
                  <w:vAlign w:val="center"/>
                </w:tcPr>
                <w:p w14:paraId="3E6B8870">
                  <w:pPr>
                    <w:pStyle w:val="26"/>
                    <w:bidi w:val="0"/>
                    <w:jc w:val="center"/>
                    <w:rPr>
                      <w:rFonts w:hint="default"/>
                      <w:color w:val="auto"/>
                      <w:lang w:val="en-US" w:eastAsia="zh-CN"/>
                    </w:rPr>
                  </w:pPr>
                  <w:r>
                    <w:rPr>
                      <w:rFonts w:hint="eastAsia"/>
                      <w:color w:val="auto"/>
                      <w:lang w:val="en-US" w:eastAsia="zh-CN"/>
                    </w:rPr>
                    <w:t>卸车操作场地</w:t>
                  </w:r>
                </w:p>
              </w:tc>
              <w:tc>
                <w:tcPr>
                  <w:tcW w:w="3911" w:type="dxa"/>
                  <w:vAlign w:val="center"/>
                </w:tcPr>
                <w:p w14:paraId="67AC9E2B">
                  <w:pPr>
                    <w:pStyle w:val="26"/>
                    <w:bidi w:val="0"/>
                    <w:jc w:val="center"/>
                    <w:rPr>
                      <w:rFonts w:hint="default"/>
                      <w:color w:val="auto"/>
                      <w:vertAlign w:val="baseline"/>
                      <w:lang w:val="en-US" w:eastAsia="zh-CN"/>
                    </w:rPr>
                  </w:pPr>
                  <w:r>
                    <w:rPr>
                      <w:rFonts w:hint="eastAsia"/>
                      <w:color w:val="auto"/>
                      <w:lang w:val="en-US" w:eastAsia="zh-CN"/>
                    </w:rPr>
                    <w:t>露天水泥坪地，占地面积4728.85m</w:t>
                  </w:r>
                  <w:r>
                    <w:rPr>
                      <w:rFonts w:hint="eastAsia"/>
                      <w:color w:val="auto"/>
                      <w:vertAlign w:val="superscript"/>
                      <w:lang w:val="en-US" w:eastAsia="zh-CN"/>
                    </w:rPr>
                    <w:t>2</w:t>
                  </w:r>
                </w:p>
              </w:tc>
              <w:tc>
                <w:tcPr>
                  <w:tcW w:w="1968" w:type="dxa"/>
                  <w:vAlign w:val="center"/>
                </w:tcPr>
                <w:p w14:paraId="1115C261">
                  <w:pPr>
                    <w:pStyle w:val="26"/>
                    <w:bidi w:val="0"/>
                    <w:jc w:val="center"/>
                    <w:rPr>
                      <w:rFonts w:hint="default"/>
                      <w:color w:val="auto"/>
                      <w:lang w:val="en-US" w:eastAsia="zh-CN"/>
                    </w:rPr>
                  </w:pPr>
                  <w:r>
                    <w:rPr>
                      <w:rFonts w:hint="eastAsia"/>
                      <w:color w:val="auto"/>
                      <w:lang w:val="en-US" w:eastAsia="zh-CN"/>
                    </w:rPr>
                    <w:t>未建设</w:t>
                  </w:r>
                </w:p>
              </w:tc>
            </w:tr>
            <w:tr w14:paraId="7A4D4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restart"/>
                  <w:vAlign w:val="center"/>
                </w:tcPr>
                <w:p w14:paraId="17757A69">
                  <w:pPr>
                    <w:pStyle w:val="26"/>
                    <w:bidi w:val="0"/>
                    <w:jc w:val="center"/>
                    <w:rPr>
                      <w:rFonts w:hint="default"/>
                      <w:color w:val="auto"/>
                      <w:lang w:val="en-US" w:eastAsia="zh-CN"/>
                    </w:rPr>
                  </w:pPr>
                  <w:r>
                    <w:rPr>
                      <w:rFonts w:hint="eastAsia"/>
                      <w:color w:val="auto"/>
                      <w:lang w:val="en-US" w:eastAsia="zh-CN"/>
                    </w:rPr>
                    <w:t>公用工程</w:t>
                  </w:r>
                </w:p>
              </w:tc>
              <w:tc>
                <w:tcPr>
                  <w:tcW w:w="1250" w:type="dxa"/>
                  <w:vAlign w:val="center"/>
                </w:tcPr>
                <w:p w14:paraId="40DFEF6D">
                  <w:pPr>
                    <w:pStyle w:val="26"/>
                    <w:bidi w:val="0"/>
                    <w:jc w:val="center"/>
                    <w:rPr>
                      <w:rFonts w:hint="default"/>
                      <w:color w:val="auto"/>
                      <w:lang w:val="en-US" w:eastAsia="zh-CN"/>
                    </w:rPr>
                  </w:pPr>
                  <w:r>
                    <w:rPr>
                      <w:rFonts w:hint="eastAsia"/>
                      <w:color w:val="auto"/>
                      <w:lang w:val="en-US" w:eastAsia="zh-CN"/>
                    </w:rPr>
                    <w:t>给水</w:t>
                  </w:r>
                </w:p>
              </w:tc>
              <w:tc>
                <w:tcPr>
                  <w:tcW w:w="3911" w:type="dxa"/>
                  <w:vAlign w:val="center"/>
                </w:tcPr>
                <w:p w14:paraId="41E545BB">
                  <w:pPr>
                    <w:pStyle w:val="26"/>
                    <w:bidi w:val="0"/>
                    <w:jc w:val="center"/>
                    <w:rPr>
                      <w:rFonts w:hint="default"/>
                      <w:color w:val="auto"/>
                      <w:lang w:val="en-US" w:eastAsia="zh-CN"/>
                    </w:rPr>
                  </w:pPr>
                  <w:r>
                    <w:rPr>
                      <w:rFonts w:hint="eastAsia"/>
                      <w:color w:val="auto"/>
                      <w:lang w:val="en-US" w:eastAsia="zh-CN"/>
                    </w:rPr>
                    <w:t>集兵镇自来水厂给水</w:t>
                  </w:r>
                </w:p>
              </w:tc>
              <w:tc>
                <w:tcPr>
                  <w:tcW w:w="1968" w:type="dxa"/>
                  <w:vAlign w:val="center"/>
                </w:tcPr>
                <w:p w14:paraId="52EEC224">
                  <w:pPr>
                    <w:pStyle w:val="26"/>
                    <w:bidi w:val="0"/>
                    <w:jc w:val="center"/>
                    <w:rPr>
                      <w:rFonts w:hint="default"/>
                      <w:color w:val="auto"/>
                      <w:lang w:val="en-US" w:eastAsia="zh-CN"/>
                    </w:rPr>
                  </w:pPr>
                  <w:r>
                    <w:rPr>
                      <w:rFonts w:hint="eastAsia"/>
                      <w:color w:val="auto"/>
                      <w:lang w:val="en-US" w:eastAsia="zh-CN"/>
                    </w:rPr>
                    <w:t>/</w:t>
                  </w:r>
                </w:p>
              </w:tc>
            </w:tr>
            <w:tr w14:paraId="2798F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vAlign w:val="center"/>
                </w:tcPr>
                <w:p w14:paraId="3FC83E8E">
                  <w:pPr>
                    <w:pStyle w:val="26"/>
                    <w:bidi w:val="0"/>
                    <w:jc w:val="center"/>
                    <w:rPr>
                      <w:rFonts w:hint="eastAsia"/>
                      <w:color w:val="auto"/>
                      <w:lang w:val="en-US" w:eastAsia="zh-CN"/>
                    </w:rPr>
                  </w:pPr>
                </w:p>
              </w:tc>
              <w:tc>
                <w:tcPr>
                  <w:tcW w:w="1250" w:type="dxa"/>
                  <w:vAlign w:val="center"/>
                </w:tcPr>
                <w:p w14:paraId="6053A698">
                  <w:pPr>
                    <w:pStyle w:val="26"/>
                    <w:bidi w:val="0"/>
                    <w:jc w:val="center"/>
                    <w:rPr>
                      <w:rFonts w:hint="default"/>
                      <w:color w:val="auto"/>
                      <w:lang w:val="en-US" w:eastAsia="zh-CN"/>
                    </w:rPr>
                  </w:pPr>
                  <w:r>
                    <w:rPr>
                      <w:rFonts w:hint="eastAsia"/>
                      <w:color w:val="auto"/>
                      <w:lang w:val="en-US" w:eastAsia="zh-CN"/>
                    </w:rPr>
                    <w:t>排水</w:t>
                  </w:r>
                </w:p>
              </w:tc>
              <w:tc>
                <w:tcPr>
                  <w:tcW w:w="3911" w:type="dxa"/>
                  <w:vAlign w:val="center"/>
                </w:tcPr>
                <w:p w14:paraId="109BFFDA">
                  <w:pPr>
                    <w:pStyle w:val="26"/>
                    <w:bidi w:val="0"/>
                    <w:jc w:val="center"/>
                    <w:rPr>
                      <w:rFonts w:hint="default"/>
                      <w:color w:val="auto"/>
                      <w:vertAlign w:val="baseline"/>
                      <w:lang w:val="en-US" w:eastAsia="zh-CN"/>
                    </w:rPr>
                  </w:pPr>
                  <w:r>
                    <w:rPr>
                      <w:rFonts w:hint="eastAsia"/>
                      <w:color w:val="auto"/>
                      <w:lang w:val="en-US" w:eastAsia="zh-CN"/>
                    </w:rPr>
                    <w:t>场地内雨水经雨水沟排入G107国道旁排水沟，之后进入横江铺河</w:t>
                  </w:r>
                  <w:r>
                    <w:rPr>
                      <w:rFonts w:hint="eastAsia"/>
                      <w:color w:val="auto"/>
                      <w:vertAlign w:val="baseline"/>
                      <w:lang w:val="en-US" w:eastAsia="zh-CN"/>
                    </w:rPr>
                    <w:t>；项目生活污水经化粪池处理后用于周边农田施肥</w:t>
                  </w:r>
                </w:p>
              </w:tc>
              <w:tc>
                <w:tcPr>
                  <w:tcW w:w="1968" w:type="dxa"/>
                  <w:vAlign w:val="center"/>
                </w:tcPr>
                <w:p w14:paraId="0C6B5389">
                  <w:pPr>
                    <w:pStyle w:val="26"/>
                    <w:bidi w:val="0"/>
                    <w:jc w:val="center"/>
                    <w:rPr>
                      <w:rFonts w:hint="default"/>
                      <w:color w:val="auto"/>
                      <w:lang w:val="en-US" w:eastAsia="zh-CN"/>
                    </w:rPr>
                  </w:pPr>
                  <w:r>
                    <w:rPr>
                      <w:rFonts w:hint="eastAsia"/>
                      <w:color w:val="auto"/>
                      <w:lang w:val="en-US" w:eastAsia="zh-CN"/>
                    </w:rPr>
                    <w:t>未建设</w:t>
                  </w:r>
                </w:p>
              </w:tc>
            </w:tr>
            <w:tr w14:paraId="7E766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vAlign w:val="center"/>
                </w:tcPr>
                <w:p w14:paraId="7438884D">
                  <w:pPr>
                    <w:pStyle w:val="26"/>
                    <w:bidi w:val="0"/>
                    <w:jc w:val="center"/>
                    <w:rPr>
                      <w:rFonts w:hint="eastAsia"/>
                      <w:color w:val="auto"/>
                      <w:lang w:val="en-US" w:eastAsia="zh-CN"/>
                    </w:rPr>
                  </w:pPr>
                </w:p>
              </w:tc>
              <w:tc>
                <w:tcPr>
                  <w:tcW w:w="1250" w:type="dxa"/>
                  <w:vAlign w:val="center"/>
                </w:tcPr>
                <w:p w14:paraId="0BB00E2C">
                  <w:pPr>
                    <w:pStyle w:val="26"/>
                    <w:bidi w:val="0"/>
                    <w:jc w:val="center"/>
                    <w:rPr>
                      <w:rFonts w:hint="default"/>
                      <w:color w:val="auto"/>
                      <w:lang w:val="en-US" w:eastAsia="zh-CN"/>
                    </w:rPr>
                  </w:pPr>
                  <w:r>
                    <w:rPr>
                      <w:rFonts w:hint="eastAsia"/>
                      <w:color w:val="auto"/>
                      <w:lang w:val="en-US" w:eastAsia="zh-CN"/>
                    </w:rPr>
                    <w:t>供电</w:t>
                  </w:r>
                </w:p>
              </w:tc>
              <w:tc>
                <w:tcPr>
                  <w:tcW w:w="3911" w:type="dxa"/>
                  <w:vAlign w:val="center"/>
                </w:tcPr>
                <w:p w14:paraId="111E76B8">
                  <w:pPr>
                    <w:pStyle w:val="26"/>
                    <w:bidi w:val="0"/>
                    <w:jc w:val="center"/>
                    <w:rPr>
                      <w:rFonts w:hint="default"/>
                      <w:color w:val="auto"/>
                      <w:lang w:val="en-US" w:eastAsia="zh-CN"/>
                    </w:rPr>
                  </w:pPr>
                  <w:r>
                    <w:rPr>
                      <w:rFonts w:hint="eastAsia"/>
                      <w:color w:val="auto"/>
                      <w:lang w:val="en-US" w:eastAsia="zh-CN"/>
                    </w:rPr>
                    <w:t>市政电网供电</w:t>
                  </w:r>
                </w:p>
              </w:tc>
              <w:tc>
                <w:tcPr>
                  <w:tcW w:w="1968" w:type="dxa"/>
                  <w:vAlign w:val="center"/>
                </w:tcPr>
                <w:p w14:paraId="3BF472A4">
                  <w:pPr>
                    <w:pStyle w:val="26"/>
                    <w:bidi w:val="0"/>
                    <w:jc w:val="center"/>
                    <w:rPr>
                      <w:rFonts w:hint="default"/>
                      <w:color w:val="auto"/>
                      <w:lang w:val="en-US" w:eastAsia="zh-CN"/>
                    </w:rPr>
                  </w:pPr>
                  <w:r>
                    <w:rPr>
                      <w:rFonts w:hint="eastAsia"/>
                      <w:color w:val="auto"/>
                      <w:lang w:val="en-US" w:eastAsia="zh-CN"/>
                    </w:rPr>
                    <w:t>/</w:t>
                  </w:r>
                </w:p>
              </w:tc>
            </w:tr>
            <w:tr w14:paraId="6495E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restart"/>
                  <w:vAlign w:val="center"/>
                </w:tcPr>
                <w:p w14:paraId="7E164342">
                  <w:pPr>
                    <w:pStyle w:val="26"/>
                    <w:bidi w:val="0"/>
                    <w:jc w:val="center"/>
                    <w:rPr>
                      <w:rFonts w:hint="default"/>
                      <w:color w:val="auto"/>
                      <w:lang w:val="en-US" w:eastAsia="zh-CN"/>
                    </w:rPr>
                  </w:pPr>
                  <w:r>
                    <w:rPr>
                      <w:rFonts w:hint="eastAsia"/>
                      <w:color w:val="auto"/>
                      <w:lang w:val="en-US" w:eastAsia="zh-CN"/>
                    </w:rPr>
                    <w:t>环保工程</w:t>
                  </w:r>
                </w:p>
              </w:tc>
              <w:tc>
                <w:tcPr>
                  <w:tcW w:w="1250" w:type="dxa"/>
                  <w:vAlign w:val="center"/>
                </w:tcPr>
                <w:p w14:paraId="6E36651C">
                  <w:pPr>
                    <w:pStyle w:val="26"/>
                    <w:bidi w:val="0"/>
                    <w:jc w:val="center"/>
                    <w:rPr>
                      <w:rFonts w:hint="default"/>
                      <w:color w:val="auto"/>
                      <w:lang w:val="en-US" w:eastAsia="zh-CN"/>
                    </w:rPr>
                  </w:pPr>
                  <w:r>
                    <w:rPr>
                      <w:rFonts w:hint="eastAsia"/>
                      <w:color w:val="auto"/>
                      <w:lang w:val="en-US" w:eastAsia="zh-CN"/>
                    </w:rPr>
                    <w:t>废气</w:t>
                  </w:r>
                </w:p>
              </w:tc>
              <w:tc>
                <w:tcPr>
                  <w:tcW w:w="3911" w:type="dxa"/>
                  <w:vAlign w:val="center"/>
                </w:tcPr>
                <w:p w14:paraId="775EACFA">
                  <w:pPr>
                    <w:pStyle w:val="26"/>
                    <w:bidi w:val="0"/>
                    <w:jc w:val="center"/>
                    <w:rPr>
                      <w:rFonts w:hint="default"/>
                      <w:color w:val="auto"/>
                      <w:lang w:val="en-US" w:eastAsia="zh-CN"/>
                    </w:rPr>
                  </w:pPr>
                  <w:r>
                    <w:rPr>
                      <w:rFonts w:hint="eastAsia"/>
                      <w:color w:val="auto"/>
                      <w:lang w:val="en-US" w:eastAsia="zh-CN"/>
                    </w:rPr>
                    <w:t>加强密封条件，废气无组织排放</w:t>
                  </w:r>
                </w:p>
              </w:tc>
              <w:tc>
                <w:tcPr>
                  <w:tcW w:w="1968" w:type="dxa"/>
                  <w:vAlign w:val="center"/>
                </w:tcPr>
                <w:p w14:paraId="5086365D">
                  <w:pPr>
                    <w:pStyle w:val="26"/>
                    <w:bidi w:val="0"/>
                    <w:jc w:val="center"/>
                    <w:rPr>
                      <w:rFonts w:hint="default"/>
                      <w:color w:val="auto"/>
                      <w:lang w:val="en-US" w:eastAsia="zh-CN"/>
                    </w:rPr>
                  </w:pPr>
                  <w:r>
                    <w:rPr>
                      <w:rFonts w:hint="eastAsia"/>
                      <w:color w:val="auto"/>
                      <w:lang w:val="en-US" w:eastAsia="zh-CN"/>
                    </w:rPr>
                    <w:t>/</w:t>
                  </w:r>
                </w:p>
              </w:tc>
            </w:tr>
            <w:tr w14:paraId="19D2B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vAlign w:val="center"/>
                </w:tcPr>
                <w:p w14:paraId="0E54A5B6">
                  <w:pPr>
                    <w:pStyle w:val="26"/>
                    <w:bidi w:val="0"/>
                    <w:jc w:val="center"/>
                    <w:rPr>
                      <w:rFonts w:hint="eastAsia"/>
                      <w:color w:val="auto"/>
                      <w:lang w:val="en-US" w:eastAsia="zh-CN"/>
                    </w:rPr>
                  </w:pPr>
                </w:p>
              </w:tc>
              <w:tc>
                <w:tcPr>
                  <w:tcW w:w="1250" w:type="dxa"/>
                  <w:vAlign w:val="center"/>
                </w:tcPr>
                <w:p w14:paraId="3DFF6DF1">
                  <w:pPr>
                    <w:pStyle w:val="26"/>
                    <w:bidi w:val="0"/>
                    <w:jc w:val="center"/>
                    <w:rPr>
                      <w:rFonts w:hint="default"/>
                      <w:color w:val="auto"/>
                      <w:lang w:val="en-US" w:eastAsia="zh-CN"/>
                    </w:rPr>
                  </w:pPr>
                  <w:r>
                    <w:rPr>
                      <w:rFonts w:hint="eastAsia"/>
                      <w:color w:val="auto"/>
                      <w:lang w:val="en-US" w:eastAsia="zh-CN"/>
                    </w:rPr>
                    <w:t>废水</w:t>
                  </w:r>
                </w:p>
              </w:tc>
              <w:tc>
                <w:tcPr>
                  <w:tcW w:w="3911" w:type="dxa"/>
                  <w:vAlign w:val="center"/>
                </w:tcPr>
                <w:p w14:paraId="15209DA9">
                  <w:pPr>
                    <w:pStyle w:val="26"/>
                    <w:bidi w:val="0"/>
                    <w:jc w:val="center"/>
                    <w:rPr>
                      <w:rFonts w:hint="default"/>
                      <w:color w:val="auto"/>
                      <w:lang w:val="en-US" w:eastAsia="zh-CN"/>
                    </w:rPr>
                  </w:pPr>
                  <w:r>
                    <w:rPr>
                      <w:rFonts w:hint="eastAsia"/>
                      <w:color w:val="auto"/>
                      <w:lang w:val="en-US" w:eastAsia="zh-CN"/>
                    </w:rPr>
                    <w:t>生活污水</w:t>
                  </w:r>
                  <w:r>
                    <w:rPr>
                      <w:rFonts w:hint="eastAsia"/>
                      <w:color w:val="auto"/>
                      <w:vertAlign w:val="baseline"/>
                      <w:lang w:val="en-US" w:eastAsia="zh-CN"/>
                    </w:rPr>
                    <w:t>经化粪池处理后用于周边农田施肥，无生产废水产生</w:t>
                  </w:r>
                </w:p>
              </w:tc>
              <w:tc>
                <w:tcPr>
                  <w:tcW w:w="1968" w:type="dxa"/>
                  <w:vAlign w:val="center"/>
                </w:tcPr>
                <w:p w14:paraId="4F364C55">
                  <w:pPr>
                    <w:pStyle w:val="26"/>
                    <w:bidi w:val="0"/>
                    <w:jc w:val="center"/>
                    <w:rPr>
                      <w:rFonts w:hint="default"/>
                      <w:color w:val="auto"/>
                      <w:lang w:val="en-US" w:eastAsia="zh-CN"/>
                    </w:rPr>
                  </w:pPr>
                  <w:r>
                    <w:rPr>
                      <w:rFonts w:hint="eastAsia"/>
                      <w:color w:val="auto"/>
                      <w:lang w:val="en-US" w:eastAsia="zh-CN"/>
                    </w:rPr>
                    <w:t>/</w:t>
                  </w:r>
                </w:p>
              </w:tc>
            </w:tr>
            <w:tr w14:paraId="6CB64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vAlign w:val="center"/>
                </w:tcPr>
                <w:p w14:paraId="4025EFE3">
                  <w:pPr>
                    <w:pStyle w:val="26"/>
                    <w:bidi w:val="0"/>
                    <w:jc w:val="center"/>
                    <w:rPr>
                      <w:rFonts w:hint="eastAsia"/>
                      <w:color w:val="auto"/>
                      <w:lang w:val="en-US" w:eastAsia="zh-CN"/>
                    </w:rPr>
                  </w:pPr>
                </w:p>
              </w:tc>
              <w:tc>
                <w:tcPr>
                  <w:tcW w:w="1250" w:type="dxa"/>
                  <w:vAlign w:val="center"/>
                </w:tcPr>
                <w:p w14:paraId="341B0596">
                  <w:pPr>
                    <w:pStyle w:val="26"/>
                    <w:bidi w:val="0"/>
                    <w:jc w:val="center"/>
                    <w:rPr>
                      <w:rFonts w:hint="default"/>
                      <w:color w:val="auto"/>
                      <w:lang w:val="en-US" w:eastAsia="zh-CN"/>
                    </w:rPr>
                  </w:pPr>
                  <w:r>
                    <w:rPr>
                      <w:rFonts w:hint="eastAsia"/>
                      <w:color w:val="auto"/>
                      <w:lang w:val="en-US" w:eastAsia="zh-CN"/>
                    </w:rPr>
                    <w:t>噪声</w:t>
                  </w:r>
                </w:p>
              </w:tc>
              <w:tc>
                <w:tcPr>
                  <w:tcW w:w="3911" w:type="dxa"/>
                  <w:vAlign w:val="center"/>
                </w:tcPr>
                <w:p w14:paraId="28A24C3A">
                  <w:pPr>
                    <w:pStyle w:val="26"/>
                    <w:bidi w:val="0"/>
                    <w:jc w:val="center"/>
                    <w:rPr>
                      <w:rFonts w:hint="default"/>
                      <w:color w:val="auto"/>
                      <w:lang w:val="en-US" w:eastAsia="zh-CN"/>
                    </w:rPr>
                  </w:pPr>
                  <w:r>
                    <w:rPr>
                      <w:rFonts w:hint="eastAsia"/>
                      <w:color w:val="auto"/>
                      <w:lang w:val="en-US" w:eastAsia="zh-CN"/>
                    </w:rPr>
                    <w:t>绿化降噪，厂界设置围墙，设备基础减振等</w:t>
                  </w:r>
                </w:p>
              </w:tc>
              <w:tc>
                <w:tcPr>
                  <w:tcW w:w="1968" w:type="dxa"/>
                  <w:vAlign w:val="center"/>
                </w:tcPr>
                <w:p w14:paraId="00C27698">
                  <w:pPr>
                    <w:pStyle w:val="26"/>
                    <w:bidi w:val="0"/>
                    <w:jc w:val="center"/>
                    <w:rPr>
                      <w:rFonts w:hint="default"/>
                      <w:color w:val="auto"/>
                      <w:lang w:val="en-US" w:eastAsia="zh-CN"/>
                    </w:rPr>
                  </w:pPr>
                  <w:r>
                    <w:rPr>
                      <w:rFonts w:hint="eastAsia"/>
                      <w:color w:val="auto"/>
                      <w:lang w:val="en-US" w:eastAsia="zh-CN"/>
                    </w:rPr>
                    <w:t>/</w:t>
                  </w:r>
                </w:p>
              </w:tc>
            </w:tr>
            <w:tr w14:paraId="0AFE1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vAlign w:val="center"/>
                </w:tcPr>
                <w:p w14:paraId="448236EF">
                  <w:pPr>
                    <w:pStyle w:val="26"/>
                    <w:bidi w:val="0"/>
                    <w:jc w:val="center"/>
                    <w:rPr>
                      <w:rFonts w:hint="eastAsia"/>
                      <w:color w:val="auto"/>
                      <w:lang w:val="en-US" w:eastAsia="zh-CN"/>
                    </w:rPr>
                  </w:pPr>
                </w:p>
              </w:tc>
              <w:tc>
                <w:tcPr>
                  <w:tcW w:w="1250" w:type="dxa"/>
                  <w:vAlign w:val="center"/>
                </w:tcPr>
                <w:p w14:paraId="4B8F8C30">
                  <w:pPr>
                    <w:pStyle w:val="26"/>
                    <w:bidi w:val="0"/>
                    <w:jc w:val="center"/>
                    <w:rPr>
                      <w:rFonts w:hint="default"/>
                      <w:color w:val="auto"/>
                      <w:lang w:val="en-US" w:eastAsia="zh-CN"/>
                    </w:rPr>
                  </w:pPr>
                  <w:r>
                    <w:rPr>
                      <w:rFonts w:hint="eastAsia"/>
                      <w:color w:val="auto"/>
                      <w:lang w:val="en-US" w:eastAsia="zh-CN"/>
                    </w:rPr>
                    <w:t>固废</w:t>
                  </w:r>
                </w:p>
              </w:tc>
              <w:tc>
                <w:tcPr>
                  <w:tcW w:w="3911" w:type="dxa"/>
                  <w:vAlign w:val="center"/>
                </w:tcPr>
                <w:p w14:paraId="0C2F9950">
                  <w:pPr>
                    <w:pStyle w:val="26"/>
                    <w:bidi w:val="0"/>
                    <w:jc w:val="center"/>
                    <w:rPr>
                      <w:rFonts w:hint="default"/>
                      <w:color w:val="auto"/>
                      <w:lang w:val="en-US" w:eastAsia="zh-CN"/>
                    </w:rPr>
                  </w:pPr>
                  <w:r>
                    <w:rPr>
                      <w:rFonts w:hint="eastAsia"/>
                      <w:color w:val="auto"/>
                      <w:lang w:val="en-US" w:eastAsia="zh-CN"/>
                    </w:rPr>
                    <w:t>生活垃圾委托环卫部门处置，残液作为危废委托有资质单位收集处置</w:t>
                  </w:r>
                </w:p>
              </w:tc>
              <w:tc>
                <w:tcPr>
                  <w:tcW w:w="1968" w:type="dxa"/>
                  <w:vAlign w:val="center"/>
                </w:tcPr>
                <w:p w14:paraId="627EFCDA">
                  <w:pPr>
                    <w:pStyle w:val="26"/>
                    <w:bidi w:val="0"/>
                    <w:jc w:val="center"/>
                    <w:rPr>
                      <w:rFonts w:hint="default"/>
                      <w:color w:val="auto"/>
                      <w:lang w:val="en-US" w:eastAsia="zh-CN"/>
                    </w:rPr>
                  </w:pPr>
                  <w:r>
                    <w:rPr>
                      <w:rFonts w:hint="eastAsia"/>
                      <w:color w:val="auto"/>
                      <w:lang w:val="en-US" w:eastAsia="zh-CN"/>
                    </w:rPr>
                    <w:t>/</w:t>
                  </w:r>
                </w:p>
              </w:tc>
            </w:tr>
            <w:tr w14:paraId="39B5E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vAlign w:val="center"/>
                </w:tcPr>
                <w:p w14:paraId="732E4280">
                  <w:pPr>
                    <w:pStyle w:val="26"/>
                    <w:bidi w:val="0"/>
                    <w:jc w:val="center"/>
                    <w:rPr>
                      <w:rFonts w:hint="eastAsia"/>
                      <w:color w:val="auto"/>
                      <w:lang w:val="en-US" w:eastAsia="zh-CN"/>
                    </w:rPr>
                  </w:pPr>
                </w:p>
              </w:tc>
              <w:tc>
                <w:tcPr>
                  <w:tcW w:w="1250" w:type="dxa"/>
                  <w:vAlign w:val="center"/>
                </w:tcPr>
                <w:p w14:paraId="6C22C663">
                  <w:pPr>
                    <w:pStyle w:val="26"/>
                    <w:bidi w:val="0"/>
                    <w:jc w:val="center"/>
                    <w:rPr>
                      <w:rFonts w:hint="default"/>
                      <w:color w:val="auto"/>
                      <w:lang w:val="en-US" w:eastAsia="zh-CN"/>
                    </w:rPr>
                  </w:pPr>
                  <w:r>
                    <w:rPr>
                      <w:rFonts w:hint="eastAsia"/>
                      <w:color w:val="auto"/>
                      <w:lang w:val="en-US" w:eastAsia="zh-CN"/>
                    </w:rPr>
                    <w:t>环境风险</w:t>
                  </w:r>
                </w:p>
              </w:tc>
              <w:tc>
                <w:tcPr>
                  <w:tcW w:w="3911" w:type="dxa"/>
                  <w:vAlign w:val="center"/>
                </w:tcPr>
                <w:p w14:paraId="1CABC642">
                  <w:pPr>
                    <w:pStyle w:val="26"/>
                    <w:bidi w:val="0"/>
                    <w:jc w:val="center"/>
                    <w:rPr>
                      <w:rFonts w:hint="default"/>
                      <w:color w:val="auto"/>
                      <w:vertAlign w:val="baseline"/>
                      <w:lang w:val="en-US" w:eastAsia="zh-CN"/>
                    </w:rPr>
                  </w:pPr>
                  <w:r>
                    <w:rPr>
                      <w:rFonts w:hint="eastAsia"/>
                      <w:color w:val="auto"/>
                      <w:lang w:val="en-US" w:eastAsia="zh-CN"/>
                    </w:rPr>
                    <w:t>设置300m</w:t>
                  </w:r>
                  <w:r>
                    <w:rPr>
                      <w:rFonts w:hint="eastAsia"/>
                      <w:color w:val="auto"/>
                      <w:vertAlign w:val="superscript"/>
                      <w:lang w:val="en-US" w:eastAsia="zh-CN"/>
                    </w:rPr>
                    <w:t>3</w:t>
                  </w:r>
                  <w:r>
                    <w:rPr>
                      <w:rFonts w:hint="eastAsia"/>
                      <w:color w:val="auto"/>
                      <w:vertAlign w:val="baseline"/>
                      <w:lang w:val="en-US" w:eastAsia="zh-CN"/>
                    </w:rPr>
                    <w:t>消防水池及配套消防栓、灭火器、消防沙等消防设施，设置300m</w:t>
                  </w:r>
                  <w:r>
                    <w:rPr>
                      <w:rFonts w:hint="eastAsia"/>
                      <w:color w:val="auto"/>
                      <w:vertAlign w:val="superscript"/>
                      <w:lang w:val="en-US" w:eastAsia="zh-CN"/>
                    </w:rPr>
                    <w:t>3</w:t>
                  </w:r>
                  <w:r>
                    <w:rPr>
                      <w:rFonts w:hint="eastAsia"/>
                      <w:color w:val="auto"/>
                      <w:vertAlign w:val="baseline"/>
                      <w:lang w:val="en-US" w:eastAsia="zh-CN"/>
                    </w:rPr>
                    <w:t>事故应急池</w:t>
                  </w:r>
                </w:p>
              </w:tc>
              <w:tc>
                <w:tcPr>
                  <w:tcW w:w="1968" w:type="dxa"/>
                  <w:vAlign w:val="center"/>
                </w:tcPr>
                <w:p w14:paraId="109027BA">
                  <w:pPr>
                    <w:pStyle w:val="26"/>
                    <w:bidi w:val="0"/>
                    <w:jc w:val="center"/>
                    <w:rPr>
                      <w:rFonts w:hint="default"/>
                      <w:color w:val="auto"/>
                      <w:lang w:val="en-US" w:eastAsia="zh-CN"/>
                    </w:rPr>
                  </w:pPr>
                  <w:r>
                    <w:rPr>
                      <w:rFonts w:hint="eastAsia"/>
                      <w:color w:val="auto"/>
                      <w:lang w:val="en-US" w:eastAsia="zh-CN"/>
                    </w:rPr>
                    <w:t>/</w:t>
                  </w:r>
                </w:p>
              </w:tc>
            </w:tr>
          </w:tbl>
          <w:p w14:paraId="7594E62E">
            <w:pPr>
              <w:pStyle w:val="25"/>
              <w:bidi w:val="0"/>
              <w:rPr>
                <w:rFonts w:hint="eastAsia"/>
                <w:color w:val="auto"/>
                <w:lang w:val="en-US" w:eastAsia="zh-CN"/>
              </w:rPr>
            </w:pPr>
            <w:r>
              <w:rPr>
                <w:rFonts w:hint="eastAsia"/>
                <w:color w:val="auto"/>
                <w:lang w:val="en-US" w:eastAsia="zh-CN"/>
              </w:rPr>
              <w:t>3、主要产品方案</w:t>
            </w:r>
          </w:p>
          <w:p w14:paraId="1FBDEC42">
            <w:pPr>
              <w:pStyle w:val="25"/>
              <w:bidi w:val="0"/>
              <w:rPr>
                <w:rFonts w:hint="eastAsia"/>
                <w:color w:val="auto"/>
                <w:lang w:val="en-US" w:eastAsia="zh-CN"/>
              </w:rPr>
            </w:pPr>
            <w:r>
              <w:rPr>
                <w:rFonts w:hint="eastAsia"/>
                <w:color w:val="auto"/>
                <w:lang w:val="en-US" w:eastAsia="zh-CN"/>
              </w:rPr>
              <w:t>项目产品为充装的液化气，服务范围为衡阳县集兵镇，集兵镇总计人口约为3万人，人均液化石油气消费量约为30kg/a，则总需求量约为900t/a，因此本项目设计供应能力为900t/a，具体如下：</w:t>
            </w:r>
          </w:p>
          <w:p w14:paraId="44DD5E37">
            <w:pPr>
              <w:pStyle w:val="24"/>
              <w:bidi w:val="0"/>
              <w:rPr>
                <w:rFonts w:hint="eastAsia"/>
                <w:color w:val="auto"/>
                <w:lang w:val="en-US" w:eastAsia="zh-CN"/>
              </w:rPr>
            </w:pPr>
            <w:r>
              <w:rPr>
                <w:rFonts w:hint="eastAsia"/>
                <w:color w:val="auto"/>
                <w:lang w:val="en-US" w:eastAsia="zh-CN"/>
              </w:rPr>
              <w:t>表2-2  项目产品方案</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3"/>
              <w:gridCol w:w="1575"/>
              <w:gridCol w:w="1574"/>
              <w:gridCol w:w="1574"/>
              <w:gridCol w:w="1574"/>
            </w:tblGrid>
            <w:tr w14:paraId="00E2B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vAlign w:val="center"/>
                </w:tcPr>
                <w:p w14:paraId="677DD9A4">
                  <w:pPr>
                    <w:pStyle w:val="26"/>
                    <w:bidi w:val="0"/>
                    <w:jc w:val="center"/>
                    <w:rPr>
                      <w:rFonts w:hint="default"/>
                      <w:color w:val="auto"/>
                      <w:lang w:val="en-US" w:eastAsia="zh-CN"/>
                    </w:rPr>
                  </w:pPr>
                  <w:r>
                    <w:rPr>
                      <w:rFonts w:hint="eastAsia"/>
                      <w:color w:val="auto"/>
                      <w:lang w:val="en-US" w:eastAsia="zh-CN"/>
                    </w:rPr>
                    <w:t>产品名称</w:t>
                  </w:r>
                </w:p>
              </w:tc>
              <w:tc>
                <w:tcPr>
                  <w:tcW w:w="1575" w:type="dxa"/>
                  <w:vAlign w:val="center"/>
                </w:tcPr>
                <w:p w14:paraId="31E63824">
                  <w:pPr>
                    <w:pStyle w:val="26"/>
                    <w:bidi w:val="0"/>
                    <w:jc w:val="center"/>
                    <w:rPr>
                      <w:rFonts w:hint="default"/>
                      <w:color w:val="auto"/>
                      <w:lang w:val="en-US" w:eastAsia="zh-CN"/>
                    </w:rPr>
                  </w:pPr>
                  <w:r>
                    <w:rPr>
                      <w:rFonts w:hint="eastAsia"/>
                      <w:color w:val="auto"/>
                      <w:lang w:val="en-US" w:eastAsia="zh-CN"/>
                    </w:rPr>
                    <w:t>规格</w:t>
                  </w:r>
                </w:p>
              </w:tc>
              <w:tc>
                <w:tcPr>
                  <w:tcW w:w="1574" w:type="dxa"/>
                  <w:vAlign w:val="center"/>
                </w:tcPr>
                <w:p w14:paraId="5653B892">
                  <w:pPr>
                    <w:pStyle w:val="26"/>
                    <w:bidi w:val="0"/>
                    <w:jc w:val="center"/>
                    <w:rPr>
                      <w:rFonts w:hint="eastAsia"/>
                      <w:color w:val="auto"/>
                      <w:lang w:val="en-US" w:eastAsia="zh-CN"/>
                    </w:rPr>
                  </w:pPr>
                  <w:r>
                    <w:rPr>
                      <w:rFonts w:hint="eastAsia"/>
                      <w:color w:val="auto"/>
                      <w:lang w:val="en-US" w:eastAsia="zh-CN"/>
                    </w:rPr>
                    <w:t>设计产能</w:t>
                  </w:r>
                </w:p>
                <w:p w14:paraId="1C0CE670">
                  <w:pPr>
                    <w:pStyle w:val="26"/>
                    <w:bidi w:val="0"/>
                    <w:jc w:val="center"/>
                    <w:rPr>
                      <w:rFonts w:hint="default"/>
                      <w:color w:val="auto"/>
                      <w:lang w:val="en-US" w:eastAsia="zh-CN"/>
                    </w:rPr>
                  </w:pPr>
                  <w:r>
                    <w:rPr>
                      <w:rFonts w:hint="eastAsia"/>
                      <w:color w:val="auto"/>
                      <w:lang w:val="en-US" w:eastAsia="zh-CN"/>
                    </w:rPr>
                    <w:t>（罐/年）</w:t>
                  </w:r>
                </w:p>
              </w:tc>
              <w:tc>
                <w:tcPr>
                  <w:tcW w:w="1574" w:type="dxa"/>
                  <w:vAlign w:val="center"/>
                </w:tcPr>
                <w:p w14:paraId="331F2BE9">
                  <w:pPr>
                    <w:pStyle w:val="26"/>
                    <w:bidi w:val="0"/>
                    <w:jc w:val="center"/>
                    <w:rPr>
                      <w:rFonts w:hint="eastAsia"/>
                      <w:color w:val="auto"/>
                      <w:lang w:val="en-US" w:eastAsia="zh-CN"/>
                    </w:rPr>
                  </w:pPr>
                  <w:r>
                    <w:rPr>
                      <w:rFonts w:hint="eastAsia"/>
                      <w:color w:val="auto"/>
                      <w:lang w:val="en-US" w:eastAsia="zh-CN"/>
                    </w:rPr>
                    <w:t>折算产能</w:t>
                  </w:r>
                </w:p>
                <w:p w14:paraId="1DE94F9F">
                  <w:pPr>
                    <w:pStyle w:val="26"/>
                    <w:bidi w:val="0"/>
                    <w:jc w:val="center"/>
                    <w:rPr>
                      <w:rFonts w:hint="default"/>
                      <w:color w:val="auto"/>
                      <w:lang w:val="en-US" w:eastAsia="zh-CN"/>
                    </w:rPr>
                  </w:pPr>
                  <w:r>
                    <w:rPr>
                      <w:rFonts w:hint="eastAsia"/>
                      <w:color w:val="auto"/>
                      <w:lang w:val="en-US" w:eastAsia="zh-CN"/>
                    </w:rPr>
                    <w:t>（t/a）</w:t>
                  </w:r>
                </w:p>
              </w:tc>
              <w:tc>
                <w:tcPr>
                  <w:tcW w:w="1574" w:type="dxa"/>
                  <w:vAlign w:val="center"/>
                </w:tcPr>
                <w:p w14:paraId="4CAF2A85">
                  <w:pPr>
                    <w:pStyle w:val="26"/>
                    <w:bidi w:val="0"/>
                    <w:jc w:val="center"/>
                    <w:rPr>
                      <w:rFonts w:hint="eastAsia"/>
                      <w:color w:val="auto"/>
                      <w:lang w:val="en-US" w:eastAsia="zh-CN"/>
                    </w:rPr>
                  </w:pPr>
                  <w:r>
                    <w:rPr>
                      <w:rFonts w:hint="eastAsia"/>
                      <w:color w:val="auto"/>
                      <w:lang w:val="en-US" w:eastAsia="zh-CN"/>
                    </w:rPr>
                    <w:t>最大贮存量</w:t>
                  </w:r>
                </w:p>
                <w:p w14:paraId="6A0E1A2E">
                  <w:pPr>
                    <w:pStyle w:val="26"/>
                    <w:bidi w:val="0"/>
                    <w:jc w:val="center"/>
                    <w:rPr>
                      <w:rFonts w:hint="default"/>
                      <w:color w:val="auto"/>
                      <w:lang w:val="en-US" w:eastAsia="zh-CN"/>
                    </w:rPr>
                  </w:pPr>
                  <w:r>
                    <w:rPr>
                      <w:rFonts w:hint="eastAsia"/>
                      <w:color w:val="auto"/>
                      <w:lang w:val="en-US" w:eastAsia="zh-CN"/>
                    </w:rPr>
                    <w:t>t</w:t>
                  </w:r>
                </w:p>
              </w:tc>
            </w:tr>
            <w:tr w14:paraId="17DE1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73" w:type="dxa"/>
                  <w:vAlign w:val="center"/>
                </w:tcPr>
                <w:p w14:paraId="52516327">
                  <w:pPr>
                    <w:pStyle w:val="26"/>
                    <w:bidi w:val="0"/>
                    <w:jc w:val="center"/>
                    <w:rPr>
                      <w:rFonts w:hint="default"/>
                      <w:color w:val="auto"/>
                      <w:lang w:val="en-US" w:eastAsia="zh-CN"/>
                    </w:rPr>
                  </w:pPr>
                  <w:r>
                    <w:rPr>
                      <w:rFonts w:hint="eastAsia"/>
                      <w:color w:val="auto"/>
                      <w:lang w:val="en-US" w:eastAsia="zh-CN"/>
                    </w:rPr>
                    <w:t>灌装液化气</w:t>
                  </w:r>
                </w:p>
              </w:tc>
              <w:tc>
                <w:tcPr>
                  <w:tcW w:w="1575" w:type="dxa"/>
                  <w:vAlign w:val="center"/>
                </w:tcPr>
                <w:p w14:paraId="5B644548">
                  <w:pPr>
                    <w:pStyle w:val="26"/>
                    <w:bidi w:val="0"/>
                    <w:jc w:val="center"/>
                    <w:rPr>
                      <w:rFonts w:hint="default"/>
                      <w:color w:val="auto"/>
                      <w:lang w:val="en-US" w:eastAsia="zh-CN"/>
                    </w:rPr>
                  </w:pPr>
                  <w:r>
                    <w:rPr>
                      <w:rFonts w:hint="eastAsia"/>
                      <w:color w:val="auto"/>
                      <w:lang w:val="en-US" w:eastAsia="zh-CN"/>
                    </w:rPr>
                    <w:t>15kg/灌</w:t>
                  </w:r>
                </w:p>
              </w:tc>
              <w:tc>
                <w:tcPr>
                  <w:tcW w:w="1574" w:type="dxa"/>
                  <w:vAlign w:val="center"/>
                </w:tcPr>
                <w:p w14:paraId="4AE3E49E">
                  <w:pPr>
                    <w:pStyle w:val="26"/>
                    <w:bidi w:val="0"/>
                    <w:jc w:val="center"/>
                    <w:rPr>
                      <w:rFonts w:hint="default"/>
                      <w:color w:val="auto"/>
                      <w:lang w:val="en-US" w:eastAsia="zh-CN"/>
                    </w:rPr>
                  </w:pPr>
                  <w:r>
                    <w:rPr>
                      <w:rFonts w:hint="eastAsia"/>
                      <w:color w:val="auto"/>
                      <w:lang w:val="en-US" w:eastAsia="zh-CN"/>
                    </w:rPr>
                    <w:t>60000</w:t>
                  </w:r>
                </w:p>
              </w:tc>
              <w:tc>
                <w:tcPr>
                  <w:tcW w:w="1574" w:type="dxa"/>
                  <w:vAlign w:val="center"/>
                </w:tcPr>
                <w:p w14:paraId="074E6368">
                  <w:pPr>
                    <w:pStyle w:val="26"/>
                    <w:bidi w:val="0"/>
                    <w:jc w:val="center"/>
                    <w:rPr>
                      <w:rFonts w:hint="default"/>
                      <w:color w:val="auto"/>
                      <w:lang w:val="en-US" w:eastAsia="zh-CN"/>
                    </w:rPr>
                  </w:pPr>
                  <w:r>
                    <w:rPr>
                      <w:rFonts w:hint="eastAsia"/>
                      <w:color w:val="auto"/>
                      <w:lang w:val="en-US" w:eastAsia="zh-CN"/>
                    </w:rPr>
                    <w:t>900</w:t>
                  </w:r>
                </w:p>
              </w:tc>
              <w:tc>
                <w:tcPr>
                  <w:tcW w:w="1574" w:type="dxa"/>
                  <w:vAlign w:val="center"/>
                </w:tcPr>
                <w:p w14:paraId="45C79E49">
                  <w:pPr>
                    <w:pStyle w:val="26"/>
                    <w:bidi w:val="0"/>
                    <w:jc w:val="center"/>
                    <w:rPr>
                      <w:rFonts w:hint="default"/>
                      <w:color w:val="auto"/>
                      <w:lang w:val="en-US" w:eastAsia="zh-CN"/>
                    </w:rPr>
                  </w:pPr>
                  <w:r>
                    <w:rPr>
                      <w:rFonts w:hint="eastAsia"/>
                      <w:color w:val="auto"/>
                      <w:lang w:val="en-US" w:eastAsia="zh-CN"/>
                    </w:rPr>
                    <w:t>6</w:t>
                  </w:r>
                </w:p>
              </w:tc>
            </w:tr>
          </w:tbl>
          <w:p w14:paraId="2A57E5A1">
            <w:pPr>
              <w:pStyle w:val="25"/>
              <w:rPr>
                <w:rFonts w:hint="default"/>
                <w:color w:val="auto"/>
                <w:vertAlign w:val="baseline"/>
                <w:lang w:val="en-US" w:eastAsia="zh-CN"/>
              </w:rPr>
            </w:pPr>
            <w:r>
              <w:rPr>
                <w:rFonts w:hint="eastAsia"/>
                <w:color w:val="auto"/>
                <w:vertAlign w:val="baseline"/>
                <w:lang w:val="en-US" w:eastAsia="zh-CN"/>
              </w:rPr>
              <w:t>根据规范要求，灌瓶间设计存瓶量为1~2天的用量，则约为3~6t，本次按最大6t考虑。</w:t>
            </w:r>
          </w:p>
          <w:p w14:paraId="79EBF7DA">
            <w:pPr>
              <w:pStyle w:val="25"/>
              <w:bidi w:val="0"/>
              <w:rPr>
                <w:rFonts w:hint="eastAsia"/>
                <w:color w:val="auto"/>
                <w:lang w:val="en-US" w:eastAsia="zh-CN"/>
              </w:rPr>
            </w:pPr>
            <w:r>
              <w:rPr>
                <w:rFonts w:hint="eastAsia"/>
                <w:color w:val="auto"/>
                <w:lang w:val="en-US" w:eastAsia="zh-CN"/>
              </w:rPr>
              <w:t>4、主要原辅材料</w:t>
            </w:r>
          </w:p>
          <w:p w14:paraId="600A6855">
            <w:pPr>
              <w:pStyle w:val="25"/>
              <w:bidi w:val="0"/>
              <w:rPr>
                <w:rFonts w:hint="eastAsia"/>
                <w:color w:val="auto"/>
                <w:lang w:val="en-US" w:eastAsia="zh-CN"/>
              </w:rPr>
            </w:pPr>
            <w:r>
              <w:rPr>
                <w:rFonts w:hint="eastAsia"/>
                <w:color w:val="auto"/>
                <w:lang w:val="en-US" w:eastAsia="zh-CN"/>
              </w:rPr>
              <w:t>本项目为液化气充装站建设项目，主要对液化气进行分装，主要原料为液化石油气，其余无相关辅料使用，具体如下：</w:t>
            </w:r>
          </w:p>
          <w:p w14:paraId="497D39BE">
            <w:pPr>
              <w:pStyle w:val="24"/>
              <w:bidi w:val="0"/>
              <w:rPr>
                <w:rFonts w:hint="eastAsia"/>
                <w:color w:val="auto"/>
                <w:lang w:val="en-US" w:eastAsia="zh-CN"/>
              </w:rPr>
            </w:pPr>
            <w:r>
              <w:rPr>
                <w:rFonts w:hint="eastAsia"/>
                <w:color w:val="auto"/>
                <w:lang w:val="en-US" w:eastAsia="zh-CN"/>
              </w:rPr>
              <w:t>表2-3  项目主要原辅材料及能耗一览表</w:t>
            </w:r>
          </w:p>
          <w:tbl>
            <w:tblPr>
              <w:tblStyle w:val="1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5"/>
              <w:gridCol w:w="1975"/>
              <w:gridCol w:w="1975"/>
              <w:gridCol w:w="1976"/>
            </w:tblGrid>
            <w:tr w14:paraId="3B88E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50" w:type="pct"/>
                </w:tcPr>
                <w:p w14:paraId="6B7FEB0E">
                  <w:pPr>
                    <w:pStyle w:val="26"/>
                    <w:bidi w:val="0"/>
                    <w:rPr>
                      <w:rFonts w:hint="default"/>
                      <w:color w:val="auto"/>
                      <w:lang w:val="en-US" w:eastAsia="zh-CN"/>
                    </w:rPr>
                  </w:pPr>
                  <w:r>
                    <w:rPr>
                      <w:rFonts w:hint="eastAsia"/>
                      <w:color w:val="auto"/>
                      <w:lang w:val="en-US" w:eastAsia="zh-CN"/>
                    </w:rPr>
                    <w:t>名称</w:t>
                  </w:r>
                </w:p>
              </w:tc>
              <w:tc>
                <w:tcPr>
                  <w:tcW w:w="1250" w:type="pct"/>
                </w:tcPr>
                <w:p w14:paraId="72A0ABE3">
                  <w:pPr>
                    <w:pStyle w:val="26"/>
                    <w:bidi w:val="0"/>
                    <w:rPr>
                      <w:rFonts w:hint="default"/>
                      <w:color w:val="auto"/>
                      <w:lang w:val="en-US" w:eastAsia="zh-CN"/>
                    </w:rPr>
                  </w:pPr>
                  <w:r>
                    <w:rPr>
                      <w:rFonts w:hint="eastAsia"/>
                      <w:color w:val="auto"/>
                      <w:lang w:val="en-US" w:eastAsia="zh-CN"/>
                    </w:rPr>
                    <w:t>单位</w:t>
                  </w:r>
                </w:p>
              </w:tc>
              <w:tc>
                <w:tcPr>
                  <w:tcW w:w="1250" w:type="pct"/>
                </w:tcPr>
                <w:p w14:paraId="5347E49B">
                  <w:pPr>
                    <w:pStyle w:val="26"/>
                    <w:bidi w:val="0"/>
                    <w:rPr>
                      <w:rFonts w:hint="default"/>
                      <w:color w:val="auto"/>
                      <w:lang w:val="en-US" w:eastAsia="zh-CN"/>
                    </w:rPr>
                  </w:pPr>
                  <w:r>
                    <w:rPr>
                      <w:rFonts w:hint="eastAsia"/>
                      <w:color w:val="auto"/>
                      <w:lang w:val="en-US" w:eastAsia="zh-CN"/>
                    </w:rPr>
                    <w:t>年用量</w:t>
                  </w:r>
                </w:p>
              </w:tc>
              <w:tc>
                <w:tcPr>
                  <w:tcW w:w="1250" w:type="pct"/>
                </w:tcPr>
                <w:p w14:paraId="356DE31A">
                  <w:pPr>
                    <w:pStyle w:val="26"/>
                    <w:bidi w:val="0"/>
                    <w:rPr>
                      <w:rFonts w:hint="default"/>
                      <w:color w:val="auto"/>
                      <w:lang w:val="en-US" w:eastAsia="zh-CN"/>
                    </w:rPr>
                  </w:pPr>
                  <w:r>
                    <w:rPr>
                      <w:rFonts w:hint="eastAsia"/>
                      <w:color w:val="auto"/>
                      <w:lang w:val="en-US" w:eastAsia="zh-CN"/>
                    </w:rPr>
                    <w:t>最大贮存量</w:t>
                  </w:r>
                </w:p>
              </w:tc>
            </w:tr>
            <w:tr w14:paraId="4868A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Pr>
                <w:p w14:paraId="7A765811">
                  <w:pPr>
                    <w:pStyle w:val="26"/>
                    <w:bidi w:val="0"/>
                    <w:rPr>
                      <w:rFonts w:hint="default"/>
                      <w:color w:val="auto"/>
                      <w:lang w:val="en-US" w:eastAsia="zh-CN"/>
                    </w:rPr>
                  </w:pPr>
                  <w:r>
                    <w:rPr>
                      <w:rFonts w:hint="eastAsia"/>
                      <w:color w:val="auto"/>
                      <w:lang w:val="en-US" w:eastAsia="zh-CN"/>
                    </w:rPr>
                    <w:t>液化石油气</w:t>
                  </w:r>
                </w:p>
              </w:tc>
              <w:tc>
                <w:tcPr>
                  <w:tcW w:w="1250" w:type="pct"/>
                </w:tcPr>
                <w:p w14:paraId="63593B72">
                  <w:pPr>
                    <w:pStyle w:val="26"/>
                    <w:bidi w:val="0"/>
                    <w:rPr>
                      <w:rFonts w:hint="default"/>
                      <w:color w:val="auto"/>
                      <w:lang w:val="en-US" w:eastAsia="zh-CN"/>
                    </w:rPr>
                  </w:pPr>
                  <w:r>
                    <w:rPr>
                      <w:rFonts w:hint="eastAsia"/>
                      <w:color w:val="auto"/>
                      <w:lang w:val="en-US" w:eastAsia="zh-CN"/>
                    </w:rPr>
                    <w:t>t</w:t>
                  </w:r>
                </w:p>
              </w:tc>
              <w:tc>
                <w:tcPr>
                  <w:tcW w:w="1250" w:type="pct"/>
                </w:tcPr>
                <w:p w14:paraId="01247E91">
                  <w:pPr>
                    <w:pStyle w:val="26"/>
                    <w:bidi w:val="0"/>
                    <w:rPr>
                      <w:rFonts w:hint="default"/>
                      <w:color w:val="auto"/>
                      <w:lang w:val="en-US" w:eastAsia="zh-CN"/>
                    </w:rPr>
                  </w:pPr>
                  <w:r>
                    <w:rPr>
                      <w:rFonts w:hint="eastAsia"/>
                      <w:color w:val="auto"/>
                      <w:lang w:val="en-US" w:eastAsia="zh-CN"/>
                    </w:rPr>
                    <w:t>900</w:t>
                  </w:r>
                </w:p>
              </w:tc>
              <w:tc>
                <w:tcPr>
                  <w:tcW w:w="1250" w:type="pct"/>
                </w:tcPr>
                <w:p w14:paraId="532BCDB9">
                  <w:pPr>
                    <w:pStyle w:val="26"/>
                    <w:bidi w:val="0"/>
                    <w:rPr>
                      <w:rFonts w:hint="default"/>
                      <w:color w:val="auto"/>
                      <w:lang w:val="en-US" w:eastAsia="zh-CN"/>
                    </w:rPr>
                  </w:pPr>
                  <w:r>
                    <w:rPr>
                      <w:rFonts w:hint="eastAsia"/>
                      <w:color w:val="auto"/>
                      <w:lang w:val="en-US" w:eastAsia="zh-CN"/>
                    </w:rPr>
                    <w:t>约65.03</w:t>
                  </w:r>
                </w:p>
              </w:tc>
            </w:tr>
            <w:tr w14:paraId="415DC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Pr>
                <w:p w14:paraId="0E36D963">
                  <w:pPr>
                    <w:pStyle w:val="26"/>
                    <w:bidi w:val="0"/>
                    <w:rPr>
                      <w:rFonts w:hint="default"/>
                      <w:color w:val="auto"/>
                      <w:lang w:val="en-US" w:eastAsia="zh-CN"/>
                    </w:rPr>
                  </w:pPr>
                  <w:r>
                    <w:rPr>
                      <w:rFonts w:hint="eastAsia"/>
                      <w:color w:val="auto"/>
                      <w:lang w:val="en-US" w:eastAsia="zh-CN"/>
                    </w:rPr>
                    <w:t>水</w:t>
                  </w:r>
                </w:p>
              </w:tc>
              <w:tc>
                <w:tcPr>
                  <w:tcW w:w="1250" w:type="pct"/>
                </w:tcPr>
                <w:p w14:paraId="781CA1AD">
                  <w:pPr>
                    <w:pStyle w:val="26"/>
                    <w:bidi w:val="0"/>
                    <w:rPr>
                      <w:rFonts w:hint="default"/>
                      <w:color w:val="auto"/>
                      <w:vertAlign w:val="baseline"/>
                      <w:lang w:val="en-US" w:eastAsia="zh-CN"/>
                    </w:rPr>
                  </w:pPr>
                  <w:r>
                    <w:rPr>
                      <w:rFonts w:hint="eastAsia"/>
                      <w:color w:val="auto"/>
                      <w:lang w:val="en-US" w:eastAsia="zh-CN"/>
                    </w:rPr>
                    <w:t>m</w:t>
                  </w:r>
                  <w:r>
                    <w:rPr>
                      <w:rFonts w:hint="eastAsia"/>
                      <w:color w:val="auto"/>
                      <w:vertAlign w:val="superscript"/>
                      <w:lang w:val="en-US" w:eastAsia="zh-CN"/>
                    </w:rPr>
                    <w:t>3</w:t>
                  </w:r>
                </w:p>
              </w:tc>
              <w:tc>
                <w:tcPr>
                  <w:tcW w:w="1250" w:type="pct"/>
                </w:tcPr>
                <w:p w14:paraId="0F300269">
                  <w:pPr>
                    <w:pStyle w:val="26"/>
                    <w:bidi w:val="0"/>
                    <w:rPr>
                      <w:rFonts w:hint="default"/>
                      <w:color w:val="auto"/>
                      <w:lang w:val="en-US" w:eastAsia="zh-CN"/>
                    </w:rPr>
                  </w:pPr>
                  <w:r>
                    <w:rPr>
                      <w:rFonts w:hint="eastAsia"/>
                      <w:color w:val="auto"/>
                      <w:lang w:val="en-US" w:eastAsia="zh-CN"/>
                    </w:rPr>
                    <w:t>380</w:t>
                  </w:r>
                </w:p>
              </w:tc>
              <w:tc>
                <w:tcPr>
                  <w:tcW w:w="1250" w:type="pct"/>
                </w:tcPr>
                <w:p w14:paraId="0F2E43B9">
                  <w:pPr>
                    <w:pStyle w:val="26"/>
                    <w:bidi w:val="0"/>
                    <w:rPr>
                      <w:rFonts w:hint="default"/>
                      <w:color w:val="auto"/>
                      <w:lang w:val="en-US" w:eastAsia="zh-CN"/>
                    </w:rPr>
                  </w:pPr>
                  <w:r>
                    <w:rPr>
                      <w:rFonts w:hint="eastAsia"/>
                      <w:color w:val="auto"/>
                      <w:lang w:val="en-US" w:eastAsia="zh-CN"/>
                    </w:rPr>
                    <w:t>/</w:t>
                  </w:r>
                </w:p>
              </w:tc>
            </w:tr>
            <w:tr w14:paraId="02DFF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Pr>
                <w:p w14:paraId="4F177FC1">
                  <w:pPr>
                    <w:pStyle w:val="26"/>
                    <w:bidi w:val="0"/>
                    <w:rPr>
                      <w:rFonts w:hint="default"/>
                      <w:color w:val="auto"/>
                      <w:lang w:val="en-US" w:eastAsia="zh-CN"/>
                    </w:rPr>
                  </w:pPr>
                  <w:r>
                    <w:rPr>
                      <w:rFonts w:hint="eastAsia"/>
                      <w:color w:val="auto"/>
                      <w:lang w:val="en-US" w:eastAsia="zh-CN"/>
                    </w:rPr>
                    <w:t>电</w:t>
                  </w:r>
                </w:p>
              </w:tc>
              <w:tc>
                <w:tcPr>
                  <w:tcW w:w="1250" w:type="pct"/>
                </w:tcPr>
                <w:p w14:paraId="17F18D56">
                  <w:pPr>
                    <w:pStyle w:val="26"/>
                    <w:bidi w:val="0"/>
                    <w:rPr>
                      <w:rFonts w:hint="default"/>
                      <w:color w:val="auto"/>
                      <w:lang w:val="en-US" w:eastAsia="zh-CN"/>
                    </w:rPr>
                  </w:pPr>
                  <w:r>
                    <w:rPr>
                      <w:rFonts w:hint="eastAsia"/>
                      <w:color w:val="auto"/>
                      <w:lang w:val="en-US" w:eastAsia="zh-CN"/>
                    </w:rPr>
                    <w:t>kwh</w:t>
                  </w:r>
                </w:p>
              </w:tc>
              <w:tc>
                <w:tcPr>
                  <w:tcW w:w="1250" w:type="pct"/>
                </w:tcPr>
                <w:p w14:paraId="38A31503">
                  <w:pPr>
                    <w:pStyle w:val="26"/>
                    <w:bidi w:val="0"/>
                    <w:rPr>
                      <w:rFonts w:hint="default"/>
                      <w:color w:val="auto"/>
                      <w:lang w:val="en-US" w:eastAsia="zh-CN"/>
                    </w:rPr>
                  </w:pPr>
                  <w:r>
                    <w:rPr>
                      <w:rFonts w:hint="eastAsia"/>
                      <w:color w:val="auto"/>
                      <w:lang w:val="en-US" w:eastAsia="zh-CN"/>
                    </w:rPr>
                    <w:t>4万</w:t>
                  </w:r>
                </w:p>
              </w:tc>
              <w:tc>
                <w:tcPr>
                  <w:tcW w:w="1250" w:type="pct"/>
                </w:tcPr>
                <w:p w14:paraId="7F6EB522">
                  <w:pPr>
                    <w:pStyle w:val="26"/>
                    <w:bidi w:val="0"/>
                    <w:rPr>
                      <w:rFonts w:hint="default"/>
                      <w:color w:val="auto"/>
                      <w:lang w:val="en-US" w:eastAsia="zh-CN"/>
                    </w:rPr>
                  </w:pPr>
                  <w:r>
                    <w:rPr>
                      <w:rFonts w:hint="eastAsia"/>
                      <w:color w:val="auto"/>
                      <w:lang w:val="en-US" w:eastAsia="zh-CN"/>
                    </w:rPr>
                    <w:t>/</w:t>
                  </w:r>
                </w:p>
              </w:tc>
            </w:tr>
          </w:tbl>
          <w:p w14:paraId="5DDD9BC7">
            <w:pPr>
              <w:pStyle w:val="25"/>
              <w:rPr>
                <w:rFonts w:hint="eastAsia"/>
                <w:color w:val="auto"/>
                <w:vertAlign w:val="baseline"/>
                <w:lang w:val="en-US" w:eastAsia="zh-CN"/>
              </w:rPr>
            </w:pPr>
            <w:r>
              <w:rPr>
                <w:rFonts w:hint="eastAsia"/>
                <w:color w:val="auto"/>
                <w:lang w:val="en-US" w:eastAsia="zh-CN"/>
              </w:rPr>
              <w:t>注：液化石油气储罐规格为50m</w:t>
            </w:r>
            <w:r>
              <w:rPr>
                <w:rFonts w:hint="eastAsia"/>
                <w:color w:val="auto"/>
                <w:vertAlign w:val="superscript"/>
                <w:lang w:val="en-US" w:eastAsia="zh-CN"/>
              </w:rPr>
              <w:t>3</w:t>
            </w:r>
            <w:r>
              <w:rPr>
                <w:rFonts w:hint="eastAsia"/>
                <w:color w:val="auto"/>
                <w:vertAlign w:val="baseline"/>
                <w:lang w:val="en-US" w:eastAsia="zh-CN"/>
              </w:rPr>
              <w:t>，设计压力1.77Mpa，液化石油气密度约为0.5~0.58t/m</w:t>
            </w:r>
            <w:r>
              <w:rPr>
                <w:rFonts w:hint="eastAsia"/>
                <w:color w:val="auto"/>
                <w:vertAlign w:val="superscript"/>
                <w:lang w:val="en-US" w:eastAsia="zh-CN"/>
              </w:rPr>
              <w:t>3</w:t>
            </w:r>
            <w:r>
              <w:rPr>
                <w:rFonts w:hint="eastAsia"/>
                <w:color w:val="auto"/>
                <w:vertAlign w:val="baseline"/>
                <w:lang w:val="en-US" w:eastAsia="zh-CN"/>
              </w:rPr>
              <w:t>，取中间值为0.51t/m</w:t>
            </w:r>
            <w:r>
              <w:rPr>
                <w:rFonts w:hint="eastAsia"/>
                <w:color w:val="auto"/>
                <w:vertAlign w:val="superscript"/>
                <w:lang w:val="en-US" w:eastAsia="zh-CN"/>
              </w:rPr>
              <w:t>3</w:t>
            </w:r>
            <w:r>
              <w:rPr>
                <w:rFonts w:hint="eastAsia"/>
                <w:color w:val="auto"/>
                <w:vertAlign w:val="baseline"/>
                <w:lang w:val="en-US" w:eastAsia="zh-CN"/>
              </w:rPr>
              <w:t>，有效充装容积按85%计算，则单个储罐液化气最大储量为0.51*0.85*50=21.675t，项目设置3个液化气储罐，则最大贮存量约为65.03t。</w:t>
            </w:r>
          </w:p>
          <w:p w14:paraId="69A033C6">
            <w:pPr>
              <w:pStyle w:val="25"/>
              <w:rPr>
                <w:rFonts w:hint="eastAsia"/>
                <w:color w:val="auto"/>
                <w:vertAlign w:val="baseline"/>
                <w:lang w:val="en-US" w:eastAsia="zh-CN"/>
              </w:rPr>
            </w:pPr>
            <w:r>
              <w:rPr>
                <w:rFonts w:hint="eastAsia"/>
                <w:color w:val="auto"/>
                <w:vertAlign w:val="baseline"/>
                <w:lang w:val="en-US" w:eastAsia="zh-CN"/>
              </w:rPr>
              <w:t>液化石油气主要理化性质及危险特性如下：</w:t>
            </w:r>
          </w:p>
          <w:p w14:paraId="37B8256B">
            <w:pPr>
              <w:pStyle w:val="24"/>
              <w:bidi w:val="0"/>
              <w:rPr>
                <w:rFonts w:hint="default"/>
                <w:color w:val="auto"/>
                <w:lang w:val="en-US" w:eastAsia="zh-CN"/>
              </w:rPr>
            </w:pPr>
            <w:r>
              <w:rPr>
                <w:rFonts w:hint="eastAsia"/>
                <w:color w:val="auto"/>
                <w:lang w:val="en-US" w:eastAsia="zh-CN"/>
              </w:rPr>
              <w:t>表2-4  液化石油气理化性质与危险特性表</w:t>
            </w:r>
          </w:p>
          <w:tbl>
            <w:tblPr>
              <w:tblStyle w:val="18"/>
              <w:tblW w:w="493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99"/>
              <w:gridCol w:w="1080"/>
              <w:gridCol w:w="6018"/>
            </w:tblGrid>
            <w:tr w14:paraId="213BE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8" w:type="pct"/>
                  <w:shd w:val="clear" w:color="auto" w:fill="auto"/>
                  <w:noWrap/>
                  <w:vAlign w:val="center"/>
                </w:tcPr>
                <w:p w14:paraId="2CD23E43">
                  <w:pPr>
                    <w:pStyle w:val="26"/>
                    <w:bidi w:val="0"/>
                    <w:rPr>
                      <w:rFonts w:hint="eastAsia"/>
                      <w:color w:val="auto"/>
                    </w:rPr>
                  </w:pPr>
                  <w:r>
                    <w:rPr>
                      <w:rFonts w:hint="eastAsia"/>
                      <w:color w:val="auto"/>
                      <w:lang w:val="en-US" w:eastAsia="zh-CN"/>
                    </w:rPr>
                    <w:t xml:space="preserve">项目类别 </w:t>
                  </w:r>
                </w:p>
              </w:tc>
              <w:tc>
                <w:tcPr>
                  <w:tcW w:w="692" w:type="pct"/>
                  <w:shd w:val="clear" w:color="auto" w:fill="auto"/>
                  <w:noWrap/>
                  <w:vAlign w:val="center"/>
                </w:tcPr>
                <w:p w14:paraId="3C91D8C5">
                  <w:pPr>
                    <w:pStyle w:val="26"/>
                    <w:bidi w:val="0"/>
                    <w:rPr>
                      <w:rFonts w:hint="eastAsia"/>
                      <w:color w:val="auto"/>
                    </w:rPr>
                  </w:pPr>
                  <w:r>
                    <w:rPr>
                      <w:rFonts w:hint="eastAsia"/>
                      <w:color w:val="auto"/>
                      <w:lang w:val="en-US" w:eastAsia="zh-CN"/>
                    </w:rPr>
                    <w:t xml:space="preserve">项目名称 </w:t>
                  </w:r>
                </w:p>
              </w:tc>
              <w:tc>
                <w:tcPr>
                  <w:tcW w:w="3858" w:type="pct"/>
                  <w:shd w:val="clear" w:color="auto" w:fill="auto"/>
                  <w:noWrap/>
                  <w:vAlign w:val="center"/>
                </w:tcPr>
                <w:p w14:paraId="712A9C17">
                  <w:pPr>
                    <w:pStyle w:val="26"/>
                    <w:bidi w:val="0"/>
                    <w:rPr>
                      <w:rFonts w:hint="eastAsia"/>
                      <w:color w:val="auto"/>
                    </w:rPr>
                  </w:pPr>
                  <w:r>
                    <w:rPr>
                      <w:rFonts w:hint="eastAsia"/>
                      <w:color w:val="auto"/>
                      <w:lang w:val="en-US" w:eastAsia="zh-CN"/>
                    </w:rPr>
                    <w:t xml:space="preserve">具体内容 </w:t>
                  </w:r>
                </w:p>
              </w:tc>
            </w:tr>
            <w:tr w14:paraId="398AC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8" w:type="pct"/>
                  <w:vMerge w:val="restart"/>
                  <w:shd w:val="clear" w:color="auto" w:fill="auto"/>
                  <w:noWrap/>
                  <w:vAlign w:val="center"/>
                </w:tcPr>
                <w:p w14:paraId="7FAC0248">
                  <w:pPr>
                    <w:pStyle w:val="26"/>
                    <w:bidi w:val="0"/>
                    <w:rPr>
                      <w:rFonts w:hint="default" w:eastAsia="宋体"/>
                      <w:color w:val="auto"/>
                      <w:lang w:val="en-US" w:eastAsia="zh-CN"/>
                    </w:rPr>
                  </w:pPr>
                  <w:r>
                    <w:rPr>
                      <w:rFonts w:hint="eastAsia"/>
                      <w:color w:val="auto"/>
                      <w:lang w:val="en-US" w:eastAsia="zh-CN"/>
                    </w:rPr>
                    <w:t>理化性质</w:t>
                  </w:r>
                </w:p>
              </w:tc>
              <w:tc>
                <w:tcPr>
                  <w:tcW w:w="692" w:type="pct"/>
                  <w:shd w:val="clear" w:color="auto" w:fill="auto"/>
                  <w:noWrap/>
                  <w:vAlign w:val="center"/>
                </w:tcPr>
                <w:p w14:paraId="267D4592">
                  <w:pPr>
                    <w:pStyle w:val="26"/>
                    <w:bidi w:val="0"/>
                    <w:rPr>
                      <w:rFonts w:hint="eastAsia"/>
                      <w:color w:val="auto"/>
                      <w:lang w:val="en-US" w:eastAsia="zh-CN"/>
                    </w:rPr>
                  </w:pPr>
                  <w:r>
                    <w:rPr>
                      <w:rFonts w:hint="eastAsia"/>
                      <w:color w:val="auto"/>
                      <w:lang w:val="en-US" w:eastAsia="zh-CN"/>
                    </w:rPr>
                    <w:t>外观</w:t>
                  </w:r>
                </w:p>
                <w:p w14:paraId="235AD93D">
                  <w:pPr>
                    <w:pStyle w:val="26"/>
                    <w:bidi w:val="0"/>
                    <w:rPr>
                      <w:rFonts w:hint="eastAsia"/>
                      <w:color w:val="auto"/>
                    </w:rPr>
                  </w:pPr>
                  <w:r>
                    <w:rPr>
                      <w:rFonts w:hint="eastAsia"/>
                      <w:color w:val="auto"/>
                      <w:lang w:val="en-US" w:eastAsia="zh-CN"/>
                    </w:rPr>
                    <w:t>与性状</w:t>
                  </w:r>
                </w:p>
              </w:tc>
              <w:tc>
                <w:tcPr>
                  <w:tcW w:w="3858" w:type="pct"/>
                  <w:shd w:val="clear" w:color="auto" w:fill="auto"/>
                  <w:noWrap/>
                  <w:vAlign w:val="center"/>
                </w:tcPr>
                <w:p w14:paraId="411DE4FE">
                  <w:pPr>
                    <w:pStyle w:val="26"/>
                    <w:bidi w:val="0"/>
                    <w:rPr>
                      <w:rFonts w:hint="eastAsia"/>
                      <w:color w:val="auto"/>
                    </w:rPr>
                  </w:pPr>
                  <w:r>
                    <w:rPr>
                      <w:rFonts w:hint="eastAsia"/>
                      <w:color w:val="auto"/>
                      <w:lang w:val="en-US" w:eastAsia="zh-CN"/>
                    </w:rPr>
                    <w:t>无色气体或黄棕色油状液体，有特殊臭味。</w:t>
                  </w:r>
                </w:p>
              </w:tc>
            </w:tr>
            <w:tr w14:paraId="08EA9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7DCC1628">
                  <w:pPr>
                    <w:pStyle w:val="26"/>
                    <w:bidi w:val="0"/>
                    <w:rPr>
                      <w:rFonts w:hint="eastAsia"/>
                      <w:color w:val="auto"/>
                    </w:rPr>
                  </w:pPr>
                </w:p>
              </w:tc>
              <w:tc>
                <w:tcPr>
                  <w:tcW w:w="692" w:type="pct"/>
                  <w:shd w:val="clear" w:color="auto" w:fill="auto"/>
                  <w:noWrap/>
                  <w:vAlign w:val="center"/>
                </w:tcPr>
                <w:p w14:paraId="59A28623">
                  <w:pPr>
                    <w:pStyle w:val="26"/>
                    <w:bidi w:val="0"/>
                    <w:rPr>
                      <w:rFonts w:hint="eastAsia"/>
                      <w:color w:val="auto"/>
                    </w:rPr>
                  </w:pPr>
                  <w:r>
                    <w:rPr>
                      <w:rFonts w:hint="eastAsia"/>
                      <w:color w:val="auto"/>
                      <w:lang w:val="en-US" w:eastAsia="zh-CN"/>
                    </w:rPr>
                    <w:t>成分</w:t>
                  </w:r>
                </w:p>
              </w:tc>
              <w:tc>
                <w:tcPr>
                  <w:tcW w:w="3858" w:type="pct"/>
                  <w:shd w:val="clear" w:color="auto" w:fill="auto"/>
                  <w:noWrap/>
                  <w:vAlign w:val="center"/>
                </w:tcPr>
                <w:p w14:paraId="682456F0">
                  <w:pPr>
                    <w:pStyle w:val="26"/>
                    <w:bidi w:val="0"/>
                    <w:rPr>
                      <w:rFonts w:hint="eastAsia"/>
                      <w:color w:val="auto"/>
                    </w:rPr>
                  </w:pPr>
                  <w:r>
                    <w:rPr>
                      <w:rFonts w:hint="eastAsia"/>
                      <w:color w:val="auto"/>
                      <w:lang w:val="en-US" w:eastAsia="zh-CN"/>
                    </w:rPr>
                    <w:t>主要成分为丙烷（C</w:t>
                  </w:r>
                  <w:r>
                    <w:rPr>
                      <w:rFonts w:hint="eastAsia"/>
                      <w:color w:val="auto"/>
                      <w:vertAlign w:val="subscript"/>
                      <w:lang w:val="en-US" w:eastAsia="zh-CN"/>
                    </w:rPr>
                    <w:t>3</w:t>
                  </w:r>
                  <w:r>
                    <w:rPr>
                      <w:rFonts w:hint="eastAsia"/>
                      <w:color w:val="auto"/>
                      <w:lang w:val="en-US" w:eastAsia="zh-CN"/>
                    </w:rPr>
                    <w:t>H</w:t>
                  </w:r>
                  <w:r>
                    <w:rPr>
                      <w:rFonts w:hint="eastAsia"/>
                      <w:color w:val="auto"/>
                      <w:vertAlign w:val="subscript"/>
                      <w:lang w:val="en-US" w:eastAsia="zh-CN"/>
                    </w:rPr>
                    <w:t>8</w:t>
                  </w:r>
                  <w:r>
                    <w:rPr>
                      <w:rFonts w:hint="eastAsia"/>
                      <w:color w:val="auto"/>
                      <w:lang w:val="en-US" w:eastAsia="zh-CN"/>
                    </w:rPr>
                    <w:t>）、丁烷（C</w:t>
                  </w:r>
                  <w:r>
                    <w:rPr>
                      <w:rFonts w:hint="eastAsia"/>
                      <w:color w:val="auto"/>
                      <w:vertAlign w:val="subscript"/>
                      <w:lang w:val="en-US" w:eastAsia="zh-CN"/>
                    </w:rPr>
                    <w:t>4</w:t>
                  </w:r>
                  <w:r>
                    <w:rPr>
                      <w:rFonts w:hint="eastAsia"/>
                      <w:color w:val="auto"/>
                      <w:lang w:val="en-US" w:eastAsia="zh-CN"/>
                    </w:rPr>
                    <w:t>H</w:t>
                  </w:r>
                  <w:r>
                    <w:rPr>
                      <w:rFonts w:hint="eastAsia"/>
                      <w:color w:val="auto"/>
                      <w:vertAlign w:val="subscript"/>
                      <w:lang w:val="en-US" w:eastAsia="zh-CN"/>
                    </w:rPr>
                    <w:t>10</w:t>
                  </w:r>
                  <w:r>
                    <w:rPr>
                      <w:rFonts w:hint="eastAsia"/>
                      <w:color w:val="auto"/>
                      <w:lang w:val="en-US" w:eastAsia="zh-CN"/>
                    </w:rPr>
                    <w:t>）等低级烷烃和烯烃组成的混合物。</w:t>
                  </w:r>
                </w:p>
              </w:tc>
            </w:tr>
            <w:tr w14:paraId="5FB3E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5B1B5AD8">
                  <w:pPr>
                    <w:pStyle w:val="26"/>
                    <w:bidi w:val="0"/>
                    <w:rPr>
                      <w:rFonts w:hint="eastAsia"/>
                      <w:color w:val="auto"/>
                    </w:rPr>
                  </w:pPr>
                </w:p>
              </w:tc>
              <w:tc>
                <w:tcPr>
                  <w:tcW w:w="692" w:type="pct"/>
                  <w:shd w:val="clear" w:color="auto" w:fill="auto"/>
                  <w:noWrap/>
                  <w:vAlign w:val="center"/>
                </w:tcPr>
                <w:p w14:paraId="4744E879">
                  <w:pPr>
                    <w:pStyle w:val="26"/>
                    <w:bidi w:val="0"/>
                    <w:rPr>
                      <w:rFonts w:hint="eastAsia"/>
                      <w:color w:val="auto"/>
                    </w:rPr>
                  </w:pPr>
                  <w:r>
                    <w:rPr>
                      <w:rFonts w:hint="eastAsia"/>
                      <w:color w:val="auto"/>
                      <w:lang w:val="en-US" w:eastAsia="zh-CN"/>
                    </w:rPr>
                    <w:t>沸点</w:t>
                  </w:r>
                </w:p>
              </w:tc>
              <w:tc>
                <w:tcPr>
                  <w:tcW w:w="3858" w:type="pct"/>
                  <w:shd w:val="clear" w:color="auto" w:fill="auto"/>
                  <w:noWrap/>
                  <w:vAlign w:val="center"/>
                </w:tcPr>
                <w:p w14:paraId="775A58B9">
                  <w:pPr>
                    <w:pStyle w:val="26"/>
                    <w:bidi w:val="0"/>
                    <w:rPr>
                      <w:rFonts w:hint="eastAsia"/>
                      <w:color w:val="auto"/>
                    </w:rPr>
                  </w:pPr>
                  <w:r>
                    <w:rPr>
                      <w:rFonts w:hint="eastAsia"/>
                      <w:color w:val="auto"/>
                      <w:lang w:val="en-US" w:eastAsia="zh-CN"/>
                    </w:rPr>
                    <w:t>约-42℃（丙烷）。</w:t>
                  </w:r>
                </w:p>
              </w:tc>
            </w:tr>
            <w:tr w14:paraId="4EB82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13C4D16E">
                  <w:pPr>
                    <w:pStyle w:val="26"/>
                    <w:bidi w:val="0"/>
                    <w:rPr>
                      <w:rFonts w:hint="eastAsia"/>
                      <w:color w:val="auto"/>
                    </w:rPr>
                  </w:pPr>
                </w:p>
              </w:tc>
              <w:tc>
                <w:tcPr>
                  <w:tcW w:w="692" w:type="pct"/>
                  <w:shd w:val="clear" w:color="auto" w:fill="auto"/>
                  <w:noWrap/>
                  <w:vAlign w:val="center"/>
                </w:tcPr>
                <w:p w14:paraId="769E0788">
                  <w:pPr>
                    <w:pStyle w:val="26"/>
                    <w:bidi w:val="0"/>
                    <w:rPr>
                      <w:rFonts w:hint="eastAsia"/>
                      <w:color w:val="auto"/>
                    </w:rPr>
                  </w:pPr>
                  <w:r>
                    <w:rPr>
                      <w:rFonts w:hint="eastAsia"/>
                      <w:color w:val="auto"/>
                      <w:lang w:val="en-US" w:eastAsia="zh-CN"/>
                    </w:rPr>
                    <w:t>密度</w:t>
                  </w:r>
                </w:p>
              </w:tc>
              <w:tc>
                <w:tcPr>
                  <w:tcW w:w="3858" w:type="pct"/>
                  <w:shd w:val="clear" w:color="auto" w:fill="auto"/>
                  <w:noWrap/>
                  <w:vAlign w:val="center"/>
                </w:tcPr>
                <w:p w14:paraId="1FE99A41">
                  <w:pPr>
                    <w:pStyle w:val="26"/>
                    <w:bidi w:val="0"/>
                    <w:rPr>
                      <w:rFonts w:hint="eastAsia"/>
                      <w:color w:val="auto"/>
                    </w:rPr>
                  </w:pPr>
                  <w:r>
                    <w:rPr>
                      <w:rFonts w:hint="eastAsia"/>
                      <w:color w:val="auto"/>
                      <w:lang w:val="en-US" w:eastAsia="zh-CN"/>
                    </w:rPr>
                    <w:t>液态密度约 0.51 g/cm³，气态密度约为空气的1.5～2倍。</w:t>
                  </w:r>
                </w:p>
              </w:tc>
            </w:tr>
            <w:tr w14:paraId="2AFC3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482735BA">
                  <w:pPr>
                    <w:pStyle w:val="26"/>
                    <w:bidi w:val="0"/>
                    <w:rPr>
                      <w:rFonts w:hint="eastAsia"/>
                      <w:color w:val="auto"/>
                    </w:rPr>
                  </w:pPr>
                </w:p>
              </w:tc>
              <w:tc>
                <w:tcPr>
                  <w:tcW w:w="692" w:type="pct"/>
                  <w:shd w:val="clear" w:color="auto" w:fill="auto"/>
                  <w:noWrap/>
                  <w:vAlign w:val="center"/>
                </w:tcPr>
                <w:p w14:paraId="6377179A">
                  <w:pPr>
                    <w:pStyle w:val="26"/>
                    <w:bidi w:val="0"/>
                    <w:rPr>
                      <w:rFonts w:hint="eastAsia"/>
                      <w:color w:val="auto"/>
                      <w:lang w:val="en-US" w:eastAsia="zh-CN"/>
                    </w:rPr>
                  </w:pPr>
                  <w:r>
                    <w:rPr>
                      <w:rFonts w:hint="eastAsia"/>
                      <w:color w:val="auto"/>
                      <w:lang w:val="en-US" w:eastAsia="zh-CN"/>
                    </w:rPr>
                    <w:t>饱和</w:t>
                  </w:r>
                </w:p>
                <w:p w14:paraId="5E3C17BC">
                  <w:pPr>
                    <w:pStyle w:val="26"/>
                    <w:bidi w:val="0"/>
                    <w:rPr>
                      <w:rFonts w:hint="eastAsia"/>
                      <w:color w:val="auto"/>
                    </w:rPr>
                  </w:pPr>
                  <w:r>
                    <w:rPr>
                      <w:rFonts w:hint="eastAsia"/>
                      <w:color w:val="auto"/>
                      <w:lang w:val="en-US" w:eastAsia="zh-CN"/>
                    </w:rPr>
                    <w:t xml:space="preserve">蒸气压 </w:t>
                  </w:r>
                </w:p>
              </w:tc>
              <w:tc>
                <w:tcPr>
                  <w:tcW w:w="3858" w:type="pct"/>
                  <w:shd w:val="clear" w:color="auto" w:fill="auto"/>
                  <w:noWrap/>
                  <w:vAlign w:val="center"/>
                </w:tcPr>
                <w:p w14:paraId="4358C7C9">
                  <w:pPr>
                    <w:pStyle w:val="26"/>
                    <w:bidi w:val="0"/>
                    <w:rPr>
                      <w:rFonts w:hint="eastAsia"/>
                      <w:color w:val="auto"/>
                    </w:rPr>
                  </w:pPr>
                  <w:r>
                    <w:rPr>
                      <w:rFonts w:hint="eastAsia"/>
                      <w:color w:val="auto"/>
                      <w:lang w:val="en-US" w:eastAsia="zh-CN"/>
                    </w:rPr>
                    <w:t>1380kPa（37.8℃）。</w:t>
                  </w:r>
                </w:p>
              </w:tc>
            </w:tr>
            <w:tr w14:paraId="6AAC3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25235F3D">
                  <w:pPr>
                    <w:pStyle w:val="26"/>
                    <w:bidi w:val="0"/>
                    <w:rPr>
                      <w:rFonts w:hint="eastAsia"/>
                      <w:color w:val="auto"/>
                    </w:rPr>
                  </w:pPr>
                </w:p>
              </w:tc>
              <w:tc>
                <w:tcPr>
                  <w:tcW w:w="692" w:type="pct"/>
                  <w:shd w:val="clear" w:color="auto" w:fill="auto"/>
                  <w:noWrap/>
                  <w:vAlign w:val="center"/>
                </w:tcPr>
                <w:p w14:paraId="3CB7E65C">
                  <w:pPr>
                    <w:pStyle w:val="26"/>
                    <w:bidi w:val="0"/>
                    <w:rPr>
                      <w:rFonts w:hint="eastAsia"/>
                      <w:color w:val="auto"/>
                    </w:rPr>
                  </w:pPr>
                  <w:r>
                    <w:rPr>
                      <w:rFonts w:hint="eastAsia"/>
                      <w:color w:val="auto"/>
                      <w:lang w:val="en-US" w:eastAsia="zh-CN"/>
                    </w:rPr>
                    <w:t xml:space="preserve">燃点 </w:t>
                  </w:r>
                </w:p>
              </w:tc>
              <w:tc>
                <w:tcPr>
                  <w:tcW w:w="3858" w:type="pct"/>
                  <w:shd w:val="clear" w:color="auto" w:fill="auto"/>
                  <w:noWrap/>
                  <w:vAlign w:val="center"/>
                </w:tcPr>
                <w:p w14:paraId="40D85F65">
                  <w:pPr>
                    <w:pStyle w:val="26"/>
                    <w:bidi w:val="0"/>
                    <w:rPr>
                      <w:rFonts w:hint="eastAsia"/>
                      <w:color w:val="auto"/>
                    </w:rPr>
                  </w:pPr>
                  <w:r>
                    <w:rPr>
                      <w:rFonts w:hint="eastAsia"/>
                      <w:color w:val="auto"/>
                      <w:lang w:val="en-US" w:eastAsia="zh-CN"/>
                    </w:rPr>
                    <w:t>约-195℃。</w:t>
                  </w:r>
                </w:p>
              </w:tc>
            </w:tr>
            <w:tr w14:paraId="392B6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5BFB14AC">
                  <w:pPr>
                    <w:pStyle w:val="26"/>
                    <w:bidi w:val="0"/>
                    <w:rPr>
                      <w:rFonts w:hint="eastAsia"/>
                      <w:color w:val="auto"/>
                    </w:rPr>
                  </w:pPr>
                </w:p>
              </w:tc>
              <w:tc>
                <w:tcPr>
                  <w:tcW w:w="692" w:type="pct"/>
                  <w:shd w:val="clear" w:color="auto" w:fill="auto"/>
                  <w:noWrap/>
                  <w:vAlign w:val="center"/>
                </w:tcPr>
                <w:p w14:paraId="41E7CBFD">
                  <w:pPr>
                    <w:pStyle w:val="26"/>
                    <w:bidi w:val="0"/>
                    <w:rPr>
                      <w:rFonts w:hint="eastAsia"/>
                      <w:color w:val="auto"/>
                    </w:rPr>
                  </w:pPr>
                  <w:r>
                    <w:rPr>
                      <w:rFonts w:hint="eastAsia"/>
                      <w:color w:val="auto"/>
                      <w:lang w:val="en-US" w:eastAsia="zh-CN"/>
                    </w:rPr>
                    <w:t xml:space="preserve">自燃温度 </w:t>
                  </w:r>
                </w:p>
              </w:tc>
              <w:tc>
                <w:tcPr>
                  <w:tcW w:w="3858" w:type="pct"/>
                  <w:shd w:val="clear" w:color="auto" w:fill="auto"/>
                  <w:noWrap/>
                  <w:vAlign w:val="center"/>
                </w:tcPr>
                <w:p w14:paraId="79D0504C">
                  <w:pPr>
                    <w:pStyle w:val="26"/>
                    <w:bidi w:val="0"/>
                    <w:rPr>
                      <w:rFonts w:hint="eastAsia"/>
                      <w:color w:val="auto"/>
                    </w:rPr>
                  </w:pPr>
                  <w:r>
                    <w:rPr>
                      <w:rFonts w:hint="eastAsia"/>
                      <w:color w:val="auto"/>
                      <w:lang w:val="en-US" w:eastAsia="zh-CN"/>
                    </w:rPr>
                    <w:t>450℃左右。</w:t>
                  </w:r>
                </w:p>
              </w:tc>
            </w:tr>
            <w:tr w14:paraId="52FC8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1C3CCA00">
                  <w:pPr>
                    <w:pStyle w:val="26"/>
                    <w:bidi w:val="0"/>
                    <w:rPr>
                      <w:rFonts w:hint="eastAsia"/>
                      <w:color w:val="auto"/>
                    </w:rPr>
                  </w:pPr>
                </w:p>
              </w:tc>
              <w:tc>
                <w:tcPr>
                  <w:tcW w:w="692" w:type="pct"/>
                  <w:shd w:val="clear" w:color="auto" w:fill="auto"/>
                  <w:noWrap/>
                  <w:vAlign w:val="center"/>
                </w:tcPr>
                <w:p w14:paraId="3BF4D834">
                  <w:pPr>
                    <w:pStyle w:val="26"/>
                    <w:bidi w:val="0"/>
                    <w:rPr>
                      <w:rFonts w:hint="eastAsia"/>
                      <w:color w:val="auto"/>
                    </w:rPr>
                  </w:pPr>
                  <w:r>
                    <w:rPr>
                      <w:rFonts w:hint="eastAsia"/>
                      <w:color w:val="auto"/>
                      <w:lang w:val="en-US" w:eastAsia="zh-CN"/>
                    </w:rPr>
                    <w:t xml:space="preserve">闪点 </w:t>
                  </w:r>
                </w:p>
              </w:tc>
              <w:tc>
                <w:tcPr>
                  <w:tcW w:w="3858" w:type="pct"/>
                  <w:shd w:val="clear" w:color="auto" w:fill="auto"/>
                  <w:noWrap/>
                  <w:vAlign w:val="center"/>
                </w:tcPr>
                <w:p w14:paraId="5CCA5C43">
                  <w:pPr>
                    <w:pStyle w:val="26"/>
                    <w:bidi w:val="0"/>
                    <w:rPr>
                      <w:rFonts w:hint="eastAsia"/>
                      <w:color w:val="auto"/>
                    </w:rPr>
                  </w:pPr>
                  <w:r>
                    <w:rPr>
                      <w:rFonts w:hint="eastAsia"/>
                      <w:color w:val="auto"/>
                      <w:lang w:val="en-US" w:eastAsia="zh-CN"/>
                    </w:rPr>
                    <w:t>-74℃。</w:t>
                  </w:r>
                </w:p>
              </w:tc>
            </w:tr>
            <w:tr w14:paraId="264BB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4A216DE6">
                  <w:pPr>
                    <w:pStyle w:val="26"/>
                    <w:bidi w:val="0"/>
                    <w:rPr>
                      <w:rFonts w:hint="eastAsia"/>
                      <w:color w:val="auto"/>
                    </w:rPr>
                  </w:pPr>
                </w:p>
              </w:tc>
              <w:tc>
                <w:tcPr>
                  <w:tcW w:w="692" w:type="pct"/>
                  <w:shd w:val="clear" w:color="auto" w:fill="auto"/>
                  <w:noWrap/>
                  <w:vAlign w:val="center"/>
                </w:tcPr>
                <w:p w14:paraId="444077A6">
                  <w:pPr>
                    <w:pStyle w:val="26"/>
                    <w:bidi w:val="0"/>
                    <w:rPr>
                      <w:rFonts w:hint="eastAsia"/>
                      <w:color w:val="auto"/>
                    </w:rPr>
                  </w:pPr>
                  <w:r>
                    <w:rPr>
                      <w:rFonts w:hint="eastAsia"/>
                      <w:color w:val="auto"/>
                      <w:lang w:val="en-US" w:eastAsia="zh-CN"/>
                    </w:rPr>
                    <w:t xml:space="preserve">爆炸上限 </w:t>
                  </w:r>
                </w:p>
              </w:tc>
              <w:tc>
                <w:tcPr>
                  <w:tcW w:w="3858" w:type="pct"/>
                  <w:shd w:val="clear" w:color="auto" w:fill="auto"/>
                  <w:noWrap/>
                  <w:vAlign w:val="center"/>
                </w:tcPr>
                <w:p w14:paraId="23225EE1">
                  <w:pPr>
                    <w:pStyle w:val="26"/>
                    <w:bidi w:val="0"/>
                    <w:rPr>
                      <w:rFonts w:hint="eastAsia"/>
                      <w:color w:val="auto"/>
                    </w:rPr>
                  </w:pPr>
                  <w:r>
                    <w:rPr>
                      <w:rFonts w:hint="eastAsia"/>
                      <w:color w:val="auto"/>
                      <w:lang w:val="en-US" w:eastAsia="zh-CN"/>
                    </w:rPr>
                    <w:t>9.5%（体积分数）。</w:t>
                  </w:r>
                </w:p>
              </w:tc>
            </w:tr>
            <w:tr w14:paraId="0B504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3240A8D1">
                  <w:pPr>
                    <w:pStyle w:val="26"/>
                    <w:bidi w:val="0"/>
                    <w:rPr>
                      <w:rFonts w:hint="eastAsia"/>
                      <w:color w:val="auto"/>
                    </w:rPr>
                  </w:pPr>
                </w:p>
              </w:tc>
              <w:tc>
                <w:tcPr>
                  <w:tcW w:w="692" w:type="pct"/>
                  <w:shd w:val="clear" w:color="auto" w:fill="auto"/>
                  <w:noWrap/>
                  <w:vAlign w:val="center"/>
                </w:tcPr>
                <w:p w14:paraId="4D3BF95D">
                  <w:pPr>
                    <w:pStyle w:val="26"/>
                    <w:bidi w:val="0"/>
                    <w:rPr>
                      <w:rFonts w:hint="eastAsia"/>
                      <w:color w:val="auto"/>
                    </w:rPr>
                  </w:pPr>
                  <w:r>
                    <w:rPr>
                      <w:rFonts w:hint="eastAsia"/>
                      <w:color w:val="auto"/>
                      <w:lang w:val="en-US" w:eastAsia="zh-CN"/>
                    </w:rPr>
                    <w:t>爆炸下限</w:t>
                  </w:r>
                </w:p>
              </w:tc>
              <w:tc>
                <w:tcPr>
                  <w:tcW w:w="3858" w:type="pct"/>
                  <w:shd w:val="clear" w:color="auto" w:fill="auto"/>
                  <w:noWrap/>
                  <w:vAlign w:val="center"/>
                </w:tcPr>
                <w:p w14:paraId="519BF0EC">
                  <w:pPr>
                    <w:pStyle w:val="26"/>
                    <w:bidi w:val="0"/>
                    <w:rPr>
                      <w:rFonts w:hint="eastAsia"/>
                      <w:color w:val="auto"/>
                    </w:rPr>
                  </w:pPr>
                  <w:r>
                    <w:rPr>
                      <w:rFonts w:hint="eastAsia"/>
                      <w:color w:val="auto"/>
                      <w:lang w:val="en-US" w:eastAsia="zh-CN"/>
                    </w:rPr>
                    <w:t>2%（体积分数）。</w:t>
                  </w:r>
                </w:p>
              </w:tc>
            </w:tr>
            <w:tr w14:paraId="5DD38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8" w:type="pct"/>
                  <w:vMerge w:val="restart"/>
                  <w:shd w:val="clear" w:color="auto" w:fill="auto"/>
                  <w:noWrap/>
                  <w:vAlign w:val="center"/>
                </w:tcPr>
                <w:p w14:paraId="17DC7C40">
                  <w:pPr>
                    <w:pStyle w:val="26"/>
                    <w:bidi w:val="0"/>
                    <w:rPr>
                      <w:rFonts w:hint="eastAsia" w:eastAsia="宋体"/>
                      <w:color w:val="auto"/>
                      <w:lang w:val="en-US" w:eastAsia="zh-CN"/>
                    </w:rPr>
                  </w:pPr>
                  <w:r>
                    <w:rPr>
                      <w:rFonts w:hint="eastAsia"/>
                      <w:color w:val="auto"/>
                      <w:lang w:val="en-US" w:eastAsia="zh-CN"/>
                    </w:rPr>
                    <w:t>危险特性</w:t>
                  </w:r>
                </w:p>
              </w:tc>
              <w:tc>
                <w:tcPr>
                  <w:tcW w:w="692" w:type="pct"/>
                  <w:shd w:val="clear" w:color="auto" w:fill="auto"/>
                  <w:noWrap/>
                  <w:vAlign w:val="center"/>
                </w:tcPr>
                <w:p w14:paraId="109B4D56">
                  <w:pPr>
                    <w:pStyle w:val="26"/>
                    <w:bidi w:val="0"/>
                    <w:rPr>
                      <w:rFonts w:hint="eastAsia"/>
                      <w:color w:val="auto"/>
                      <w:lang w:val="en-US" w:eastAsia="zh-CN"/>
                    </w:rPr>
                  </w:pPr>
                  <w:r>
                    <w:rPr>
                      <w:rFonts w:hint="eastAsia"/>
                      <w:color w:val="auto"/>
                      <w:lang w:val="en-US" w:eastAsia="zh-CN"/>
                    </w:rPr>
                    <w:t>燃烧爆</w:t>
                  </w:r>
                </w:p>
                <w:p w14:paraId="7166DBE2">
                  <w:pPr>
                    <w:pStyle w:val="26"/>
                    <w:bidi w:val="0"/>
                    <w:rPr>
                      <w:rFonts w:hint="eastAsia"/>
                      <w:color w:val="auto"/>
                    </w:rPr>
                  </w:pPr>
                  <w:r>
                    <w:rPr>
                      <w:rFonts w:hint="eastAsia"/>
                      <w:color w:val="auto"/>
                      <w:lang w:val="en-US" w:eastAsia="zh-CN"/>
                    </w:rPr>
                    <w:t>炸危险</w:t>
                  </w:r>
                </w:p>
              </w:tc>
              <w:tc>
                <w:tcPr>
                  <w:tcW w:w="3858" w:type="pct"/>
                  <w:shd w:val="clear" w:color="auto" w:fill="auto"/>
                  <w:noWrap/>
                  <w:vAlign w:val="center"/>
                </w:tcPr>
                <w:p w14:paraId="473F503A">
                  <w:pPr>
                    <w:pStyle w:val="26"/>
                    <w:bidi w:val="0"/>
                    <w:rPr>
                      <w:rFonts w:hint="eastAsia"/>
                      <w:color w:val="auto"/>
                    </w:rPr>
                  </w:pPr>
                  <w:r>
                    <w:rPr>
                      <w:rFonts w:hint="eastAsia"/>
                      <w:color w:val="auto"/>
                      <w:lang w:val="en-US" w:eastAsia="zh-CN"/>
                    </w:rPr>
                    <w:t>极易燃，与空气混合能形成爆炸性混合物，遇明火、高热极易燃烧爆炸，爆炸极限为1.63%～9.43%。</w:t>
                  </w:r>
                </w:p>
              </w:tc>
            </w:tr>
            <w:tr w14:paraId="384EB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1C273D11">
                  <w:pPr>
                    <w:pStyle w:val="26"/>
                    <w:bidi w:val="0"/>
                    <w:rPr>
                      <w:rFonts w:hint="eastAsia"/>
                      <w:color w:val="auto"/>
                    </w:rPr>
                  </w:pPr>
                </w:p>
              </w:tc>
              <w:tc>
                <w:tcPr>
                  <w:tcW w:w="692" w:type="pct"/>
                  <w:shd w:val="clear" w:color="auto" w:fill="auto"/>
                  <w:noWrap/>
                  <w:vAlign w:val="center"/>
                </w:tcPr>
                <w:p w14:paraId="5BD23A1B">
                  <w:pPr>
                    <w:pStyle w:val="26"/>
                    <w:bidi w:val="0"/>
                    <w:rPr>
                      <w:rFonts w:hint="eastAsia"/>
                      <w:color w:val="auto"/>
                    </w:rPr>
                  </w:pPr>
                  <w:r>
                    <w:rPr>
                      <w:rFonts w:hint="eastAsia"/>
                      <w:color w:val="auto"/>
                      <w:lang w:val="en-US" w:eastAsia="zh-CN"/>
                    </w:rPr>
                    <w:t>健康危害</w:t>
                  </w:r>
                </w:p>
              </w:tc>
              <w:tc>
                <w:tcPr>
                  <w:tcW w:w="3858" w:type="pct"/>
                  <w:shd w:val="clear" w:color="auto" w:fill="auto"/>
                  <w:noWrap/>
                  <w:vAlign w:val="center"/>
                </w:tcPr>
                <w:p w14:paraId="541B47CB">
                  <w:pPr>
                    <w:pStyle w:val="26"/>
                    <w:bidi w:val="0"/>
                    <w:rPr>
                      <w:rFonts w:hint="eastAsia"/>
                      <w:color w:val="auto"/>
                    </w:rPr>
                  </w:pPr>
                  <w:r>
                    <w:rPr>
                      <w:rFonts w:hint="eastAsia"/>
                      <w:color w:val="auto"/>
                      <w:lang w:val="en-US" w:eastAsia="zh-CN"/>
                    </w:rPr>
                    <w:t>有麻醉作用，中毒症状有头晕、头痛、兴奋或嗜睡、恶心、呕吐等，长期接触低浓度者，可出现头痛、头晕等症状。</w:t>
                  </w:r>
                </w:p>
              </w:tc>
            </w:tr>
            <w:tr w14:paraId="1A5E8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4BC594A5">
                  <w:pPr>
                    <w:pStyle w:val="26"/>
                    <w:bidi w:val="0"/>
                    <w:rPr>
                      <w:rFonts w:hint="eastAsia"/>
                      <w:color w:val="auto"/>
                    </w:rPr>
                  </w:pPr>
                </w:p>
              </w:tc>
              <w:tc>
                <w:tcPr>
                  <w:tcW w:w="692" w:type="pct"/>
                  <w:shd w:val="clear" w:color="auto" w:fill="auto"/>
                  <w:noWrap/>
                  <w:vAlign w:val="center"/>
                </w:tcPr>
                <w:p w14:paraId="2BB93555">
                  <w:pPr>
                    <w:pStyle w:val="26"/>
                    <w:bidi w:val="0"/>
                    <w:rPr>
                      <w:rFonts w:hint="eastAsia"/>
                      <w:color w:val="auto"/>
                    </w:rPr>
                  </w:pPr>
                  <w:r>
                    <w:rPr>
                      <w:rFonts w:hint="eastAsia"/>
                      <w:color w:val="auto"/>
                      <w:lang w:val="en-US" w:eastAsia="zh-CN"/>
                    </w:rPr>
                    <w:t>活性反应</w:t>
                  </w:r>
                </w:p>
              </w:tc>
              <w:tc>
                <w:tcPr>
                  <w:tcW w:w="3858" w:type="pct"/>
                  <w:shd w:val="clear" w:color="auto" w:fill="auto"/>
                  <w:noWrap/>
                  <w:vAlign w:val="center"/>
                </w:tcPr>
                <w:p w14:paraId="4FA522E3">
                  <w:pPr>
                    <w:pStyle w:val="26"/>
                    <w:bidi w:val="0"/>
                    <w:rPr>
                      <w:rFonts w:hint="eastAsia"/>
                      <w:color w:val="auto"/>
                    </w:rPr>
                  </w:pPr>
                  <w:r>
                    <w:rPr>
                      <w:rFonts w:hint="eastAsia"/>
                      <w:color w:val="auto"/>
                      <w:lang w:val="en-US" w:eastAsia="zh-CN"/>
                    </w:rPr>
                    <w:t>与氟、氯等接触会发生剧烈的化学反应，其蒸气比空气重，能在较低处扩散到相当远的地方，遇明火会引着回燃。</w:t>
                  </w:r>
                </w:p>
              </w:tc>
            </w:tr>
          </w:tbl>
          <w:p w14:paraId="434FC58D">
            <w:pPr>
              <w:pStyle w:val="25"/>
              <w:bidi w:val="0"/>
              <w:rPr>
                <w:rFonts w:hint="eastAsia"/>
                <w:color w:val="auto"/>
                <w:lang w:val="en-US" w:eastAsia="zh-CN"/>
              </w:rPr>
            </w:pPr>
            <w:r>
              <w:rPr>
                <w:rFonts w:hint="eastAsia"/>
                <w:color w:val="auto"/>
                <w:lang w:val="en-US" w:eastAsia="zh-CN"/>
              </w:rPr>
              <w:t>液化石油气主要成分为丙烷和丁烷，类比同类项目，液化石油气主要成分如下：</w:t>
            </w:r>
          </w:p>
          <w:p w14:paraId="0981954B">
            <w:pPr>
              <w:pStyle w:val="25"/>
              <w:bidi w:val="0"/>
              <w:rPr>
                <w:rFonts w:hint="eastAsia"/>
                <w:color w:val="auto"/>
                <w:lang w:val="en-US" w:eastAsia="zh-CN"/>
              </w:rPr>
            </w:pPr>
          </w:p>
          <w:p w14:paraId="5E02D472">
            <w:pPr>
              <w:pStyle w:val="25"/>
              <w:bidi w:val="0"/>
              <w:rPr>
                <w:rFonts w:hint="eastAsia"/>
                <w:color w:val="auto"/>
                <w:lang w:val="en-US" w:eastAsia="zh-CN"/>
              </w:rPr>
            </w:pPr>
          </w:p>
          <w:p w14:paraId="2171CE44">
            <w:pPr>
              <w:pStyle w:val="24"/>
              <w:bidi w:val="0"/>
              <w:rPr>
                <w:rFonts w:hint="eastAsia"/>
                <w:color w:val="auto"/>
                <w:lang w:val="en-US" w:eastAsia="zh-CN"/>
              </w:rPr>
            </w:pPr>
            <w:r>
              <w:rPr>
                <w:rFonts w:hint="eastAsia"/>
                <w:color w:val="auto"/>
                <w:lang w:val="en-US" w:eastAsia="zh-CN"/>
              </w:rPr>
              <w:t>表2-5  液化石油气主要成分表</w:t>
            </w:r>
          </w:p>
          <w:tbl>
            <w:tblPr>
              <w:tblStyle w:val="19"/>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3"/>
              <w:gridCol w:w="1250"/>
              <w:gridCol w:w="1112"/>
              <w:gridCol w:w="1375"/>
              <w:gridCol w:w="1731"/>
              <w:gridCol w:w="1318"/>
            </w:tblGrid>
            <w:tr w14:paraId="4BDAE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4" w:type="pct"/>
                </w:tcPr>
                <w:p w14:paraId="0B2880E1">
                  <w:pPr>
                    <w:pStyle w:val="26"/>
                    <w:bidi w:val="0"/>
                    <w:rPr>
                      <w:rFonts w:hint="default"/>
                      <w:color w:val="auto"/>
                      <w:lang w:val="en-US" w:eastAsia="zh-CN"/>
                    </w:rPr>
                  </w:pPr>
                  <w:r>
                    <w:rPr>
                      <w:rFonts w:hint="eastAsia"/>
                      <w:color w:val="auto"/>
                      <w:lang w:val="en-US" w:eastAsia="zh-CN"/>
                    </w:rPr>
                    <w:t>成分</w:t>
                  </w:r>
                </w:p>
              </w:tc>
              <w:tc>
                <w:tcPr>
                  <w:tcW w:w="791" w:type="pct"/>
                </w:tcPr>
                <w:p w14:paraId="1C6087AB">
                  <w:pPr>
                    <w:pStyle w:val="26"/>
                    <w:bidi w:val="0"/>
                    <w:rPr>
                      <w:rFonts w:hint="default"/>
                      <w:color w:val="auto"/>
                      <w:lang w:val="en-US" w:eastAsia="zh-CN"/>
                    </w:rPr>
                  </w:pPr>
                  <w:r>
                    <w:rPr>
                      <w:rFonts w:hint="eastAsia"/>
                      <w:color w:val="auto"/>
                      <w:lang w:val="en-US" w:eastAsia="zh-CN"/>
                    </w:rPr>
                    <w:t>含量%</w:t>
                  </w:r>
                </w:p>
              </w:tc>
              <w:tc>
                <w:tcPr>
                  <w:tcW w:w="703" w:type="pct"/>
                  <w:shd w:val="clear" w:color="auto" w:fill="auto"/>
                  <w:vAlign w:val="top"/>
                </w:tcPr>
                <w:p w14:paraId="422B4A42">
                  <w:pPr>
                    <w:pStyle w:val="26"/>
                    <w:bidi w:val="0"/>
                    <w:ind w:firstLine="0" w:firstLineChars="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成分</w:t>
                  </w:r>
                </w:p>
              </w:tc>
              <w:tc>
                <w:tcPr>
                  <w:tcW w:w="870" w:type="pct"/>
                  <w:shd w:val="clear" w:color="auto" w:fill="auto"/>
                  <w:vAlign w:val="top"/>
                </w:tcPr>
                <w:p w14:paraId="779E3E3C">
                  <w:pPr>
                    <w:pStyle w:val="26"/>
                    <w:bidi w:val="0"/>
                    <w:ind w:firstLine="0" w:firstLineChars="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含量%</w:t>
                  </w:r>
                </w:p>
              </w:tc>
              <w:tc>
                <w:tcPr>
                  <w:tcW w:w="1095" w:type="pct"/>
                  <w:shd w:val="clear" w:color="auto" w:fill="auto"/>
                  <w:vAlign w:val="top"/>
                </w:tcPr>
                <w:p w14:paraId="17537504">
                  <w:pPr>
                    <w:pStyle w:val="26"/>
                    <w:bidi w:val="0"/>
                    <w:ind w:firstLine="0" w:firstLineChars="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成分</w:t>
                  </w:r>
                </w:p>
              </w:tc>
              <w:tc>
                <w:tcPr>
                  <w:tcW w:w="834" w:type="pct"/>
                  <w:shd w:val="clear" w:color="auto" w:fill="auto"/>
                  <w:vAlign w:val="top"/>
                </w:tcPr>
                <w:p w14:paraId="5C4C4382">
                  <w:pPr>
                    <w:pStyle w:val="26"/>
                    <w:bidi w:val="0"/>
                    <w:ind w:firstLine="0" w:firstLineChars="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含量%</w:t>
                  </w:r>
                </w:p>
              </w:tc>
            </w:tr>
            <w:tr w14:paraId="1EA8D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pct"/>
                </w:tcPr>
                <w:p w14:paraId="0A128124">
                  <w:pPr>
                    <w:pStyle w:val="26"/>
                    <w:bidi w:val="0"/>
                    <w:rPr>
                      <w:rFonts w:hint="default"/>
                      <w:color w:val="auto"/>
                      <w:lang w:val="en-US" w:eastAsia="zh-CN"/>
                    </w:rPr>
                  </w:pPr>
                  <w:r>
                    <w:rPr>
                      <w:rFonts w:hint="eastAsia"/>
                      <w:color w:val="auto"/>
                      <w:lang w:val="en-US" w:eastAsia="zh-CN"/>
                    </w:rPr>
                    <w:t>氢气</w:t>
                  </w:r>
                </w:p>
              </w:tc>
              <w:tc>
                <w:tcPr>
                  <w:tcW w:w="791" w:type="pct"/>
                </w:tcPr>
                <w:p w14:paraId="3D301F4D">
                  <w:pPr>
                    <w:pStyle w:val="26"/>
                    <w:bidi w:val="0"/>
                    <w:rPr>
                      <w:rFonts w:hint="default"/>
                      <w:color w:val="auto"/>
                      <w:lang w:val="en-US" w:eastAsia="zh-CN"/>
                    </w:rPr>
                  </w:pPr>
                  <w:r>
                    <w:rPr>
                      <w:rFonts w:hint="eastAsia"/>
                      <w:color w:val="auto"/>
                      <w:lang w:val="en-US" w:eastAsia="zh-CN"/>
                    </w:rPr>
                    <w:t>5~6</w:t>
                  </w:r>
                </w:p>
              </w:tc>
              <w:tc>
                <w:tcPr>
                  <w:tcW w:w="703" w:type="pct"/>
                </w:tcPr>
                <w:p w14:paraId="4494F477">
                  <w:pPr>
                    <w:pStyle w:val="26"/>
                    <w:bidi w:val="0"/>
                    <w:rPr>
                      <w:rFonts w:hint="default"/>
                      <w:color w:val="auto"/>
                      <w:lang w:val="en-US" w:eastAsia="zh-CN"/>
                    </w:rPr>
                  </w:pPr>
                  <w:r>
                    <w:rPr>
                      <w:rFonts w:hint="eastAsia"/>
                      <w:color w:val="auto"/>
                      <w:lang w:val="en-US" w:eastAsia="zh-CN"/>
                    </w:rPr>
                    <w:t>乙烯</w:t>
                  </w:r>
                </w:p>
              </w:tc>
              <w:tc>
                <w:tcPr>
                  <w:tcW w:w="870" w:type="pct"/>
                </w:tcPr>
                <w:p w14:paraId="58F72074">
                  <w:pPr>
                    <w:pStyle w:val="26"/>
                    <w:bidi w:val="0"/>
                    <w:rPr>
                      <w:rFonts w:hint="default"/>
                      <w:color w:val="auto"/>
                      <w:lang w:val="en-US" w:eastAsia="zh-CN"/>
                    </w:rPr>
                  </w:pPr>
                  <w:r>
                    <w:rPr>
                      <w:rFonts w:hint="eastAsia"/>
                      <w:color w:val="auto"/>
                      <w:lang w:val="en-US" w:eastAsia="zh-CN"/>
                    </w:rPr>
                    <w:t>3</w:t>
                  </w:r>
                </w:p>
              </w:tc>
              <w:tc>
                <w:tcPr>
                  <w:tcW w:w="1095" w:type="pct"/>
                </w:tcPr>
                <w:p w14:paraId="422F2AF2">
                  <w:pPr>
                    <w:pStyle w:val="26"/>
                    <w:bidi w:val="0"/>
                    <w:rPr>
                      <w:rFonts w:hint="default"/>
                      <w:color w:val="auto"/>
                      <w:lang w:val="en-US" w:eastAsia="zh-CN"/>
                    </w:rPr>
                  </w:pPr>
                  <w:r>
                    <w:rPr>
                      <w:rFonts w:hint="eastAsia"/>
                      <w:color w:val="auto"/>
                      <w:lang w:val="en-US" w:eastAsia="zh-CN"/>
                    </w:rPr>
                    <w:t>丁烷</w:t>
                  </w:r>
                </w:p>
              </w:tc>
              <w:tc>
                <w:tcPr>
                  <w:tcW w:w="834" w:type="pct"/>
                </w:tcPr>
                <w:p w14:paraId="22946F07">
                  <w:pPr>
                    <w:pStyle w:val="26"/>
                    <w:bidi w:val="0"/>
                    <w:rPr>
                      <w:rFonts w:hint="default"/>
                      <w:color w:val="auto"/>
                      <w:lang w:val="en-US" w:eastAsia="zh-CN"/>
                    </w:rPr>
                  </w:pPr>
                  <w:r>
                    <w:rPr>
                      <w:rFonts w:hint="eastAsia"/>
                      <w:color w:val="auto"/>
                      <w:lang w:val="en-US" w:eastAsia="zh-CN"/>
                    </w:rPr>
                    <w:t>42~46</w:t>
                  </w:r>
                </w:p>
              </w:tc>
            </w:tr>
            <w:tr w14:paraId="3F878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pct"/>
                </w:tcPr>
                <w:p w14:paraId="5E1CC1EE">
                  <w:pPr>
                    <w:pStyle w:val="26"/>
                    <w:bidi w:val="0"/>
                    <w:rPr>
                      <w:rFonts w:hint="default"/>
                      <w:color w:val="auto"/>
                      <w:lang w:val="en-US" w:eastAsia="zh-CN"/>
                    </w:rPr>
                  </w:pPr>
                  <w:r>
                    <w:rPr>
                      <w:rFonts w:hint="eastAsia"/>
                      <w:color w:val="auto"/>
                      <w:lang w:val="en-US" w:eastAsia="zh-CN"/>
                    </w:rPr>
                    <w:t>甲烷</w:t>
                  </w:r>
                </w:p>
              </w:tc>
              <w:tc>
                <w:tcPr>
                  <w:tcW w:w="791" w:type="pct"/>
                </w:tcPr>
                <w:p w14:paraId="7AAB6210">
                  <w:pPr>
                    <w:pStyle w:val="26"/>
                    <w:bidi w:val="0"/>
                    <w:rPr>
                      <w:rFonts w:hint="default"/>
                      <w:color w:val="auto"/>
                      <w:lang w:val="en-US" w:eastAsia="zh-CN"/>
                    </w:rPr>
                  </w:pPr>
                  <w:r>
                    <w:rPr>
                      <w:rFonts w:hint="eastAsia"/>
                      <w:color w:val="auto"/>
                      <w:lang w:val="en-US" w:eastAsia="zh-CN"/>
                    </w:rPr>
                    <w:t>10</w:t>
                  </w:r>
                </w:p>
              </w:tc>
              <w:tc>
                <w:tcPr>
                  <w:tcW w:w="703" w:type="pct"/>
                </w:tcPr>
                <w:p w14:paraId="24658B41">
                  <w:pPr>
                    <w:pStyle w:val="26"/>
                    <w:bidi w:val="0"/>
                    <w:rPr>
                      <w:rFonts w:hint="default"/>
                      <w:color w:val="auto"/>
                      <w:lang w:val="en-US" w:eastAsia="zh-CN"/>
                    </w:rPr>
                  </w:pPr>
                  <w:r>
                    <w:rPr>
                      <w:rFonts w:hint="eastAsia"/>
                      <w:color w:val="auto"/>
                      <w:lang w:val="en-US" w:eastAsia="zh-CN"/>
                    </w:rPr>
                    <w:t>丙烷</w:t>
                  </w:r>
                </w:p>
              </w:tc>
              <w:tc>
                <w:tcPr>
                  <w:tcW w:w="870" w:type="pct"/>
                </w:tcPr>
                <w:p w14:paraId="670C95F1">
                  <w:pPr>
                    <w:pStyle w:val="26"/>
                    <w:bidi w:val="0"/>
                    <w:rPr>
                      <w:rFonts w:hint="default"/>
                      <w:color w:val="auto"/>
                      <w:lang w:val="en-US" w:eastAsia="zh-CN"/>
                    </w:rPr>
                  </w:pPr>
                  <w:r>
                    <w:rPr>
                      <w:rFonts w:hint="eastAsia"/>
                      <w:color w:val="auto"/>
                      <w:lang w:val="en-US" w:eastAsia="zh-CN"/>
                    </w:rPr>
                    <w:t>16~20</w:t>
                  </w:r>
                </w:p>
              </w:tc>
              <w:tc>
                <w:tcPr>
                  <w:tcW w:w="1095" w:type="pct"/>
                </w:tcPr>
                <w:p w14:paraId="2FB0C81B">
                  <w:pPr>
                    <w:pStyle w:val="26"/>
                    <w:bidi w:val="0"/>
                    <w:rPr>
                      <w:rFonts w:hint="default"/>
                      <w:color w:val="auto"/>
                      <w:lang w:val="en-US" w:eastAsia="zh-CN"/>
                    </w:rPr>
                  </w:pPr>
                  <w:r>
                    <w:rPr>
                      <w:rFonts w:hint="eastAsia"/>
                      <w:color w:val="auto"/>
                      <w:lang w:val="en-US" w:eastAsia="zh-CN"/>
                    </w:rPr>
                    <w:t>丁烯</w:t>
                  </w:r>
                </w:p>
              </w:tc>
              <w:tc>
                <w:tcPr>
                  <w:tcW w:w="834" w:type="pct"/>
                </w:tcPr>
                <w:p w14:paraId="453009EF">
                  <w:pPr>
                    <w:pStyle w:val="26"/>
                    <w:bidi w:val="0"/>
                    <w:rPr>
                      <w:rFonts w:hint="default"/>
                      <w:color w:val="auto"/>
                      <w:lang w:val="en-US" w:eastAsia="zh-CN"/>
                    </w:rPr>
                  </w:pPr>
                  <w:r>
                    <w:rPr>
                      <w:rFonts w:hint="eastAsia"/>
                      <w:color w:val="auto"/>
                      <w:lang w:val="en-US" w:eastAsia="zh-CN"/>
                    </w:rPr>
                    <w:t>5~6</w:t>
                  </w:r>
                </w:p>
              </w:tc>
            </w:tr>
            <w:tr w14:paraId="7A763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pct"/>
                </w:tcPr>
                <w:p w14:paraId="5B6728F9">
                  <w:pPr>
                    <w:pStyle w:val="26"/>
                    <w:bidi w:val="0"/>
                    <w:rPr>
                      <w:rFonts w:hint="default"/>
                      <w:color w:val="auto"/>
                      <w:lang w:val="en-US" w:eastAsia="zh-CN"/>
                    </w:rPr>
                  </w:pPr>
                  <w:r>
                    <w:rPr>
                      <w:rFonts w:hint="eastAsia"/>
                      <w:color w:val="auto"/>
                      <w:lang w:val="en-US" w:eastAsia="zh-CN"/>
                    </w:rPr>
                    <w:t>乙烷</w:t>
                  </w:r>
                </w:p>
              </w:tc>
              <w:tc>
                <w:tcPr>
                  <w:tcW w:w="791" w:type="pct"/>
                </w:tcPr>
                <w:p w14:paraId="2CC444D2">
                  <w:pPr>
                    <w:pStyle w:val="26"/>
                    <w:bidi w:val="0"/>
                    <w:rPr>
                      <w:rFonts w:hint="default"/>
                      <w:color w:val="auto"/>
                      <w:lang w:val="en-US" w:eastAsia="zh-CN"/>
                    </w:rPr>
                  </w:pPr>
                  <w:r>
                    <w:rPr>
                      <w:rFonts w:hint="eastAsia"/>
                      <w:color w:val="auto"/>
                      <w:lang w:val="en-US" w:eastAsia="zh-CN"/>
                    </w:rPr>
                    <w:t>3~5</w:t>
                  </w:r>
                </w:p>
              </w:tc>
              <w:tc>
                <w:tcPr>
                  <w:tcW w:w="703" w:type="pct"/>
                </w:tcPr>
                <w:p w14:paraId="7D522524">
                  <w:pPr>
                    <w:pStyle w:val="26"/>
                    <w:bidi w:val="0"/>
                    <w:rPr>
                      <w:rFonts w:hint="default"/>
                      <w:color w:val="auto"/>
                      <w:lang w:val="en-US" w:eastAsia="zh-CN"/>
                    </w:rPr>
                  </w:pPr>
                  <w:r>
                    <w:rPr>
                      <w:rFonts w:hint="eastAsia"/>
                      <w:color w:val="auto"/>
                      <w:lang w:val="en-US" w:eastAsia="zh-CN"/>
                    </w:rPr>
                    <w:t>丙烯</w:t>
                  </w:r>
                </w:p>
              </w:tc>
              <w:tc>
                <w:tcPr>
                  <w:tcW w:w="870" w:type="pct"/>
                </w:tcPr>
                <w:p w14:paraId="4A8B585E">
                  <w:pPr>
                    <w:pStyle w:val="26"/>
                    <w:bidi w:val="0"/>
                    <w:rPr>
                      <w:rFonts w:hint="default"/>
                      <w:color w:val="auto"/>
                      <w:lang w:val="en-US" w:eastAsia="zh-CN"/>
                    </w:rPr>
                  </w:pPr>
                  <w:r>
                    <w:rPr>
                      <w:rFonts w:hint="eastAsia"/>
                      <w:color w:val="auto"/>
                      <w:lang w:val="en-US" w:eastAsia="zh-CN"/>
                    </w:rPr>
                    <w:t>6~11</w:t>
                  </w:r>
                </w:p>
              </w:tc>
              <w:tc>
                <w:tcPr>
                  <w:tcW w:w="1095" w:type="pct"/>
                </w:tcPr>
                <w:p w14:paraId="7065BF62">
                  <w:pPr>
                    <w:pStyle w:val="26"/>
                    <w:bidi w:val="0"/>
                    <w:rPr>
                      <w:rFonts w:hint="default"/>
                      <w:color w:val="auto"/>
                      <w:lang w:val="en-US" w:eastAsia="zh-CN"/>
                    </w:rPr>
                  </w:pPr>
                  <w:r>
                    <w:rPr>
                      <w:rFonts w:hint="eastAsia"/>
                      <w:color w:val="auto"/>
                      <w:lang w:val="en-US" w:eastAsia="zh-CN"/>
                    </w:rPr>
                    <w:t>C5及以上烃类</w:t>
                  </w:r>
                </w:p>
              </w:tc>
              <w:tc>
                <w:tcPr>
                  <w:tcW w:w="834" w:type="pct"/>
                </w:tcPr>
                <w:p w14:paraId="0337EB26">
                  <w:pPr>
                    <w:pStyle w:val="26"/>
                    <w:bidi w:val="0"/>
                    <w:rPr>
                      <w:rFonts w:hint="default"/>
                      <w:color w:val="auto"/>
                      <w:lang w:val="en-US" w:eastAsia="zh-CN"/>
                    </w:rPr>
                  </w:pPr>
                  <w:r>
                    <w:rPr>
                      <w:rFonts w:hint="eastAsia"/>
                      <w:color w:val="auto"/>
                      <w:lang w:val="en-US" w:eastAsia="zh-CN"/>
                    </w:rPr>
                    <w:t>5~10</w:t>
                  </w:r>
                </w:p>
              </w:tc>
            </w:tr>
          </w:tbl>
          <w:p w14:paraId="48EB2136">
            <w:pPr>
              <w:pStyle w:val="25"/>
              <w:bidi w:val="0"/>
              <w:rPr>
                <w:rFonts w:hint="eastAsia"/>
                <w:color w:val="auto"/>
                <w:lang w:val="en-US" w:eastAsia="zh-CN"/>
              </w:rPr>
            </w:pPr>
            <w:r>
              <w:rPr>
                <w:rFonts w:hint="eastAsia"/>
                <w:color w:val="auto"/>
                <w:lang w:val="en-US" w:eastAsia="zh-CN"/>
              </w:rPr>
              <w:t>5、主要设备清单</w:t>
            </w:r>
          </w:p>
          <w:p w14:paraId="364ACF8A">
            <w:pPr>
              <w:pStyle w:val="24"/>
              <w:bidi w:val="0"/>
              <w:rPr>
                <w:rFonts w:hint="eastAsia"/>
                <w:color w:val="auto"/>
                <w:lang w:val="en-US" w:eastAsia="zh-CN"/>
              </w:rPr>
            </w:pPr>
            <w:r>
              <w:rPr>
                <w:rFonts w:hint="eastAsia"/>
                <w:color w:val="auto"/>
                <w:lang w:val="en-US" w:eastAsia="zh-CN"/>
              </w:rPr>
              <w:t>表2-6  主要设备清单</w:t>
            </w:r>
          </w:p>
          <w:tbl>
            <w:tblPr>
              <w:tblStyle w:val="1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8"/>
              <w:gridCol w:w="3087"/>
              <w:gridCol w:w="1840"/>
              <w:gridCol w:w="1186"/>
            </w:tblGrid>
            <w:tr w14:paraId="54DDB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31" w:type="pct"/>
                  <w:vAlign w:val="center"/>
                </w:tcPr>
                <w:p w14:paraId="22497D54">
                  <w:pPr>
                    <w:pStyle w:val="26"/>
                    <w:bidi w:val="0"/>
                    <w:jc w:val="center"/>
                    <w:rPr>
                      <w:rFonts w:hint="default"/>
                      <w:color w:val="auto"/>
                      <w:lang w:val="en-US" w:eastAsia="zh-CN"/>
                    </w:rPr>
                  </w:pPr>
                  <w:r>
                    <w:rPr>
                      <w:rFonts w:hint="eastAsia"/>
                      <w:color w:val="auto"/>
                      <w:lang w:val="en-US" w:eastAsia="zh-CN"/>
                    </w:rPr>
                    <w:t>设备名称</w:t>
                  </w:r>
                </w:p>
              </w:tc>
              <w:tc>
                <w:tcPr>
                  <w:tcW w:w="1953" w:type="pct"/>
                  <w:vAlign w:val="center"/>
                </w:tcPr>
                <w:p w14:paraId="72BFE17B">
                  <w:pPr>
                    <w:pStyle w:val="26"/>
                    <w:bidi w:val="0"/>
                    <w:jc w:val="center"/>
                    <w:rPr>
                      <w:rFonts w:hint="default"/>
                      <w:color w:val="auto"/>
                      <w:lang w:val="en-US" w:eastAsia="zh-CN"/>
                    </w:rPr>
                  </w:pPr>
                  <w:r>
                    <w:rPr>
                      <w:rFonts w:hint="eastAsia"/>
                      <w:color w:val="auto"/>
                      <w:lang w:val="en-US" w:eastAsia="zh-CN"/>
                    </w:rPr>
                    <w:t>设备规格参数</w:t>
                  </w:r>
                </w:p>
              </w:tc>
              <w:tc>
                <w:tcPr>
                  <w:tcW w:w="1164" w:type="pct"/>
                  <w:vAlign w:val="center"/>
                </w:tcPr>
                <w:p w14:paraId="262F7CC2">
                  <w:pPr>
                    <w:pStyle w:val="26"/>
                    <w:bidi w:val="0"/>
                    <w:jc w:val="center"/>
                    <w:rPr>
                      <w:rFonts w:hint="default"/>
                      <w:color w:val="auto"/>
                      <w:lang w:val="en-US" w:eastAsia="zh-CN"/>
                    </w:rPr>
                  </w:pPr>
                  <w:r>
                    <w:rPr>
                      <w:rFonts w:hint="eastAsia"/>
                      <w:color w:val="auto"/>
                      <w:lang w:val="en-US" w:eastAsia="zh-CN"/>
                    </w:rPr>
                    <w:t>单位</w:t>
                  </w:r>
                </w:p>
              </w:tc>
              <w:tc>
                <w:tcPr>
                  <w:tcW w:w="750" w:type="pct"/>
                  <w:vAlign w:val="center"/>
                </w:tcPr>
                <w:p w14:paraId="72BED6D1">
                  <w:pPr>
                    <w:pStyle w:val="26"/>
                    <w:bidi w:val="0"/>
                    <w:jc w:val="center"/>
                    <w:rPr>
                      <w:rFonts w:hint="default"/>
                      <w:color w:val="auto"/>
                      <w:lang w:val="en-US" w:eastAsia="zh-CN"/>
                    </w:rPr>
                  </w:pPr>
                  <w:r>
                    <w:rPr>
                      <w:rFonts w:hint="eastAsia"/>
                      <w:color w:val="auto"/>
                      <w:lang w:val="en-US" w:eastAsia="zh-CN"/>
                    </w:rPr>
                    <w:t>数量</w:t>
                  </w:r>
                </w:p>
              </w:tc>
            </w:tr>
            <w:tr w14:paraId="2501A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1" w:type="pct"/>
                  <w:vAlign w:val="center"/>
                </w:tcPr>
                <w:p w14:paraId="5F9CDB76">
                  <w:pPr>
                    <w:pStyle w:val="26"/>
                    <w:bidi w:val="0"/>
                    <w:jc w:val="center"/>
                    <w:rPr>
                      <w:rFonts w:hint="default"/>
                      <w:color w:val="auto"/>
                      <w:lang w:val="en-US" w:eastAsia="zh-CN"/>
                    </w:rPr>
                  </w:pPr>
                  <w:r>
                    <w:rPr>
                      <w:rFonts w:hint="eastAsia"/>
                      <w:color w:val="auto"/>
                      <w:lang w:val="en-US" w:eastAsia="zh-CN"/>
                    </w:rPr>
                    <w:t>液化气储罐</w:t>
                  </w:r>
                </w:p>
              </w:tc>
              <w:tc>
                <w:tcPr>
                  <w:tcW w:w="1953" w:type="pct"/>
                  <w:vAlign w:val="center"/>
                </w:tcPr>
                <w:p w14:paraId="479F18FD">
                  <w:pPr>
                    <w:pStyle w:val="26"/>
                    <w:bidi w:val="0"/>
                    <w:jc w:val="center"/>
                    <w:rPr>
                      <w:rFonts w:hint="eastAsia"/>
                      <w:color w:val="auto"/>
                      <w:lang w:val="en-US" w:eastAsia="zh-CN"/>
                    </w:rPr>
                  </w:pPr>
                  <w:r>
                    <w:rPr>
                      <w:rFonts w:hint="eastAsia"/>
                      <w:color w:val="auto"/>
                      <w:lang w:val="en-US" w:eastAsia="zh-CN"/>
                    </w:rPr>
                    <w:t>φ2700*9178mm</w:t>
                  </w:r>
                </w:p>
                <w:p w14:paraId="6FD04941">
                  <w:pPr>
                    <w:pStyle w:val="26"/>
                    <w:bidi w:val="0"/>
                    <w:jc w:val="center"/>
                    <w:rPr>
                      <w:rFonts w:hint="eastAsia"/>
                      <w:color w:val="auto"/>
                      <w:vertAlign w:val="baseline"/>
                      <w:lang w:val="en-US" w:eastAsia="zh-CN"/>
                    </w:rPr>
                  </w:pPr>
                  <w:r>
                    <w:rPr>
                      <w:rFonts w:hint="eastAsia"/>
                      <w:color w:val="auto"/>
                      <w:lang w:val="en-US" w:eastAsia="zh-CN"/>
                    </w:rPr>
                    <w:t>V=50m</w:t>
                  </w:r>
                  <w:r>
                    <w:rPr>
                      <w:rFonts w:hint="eastAsia"/>
                      <w:color w:val="auto"/>
                      <w:vertAlign w:val="superscript"/>
                      <w:lang w:val="en-US" w:eastAsia="zh-CN"/>
                    </w:rPr>
                    <w:t>3</w:t>
                  </w:r>
                </w:p>
                <w:p w14:paraId="783894B0">
                  <w:pPr>
                    <w:pStyle w:val="26"/>
                    <w:bidi w:val="0"/>
                    <w:jc w:val="center"/>
                    <w:rPr>
                      <w:rFonts w:hint="default"/>
                      <w:color w:val="auto"/>
                      <w:vertAlign w:val="baseline"/>
                      <w:lang w:val="en-US" w:eastAsia="zh-CN"/>
                    </w:rPr>
                  </w:pPr>
                  <w:r>
                    <w:rPr>
                      <w:rFonts w:hint="eastAsia"/>
                      <w:color w:val="auto"/>
                      <w:vertAlign w:val="baseline"/>
                      <w:lang w:val="en-US" w:eastAsia="zh-CN"/>
                    </w:rPr>
                    <w:t>设计压力：1.77Mpa</w:t>
                  </w:r>
                </w:p>
              </w:tc>
              <w:tc>
                <w:tcPr>
                  <w:tcW w:w="1164" w:type="pct"/>
                  <w:vAlign w:val="center"/>
                </w:tcPr>
                <w:p w14:paraId="24344206">
                  <w:pPr>
                    <w:pStyle w:val="26"/>
                    <w:bidi w:val="0"/>
                    <w:jc w:val="center"/>
                    <w:rPr>
                      <w:rFonts w:hint="default"/>
                      <w:color w:val="auto"/>
                      <w:lang w:val="en-US" w:eastAsia="zh-CN"/>
                    </w:rPr>
                  </w:pPr>
                  <w:r>
                    <w:rPr>
                      <w:rFonts w:hint="eastAsia"/>
                      <w:color w:val="auto"/>
                      <w:lang w:val="en-US" w:eastAsia="zh-CN"/>
                    </w:rPr>
                    <w:t>台</w:t>
                  </w:r>
                </w:p>
              </w:tc>
              <w:tc>
                <w:tcPr>
                  <w:tcW w:w="750" w:type="pct"/>
                  <w:vAlign w:val="center"/>
                </w:tcPr>
                <w:p w14:paraId="05304DA9">
                  <w:pPr>
                    <w:pStyle w:val="26"/>
                    <w:bidi w:val="0"/>
                    <w:jc w:val="center"/>
                    <w:rPr>
                      <w:rFonts w:hint="default"/>
                      <w:color w:val="auto"/>
                      <w:lang w:val="en-US" w:eastAsia="zh-CN"/>
                    </w:rPr>
                  </w:pPr>
                  <w:r>
                    <w:rPr>
                      <w:rFonts w:hint="eastAsia"/>
                      <w:color w:val="auto"/>
                      <w:lang w:val="en-US" w:eastAsia="zh-CN"/>
                    </w:rPr>
                    <w:t>3</w:t>
                  </w:r>
                </w:p>
              </w:tc>
            </w:tr>
            <w:tr w14:paraId="7C736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1" w:type="pct"/>
                  <w:vAlign w:val="center"/>
                </w:tcPr>
                <w:p w14:paraId="34920939">
                  <w:pPr>
                    <w:pStyle w:val="26"/>
                    <w:bidi w:val="0"/>
                    <w:jc w:val="center"/>
                    <w:rPr>
                      <w:rFonts w:hint="default"/>
                      <w:color w:val="auto"/>
                      <w:lang w:val="en-US" w:eastAsia="zh-CN"/>
                    </w:rPr>
                  </w:pPr>
                  <w:r>
                    <w:rPr>
                      <w:rFonts w:hint="eastAsia"/>
                      <w:color w:val="auto"/>
                      <w:lang w:val="en-US" w:eastAsia="zh-CN"/>
                    </w:rPr>
                    <w:t>残液罐</w:t>
                  </w:r>
                </w:p>
              </w:tc>
              <w:tc>
                <w:tcPr>
                  <w:tcW w:w="1953" w:type="pct"/>
                  <w:vAlign w:val="center"/>
                </w:tcPr>
                <w:p w14:paraId="0529DB23">
                  <w:pPr>
                    <w:pStyle w:val="26"/>
                    <w:bidi w:val="0"/>
                    <w:jc w:val="center"/>
                    <w:rPr>
                      <w:rFonts w:hint="eastAsia"/>
                      <w:color w:val="auto"/>
                      <w:lang w:val="en-US" w:eastAsia="zh-CN"/>
                    </w:rPr>
                  </w:pPr>
                  <w:r>
                    <w:rPr>
                      <w:rFonts w:hint="eastAsia"/>
                      <w:color w:val="auto"/>
                      <w:lang w:val="en-US" w:eastAsia="zh-CN"/>
                    </w:rPr>
                    <w:t>φ2700*9178mm</w:t>
                  </w:r>
                </w:p>
                <w:p w14:paraId="7F1C7D63">
                  <w:pPr>
                    <w:pStyle w:val="26"/>
                    <w:bidi w:val="0"/>
                    <w:jc w:val="center"/>
                    <w:rPr>
                      <w:rFonts w:hint="eastAsia"/>
                      <w:color w:val="auto"/>
                      <w:vertAlign w:val="baseline"/>
                      <w:lang w:val="en-US" w:eastAsia="zh-CN"/>
                    </w:rPr>
                  </w:pPr>
                  <w:r>
                    <w:rPr>
                      <w:rFonts w:hint="eastAsia"/>
                      <w:color w:val="auto"/>
                      <w:lang w:val="en-US" w:eastAsia="zh-CN"/>
                    </w:rPr>
                    <w:t>V=50m</w:t>
                  </w:r>
                  <w:r>
                    <w:rPr>
                      <w:rFonts w:hint="eastAsia"/>
                      <w:color w:val="auto"/>
                      <w:vertAlign w:val="superscript"/>
                      <w:lang w:val="en-US" w:eastAsia="zh-CN"/>
                    </w:rPr>
                    <w:t>3</w:t>
                  </w:r>
                </w:p>
                <w:p w14:paraId="5BC2C078">
                  <w:pPr>
                    <w:pStyle w:val="26"/>
                    <w:bidi w:val="0"/>
                    <w:jc w:val="center"/>
                    <w:rPr>
                      <w:rFonts w:hint="default"/>
                      <w:color w:val="auto"/>
                      <w:lang w:val="en-US" w:eastAsia="zh-CN"/>
                    </w:rPr>
                  </w:pPr>
                  <w:r>
                    <w:rPr>
                      <w:rFonts w:hint="eastAsia"/>
                      <w:color w:val="auto"/>
                      <w:vertAlign w:val="baseline"/>
                      <w:lang w:val="en-US" w:eastAsia="zh-CN"/>
                    </w:rPr>
                    <w:t>设计压力：1.77Mpa</w:t>
                  </w:r>
                </w:p>
              </w:tc>
              <w:tc>
                <w:tcPr>
                  <w:tcW w:w="1164" w:type="pct"/>
                  <w:shd w:val="clear" w:color="auto" w:fill="auto"/>
                  <w:vAlign w:val="center"/>
                </w:tcPr>
                <w:p w14:paraId="643D2D09">
                  <w:pPr>
                    <w:pStyle w:val="26"/>
                    <w:bidi w:val="0"/>
                    <w:ind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台</w:t>
                  </w:r>
                </w:p>
              </w:tc>
              <w:tc>
                <w:tcPr>
                  <w:tcW w:w="750" w:type="pct"/>
                  <w:shd w:val="clear" w:color="auto" w:fill="auto"/>
                  <w:vAlign w:val="center"/>
                </w:tcPr>
                <w:p w14:paraId="034D9D57">
                  <w:pPr>
                    <w:pStyle w:val="26"/>
                    <w:bidi w:val="0"/>
                    <w:ind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w:t>
                  </w:r>
                </w:p>
              </w:tc>
            </w:tr>
            <w:tr w14:paraId="655F1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1" w:type="pct"/>
                  <w:vAlign w:val="center"/>
                </w:tcPr>
                <w:p w14:paraId="1385A883">
                  <w:pPr>
                    <w:pStyle w:val="26"/>
                    <w:bidi w:val="0"/>
                    <w:jc w:val="center"/>
                    <w:rPr>
                      <w:rFonts w:hint="default"/>
                      <w:color w:val="auto"/>
                      <w:lang w:val="en-US" w:eastAsia="zh-CN"/>
                    </w:rPr>
                  </w:pPr>
                  <w:r>
                    <w:rPr>
                      <w:rFonts w:hint="eastAsia"/>
                      <w:color w:val="auto"/>
                      <w:lang w:val="en-US" w:eastAsia="zh-CN"/>
                    </w:rPr>
                    <w:t>液化气泵</w:t>
                  </w:r>
                </w:p>
              </w:tc>
              <w:tc>
                <w:tcPr>
                  <w:tcW w:w="1953" w:type="pct"/>
                  <w:vAlign w:val="center"/>
                </w:tcPr>
                <w:p w14:paraId="5E852BC9">
                  <w:pPr>
                    <w:pStyle w:val="26"/>
                    <w:bidi w:val="0"/>
                    <w:jc w:val="center"/>
                    <w:rPr>
                      <w:rFonts w:hint="eastAsia"/>
                      <w:color w:val="auto"/>
                      <w:vertAlign w:val="baseline"/>
                      <w:lang w:val="en-US" w:eastAsia="zh-CN"/>
                    </w:rPr>
                  </w:pPr>
                  <w:r>
                    <w:rPr>
                      <w:rFonts w:hint="eastAsia"/>
                      <w:color w:val="auto"/>
                      <w:lang w:val="en-US" w:eastAsia="zh-CN"/>
                    </w:rPr>
                    <w:t>Q=15.5m</w:t>
                  </w:r>
                  <w:r>
                    <w:rPr>
                      <w:rFonts w:hint="eastAsia"/>
                      <w:color w:val="auto"/>
                      <w:vertAlign w:val="superscript"/>
                      <w:lang w:val="en-US" w:eastAsia="zh-CN"/>
                    </w:rPr>
                    <w:t>3</w:t>
                  </w:r>
                  <w:r>
                    <w:rPr>
                      <w:rFonts w:hint="eastAsia"/>
                      <w:color w:val="auto"/>
                      <w:vertAlign w:val="baseline"/>
                      <w:lang w:val="en-US" w:eastAsia="zh-CN"/>
                    </w:rPr>
                    <w:t>/h</w:t>
                  </w:r>
                </w:p>
                <w:p w14:paraId="02083073">
                  <w:pPr>
                    <w:pStyle w:val="26"/>
                    <w:bidi w:val="0"/>
                    <w:jc w:val="center"/>
                    <w:rPr>
                      <w:rFonts w:hint="default"/>
                      <w:color w:val="auto"/>
                      <w:vertAlign w:val="baseline"/>
                      <w:lang w:val="en-US" w:eastAsia="zh-CN"/>
                    </w:rPr>
                  </w:pPr>
                  <w:r>
                    <w:rPr>
                      <w:rFonts w:hint="eastAsia"/>
                      <w:color w:val="auto"/>
                      <w:vertAlign w:val="baseline"/>
                      <w:lang w:val="en-US" w:eastAsia="zh-CN"/>
                    </w:rPr>
                    <w:t>进出口压差：0.5Mpa</w:t>
                  </w:r>
                </w:p>
              </w:tc>
              <w:tc>
                <w:tcPr>
                  <w:tcW w:w="1164" w:type="pct"/>
                  <w:vAlign w:val="center"/>
                </w:tcPr>
                <w:p w14:paraId="1D3AC4F7">
                  <w:pPr>
                    <w:pStyle w:val="26"/>
                    <w:bidi w:val="0"/>
                    <w:jc w:val="center"/>
                    <w:rPr>
                      <w:rFonts w:hint="default"/>
                      <w:color w:val="auto"/>
                      <w:lang w:val="en-US" w:eastAsia="zh-CN"/>
                    </w:rPr>
                  </w:pPr>
                  <w:r>
                    <w:rPr>
                      <w:rFonts w:hint="eastAsia"/>
                      <w:color w:val="auto"/>
                      <w:lang w:val="en-US" w:eastAsia="zh-CN"/>
                    </w:rPr>
                    <w:t>台</w:t>
                  </w:r>
                </w:p>
              </w:tc>
              <w:tc>
                <w:tcPr>
                  <w:tcW w:w="750" w:type="pct"/>
                  <w:vAlign w:val="center"/>
                </w:tcPr>
                <w:p w14:paraId="0A48FC5B">
                  <w:pPr>
                    <w:pStyle w:val="26"/>
                    <w:bidi w:val="0"/>
                    <w:jc w:val="center"/>
                    <w:rPr>
                      <w:rFonts w:hint="default"/>
                      <w:color w:val="auto"/>
                      <w:lang w:val="en-US" w:eastAsia="zh-CN"/>
                    </w:rPr>
                  </w:pPr>
                  <w:r>
                    <w:rPr>
                      <w:rFonts w:hint="eastAsia"/>
                      <w:color w:val="auto"/>
                      <w:lang w:val="en-US" w:eastAsia="zh-CN"/>
                    </w:rPr>
                    <w:t>2</w:t>
                  </w:r>
                </w:p>
              </w:tc>
            </w:tr>
            <w:tr w14:paraId="33759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1" w:type="pct"/>
                  <w:vAlign w:val="center"/>
                </w:tcPr>
                <w:p w14:paraId="03E1CBAA">
                  <w:pPr>
                    <w:pStyle w:val="26"/>
                    <w:bidi w:val="0"/>
                    <w:jc w:val="center"/>
                    <w:rPr>
                      <w:rFonts w:hint="default"/>
                      <w:color w:val="auto"/>
                      <w:lang w:val="en-US" w:eastAsia="zh-CN"/>
                    </w:rPr>
                  </w:pPr>
                  <w:r>
                    <w:rPr>
                      <w:rFonts w:hint="eastAsia"/>
                      <w:color w:val="auto"/>
                      <w:lang w:val="en-US" w:eastAsia="zh-CN"/>
                    </w:rPr>
                    <w:t>手摇油泵</w:t>
                  </w:r>
                </w:p>
              </w:tc>
              <w:tc>
                <w:tcPr>
                  <w:tcW w:w="1953" w:type="pct"/>
                  <w:vAlign w:val="center"/>
                </w:tcPr>
                <w:p w14:paraId="1704C466">
                  <w:pPr>
                    <w:pStyle w:val="26"/>
                    <w:bidi w:val="0"/>
                    <w:jc w:val="center"/>
                    <w:rPr>
                      <w:rFonts w:hint="default"/>
                      <w:color w:val="auto"/>
                      <w:vertAlign w:val="baseline"/>
                      <w:lang w:val="en-US" w:eastAsia="zh-CN"/>
                    </w:rPr>
                  </w:pPr>
                  <w:r>
                    <w:rPr>
                      <w:rFonts w:hint="eastAsia"/>
                      <w:color w:val="auto"/>
                      <w:vertAlign w:val="baseline"/>
                      <w:lang w:val="en-US" w:eastAsia="zh-CN"/>
                    </w:rPr>
                    <w:t>工作压力：2.0~6.0Mpa</w:t>
                  </w:r>
                </w:p>
              </w:tc>
              <w:tc>
                <w:tcPr>
                  <w:tcW w:w="1164" w:type="pct"/>
                  <w:vAlign w:val="center"/>
                </w:tcPr>
                <w:p w14:paraId="3F285F9C">
                  <w:pPr>
                    <w:pStyle w:val="26"/>
                    <w:bidi w:val="0"/>
                    <w:jc w:val="center"/>
                    <w:rPr>
                      <w:rFonts w:hint="default"/>
                      <w:color w:val="auto"/>
                      <w:lang w:val="en-US" w:eastAsia="zh-CN"/>
                    </w:rPr>
                  </w:pPr>
                  <w:r>
                    <w:rPr>
                      <w:rFonts w:hint="eastAsia"/>
                      <w:color w:val="auto"/>
                      <w:lang w:val="en-US" w:eastAsia="zh-CN"/>
                    </w:rPr>
                    <w:t>台</w:t>
                  </w:r>
                </w:p>
              </w:tc>
              <w:tc>
                <w:tcPr>
                  <w:tcW w:w="750" w:type="pct"/>
                  <w:vAlign w:val="center"/>
                </w:tcPr>
                <w:p w14:paraId="3C820EED">
                  <w:pPr>
                    <w:pStyle w:val="26"/>
                    <w:bidi w:val="0"/>
                    <w:jc w:val="center"/>
                    <w:rPr>
                      <w:rFonts w:hint="default"/>
                      <w:color w:val="auto"/>
                      <w:lang w:val="en-US" w:eastAsia="zh-CN"/>
                    </w:rPr>
                  </w:pPr>
                  <w:r>
                    <w:rPr>
                      <w:rFonts w:hint="eastAsia"/>
                      <w:color w:val="auto"/>
                      <w:lang w:val="en-US" w:eastAsia="zh-CN"/>
                    </w:rPr>
                    <w:t>2</w:t>
                  </w:r>
                </w:p>
              </w:tc>
            </w:tr>
            <w:tr w14:paraId="1DFFC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1" w:type="pct"/>
                  <w:vAlign w:val="center"/>
                </w:tcPr>
                <w:p w14:paraId="223EDD10">
                  <w:pPr>
                    <w:pStyle w:val="26"/>
                    <w:bidi w:val="0"/>
                    <w:jc w:val="center"/>
                    <w:rPr>
                      <w:rFonts w:hint="default"/>
                      <w:color w:val="auto"/>
                      <w:lang w:val="en-US" w:eastAsia="zh-CN"/>
                    </w:rPr>
                  </w:pPr>
                  <w:r>
                    <w:rPr>
                      <w:rFonts w:hint="eastAsia"/>
                      <w:color w:val="auto"/>
                      <w:lang w:val="en-US" w:eastAsia="zh-CN"/>
                    </w:rPr>
                    <w:t>压缩机</w:t>
                  </w:r>
                </w:p>
              </w:tc>
              <w:tc>
                <w:tcPr>
                  <w:tcW w:w="1953" w:type="pct"/>
                  <w:vAlign w:val="center"/>
                </w:tcPr>
                <w:p w14:paraId="2410C9A3">
                  <w:pPr>
                    <w:pStyle w:val="26"/>
                    <w:bidi w:val="0"/>
                    <w:jc w:val="center"/>
                    <w:rPr>
                      <w:rFonts w:hint="eastAsia"/>
                      <w:color w:val="auto"/>
                      <w:vertAlign w:val="baseline"/>
                      <w:lang w:val="en-US" w:eastAsia="zh-CN"/>
                    </w:rPr>
                  </w:pPr>
                  <w:r>
                    <w:rPr>
                      <w:rFonts w:hint="eastAsia"/>
                      <w:color w:val="auto"/>
                      <w:vertAlign w:val="baseline"/>
                      <w:lang w:val="en-US" w:eastAsia="zh-CN"/>
                    </w:rPr>
                    <w:t>Q=0.8m</w:t>
                  </w:r>
                  <w:r>
                    <w:rPr>
                      <w:rFonts w:hint="eastAsia"/>
                      <w:color w:val="auto"/>
                      <w:vertAlign w:val="superscript"/>
                      <w:lang w:val="en-US" w:eastAsia="zh-CN"/>
                    </w:rPr>
                    <w:t>3</w:t>
                  </w:r>
                  <w:r>
                    <w:rPr>
                      <w:rFonts w:hint="eastAsia"/>
                      <w:color w:val="auto"/>
                      <w:vertAlign w:val="baseline"/>
                      <w:lang w:val="en-US" w:eastAsia="zh-CN"/>
                    </w:rPr>
                    <w:t>/h</w:t>
                  </w:r>
                </w:p>
                <w:p w14:paraId="5E2DD3C3">
                  <w:pPr>
                    <w:pStyle w:val="26"/>
                    <w:bidi w:val="0"/>
                    <w:jc w:val="center"/>
                    <w:rPr>
                      <w:rFonts w:hint="eastAsia"/>
                      <w:color w:val="auto"/>
                      <w:vertAlign w:val="baseline"/>
                      <w:lang w:val="en-US" w:eastAsia="zh-CN"/>
                    </w:rPr>
                  </w:pPr>
                  <w:r>
                    <w:rPr>
                      <w:rFonts w:hint="eastAsia"/>
                      <w:color w:val="auto"/>
                      <w:vertAlign w:val="baseline"/>
                      <w:lang w:val="en-US" w:eastAsia="zh-CN"/>
                    </w:rPr>
                    <w:t>配电机：YB160M-4/11</w:t>
                  </w:r>
                </w:p>
                <w:p w14:paraId="7BFD7693">
                  <w:pPr>
                    <w:pStyle w:val="26"/>
                    <w:bidi w:val="0"/>
                    <w:jc w:val="center"/>
                    <w:rPr>
                      <w:rFonts w:hint="default"/>
                      <w:color w:val="auto"/>
                      <w:vertAlign w:val="baseline"/>
                      <w:lang w:val="en-US" w:eastAsia="zh-CN"/>
                    </w:rPr>
                  </w:pPr>
                  <w:r>
                    <w:rPr>
                      <w:rFonts w:hint="eastAsia"/>
                      <w:color w:val="auto"/>
                      <w:vertAlign w:val="baseline"/>
                      <w:lang w:val="en-US" w:eastAsia="zh-CN"/>
                    </w:rPr>
                    <w:t>功率N=11KW</w:t>
                  </w:r>
                </w:p>
              </w:tc>
              <w:tc>
                <w:tcPr>
                  <w:tcW w:w="1164" w:type="pct"/>
                  <w:vAlign w:val="center"/>
                </w:tcPr>
                <w:p w14:paraId="41BEEF6B">
                  <w:pPr>
                    <w:pStyle w:val="26"/>
                    <w:bidi w:val="0"/>
                    <w:jc w:val="center"/>
                    <w:rPr>
                      <w:rFonts w:hint="default"/>
                      <w:color w:val="auto"/>
                      <w:lang w:val="en-US" w:eastAsia="zh-CN"/>
                    </w:rPr>
                  </w:pPr>
                  <w:r>
                    <w:rPr>
                      <w:rFonts w:hint="eastAsia"/>
                      <w:color w:val="auto"/>
                      <w:lang w:val="en-US" w:eastAsia="zh-CN"/>
                    </w:rPr>
                    <w:t>台</w:t>
                  </w:r>
                </w:p>
              </w:tc>
              <w:tc>
                <w:tcPr>
                  <w:tcW w:w="750" w:type="pct"/>
                  <w:vAlign w:val="center"/>
                </w:tcPr>
                <w:p w14:paraId="1E9C2E10">
                  <w:pPr>
                    <w:pStyle w:val="26"/>
                    <w:bidi w:val="0"/>
                    <w:jc w:val="center"/>
                    <w:rPr>
                      <w:rFonts w:hint="default"/>
                      <w:color w:val="auto"/>
                      <w:lang w:val="en-US" w:eastAsia="zh-CN"/>
                    </w:rPr>
                  </w:pPr>
                  <w:r>
                    <w:rPr>
                      <w:rFonts w:hint="eastAsia"/>
                      <w:color w:val="auto"/>
                      <w:lang w:val="en-US" w:eastAsia="zh-CN"/>
                    </w:rPr>
                    <w:t>2</w:t>
                  </w:r>
                </w:p>
              </w:tc>
            </w:tr>
            <w:tr w14:paraId="6E6FD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1" w:type="pct"/>
                  <w:vAlign w:val="center"/>
                </w:tcPr>
                <w:p w14:paraId="40323071">
                  <w:pPr>
                    <w:pStyle w:val="26"/>
                    <w:bidi w:val="0"/>
                    <w:jc w:val="center"/>
                    <w:rPr>
                      <w:rFonts w:hint="default"/>
                      <w:color w:val="auto"/>
                      <w:lang w:val="en-US" w:eastAsia="zh-CN"/>
                    </w:rPr>
                  </w:pPr>
                  <w:r>
                    <w:rPr>
                      <w:rFonts w:hint="eastAsia"/>
                      <w:color w:val="auto"/>
                      <w:lang w:val="en-US" w:eastAsia="zh-CN"/>
                    </w:rPr>
                    <w:t>灌装秤</w:t>
                  </w:r>
                </w:p>
              </w:tc>
              <w:tc>
                <w:tcPr>
                  <w:tcW w:w="1953" w:type="pct"/>
                  <w:vAlign w:val="center"/>
                </w:tcPr>
                <w:p w14:paraId="390384A8">
                  <w:pPr>
                    <w:pStyle w:val="26"/>
                    <w:bidi w:val="0"/>
                    <w:jc w:val="center"/>
                    <w:rPr>
                      <w:rFonts w:hint="eastAsia"/>
                      <w:color w:val="auto"/>
                      <w:vertAlign w:val="baseline"/>
                      <w:lang w:val="en-US" w:eastAsia="zh-CN"/>
                    </w:rPr>
                  </w:pPr>
                  <w:r>
                    <w:rPr>
                      <w:rFonts w:hint="eastAsia"/>
                      <w:color w:val="auto"/>
                      <w:vertAlign w:val="baseline"/>
                      <w:lang w:val="en-US" w:eastAsia="zh-CN"/>
                    </w:rPr>
                    <w:t>量程0~120kg</w:t>
                  </w:r>
                </w:p>
                <w:p w14:paraId="2122AD71">
                  <w:pPr>
                    <w:pStyle w:val="26"/>
                    <w:bidi w:val="0"/>
                    <w:jc w:val="center"/>
                    <w:rPr>
                      <w:rFonts w:hint="default"/>
                      <w:color w:val="auto"/>
                      <w:vertAlign w:val="baseline"/>
                      <w:lang w:val="en-US" w:eastAsia="zh-CN"/>
                    </w:rPr>
                  </w:pPr>
                  <w:r>
                    <w:rPr>
                      <w:rFonts w:hint="eastAsia"/>
                      <w:color w:val="auto"/>
                      <w:vertAlign w:val="baseline"/>
                      <w:lang w:val="en-US" w:eastAsia="zh-CN"/>
                    </w:rPr>
                    <w:t>检定分度值：50g</w:t>
                  </w:r>
                </w:p>
              </w:tc>
              <w:tc>
                <w:tcPr>
                  <w:tcW w:w="1164" w:type="pct"/>
                  <w:vAlign w:val="center"/>
                </w:tcPr>
                <w:p w14:paraId="2E4A72D0">
                  <w:pPr>
                    <w:pStyle w:val="26"/>
                    <w:bidi w:val="0"/>
                    <w:jc w:val="center"/>
                    <w:rPr>
                      <w:rFonts w:hint="default"/>
                      <w:color w:val="auto"/>
                      <w:lang w:val="en-US" w:eastAsia="zh-CN"/>
                    </w:rPr>
                  </w:pPr>
                  <w:r>
                    <w:rPr>
                      <w:rFonts w:hint="eastAsia"/>
                      <w:color w:val="auto"/>
                      <w:lang w:val="en-US" w:eastAsia="zh-CN"/>
                    </w:rPr>
                    <w:t>台</w:t>
                  </w:r>
                </w:p>
              </w:tc>
              <w:tc>
                <w:tcPr>
                  <w:tcW w:w="750" w:type="pct"/>
                  <w:vAlign w:val="center"/>
                </w:tcPr>
                <w:p w14:paraId="3CECA9F9">
                  <w:pPr>
                    <w:pStyle w:val="26"/>
                    <w:bidi w:val="0"/>
                    <w:jc w:val="center"/>
                    <w:rPr>
                      <w:rFonts w:hint="default"/>
                      <w:color w:val="auto"/>
                      <w:lang w:val="en-US" w:eastAsia="zh-CN"/>
                    </w:rPr>
                  </w:pPr>
                  <w:r>
                    <w:rPr>
                      <w:rFonts w:hint="eastAsia"/>
                      <w:color w:val="auto"/>
                      <w:lang w:val="en-US" w:eastAsia="zh-CN"/>
                    </w:rPr>
                    <w:t>4</w:t>
                  </w:r>
                </w:p>
              </w:tc>
            </w:tr>
            <w:tr w14:paraId="4BA74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1" w:type="pct"/>
                  <w:vAlign w:val="center"/>
                </w:tcPr>
                <w:p w14:paraId="59EDC241">
                  <w:pPr>
                    <w:pStyle w:val="26"/>
                    <w:bidi w:val="0"/>
                    <w:jc w:val="center"/>
                    <w:rPr>
                      <w:rFonts w:hint="default"/>
                      <w:color w:val="auto"/>
                      <w:lang w:val="en-US" w:eastAsia="zh-CN"/>
                    </w:rPr>
                  </w:pPr>
                  <w:r>
                    <w:rPr>
                      <w:rFonts w:hint="eastAsia"/>
                      <w:color w:val="auto"/>
                      <w:lang w:val="en-US" w:eastAsia="zh-CN"/>
                    </w:rPr>
                    <w:t>残液倒空架</w:t>
                  </w:r>
                </w:p>
              </w:tc>
              <w:tc>
                <w:tcPr>
                  <w:tcW w:w="1953" w:type="pct"/>
                  <w:vAlign w:val="center"/>
                </w:tcPr>
                <w:p w14:paraId="74CCB7B1">
                  <w:pPr>
                    <w:pStyle w:val="26"/>
                    <w:bidi w:val="0"/>
                    <w:jc w:val="center"/>
                    <w:rPr>
                      <w:rFonts w:hint="default"/>
                      <w:color w:val="auto"/>
                      <w:vertAlign w:val="baseline"/>
                      <w:lang w:val="en-US" w:eastAsia="zh-CN"/>
                    </w:rPr>
                  </w:pPr>
                  <w:r>
                    <w:rPr>
                      <w:rFonts w:hint="eastAsia"/>
                      <w:color w:val="auto"/>
                      <w:vertAlign w:val="baseline"/>
                      <w:lang w:val="en-US" w:eastAsia="zh-CN"/>
                    </w:rPr>
                    <w:t>15kg钢瓶专用</w:t>
                  </w:r>
                </w:p>
              </w:tc>
              <w:tc>
                <w:tcPr>
                  <w:tcW w:w="1164" w:type="pct"/>
                  <w:vAlign w:val="center"/>
                </w:tcPr>
                <w:p w14:paraId="629489DD">
                  <w:pPr>
                    <w:pStyle w:val="26"/>
                    <w:bidi w:val="0"/>
                    <w:jc w:val="center"/>
                    <w:rPr>
                      <w:rFonts w:hint="default"/>
                      <w:color w:val="auto"/>
                      <w:lang w:val="en-US" w:eastAsia="zh-CN"/>
                    </w:rPr>
                  </w:pPr>
                  <w:r>
                    <w:rPr>
                      <w:rFonts w:hint="eastAsia"/>
                      <w:color w:val="auto"/>
                      <w:lang w:val="en-US" w:eastAsia="zh-CN"/>
                    </w:rPr>
                    <w:t>台</w:t>
                  </w:r>
                </w:p>
              </w:tc>
              <w:tc>
                <w:tcPr>
                  <w:tcW w:w="750" w:type="pct"/>
                  <w:vAlign w:val="center"/>
                </w:tcPr>
                <w:p w14:paraId="3118B2A3">
                  <w:pPr>
                    <w:pStyle w:val="26"/>
                    <w:bidi w:val="0"/>
                    <w:jc w:val="center"/>
                    <w:rPr>
                      <w:rFonts w:hint="default"/>
                      <w:color w:val="auto"/>
                      <w:lang w:val="en-US" w:eastAsia="zh-CN"/>
                    </w:rPr>
                  </w:pPr>
                  <w:r>
                    <w:rPr>
                      <w:rFonts w:hint="eastAsia"/>
                      <w:color w:val="auto"/>
                      <w:lang w:val="en-US" w:eastAsia="zh-CN"/>
                    </w:rPr>
                    <w:t>2</w:t>
                  </w:r>
                </w:p>
              </w:tc>
            </w:tr>
            <w:tr w14:paraId="27028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1" w:type="pct"/>
                  <w:vAlign w:val="center"/>
                </w:tcPr>
                <w:p w14:paraId="1B20BF5F">
                  <w:pPr>
                    <w:pStyle w:val="26"/>
                    <w:bidi w:val="0"/>
                    <w:jc w:val="center"/>
                    <w:rPr>
                      <w:rFonts w:hint="default"/>
                      <w:color w:val="auto"/>
                      <w:lang w:val="en-US" w:eastAsia="zh-CN"/>
                    </w:rPr>
                  </w:pPr>
                  <w:r>
                    <w:rPr>
                      <w:rFonts w:hint="eastAsia"/>
                      <w:color w:val="auto"/>
                      <w:lang w:val="en-US" w:eastAsia="zh-CN"/>
                    </w:rPr>
                    <w:t>万向管充装系统</w:t>
                  </w:r>
                </w:p>
              </w:tc>
              <w:tc>
                <w:tcPr>
                  <w:tcW w:w="1953" w:type="pct"/>
                  <w:vAlign w:val="center"/>
                </w:tcPr>
                <w:p w14:paraId="384B3947">
                  <w:pPr>
                    <w:pStyle w:val="26"/>
                    <w:bidi w:val="0"/>
                    <w:jc w:val="center"/>
                    <w:rPr>
                      <w:rFonts w:hint="default"/>
                      <w:color w:val="auto"/>
                      <w:vertAlign w:val="baseline"/>
                      <w:lang w:val="en-US" w:eastAsia="zh-CN"/>
                    </w:rPr>
                  </w:pPr>
                  <w:r>
                    <w:rPr>
                      <w:rFonts w:hint="eastAsia"/>
                      <w:color w:val="auto"/>
                      <w:vertAlign w:val="baseline"/>
                      <w:lang w:val="en-US" w:eastAsia="zh-CN"/>
                    </w:rPr>
                    <w:t>设计压力2.5Mpa</w:t>
                  </w:r>
                </w:p>
              </w:tc>
              <w:tc>
                <w:tcPr>
                  <w:tcW w:w="1164" w:type="pct"/>
                  <w:vAlign w:val="center"/>
                </w:tcPr>
                <w:p w14:paraId="746369B2">
                  <w:pPr>
                    <w:pStyle w:val="26"/>
                    <w:bidi w:val="0"/>
                    <w:jc w:val="center"/>
                    <w:rPr>
                      <w:rFonts w:hint="default"/>
                      <w:color w:val="auto"/>
                      <w:lang w:val="en-US" w:eastAsia="zh-CN"/>
                    </w:rPr>
                  </w:pPr>
                  <w:r>
                    <w:rPr>
                      <w:rFonts w:hint="eastAsia"/>
                      <w:color w:val="auto"/>
                      <w:lang w:val="en-US" w:eastAsia="zh-CN"/>
                    </w:rPr>
                    <w:t>台</w:t>
                  </w:r>
                </w:p>
              </w:tc>
              <w:tc>
                <w:tcPr>
                  <w:tcW w:w="750" w:type="pct"/>
                  <w:vAlign w:val="center"/>
                </w:tcPr>
                <w:p w14:paraId="7DC3463C">
                  <w:pPr>
                    <w:pStyle w:val="26"/>
                    <w:bidi w:val="0"/>
                    <w:jc w:val="center"/>
                    <w:rPr>
                      <w:rFonts w:hint="default"/>
                      <w:color w:val="auto"/>
                      <w:lang w:val="en-US" w:eastAsia="zh-CN"/>
                    </w:rPr>
                  </w:pPr>
                  <w:r>
                    <w:rPr>
                      <w:rFonts w:hint="eastAsia"/>
                      <w:color w:val="auto"/>
                      <w:lang w:val="en-US" w:eastAsia="zh-CN"/>
                    </w:rPr>
                    <w:t>1</w:t>
                  </w:r>
                </w:p>
              </w:tc>
            </w:tr>
            <w:tr w14:paraId="4F8E4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1" w:type="pct"/>
                  <w:vAlign w:val="center"/>
                </w:tcPr>
                <w:p w14:paraId="7DDBE322">
                  <w:pPr>
                    <w:pStyle w:val="26"/>
                    <w:bidi w:val="0"/>
                    <w:jc w:val="center"/>
                    <w:rPr>
                      <w:rFonts w:hint="default"/>
                      <w:color w:val="auto"/>
                      <w:lang w:val="en-US" w:eastAsia="zh-CN"/>
                    </w:rPr>
                  </w:pPr>
                  <w:r>
                    <w:rPr>
                      <w:rFonts w:hint="eastAsia"/>
                      <w:color w:val="auto"/>
                      <w:lang w:val="en-US" w:eastAsia="zh-CN"/>
                    </w:rPr>
                    <w:t>检斤称</w:t>
                  </w:r>
                </w:p>
              </w:tc>
              <w:tc>
                <w:tcPr>
                  <w:tcW w:w="1953" w:type="pct"/>
                  <w:vAlign w:val="center"/>
                </w:tcPr>
                <w:p w14:paraId="036E3A06">
                  <w:pPr>
                    <w:pStyle w:val="26"/>
                    <w:bidi w:val="0"/>
                    <w:jc w:val="center"/>
                    <w:rPr>
                      <w:rFonts w:hint="default"/>
                      <w:color w:val="auto"/>
                      <w:vertAlign w:val="baseline"/>
                      <w:lang w:val="en-US" w:eastAsia="zh-CN"/>
                    </w:rPr>
                  </w:pPr>
                  <w:r>
                    <w:rPr>
                      <w:rFonts w:hint="eastAsia"/>
                      <w:color w:val="auto"/>
                      <w:vertAlign w:val="baseline"/>
                      <w:lang w:val="en-US" w:eastAsia="zh-CN"/>
                    </w:rPr>
                    <w:t>最大称量50kg</w:t>
                  </w:r>
                </w:p>
              </w:tc>
              <w:tc>
                <w:tcPr>
                  <w:tcW w:w="1164" w:type="pct"/>
                  <w:vAlign w:val="center"/>
                </w:tcPr>
                <w:p w14:paraId="2098617D">
                  <w:pPr>
                    <w:pStyle w:val="26"/>
                    <w:bidi w:val="0"/>
                    <w:jc w:val="center"/>
                    <w:rPr>
                      <w:rFonts w:hint="default"/>
                      <w:color w:val="auto"/>
                      <w:lang w:val="en-US" w:eastAsia="zh-CN"/>
                    </w:rPr>
                  </w:pPr>
                  <w:r>
                    <w:rPr>
                      <w:rFonts w:hint="eastAsia"/>
                      <w:color w:val="auto"/>
                      <w:lang w:val="en-US" w:eastAsia="zh-CN"/>
                    </w:rPr>
                    <w:t>台</w:t>
                  </w:r>
                </w:p>
              </w:tc>
              <w:tc>
                <w:tcPr>
                  <w:tcW w:w="750" w:type="pct"/>
                  <w:vAlign w:val="center"/>
                </w:tcPr>
                <w:p w14:paraId="3142DC5E">
                  <w:pPr>
                    <w:pStyle w:val="26"/>
                    <w:bidi w:val="0"/>
                    <w:jc w:val="center"/>
                    <w:rPr>
                      <w:rFonts w:hint="default"/>
                      <w:color w:val="auto"/>
                      <w:lang w:val="en-US" w:eastAsia="zh-CN"/>
                    </w:rPr>
                  </w:pPr>
                  <w:r>
                    <w:rPr>
                      <w:rFonts w:hint="eastAsia"/>
                      <w:color w:val="auto"/>
                      <w:lang w:val="en-US" w:eastAsia="zh-CN"/>
                    </w:rPr>
                    <w:t>1</w:t>
                  </w:r>
                </w:p>
              </w:tc>
            </w:tr>
            <w:tr w14:paraId="6DDC4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1" w:type="pct"/>
                  <w:vAlign w:val="center"/>
                </w:tcPr>
                <w:p w14:paraId="653A9FDC">
                  <w:pPr>
                    <w:pStyle w:val="26"/>
                    <w:bidi w:val="0"/>
                    <w:jc w:val="center"/>
                    <w:rPr>
                      <w:rFonts w:hint="default"/>
                      <w:color w:val="auto"/>
                      <w:lang w:val="en-US" w:eastAsia="zh-CN"/>
                    </w:rPr>
                  </w:pPr>
                  <w:r>
                    <w:rPr>
                      <w:rFonts w:hint="eastAsia"/>
                      <w:color w:val="auto"/>
                      <w:lang w:val="en-US" w:eastAsia="zh-CN"/>
                    </w:rPr>
                    <w:t>钢瓶封口机</w:t>
                  </w:r>
                </w:p>
              </w:tc>
              <w:tc>
                <w:tcPr>
                  <w:tcW w:w="1953" w:type="pct"/>
                  <w:vAlign w:val="center"/>
                </w:tcPr>
                <w:p w14:paraId="0AF8CD86">
                  <w:pPr>
                    <w:pStyle w:val="26"/>
                    <w:bidi w:val="0"/>
                    <w:jc w:val="center"/>
                    <w:rPr>
                      <w:rFonts w:hint="default"/>
                      <w:color w:val="auto"/>
                      <w:vertAlign w:val="baseline"/>
                      <w:lang w:val="en-US" w:eastAsia="zh-CN"/>
                    </w:rPr>
                  </w:pPr>
                  <w:r>
                    <w:rPr>
                      <w:rFonts w:hint="eastAsia"/>
                      <w:color w:val="auto"/>
                      <w:vertAlign w:val="baseline"/>
                      <w:lang w:val="en-US" w:eastAsia="zh-CN"/>
                    </w:rPr>
                    <w:t>15kg液化石油气钢瓶专用</w:t>
                  </w:r>
                </w:p>
              </w:tc>
              <w:tc>
                <w:tcPr>
                  <w:tcW w:w="1164" w:type="pct"/>
                  <w:vAlign w:val="center"/>
                </w:tcPr>
                <w:p w14:paraId="0CED2B48">
                  <w:pPr>
                    <w:pStyle w:val="26"/>
                    <w:bidi w:val="0"/>
                    <w:jc w:val="center"/>
                    <w:rPr>
                      <w:rFonts w:hint="default"/>
                      <w:color w:val="auto"/>
                      <w:lang w:val="en-US" w:eastAsia="zh-CN"/>
                    </w:rPr>
                  </w:pPr>
                  <w:r>
                    <w:rPr>
                      <w:rFonts w:hint="eastAsia"/>
                      <w:color w:val="auto"/>
                      <w:lang w:val="en-US" w:eastAsia="zh-CN"/>
                    </w:rPr>
                    <w:t>台</w:t>
                  </w:r>
                </w:p>
              </w:tc>
              <w:tc>
                <w:tcPr>
                  <w:tcW w:w="750" w:type="pct"/>
                  <w:vAlign w:val="center"/>
                </w:tcPr>
                <w:p w14:paraId="6448B145">
                  <w:pPr>
                    <w:pStyle w:val="26"/>
                    <w:bidi w:val="0"/>
                    <w:jc w:val="center"/>
                    <w:rPr>
                      <w:rFonts w:hint="default"/>
                      <w:color w:val="auto"/>
                      <w:lang w:val="en-US" w:eastAsia="zh-CN"/>
                    </w:rPr>
                  </w:pPr>
                  <w:r>
                    <w:rPr>
                      <w:rFonts w:hint="eastAsia"/>
                      <w:color w:val="auto"/>
                      <w:lang w:val="en-US" w:eastAsia="zh-CN"/>
                    </w:rPr>
                    <w:t>1</w:t>
                  </w:r>
                </w:p>
              </w:tc>
            </w:tr>
            <w:tr w14:paraId="063FA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1" w:type="pct"/>
                  <w:vAlign w:val="center"/>
                </w:tcPr>
                <w:p w14:paraId="2E314D71">
                  <w:pPr>
                    <w:pStyle w:val="26"/>
                    <w:bidi w:val="0"/>
                    <w:jc w:val="center"/>
                    <w:rPr>
                      <w:rFonts w:hint="default"/>
                      <w:color w:val="auto"/>
                      <w:lang w:val="en-US" w:eastAsia="zh-CN"/>
                    </w:rPr>
                  </w:pPr>
                  <w:r>
                    <w:rPr>
                      <w:rFonts w:hint="eastAsia"/>
                      <w:color w:val="auto"/>
                      <w:lang w:val="en-US" w:eastAsia="zh-CN"/>
                    </w:rPr>
                    <w:t>可燃气体报警器</w:t>
                  </w:r>
                </w:p>
              </w:tc>
              <w:tc>
                <w:tcPr>
                  <w:tcW w:w="1953" w:type="pct"/>
                  <w:vAlign w:val="center"/>
                </w:tcPr>
                <w:p w14:paraId="41F15974">
                  <w:pPr>
                    <w:pStyle w:val="26"/>
                    <w:bidi w:val="0"/>
                    <w:jc w:val="center"/>
                    <w:rPr>
                      <w:rFonts w:hint="default"/>
                      <w:color w:val="auto"/>
                      <w:vertAlign w:val="baseline"/>
                      <w:lang w:val="en-US" w:eastAsia="zh-CN"/>
                    </w:rPr>
                  </w:pPr>
                  <w:r>
                    <w:rPr>
                      <w:rFonts w:hint="eastAsia"/>
                      <w:color w:val="auto"/>
                      <w:vertAlign w:val="baseline"/>
                      <w:lang w:val="en-US" w:eastAsia="zh-CN"/>
                    </w:rPr>
                    <w:t>Qj-T -08</w:t>
                  </w:r>
                </w:p>
              </w:tc>
              <w:tc>
                <w:tcPr>
                  <w:tcW w:w="1164" w:type="pct"/>
                  <w:vAlign w:val="center"/>
                </w:tcPr>
                <w:p w14:paraId="47FC1C32">
                  <w:pPr>
                    <w:pStyle w:val="26"/>
                    <w:bidi w:val="0"/>
                    <w:jc w:val="center"/>
                    <w:rPr>
                      <w:rFonts w:hint="default"/>
                      <w:color w:val="auto"/>
                      <w:lang w:val="en-US" w:eastAsia="zh-CN"/>
                    </w:rPr>
                  </w:pPr>
                  <w:r>
                    <w:rPr>
                      <w:rFonts w:hint="eastAsia"/>
                      <w:color w:val="auto"/>
                      <w:lang w:val="en-US" w:eastAsia="zh-CN"/>
                    </w:rPr>
                    <w:t>台</w:t>
                  </w:r>
                </w:p>
              </w:tc>
              <w:tc>
                <w:tcPr>
                  <w:tcW w:w="750" w:type="pct"/>
                  <w:vAlign w:val="center"/>
                </w:tcPr>
                <w:p w14:paraId="0A43D225">
                  <w:pPr>
                    <w:pStyle w:val="26"/>
                    <w:bidi w:val="0"/>
                    <w:jc w:val="center"/>
                    <w:rPr>
                      <w:rFonts w:hint="default"/>
                      <w:color w:val="auto"/>
                      <w:lang w:val="en-US" w:eastAsia="zh-CN"/>
                    </w:rPr>
                  </w:pPr>
                  <w:r>
                    <w:rPr>
                      <w:rFonts w:hint="eastAsia"/>
                      <w:color w:val="auto"/>
                      <w:lang w:val="en-US" w:eastAsia="zh-CN"/>
                    </w:rPr>
                    <w:t>1</w:t>
                  </w:r>
                </w:p>
              </w:tc>
            </w:tr>
          </w:tbl>
          <w:p w14:paraId="12D33B60">
            <w:pPr>
              <w:pStyle w:val="25"/>
              <w:bidi w:val="0"/>
              <w:rPr>
                <w:rFonts w:hint="eastAsia"/>
                <w:color w:val="auto"/>
                <w:lang w:val="en-US" w:eastAsia="zh-CN"/>
              </w:rPr>
            </w:pPr>
            <w:r>
              <w:rPr>
                <w:rFonts w:hint="eastAsia"/>
                <w:color w:val="auto"/>
                <w:lang w:val="en-US" w:eastAsia="zh-CN"/>
              </w:rPr>
              <w:t>6、劳动定员及工作制度</w:t>
            </w:r>
          </w:p>
          <w:p w14:paraId="3B8163A6">
            <w:pPr>
              <w:pStyle w:val="25"/>
              <w:bidi w:val="0"/>
              <w:rPr>
                <w:rFonts w:hint="eastAsia"/>
                <w:color w:val="auto"/>
                <w:lang w:val="en-US" w:eastAsia="zh-CN"/>
              </w:rPr>
            </w:pPr>
            <w:r>
              <w:rPr>
                <w:rFonts w:hint="eastAsia"/>
                <w:color w:val="auto"/>
                <w:lang w:val="en-US" w:eastAsia="zh-CN"/>
              </w:rPr>
              <w:t>本项目劳动定员10人，其中充装工人6人，综合管理4人，年工作300天，日工作8小时，年运行2400小时。</w:t>
            </w:r>
          </w:p>
          <w:p w14:paraId="0088E54E">
            <w:pPr>
              <w:pStyle w:val="25"/>
              <w:bidi w:val="0"/>
              <w:rPr>
                <w:rFonts w:hint="eastAsia"/>
                <w:color w:val="auto"/>
                <w:lang w:val="en-US" w:eastAsia="zh-CN"/>
              </w:rPr>
            </w:pPr>
            <w:r>
              <w:rPr>
                <w:rFonts w:hint="eastAsia"/>
                <w:color w:val="auto"/>
                <w:lang w:val="en-US" w:eastAsia="zh-CN"/>
              </w:rPr>
              <w:t>7、厂区平面布置</w:t>
            </w:r>
          </w:p>
          <w:p w14:paraId="077F6263">
            <w:pPr>
              <w:pStyle w:val="25"/>
              <w:bidi w:val="0"/>
              <w:rPr>
                <w:rFonts w:hint="eastAsia"/>
                <w:color w:val="auto"/>
                <w:lang w:val="en-US" w:eastAsia="zh-CN"/>
              </w:rPr>
            </w:pPr>
            <w:r>
              <w:rPr>
                <w:rFonts w:hint="eastAsia"/>
                <w:color w:val="auto"/>
                <w:lang w:val="en-US" w:eastAsia="zh-CN"/>
              </w:rPr>
              <w:t>本项目厂区整体呈矩形，东侧紧邻G107国道，东侧设置2个出入口，东北角设置主出入口（货运出入口），中间设置辅助区人行出入口，进入厂区后自东向西分别为技术研发中心、分析实验楼、充装区，目前技术研发中心、分析实验楼仅建设两座大楼，暂仅计划用于办公，无相关研发、分析实验计划。</w:t>
            </w:r>
          </w:p>
          <w:p w14:paraId="180B5E43">
            <w:pPr>
              <w:pStyle w:val="25"/>
              <w:bidi w:val="0"/>
              <w:rPr>
                <w:rFonts w:hint="eastAsia"/>
                <w:color w:val="auto"/>
                <w:vertAlign w:val="baseline"/>
                <w:lang w:val="en-US" w:eastAsia="zh-CN"/>
              </w:rPr>
            </w:pPr>
            <w:r>
              <w:rPr>
                <w:rFonts w:hint="eastAsia"/>
                <w:color w:val="auto"/>
                <w:lang w:val="en-US" w:eastAsia="zh-CN"/>
              </w:rPr>
              <w:t>充装区分为三个部分，最北侧为卸车操作场地，主要用于空罐和成品罐的装卸及货运车辆停放，中间为压缩机房及灌瓶车间，用于液化石油气罐的充装操作，南侧为储罐区，储罐区设置3个50立方米的液化石油气储罐及1个50立方米残液储罐，储罐区设置1米高围堰</w:t>
            </w:r>
            <w:r>
              <w:rPr>
                <w:rFonts w:hint="eastAsia"/>
                <w:color w:val="auto"/>
                <w:vertAlign w:val="baseline"/>
                <w:lang w:val="en-US" w:eastAsia="zh-CN"/>
              </w:rPr>
              <w:t>。</w:t>
            </w:r>
          </w:p>
          <w:p w14:paraId="0A306BD2">
            <w:pPr>
              <w:pStyle w:val="25"/>
              <w:bidi w:val="0"/>
              <w:rPr>
                <w:rFonts w:hint="eastAsia"/>
                <w:color w:val="auto"/>
                <w:vertAlign w:val="baseline"/>
                <w:lang w:val="en-US" w:eastAsia="zh-CN"/>
              </w:rPr>
            </w:pPr>
            <w:r>
              <w:rPr>
                <w:rFonts w:hint="eastAsia"/>
                <w:color w:val="auto"/>
                <w:vertAlign w:val="baseline"/>
                <w:lang w:val="en-US" w:eastAsia="zh-CN"/>
              </w:rPr>
              <w:t>8、项目周边环境</w:t>
            </w:r>
          </w:p>
          <w:p w14:paraId="0AF13D3B">
            <w:pPr>
              <w:pStyle w:val="25"/>
              <w:bidi w:val="0"/>
              <w:rPr>
                <w:rFonts w:hint="eastAsia"/>
                <w:color w:val="auto"/>
                <w:vertAlign w:val="baseline"/>
                <w:lang w:val="en-US" w:eastAsia="zh-CN"/>
              </w:rPr>
            </w:pPr>
            <w:r>
              <w:rPr>
                <w:rFonts w:hint="eastAsia"/>
                <w:color w:val="auto"/>
                <w:vertAlign w:val="baseline"/>
                <w:lang w:val="en-US" w:eastAsia="zh-CN"/>
              </w:rPr>
              <w:t>本项目东侧紧邻G107国道，方便项目原料、产品的运输，G107国道两侧分布有居民楼及商铺；项目北侧为渣江米粉厂；项目西侧为农田；项目南侧为居民房。</w:t>
            </w:r>
          </w:p>
          <w:p w14:paraId="634C2E9E">
            <w:pPr>
              <w:pStyle w:val="25"/>
              <w:bidi w:val="0"/>
              <w:rPr>
                <w:rFonts w:hint="eastAsia"/>
                <w:color w:val="auto"/>
                <w:vertAlign w:val="baseline"/>
                <w:lang w:val="en-US" w:eastAsia="zh-CN"/>
              </w:rPr>
            </w:pPr>
            <w:r>
              <w:rPr>
                <w:rFonts w:hint="eastAsia"/>
                <w:color w:val="auto"/>
                <w:vertAlign w:val="baseline"/>
                <w:lang w:val="en-US" w:eastAsia="zh-CN"/>
              </w:rPr>
              <w:t>9、公用工程</w:t>
            </w:r>
          </w:p>
          <w:p w14:paraId="3561CFB4">
            <w:pPr>
              <w:pStyle w:val="25"/>
              <w:bidi w:val="0"/>
              <w:rPr>
                <w:rFonts w:hint="eastAsia"/>
                <w:color w:val="auto"/>
                <w:vertAlign w:val="baseline"/>
                <w:lang w:val="en-US" w:eastAsia="zh-CN"/>
              </w:rPr>
            </w:pPr>
            <w:r>
              <w:rPr>
                <w:rFonts w:hint="eastAsia"/>
                <w:color w:val="auto"/>
                <w:vertAlign w:val="baseline"/>
                <w:lang w:val="en-US" w:eastAsia="zh-CN"/>
              </w:rPr>
              <w:t>（1）给水</w:t>
            </w:r>
          </w:p>
          <w:p w14:paraId="07138FDD">
            <w:pPr>
              <w:pStyle w:val="25"/>
              <w:bidi w:val="0"/>
              <w:rPr>
                <w:rFonts w:hint="eastAsia"/>
                <w:color w:val="auto"/>
                <w:vertAlign w:val="baseline"/>
                <w:lang w:val="en-US" w:eastAsia="zh-CN"/>
              </w:rPr>
            </w:pPr>
            <w:r>
              <w:rPr>
                <w:rFonts w:hint="eastAsia"/>
                <w:color w:val="auto"/>
                <w:vertAlign w:val="baseline"/>
                <w:lang w:val="en-US" w:eastAsia="zh-CN"/>
              </w:rPr>
              <w:t>本项目用水由集兵镇自来水厂给水，从附近自来水管网接入，项目用水主要为生活用水，无生产用水。</w:t>
            </w:r>
          </w:p>
          <w:p w14:paraId="1EE10FF2">
            <w:pPr>
              <w:pStyle w:val="25"/>
              <w:bidi w:val="0"/>
              <w:rPr>
                <w:rFonts w:hint="eastAsia"/>
                <w:color w:val="auto"/>
                <w:vertAlign w:val="baseline"/>
                <w:lang w:val="en-US" w:eastAsia="zh-CN"/>
              </w:rPr>
            </w:pPr>
            <w:r>
              <w:rPr>
                <w:rFonts w:hint="eastAsia"/>
                <w:color w:val="auto"/>
                <w:vertAlign w:val="baseline"/>
                <w:lang w:val="en-US" w:eastAsia="zh-CN"/>
              </w:rPr>
              <w:t>生活用水量：项目劳动定员10人，8小时工作制，均不在厂区内食宿，用水量参照《湖南省用水定额》（DB43/T388-2020）中办公楼用水量为38m</w:t>
            </w:r>
            <w:r>
              <w:rPr>
                <w:rFonts w:hint="eastAsia"/>
                <w:color w:val="auto"/>
                <w:vertAlign w:val="superscript"/>
                <w:lang w:val="en-US" w:eastAsia="zh-CN"/>
              </w:rPr>
              <w:t>3</w:t>
            </w:r>
            <w:r>
              <w:rPr>
                <w:rFonts w:hint="eastAsia"/>
                <w:color w:val="auto"/>
                <w:vertAlign w:val="baseline"/>
                <w:lang w:val="en-US" w:eastAsia="zh-CN"/>
              </w:rPr>
              <w:t>/人·a，则本项目用水量为380m</w:t>
            </w:r>
            <w:r>
              <w:rPr>
                <w:rFonts w:hint="eastAsia"/>
                <w:color w:val="auto"/>
                <w:vertAlign w:val="superscript"/>
                <w:lang w:val="en-US" w:eastAsia="zh-CN"/>
              </w:rPr>
              <w:t>3</w:t>
            </w:r>
            <w:r>
              <w:rPr>
                <w:rFonts w:hint="eastAsia"/>
                <w:color w:val="auto"/>
                <w:vertAlign w:val="baseline"/>
                <w:lang w:val="en-US" w:eastAsia="zh-CN"/>
              </w:rPr>
              <w:t>/a，平均1.27m</w:t>
            </w:r>
            <w:r>
              <w:rPr>
                <w:rFonts w:hint="eastAsia"/>
                <w:color w:val="auto"/>
                <w:vertAlign w:val="superscript"/>
                <w:lang w:val="en-US" w:eastAsia="zh-CN"/>
              </w:rPr>
              <w:t>3</w:t>
            </w:r>
            <w:r>
              <w:rPr>
                <w:rFonts w:hint="eastAsia"/>
                <w:color w:val="auto"/>
                <w:vertAlign w:val="baseline"/>
                <w:lang w:val="en-US" w:eastAsia="zh-CN"/>
              </w:rPr>
              <w:t>/d。</w:t>
            </w:r>
          </w:p>
          <w:p w14:paraId="7E7D2995">
            <w:pPr>
              <w:pStyle w:val="25"/>
              <w:bidi w:val="0"/>
              <w:rPr>
                <w:rFonts w:hint="eastAsia"/>
                <w:color w:val="auto"/>
                <w:vertAlign w:val="baseline"/>
                <w:lang w:val="en-US" w:eastAsia="zh-CN"/>
              </w:rPr>
            </w:pPr>
            <w:r>
              <w:rPr>
                <w:rFonts w:hint="eastAsia"/>
                <w:color w:val="auto"/>
                <w:vertAlign w:val="baseline"/>
                <w:lang w:val="en-US" w:eastAsia="zh-CN"/>
              </w:rPr>
              <w:t>（2）排水</w:t>
            </w:r>
          </w:p>
          <w:p w14:paraId="5DFC0FBE">
            <w:pPr>
              <w:pStyle w:val="25"/>
              <w:bidi w:val="0"/>
              <w:rPr>
                <w:rFonts w:hint="eastAsia"/>
                <w:color w:val="auto"/>
                <w:vertAlign w:val="baseline"/>
                <w:lang w:val="en-US" w:eastAsia="zh-CN"/>
              </w:rPr>
            </w:pPr>
            <w:r>
              <w:rPr>
                <w:rFonts w:hint="eastAsia"/>
                <w:color w:val="auto"/>
                <w:vertAlign w:val="baseline"/>
                <w:lang w:val="en-US" w:eastAsia="zh-CN"/>
              </w:rPr>
              <w:t>厂区采用“雨污”分流排水机制，雨水通过雨水排放管道排入东侧G107国道旁排水沟，之后进入横江浦河。生活污水经化粪池处理后用于周边农田施肥。</w:t>
            </w:r>
          </w:p>
          <w:p w14:paraId="616A8C69">
            <w:pPr>
              <w:pStyle w:val="25"/>
              <w:bidi w:val="0"/>
              <w:rPr>
                <w:rFonts w:hint="eastAsia"/>
                <w:color w:val="auto"/>
                <w:vertAlign w:val="baseline"/>
                <w:lang w:val="en-US" w:eastAsia="zh-CN"/>
              </w:rPr>
            </w:pPr>
            <w:r>
              <w:rPr>
                <w:rFonts w:hint="eastAsia"/>
                <w:color w:val="auto"/>
                <w:vertAlign w:val="baseline"/>
                <w:lang w:val="en-US" w:eastAsia="zh-CN"/>
              </w:rPr>
              <w:t>生活污水排放量：按用水量的80%计算，则生活污水排放量为304m</w:t>
            </w:r>
            <w:r>
              <w:rPr>
                <w:rFonts w:hint="eastAsia"/>
                <w:color w:val="auto"/>
                <w:vertAlign w:val="superscript"/>
                <w:lang w:val="en-US" w:eastAsia="zh-CN"/>
              </w:rPr>
              <w:t>3</w:t>
            </w:r>
            <w:r>
              <w:rPr>
                <w:rFonts w:hint="eastAsia"/>
                <w:color w:val="auto"/>
                <w:vertAlign w:val="baseline"/>
                <w:lang w:val="en-US" w:eastAsia="zh-CN"/>
              </w:rPr>
              <w:t>/a，平均1.02m</w:t>
            </w:r>
            <w:r>
              <w:rPr>
                <w:rFonts w:hint="eastAsia"/>
                <w:color w:val="auto"/>
                <w:vertAlign w:val="superscript"/>
                <w:lang w:val="en-US" w:eastAsia="zh-CN"/>
              </w:rPr>
              <w:t>3</w:t>
            </w:r>
            <w:r>
              <w:rPr>
                <w:rFonts w:hint="eastAsia"/>
                <w:color w:val="auto"/>
                <w:vertAlign w:val="baseline"/>
                <w:lang w:val="en-US" w:eastAsia="zh-CN"/>
              </w:rPr>
              <w:t>/d。</w:t>
            </w:r>
          </w:p>
          <w:p w14:paraId="0F63493D">
            <w:pPr>
              <w:pStyle w:val="25"/>
              <w:bidi w:val="0"/>
              <w:ind w:left="0" w:leftChars="0" w:firstLine="0" w:firstLineChars="0"/>
              <w:rPr>
                <w:rFonts w:hint="default"/>
                <w:color w:val="auto"/>
                <w:vertAlign w:val="baseline"/>
                <w:lang w:val="en-US" w:eastAsia="zh-CN"/>
              </w:rPr>
            </w:pPr>
            <w:r>
              <w:rPr>
                <w:rFonts w:hint="default"/>
                <w:color w:val="auto"/>
                <w:vertAlign w:val="baseline"/>
                <w:lang w:val="en-US" w:eastAsia="zh-CN"/>
              </w:rPr>
              <w:object>
                <v:shape id="_x0000_i1025" o:spt="75" type="#_x0000_t75" style="height:46.65pt;width:395.3pt;" o:ole="t" filled="f" o:preferrelative="t" stroked="f" coordsize="21600,21600">
                  <v:path/>
                  <v:fill on="f" focussize="0,0"/>
                  <v:stroke on="f"/>
                  <v:imagedata r:id="rId15" o:title=""/>
                  <o:lock v:ext="edit" aspectratio="f"/>
                  <w10:wrap type="none"/>
                  <w10:anchorlock/>
                </v:shape>
                <o:OLEObject Type="Embed" ProgID="Visio.Drawing.15" ShapeID="_x0000_i1025" DrawAspect="Content" ObjectID="_1468075725" r:id="rId14">
                  <o:LockedField>false</o:LockedField>
                </o:OLEObject>
              </w:object>
            </w:r>
          </w:p>
          <w:p w14:paraId="3FEDD846">
            <w:pPr>
              <w:pStyle w:val="63"/>
              <w:bidi w:val="0"/>
              <w:rPr>
                <w:rFonts w:hint="default"/>
                <w:color w:val="auto"/>
                <w:vertAlign w:val="baseline"/>
                <w:lang w:val="en-US" w:eastAsia="zh-CN"/>
              </w:rPr>
            </w:pPr>
            <w:r>
              <w:rPr>
                <w:rFonts w:hint="eastAsia"/>
                <w:color w:val="auto"/>
                <w:lang w:val="en-US" w:eastAsia="zh-CN"/>
              </w:rPr>
              <w:t>图2-1  项目水平衡图  单位：m</w:t>
            </w:r>
            <w:r>
              <w:rPr>
                <w:rFonts w:hint="eastAsia"/>
                <w:color w:val="auto"/>
                <w:vertAlign w:val="superscript"/>
                <w:lang w:val="en-US" w:eastAsia="zh-CN"/>
              </w:rPr>
              <w:t>3</w:t>
            </w:r>
            <w:r>
              <w:rPr>
                <w:rFonts w:hint="eastAsia"/>
                <w:color w:val="auto"/>
                <w:vertAlign w:val="baseline"/>
                <w:lang w:val="en-US" w:eastAsia="zh-CN"/>
              </w:rPr>
              <w:t>/a</w:t>
            </w:r>
          </w:p>
          <w:p w14:paraId="59190E19">
            <w:pPr>
              <w:pStyle w:val="62"/>
              <w:rPr>
                <w:rFonts w:hint="eastAsia"/>
                <w:color w:val="auto"/>
                <w:lang w:val="en-US" w:eastAsia="zh-CN"/>
              </w:rPr>
            </w:pPr>
          </w:p>
          <w:p w14:paraId="78122083">
            <w:pPr>
              <w:pStyle w:val="62"/>
              <w:rPr>
                <w:rFonts w:hint="eastAsia"/>
                <w:color w:val="auto"/>
                <w:lang w:val="en-US" w:eastAsia="zh-CN"/>
              </w:rPr>
            </w:pPr>
          </w:p>
          <w:p w14:paraId="6C07A516">
            <w:pPr>
              <w:pStyle w:val="62"/>
              <w:rPr>
                <w:rFonts w:hint="eastAsia"/>
                <w:color w:val="auto"/>
                <w:lang w:val="en-US" w:eastAsia="zh-CN"/>
              </w:rPr>
            </w:pPr>
          </w:p>
          <w:p w14:paraId="5504AC0C">
            <w:pPr>
              <w:pStyle w:val="62"/>
              <w:rPr>
                <w:rFonts w:hint="default"/>
                <w:color w:val="auto"/>
                <w:lang w:val="en-US" w:eastAsia="zh-CN"/>
              </w:rPr>
            </w:pPr>
          </w:p>
        </w:tc>
      </w:tr>
      <w:tr w14:paraId="0B3D7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Align w:val="center"/>
          </w:tcPr>
          <w:p w14:paraId="0884FB8A">
            <w:pPr>
              <w:pStyle w:val="26"/>
              <w:rPr>
                <w:color w:val="auto"/>
              </w:rPr>
            </w:pPr>
            <w:r>
              <w:rPr>
                <w:rFonts w:hint="eastAsia"/>
                <w:color w:val="auto"/>
              </w:rPr>
              <w:t>工艺流程和产排污环节</w:t>
            </w:r>
          </w:p>
        </w:tc>
        <w:tc>
          <w:tcPr>
            <w:tcW w:w="8130" w:type="dxa"/>
            <w:gridSpan w:val="2"/>
          </w:tcPr>
          <w:p w14:paraId="70B2824B">
            <w:pPr>
              <w:pStyle w:val="26"/>
              <w:bidi w:val="0"/>
              <w:rPr>
                <w:color w:val="auto"/>
              </w:rPr>
            </w:pPr>
            <w:r>
              <w:rPr>
                <w:color w:val="auto"/>
              </w:rPr>
              <w:object>
                <v:shape id="_x0000_i1026" o:spt="75" type="#_x0000_t75" style="height:248.7pt;width:395.3pt;" o:ole="t" filled="f" o:preferrelative="t" stroked="f" coordsize="21600,21600">
                  <v:path/>
                  <v:fill on="f" focussize="0,0"/>
                  <v:stroke on="f"/>
                  <v:imagedata r:id="rId17" o:title=""/>
                  <o:lock v:ext="edit" aspectratio="f"/>
                  <w10:wrap type="none"/>
                  <w10:anchorlock/>
                </v:shape>
                <o:OLEObject Type="Embed" ProgID="Visio.Drawing.15" ShapeID="_x0000_i1026" DrawAspect="Content" ObjectID="_1468075726" r:id="rId16">
                  <o:LockedField>false</o:LockedField>
                </o:OLEObject>
              </w:object>
            </w:r>
          </w:p>
          <w:p w14:paraId="5C9A5011">
            <w:pPr>
              <w:pStyle w:val="24"/>
              <w:bidi w:val="0"/>
              <w:rPr>
                <w:rFonts w:hint="eastAsia"/>
                <w:color w:val="auto"/>
                <w:lang w:val="en-US" w:eastAsia="zh-CN"/>
              </w:rPr>
            </w:pPr>
            <w:r>
              <w:rPr>
                <w:rFonts w:hint="eastAsia"/>
                <w:color w:val="auto"/>
                <w:lang w:val="en-US" w:eastAsia="zh-CN"/>
              </w:rPr>
              <w:t>图2-2  项目生产工艺流程及产排污环节图</w:t>
            </w:r>
          </w:p>
          <w:p w14:paraId="5199BB18">
            <w:pPr>
              <w:pStyle w:val="25"/>
              <w:rPr>
                <w:rFonts w:hint="eastAsia"/>
                <w:color w:val="auto"/>
                <w:lang w:val="en-US" w:eastAsia="zh-CN"/>
              </w:rPr>
            </w:pPr>
            <w:r>
              <w:rPr>
                <w:rFonts w:hint="eastAsia"/>
                <w:color w:val="auto"/>
                <w:lang w:val="en-US" w:eastAsia="zh-CN"/>
              </w:rPr>
              <w:t>工艺流程简述：</w:t>
            </w:r>
          </w:p>
          <w:p w14:paraId="66A93FF1">
            <w:pPr>
              <w:pStyle w:val="25"/>
              <w:rPr>
                <w:rFonts w:hint="eastAsia"/>
                <w:color w:val="auto"/>
                <w:lang w:val="en-US" w:eastAsia="zh-CN"/>
              </w:rPr>
            </w:pPr>
            <w:r>
              <w:rPr>
                <w:rFonts w:hint="eastAsia"/>
                <w:color w:val="auto"/>
                <w:lang w:val="en-US" w:eastAsia="zh-CN"/>
              </w:rPr>
              <w:t>（1）液化石油气入罐：从液化石油气厂家采购液化石油气，通过罐车运输至厂区，进入卸料区，通过卸料泵将液化石油气泵入50立方米的液化石油气储罐贮存；</w:t>
            </w:r>
          </w:p>
          <w:p w14:paraId="3D84D727">
            <w:pPr>
              <w:pStyle w:val="25"/>
              <w:rPr>
                <w:rFonts w:hint="eastAsia"/>
                <w:color w:val="auto"/>
                <w:lang w:val="en-US" w:eastAsia="zh-CN"/>
              </w:rPr>
            </w:pPr>
            <w:r>
              <w:rPr>
                <w:rFonts w:hint="eastAsia"/>
                <w:color w:val="auto"/>
                <w:lang w:val="en-US" w:eastAsia="zh-CN"/>
              </w:rPr>
              <w:t>（2）空钢瓶处理：液化石油气分销店回收的空瓶通过汽运进入厂区后卸货，由充装工人搬运至残液倒空架，开盖倒空残液，通过残液泵泵入残液罐内暂存，定期委托有资质单位收集处置；</w:t>
            </w:r>
          </w:p>
          <w:p w14:paraId="48EB81C5">
            <w:pPr>
              <w:pStyle w:val="25"/>
              <w:rPr>
                <w:rFonts w:hint="eastAsia"/>
                <w:color w:val="auto"/>
                <w:lang w:val="en-US" w:eastAsia="zh-CN"/>
              </w:rPr>
            </w:pPr>
            <w:r>
              <w:rPr>
                <w:rFonts w:hint="eastAsia"/>
                <w:color w:val="auto"/>
                <w:lang w:val="en-US" w:eastAsia="zh-CN"/>
              </w:rPr>
              <w:t>（3）液化石油气充装：倒空后的空瓶，进行称重，之后采用万向管充装系统进行液化石油气充装，充满后再次称重，无问题后装车外运至液化石油气分销店进行分销。</w:t>
            </w:r>
          </w:p>
          <w:p w14:paraId="167724C1">
            <w:pPr>
              <w:pStyle w:val="24"/>
              <w:bidi w:val="0"/>
              <w:rPr>
                <w:rFonts w:hint="eastAsia"/>
                <w:color w:val="auto"/>
                <w:lang w:val="en-US" w:eastAsia="zh-CN"/>
              </w:rPr>
            </w:pPr>
            <w:r>
              <w:rPr>
                <w:rFonts w:hint="eastAsia"/>
                <w:color w:val="auto"/>
                <w:lang w:val="en-US" w:eastAsia="zh-CN"/>
              </w:rPr>
              <w:t>表2-7  产排污节点表</w:t>
            </w:r>
          </w:p>
          <w:tbl>
            <w:tblPr>
              <w:tblStyle w:val="19"/>
              <w:tblW w:w="79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8"/>
              <w:gridCol w:w="2012"/>
              <w:gridCol w:w="1838"/>
              <w:gridCol w:w="3176"/>
            </w:tblGrid>
            <w:tr w14:paraId="2D2C0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88" w:type="dxa"/>
                  <w:vAlign w:val="center"/>
                </w:tcPr>
                <w:p w14:paraId="5A81B521">
                  <w:pPr>
                    <w:pStyle w:val="26"/>
                    <w:bidi w:val="0"/>
                    <w:jc w:val="center"/>
                    <w:rPr>
                      <w:rFonts w:hint="default"/>
                      <w:color w:val="auto"/>
                      <w:lang w:val="en-US" w:eastAsia="zh-CN"/>
                    </w:rPr>
                  </w:pPr>
                  <w:r>
                    <w:rPr>
                      <w:rFonts w:hint="eastAsia"/>
                      <w:color w:val="auto"/>
                      <w:lang w:val="en-US" w:eastAsia="zh-CN"/>
                    </w:rPr>
                    <w:t>类型</w:t>
                  </w:r>
                </w:p>
              </w:tc>
              <w:tc>
                <w:tcPr>
                  <w:tcW w:w="2012" w:type="dxa"/>
                  <w:vAlign w:val="center"/>
                </w:tcPr>
                <w:p w14:paraId="1E92BCDE">
                  <w:pPr>
                    <w:pStyle w:val="26"/>
                    <w:bidi w:val="0"/>
                    <w:jc w:val="center"/>
                    <w:rPr>
                      <w:rFonts w:hint="default"/>
                      <w:color w:val="auto"/>
                      <w:lang w:val="en-US" w:eastAsia="zh-CN"/>
                    </w:rPr>
                  </w:pPr>
                  <w:r>
                    <w:rPr>
                      <w:rFonts w:hint="eastAsia"/>
                      <w:color w:val="auto"/>
                      <w:lang w:val="en-US" w:eastAsia="zh-CN"/>
                    </w:rPr>
                    <w:t>工艺环节</w:t>
                  </w:r>
                </w:p>
              </w:tc>
              <w:tc>
                <w:tcPr>
                  <w:tcW w:w="1838" w:type="dxa"/>
                  <w:vAlign w:val="center"/>
                </w:tcPr>
                <w:p w14:paraId="1866E897">
                  <w:pPr>
                    <w:pStyle w:val="26"/>
                    <w:bidi w:val="0"/>
                    <w:jc w:val="center"/>
                    <w:rPr>
                      <w:rFonts w:hint="default"/>
                      <w:color w:val="auto"/>
                      <w:lang w:val="en-US" w:eastAsia="zh-CN"/>
                    </w:rPr>
                  </w:pPr>
                  <w:r>
                    <w:rPr>
                      <w:rFonts w:hint="eastAsia"/>
                      <w:color w:val="auto"/>
                      <w:lang w:val="en-US" w:eastAsia="zh-CN"/>
                    </w:rPr>
                    <w:t>污染物</w:t>
                  </w:r>
                </w:p>
              </w:tc>
              <w:tc>
                <w:tcPr>
                  <w:tcW w:w="3176" w:type="dxa"/>
                  <w:vAlign w:val="center"/>
                </w:tcPr>
                <w:p w14:paraId="68805CD2">
                  <w:pPr>
                    <w:pStyle w:val="26"/>
                    <w:bidi w:val="0"/>
                    <w:jc w:val="center"/>
                    <w:rPr>
                      <w:rFonts w:hint="default"/>
                      <w:color w:val="auto"/>
                      <w:lang w:val="en-US" w:eastAsia="zh-CN"/>
                    </w:rPr>
                  </w:pPr>
                  <w:r>
                    <w:rPr>
                      <w:rFonts w:hint="eastAsia"/>
                      <w:color w:val="auto"/>
                      <w:lang w:val="en-US" w:eastAsia="zh-CN"/>
                    </w:rPr>
                    <w:t>处理及排放方式</w:t>
                  </w:r>
                </w:p>
              </w:tc>
            </w:tr>
            <w:tr w14:paraId="71215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restart"/>
                  <w:vAlign w:val="center"/>
                </w:tcPr>
                <w:p w14:paraId="5F00DE7E">
                  <w:pPr>
                    <w:pStyle w:val="26"/>
                    <w:bidi w:val="0"/>
                    <w:jc w:val="center"/>
                    <w:rPr>
                      <w:rFonts w:hint="default"/>
                      <w:color w:val="auto"/>
                      <w:lang w:val="en-US" w:eastAsia="zh-CN"/>
                    </w:rPr>
                  </w:pPr>
                  <w:r>
                    <w:rPr>
                      <w:rFonts w:hint="eastAsia"/>
                      <w:color w:val="auto"/>
                      <w:lang w:val="en-US" w:eastAsia="zh-CN"/>
                    </w:rPr>
                    <w:t>废气</w:t>
                  </w:r>
                </w:p>
              </w:tc>
              <w:tc>
                <w:tcPr>
                  <w:tcW w:w="2012" w:type="dxa"/>
                  <w:vAlign w:val="center"/>
                </w:tcPr>
                <w:p w14:paraId="41E67A39">
                  <w:pPr>
                    <w:pStyle w:val="26"/>
                    <w:bidi w:val="0"/>
                    <w:jc w:val="center"/>
                    <w:rPr>
                      <w:rFonts w:hint="default"/>
                      <w:color w:val="auto"/>
                      <w:lang w:val="en-US" w:eastAsia="zh-CN"/>
                    </w:rPr>
                  </w:pPr>
                  <w:r>
                    <w:rPr>
                      <w:rFonts w:hint="eastAsia"/>
                      <w:color w:val="auto"/>
                      <w:lang w:val="en-US" w:eastAsia="zh-CN"/>
                    </w:rPr>
                    <w:t>汽车运输</w:t>
                  </w:r>
                </w:p>
              </w:tc>
              <w:tc>
                <w:tcPr>
                  <w:tcW w:w="1838" w:type="dxa"/>
                  <w:vAlign w:val="center"/>
                </w:tcPr>
                <w:p w14:paraId="7B2E9CBA">
                  <w:pPr>
                    <w:pStyle w:val="26"/>
                    <w:bidi w:val="0"/>
                    <w:jc w:val="center"/>
                    <w:rPr>
                      <w:rFonts w:hint="default"/>
                      <w:color w:val="auto"/>
                      <w:vertAlign w:val="baseline"/>
                      <w:lang w:val="en-US" w:eastAsia="zh-CN"/>
                    </w:rPr>
                  </w:pPr>
                  <w:r>
                    <w:rPr>
                      <w:rFonts w:hint="eastAsia"/>
                      <w:color w:val="auto"/>
                      <w:lang w:val="en-US" w:eastAsia="zh-CN"/>
                    </w:rPr>
                    <w:t>CO、NO</w:t>
                  </w:r>
                  <w:r>
                    <w:rPr>
                      <w:rFonts w:hint="eastAsia"/>
                      <w:color w:val="auto"/>
                      <w:vertAlign w:val="subscript"/>
                      <w:lang w:val="en-US" w:eastAsia="zh-CN"/>
                    </w:rPr>
                    <w:t>x</w:t>
                  </w:r>
                  <w:r>
                    <w:rPr>
                      <w:rFonts w:hint="eastAsia"/>
                      <w:color w:val="auto"/>
                      <w:vertAlign w:val="baseline"/>
                      <w:lang w:val="en-US" w:eastAsia="zh-CN"/>
                    </w:rPr>
                    <w:t>、TSP</w:t>
                  </w:r>
                </w:p>
              </w:tc>
              <w:tc>
                <w:tcPr>
                  <w:tcW w:w="3176" w:type="dxa"/>
                  <w:vAlign w:val="center"/>
                </w:tcPr>
                <w:p w14:paraId="09D8FE6D">
                  <w:pPr>
                    <w:pStyle w:val="26"/>
                    <w:bidi w:val="0"/>
                    <w:jc w:val="center"/>
                    <w:rPr>
                      <w:rFonts w:hint="default"/>
                      <w:color w:val="auto"/>
                      <w:lang w:val="en-US" w:eastAsia="zh-CN"/>
                    </w:rPr>
                  </w:pPr>
                  <w:r>
                    <w:rPr>
                      <w:rFonts w:hint="eastAsia"/>
                      <w:color w:val="auto"/>
                      <w:lang w:val="en-US" w:eastAsia="zh-CN"/>
                    </w:rPr>
                    <w:t>无组织排放，厂内限速</w:t>
                  </w:r>
                </w:p>
              </w:tc>
            </w:tr>
            <w:tr w14:paraId="66339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4E8B5534">
                  <w:pPr>
                    <w:pStyle w:val="26"/>
                    <w:bidi w:val="0"/>
                    <w:jc w:val="center"/>
                    <w:rPr>
                      <w:rFonts w:hint="default"/>
                      <w:color w:val="auto"/>
                      <w:lang w:val="en-US" w:eastAsia="zh-CN"/>
                    </w:rPr>
                  </w:pPr>
                </w:p>
              </w:tc>
              <w:tc>
                <w:tcPr>
                  <w:tcW w:w="2012" w:type="dxa"/>
                  <w:vAlign w:val="center"/>
                </w:tcPr>
                <w:p w14:paraId="120F4A02">
                  <w:pPr>
                    <w:pStyle w:val="26"/>
                    <w:bidi w:val="0"/>
                    <w:jc w:val="center"/>
                    <w:rPr>
                      <w:rFonts w:hint="default"/>
                      <w:color w:val="auto"/>
                      <w:lang w:val="en-US" w:eastAsia="zh-CN"/>
                    </w:rPr>
                  </w:pPr>
                  <w:r>
                    <w:rPr>
                      <w:rFonts w:hint="eastAsia"/>
                      <w:color w:val="auto"/>
                      <w:lang w:val="en-US" w:eastAsia="zh-CN"/>
                    </w:rPr>
                    <w:t>液化气入罐、贮存、液化气充装等</w:t>
                  </w:r>
                </w:p>
              </w:tc>
              <w:tc>
                <w:tcPr>
                  <w:tcW w:w="1838" w:type="dxa"/>
                  <w:vAlign w:val="center"/>
                </w:tcPr>
                <w:p w14:paraId="03BCC074">
                  <w:pPr>
                    <w:pStyle w:val="26"/>
                    <w:bidi w:val="0"/>
                    <w:jc w:val="center"/>
                    <w:rPr>
                      <w:rFonts w:hint="default"/>
                      <w:color w:val="auto"/>
                      <w:lang w:val="en-US" w:eastAsia="zh-CN"/>
                    </w:rPr>
                  </w:pPr>
                  <w:r>
                    <w:rPr>
                      <w:rFonts w:hint="eastAsia"/>
                      <w:color w:val="auto"/>
                      <w:lang w:val="en-US" w:eastAsia="zh-CN"/>
                    </w:rPr>
                    <w:t>VOCs</w:t>
                  </w:r>
                </w:p>
              </w:tc>
              <w:tc>
                <w:tcPr>
                  <w:tcW w:w="3176" w:type="dxa"/>
                  <w:vAlign w:val="center"/>
                </w:tcPr>
                <w:p w14:paraId="7281E0F0">
                  <w:pPr>
                    <w:pStyle w:val="26"/>
                    <w:bidi w:val="0"/>
                    <w:jc w:val="center"/>
                    <w:rPr>
                      <w:rFonts w:hint="default"/>
                      <w:color w:val="auto"/>
                      <w:lang w:val="en-US" w:eastAsia="zh-CN"/>
                    </w:rPr>
                  </w:pPr>
                  <w:r>
                    <w:rPr>
                      <w:rFonts w:hint="eastAsia"/>
                      <w:color w:val="auto"/>
                      <w:lang w:val="en-US" w:eastAsia="zh-CN"/>
                    </w:rPr>
                    <w:t>项目储罐为高压储罐，大小呼吸废气量极低，可忽略不计，主要存在设备动静密封点泄漏废气，通过定期检测，降低废气泄漏</w:t>
                  </w:r>
                </w:p>
              </w:tc>
            </w:tr>
            <w:tr w14:paraId="6AF94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555EE8E2">
                  <w:pPr>
                    <w:pStyle w:val="26"/>
                    <w:bidi w:val="0"/>
                    <w:jc w:val="center"/>
                    <w:rPr>
                      <w:rFonts w:hint="default"/>
                      <w:color w:val="auto"/>
                      <w:lang w:val="en-US" w:eastAsia="zh-CN"/>
                    </w:rPr>
                  </w:pPr>
                </w:p>
              </w:tc>
              <w:tc>
                <w:tcPr>
                  <w:tcW w:w="2012" w:type="dxa"/>
                  <w:vAlign w:val="center"/>
                </w:tcPr>
                <w:p w14:paraId="10E7CCF6">
                  <w:pPr>
                    <w:pStyle w:val="26"/>
                    <w:bidi w:val="0"/>
                    <w:jc w:val="center"/>
                    <w:rPr>
                      <w:rFonts w:hint="default"/>
                      <w:color w:val="auto"/>
                      <w:lang w:val="en-US" w:eastAsia="zh-CN"/>
                    </w:rPr>
                  </w:pPr>
                  <w:r>
                    <w:rPr>
                      <w:rFonts w:hint="eastAsia"/>
                      <w:color w:val="auto"/>
                      <w:lang w:val="en-US" w:eastAsia="zh-CN"/>
                    </w:rPr>
                    <w:t>倒残液</w:t>
                  </w:r>
                </w:p>
              </w:tc>
              <w:tc>
                <w:tcPr>
                  <w:tcW w:w="1838" w:type="dxa"/>
                  <w:vAlign w:val="center"/>
                </w:tcPr>
                <w:p w14:paraId="5BD34C4A">
                  <w:pPr>
                    <w:pStyle w:val="26"/>
                    <w:bidi w:val="0"/>
                    <w:jc w:val="center"/>
                    <w:rPr>
                      <w:rFonts w:hint="default"/>
                      <w:color w:val="auto"/>
                      <w:lang w:val="en-US" w:eastAsia="zh-CN"/>
                    </w:rPr>
                  </w:pPr>
                  <w:r>
                    <w:rPr>
                      <w:rFonts w:hint="eastAsia"/>
                      <w:color w:val="auto"/>
                      <w:lang w:val="en-US" w:eastAsia="zh-CN"/>
                    </w:rPr>
                    <w:t>VOCs</w:t>
                  </w:r>
                </w:p>
              </w:tc>
              <w:tc>
                <w:tcPr>
                  <w:tcW w:w="3176" w:type="dxa"/>
                  <w:vAlign w:val="center"/>
                </w:tcPr>
                <w:p w14:paraId="553E8F21">
                  <w:pPr>
                    <w:pStyle w:val="26"/>
                    <w:bidi w:val="0"/>
                    <w:jc w:val="center"/>
                    <w:rPr>
                      <w:rFonts w:hint="default"/>
                      <w:color w:val="auto"/>
                      <w:lang w:val="en-US" w:eastAsia="zh-CN"/>
                    </w:rPr>
                  </w:pPr>
                  <w:r>
                    <w:rPr>
                      <w:rFonts w:hint="eastAsia"/>
                      <w:color w:val="auto"/>
                      <w:lang w:val="en-US" w:eastAsia="zh-CN"/>
                    </w:rPr>
                    <w:t>设备密封，降低VOCs废气排放</w:t>
                  </w:r>
                </w:p>
              </w:tc>
            </w:tr>
            <w:tr w14:paraId="6879B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Align w:val="center"/>
                </w:tcPr>
                <w:p w14:paraId="2F7817F8">
                  <w:pPr>
                    <w:pStyle w:val="26"/>
                    <w:bidi w:val="0"/>
                    <w:jc w:val="center"/>
                    <w:rPr>
                      <w:rFonts w:hint="default"/>
                      <w:color w:val="auto"/>
                      <w:lang w:val="en-US" w:eastAsia="zh-CN"/>
                    </w:rPr>
                  </w:pPr>
                  <w:r>
                    <w:rPr>
                      <w:rFonts w:hint="eastAsia"/>
                      <w:color w:val="auto"/>
                      <w:lang w:val="en-US" w:eastAsia="zh-CN"/>
                    </w:rPr>
                    <w:t>废水</w:t>
                  </w:r>
                </w:p>
              </w:tc>
              <w:tc>
                <w:tcPr>
                  <w:tcW w:w="2012" w:type="dxa"/>
                  <w:vAlign w:val="center"/>
                </w:tcPr>
                <w:p w14:paraId="3E063A4F">
                  <w:pPr>
                    <w:pStyle w:val="26"/>
                    <w:bidi w:val="0"/>
                    <w:jc w:val="center"/>
                    <w:rPr>
                      <w:rFonts w:hint="default"/>
                      <w:color w:val="auto"/>
                      <w:lang w:val="en-US" w:eastAsia="zh-CN"/>
                    </w:rPr>
                  </w:pPr>
                  <w:r>
                    <w:rPr>
                      <w:rFonts w:hint="eastAsia"/>
                      <w:color w:val="auto"/>
                      <w:lang w:val="en-US" w:eastAsia="zh-CN"/>
                    </w:rPr>
                    <w:t>生活污水</w:t>
                  </w:r>
                </w:p>
              </w:tc>
              <w:tc>
                <w:tcPr>
                  <w:tcW w:w="1838" w:type="dxa"/>
                  <w:vAlign w:val="center"/>
                </w:tcPr>
                <w:p w14:paraId="639E4C2A">
                  <w:pPr>
                    <w:pStyle w:val="26"/>
                    <w:bidi w:val="0"/>
                    <w:jc w:val="center"/>
                    <w:rPr>
                      <w:rFonts w:hint="default"/>
                      <w:color w:val="auto"/>
                      <w:lang w:val="en-US" w:eastAsia="zh-CN"/>
                    </w:rPr>
                  </w:pPr>
                  <w:r>
                    <w:rPr>
                      <w:rFonts w:hint="eastAsia"/>
                      <w:color w:val="auto"/>
                      <w:lang w:val="en-US" w:eastAsia="zh-CN"/>
                    </w:rPr>
                    <w:t>COD、氨氮等</w:t>
                  </w:r>
                </w:p>
              </w:tc>
              <w:tc>
                <w:tcPr>
                  <w:tcW w:w="3176" w:type="dxa"/>
                  <w:vAlign w:val="center"/>
                </w:tcPr>
                <w:p w14:paraId="23285133">
                  <w:pPr>
                    <w:pStyle w:val="26"/>
                    <w:bidi w:val="0"/>
                    <w:jc w:val="center"/>
                    <w:rPr>
                      <w:rFonts w:hint="default"/>
                      <w:color w:val="auto"/>
                      <w:lang w:val="en-US" w:eastAsia="zh-CN"/>
                    </w:rPr>
                  </w:pPr>
                  <w:r>
                    <w:rPr>
                      <w:rFonts w:hint="eastAsia"/>
                      <w:color w:val="auto"/>
                      <w:lang w:val="en-US" w:eastAsia="zh-CN"/>
                    </w:rPr>
                    <w:t>化粪池处理后用于周边农田施肥</w:t>
                  </w:r>
                </w:p>
              </w:tc>
            </w:tr>
            <w:tr w14:paraId="6B45E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Align w:val="center"/>
                </w:tcPr>
                <w:p w14:paraId="15D6A99D">
                  <w:pPr>
                    <w:pStyle w:val="26"/>
                    <w:bidi w:val="0"/>
                    <w:jc w:val="center"/>
                    <w:rPr>
                      <w:rFonts w:hint="default"/>
                      <w:color w:val="auto"/>
                      <w:lang w:val="en-US" w:eastAsia="zh-CN"/>
                    </w:rPr>
                  </w:pPr>
                  <w:r>
                    <w:rPr>
                      <w:rFonts w:hint="eastAsia"/>
                      <w:color w:val="auto"/>
                      <w:lang w:val="en-US" w:eastAsia="zh-CN"/>
                    </w:rPr>
                    <w:t>噪声</w:t>
                  </w:r>
                </w:p>
              </w:tc>
              <w:tc>
                <w:tcPr>
                  <w:tcW w:w="2012" w:type="dxa"/>
                  <w:vAlign w:val="center"/>
                </w:tcPr>
                <w:p w14:paraId="76224903">
                  <w:pPr>
                    <w:pStyle w:val="26"/>
                    <w:bidi w:val="0"/>
                    <w:jc w:val="center"/>
                    <w:rPr>
                      <w:rFonts w:hint="default"/>
                      <w:color w:val="auto"/>
                      <w:lang w:val="en-US" w:eastAsia="zh-CN"/>
                    </w:rPr>
                  </w:pPr>
                  <w:r>
                    <w:rPr>
                      <w:rFonts w:hint="eastAsia"/>
                      <w:color w:val="auto"/>
                      <w:lang w:val="en-US" w:eastAsia="zh-CN"/>
                    </w:rPr>
                    <w:t>设备噪声</w:t>
                  </w:r>
                </w:p>
              </w:tc>
              <w:tc>
                <w:tcPr>
                  <w:tcW w:w="1838" w:type="dxa"/>
                  <w:vAlign w:val="center"/>
                </w:tcPr>
                <w:p w14:paraId="5775C304">
                  <w:pPr>
                    <w:pStyle w:val="26"/>
                    <w:bidi w:val="0"/>
                    <w:jc w:val="center"/>
                    <w:rPr>
                      <w:rFonts w:hint="default"/>
                      <w:color w:val="auto"/>
                      <w:lang w:val="en-US" w:eastAsia="zh-CN"/>
                    </w:rPr>
                  </w:pPr>
                  <w:r>
                    <w:rPr>
                      <w:rFonts w:hint="eastAsia"/>
                      <w:color w:val="auto"/>
                      <w:lang w:val="en-US" w:eastAsia="zh-CN"/>
                    </w:rPr>
                    <w:t>LeqA</w:t>
                  </w:r>
                </w:p>
              </w:tc>
              <w:tc>
                <w:tcPr>
                  <w:tcW w:w="3176" w:type="dxa"/>
                  <w:vAlign w:val="center"/>
                </w:tcPr>
                <w:p w14:paraId="642BCD87">
                  <w:pPr>
                    <w:pStyle w:val="26"/>
                    <w:bidi w:val="0"/>
                    <w:jc w:val="center"/>
                    <w:rPr>
                      <w:rFonts w:hint="default"/>
                      <w:color w:val="auto"/>
                      <w:lang w:val="en-US" w:eastAsia="zh-CN"/>
                    </w:rPr>
                  </w:pPr>
                  <w:r>
                    <w:rPr>
                      <w:rFonts w:hint="eastAsia"/>
                      <w:color w:val="auto"/>
                      <w:lang w:val="en-US" w:eastAsia="zh-CN"/>
                    </w:rPr>
                    <w:t>通过基础减振、建筑降噪、厂区绿化、厂区四周设置围墙等方式降低噪声排放</w:t>
                  </w:r>
                </w:p>
              </w:tc>
            </w:tr>
            <w:tr w14:paraId="0B0F9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restart"/>
                  <w:vAlign w:val="center"/>
                </w:tcPr>
                <w:p w14:paraId="63C65810">
                  <w:pPr>
                    <w:pStyle w:val="26"/>
                    <w:bidi w:val="0"/>
                    <w:jc w:val="center"/>
                    <w:rPr>
                      <w:rFonts w:hint="default"/>
                      <w:color w:val="auto"/>
                      <w:lang w:val="en-US" w:eastAsia="zh-CN"/>
                    </w:rPr>
                  </w:pPr>
                  <w:r>
                    <w:rPr>
                      <w:rFonts w:hint="eastAsia"/>
                      <w:color w:val="auto"/>
                      <w:lang w:val="en-US" w:eastAsia="zh-CN"/>
                    </w:rPr>
                    <w:t>固废</w:t>
                  </w:r>
                </w:p>
              </w:tc>
              <w:tc>
                <w:tcPr>
                  <w:tcW w:w="2012" w:type="dxa"/>
                  <w:vAlign w:val="center"/>
                </w:tcPr>
                <w:p w14:paraId="7525A7B2">
                  <w:pPr>
                    <w:pStyle w:val="26"/>
                    <w:bidi w:val="0"/>
                    <w:jc w:val="center"/>
                    <w:rPr>
                      <w:rFonts w:hint="default"/>
                      <w:color w:val="auto"/>
                      <w:lang w:val="en-US" w:eastAsia="zh-CN"/>
                    </w:rPr>
                  </w:pPr>
                  <w:r>
                    <w:rPr>
                      <w:rFonts w:hint="eastAsia"/>
                      <w:color w:val="auto"/>
                      <w:lang w:val="en-US" w:eastAsia="zh-CN"/>
                    </w:rPr>
                    <w:t>倒残液</w:t>
                  </w:r>
                </w:p>
              </w:tc>
              <w:tc>
                <w:tcPr>
                  <w:tcW w:w="1838" w:type="dxa"/>
                  <w:vAlign w:val="center"/>
                </w:tcPr>
                <w:p w14:paraId="02EE855A">
                  <w:pPr>
                    <w:pStyle w:val="26"/>
                    <w:bidi w:val="0"/>
                    <w:jc w:val="center"/>
                    <w:rPr>
                      <w:rFonts w:hint="default"/>
                      <w:color w:val="auto"/>
                      <w:lang w:val="en-US" w:eastAsia="zh-CN"/>
                    </w:rPr>
                  </w:pPr>
                  <w:r>
                    <w:rPr>
                      <w:rFonts w:hint="eastAsia"/>
                      <w:color w:val="auto"/>
                      <w:lang w:val="en-US" w:eastAsia="zh-CN"/>
                    </w:rPr>
                    <w:t>残液</w:t>
                  </w:r>
                </w:p>
              </w:tc>
              <w:tc>
                <w:tcPr>
                  <w:tcW w:w="3176" w:type="dxa"/>
                  <w:vAlign w:val="center"/>
                </w:tcPr>
                <w:p w14:paraId="05D77130">
                  <w:pPr>
                    <w:pStyle w:val="26"/>
                    <w:bidi w:val="0"/>
                    <w:jc w:val="center"/>
                    <w:rPr>
                      <w:rFonts w:hint="default"/>
                      <w:color w:val="auto"/>
                      <w:lang w:val="en-US" w:eastAsia="zh-CN"/>
                    </w:rPr>
                  </w:pPr>
                  <w:r>
                    <w:rPr>
                      <w:rFonts w:hint="eastAsia"/>
                      <w:color w:val="auto"/>
                      <w:lang w:val="en-US" w:eastAsia="zh-CN"/>
                    </w:rPr>
                    <w:t>残液罐暂存，委托有资质单位定期收集处置</w:t>
                  </w:r>
                </w:p>
              </w:tc>
            </w:tr>
            <w:tr w14:paraId="3F74E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1985D01D">
                  <w:pPr>
                    <w:pStyle w:val="26"/>
                    <w:bidi w:val="0"/>
                    <w:jc w:val="center"/>
                    <w:rPr>
                      <w:rFonts w:hint="eastAsia"/>
                      <w:color w:val="auto"/>
                      <w:lang w:val="en-US" w:eastAsia="zh-CN"/>
                    </w:rPr>
                  </w:pPr>
                </w:p>
              </w:tc>
              <w:tc>
                <w:tcPr>
                  <w:tcW w:w="2012" w:type="dxa"/>
                  <w:vAlign w:val="center"/>
                </w:tcPr>
                <w:p w14:paraId="3F241CE5">
                  <w:pPr>
                    <w:pStyle w:val="26"/>
                    <w:bidi w:val="0"/>
                    <w:jc w:val="center"/>
                    <w:rPr>
                      <w:rFonts w:hint="default"/>
                      <w:color w:val="auto"/>
                      <w:lang w:val="en-US" w:eastAsia="zh-CN"/>
                    </w:rPr>
                  </w:pPr>
                  <w:r>
                    <w:rPr>
                      <w:rFonts w:hint="eastAsia"/>
                      <w:color w:val="auto"/>
                      <w:lang w:val="en-US" w:eastAsia="zh-CN"/>
                    </w:rPr>
                    <w:t>员工办公生活</w:t>
                  </w:r>
                </w:p>
              </w:tc>
              <w:tc>
                <w:tcPr>
                  <w:tcW w:w="1838" w:type="dxa"/>
                  <w:vAlign w:val="center"/>
                </w:tcPr>
                <w:p w14:paraId="2CD64A22">
                  <w:pPr>
                    <w:pStyle w:val="26"/>
                    <w:bidi w:val="0"/>
                    <w:jc w:val="center"/>
                    <w:rPr>
                      <w:rFonts w:hint="default"/>
                      <w:color w:val="auto"/>
                      <w:lang w:val="en-US" w:eastAsia="zh-CN"/>
                    </w:rPr>
                  </w:pPr>
                  <w:r>
                    <w:rPr>
                      <w:rFonts w:hint="eastAsia"/>
                      <w:color w:val="auto"/>
                      <w:lang w:val="en-US" w:eastAsia="zh-CN"/>
                    </w:rPr>
                    <w:t>生活垃圾</w:t>
                  </w:r>
                </w:p>
              </w:tc>
              <w:tc>
                <w:tcPr>
                  <w:tcW w:w="3176" w:type="dxa"/>
                  <w:vAlign w:val="center"/>
                </w:tcPr>
                <w:p w14:paraId="2C0D1B2F">
                  <w:pPr>
                    <w:pStyle w:val="26"/>
                    <w:bidi w:val="0"/>
                    <w:jc w:val="center"/>
                    <w:rPr>
                      <w:rFonts w:hint="default"/>
                      <w:color w:val="auto"/>
                      <w:lang w:val="en-US" w:eastAsia="zh-CN"/>
                    </w:rPr>
                  </w:pPr>
                  <w:r>
                    <w:rPr>
                      <w:rFonts w:hint="eastAsia"/>
                      <w:color w:val="auto"/>
                      <w:lang w:val="en-US" w:eastAsia="zh-CN"/>
                    </w:rPr>
                    <w:t>分类垃圾桶收集后委托环卫部门处置</w:t>
                  </w:r>
                </w:p>
              </w:tc>
            </w:tr>
          </w:tbl>
          <w:p w14:paraId="6F16883B">
            <w:pPr>
              <w:pStyle w:val="25"/>
              <w:rPr>
                <w:rFonts w:hint="default"/>
                <w:color w:val="auto"/>
                <w:lang w:val="en-US" w:eastAsia="zh-CN"/>
              </w:rPr>
            </w:pPr>
          </w:p>
        </w:tc>
      </w:tr>
      <w:tr w14:paraId="37BD1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0" w:type="dxa"/>
            <w:gridSpan w:val="2"/>
            <w:vAlign w:val="center"/>
          </w:tcPr>
          <w:p w14:paraId="1DC1273B">
            <w:pPr>
              <w:pStyle w:val="26"/>
              <w:rPr>
                <w:color w:val="auto"/>
              </w:rPr>
            </w:pPr>
            <w:r>
              <w:rPr>
                <w:rFonts w:hint="eastAsia"/>
                <w:color w:val="auto"/>
              </w:rPr>
              <w:t>与项目有关的原有环境污染问题</w:t>
            </w:r>
          </w:p>
        </w:tc>
        <w:tc>
          <w:tcPr>
            <w:tcW w:w="7442" w:type="dxa"/>
          </w:tcPr>
          <w:p w14:paraId="160ACF3D">
            <w:pPr>
              <w:pStyle w:val="25"/>
              <w:ind w:firstLine="480"/>
              <w:rPr>
                <w:rFonts w:hint="eastAsia"/>
                <w:color w:val="auto"/>
                <w:lang w:val="en-US" w:eastAsia="zh-CN"/>
              </w:rPr>
            </w:pPr>
            <w:r>
              <w:rPr>
                <w:rFonts w:hint="eastAsia"/>
                <w:color w:val="auto"/>
                <w:lang w:val="en-US" w:eastAsia="zh-CN"/>
              </w:rPr>
              <w:t>本项目为新建项目，项目建设前地块为空地，项目建设前地块无与本项目有关的原有环境污染问题。</w:t>
            </w:r>
          </w:p>
          <w:p w14:paraId="1F368C86">
            <w:pPr>
              <w:pStyle w:val="25"/>
              <w:ind w:firstLine="480"/>
              <w:rPr>
                <w:rFonts w:hint="default"/>
                <w:color w:val="auto"/>
                <w:lang w:val="en-US" w:eastAsia="zh-CN"/>
              </w:rPr>
            </w:pPr>
            <w:r>
              <w:rPr>
                <w:rFonts w:hint="eastAsia"/>
                <w:color w:val="auto"/>
                <w:lang w:val="en-US" w:eastAsia="zh-CN"/>
              </w:rPr>
              <w:t>本项目属于“未批先建”项目，项目已建成研发楼和分析实验楼的建筑主体结构，尚未进行装修和设备安装，根据现场调查，未发现施工期环境问题，项目施工期未受到环保投诉及处罚。</w:t>
            </w:r>
          </w:p>
        </w:tc>
      </w:tr>
    </w:tbl>
    <w:p w14:paraId="1A488B33">
      <w:pPr>
        <w:pStyle w:val="25"/>
        <w:ind w:firstLine="0" w:firstLineChars="0"/>
        <w:sectPr>
          <w:pgSz w:w="11906" w:h="16838"/>
          <w:pgMar w:top="1440" w:right="1800" w:bottom="1440" w:left="1800" w:header="851" w:footer="992" w:gutter="0"/>
          <w:cols w:space="425" w:num="1"/>
          <w:docGrid w:type="lines" w:linePitch="312" w:charSpace="0"/>
        </w:sectPr>
      </w:pPr>
    </w:p>
    <w:p w14:paraId="79CEA444">
      <w:pPr>
        <w:pStyle w:val="29"/>
      </w:pPr>
      <w:bookmarkStart w:id="2" w:name="_Toc18666"/>
      <w:r>
        <w:rPr>
          <w:rFonts w:hint="eastAsia"/>
        </w:rPr>
        <w:t>三、区域环境质量现状、环境保护目标及评价标准</w:t>
      </w:r>
      <w:bookmarkEnd w:id="2"/>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3"/>
        <w:gridCol w:w="8099"/>
      </w:tblGrid>
      <w:tr w14:paraId="762AA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92" w:type="dxa"/>
            <w:vAlign w:val="center"/>
          </w:tcPr>
          <w:p w14:paraId="5694AC71">
            <w:pPr>
              <w:pStyle w:val="26"/>
            </w:pPr>
            <w:r>
              <w:rPr>
                <w:rFonts w:hint="eastAsia"/>
              </w:rPr>
              <w:t>区域环境质量现状</w:t>
            </w:r>
          </w:p>
        </w:tc>
        <w:tc>
          <w:tcPr>
            <w:tcW w:w="8130" w:type="dxa"/>
          </w:tcPr>
          <w:p w14:paraId="20A85DFE">
            <w:pPr>
              <w:pStyle w:val="25"/>
              <w:ind w:firstLine="480"/>
              <w:rPr>
                <w:rFonts w:hint="eastAsia"/>
                <w:lang w:val="en-US" w:eastAsia="zh-CN"/>
              </w:rPr>
            </w:pPr>
            <w:r>
              <w:rPr>
                <w:rFonts w:hint="eastAsia"/>
                <w:lang w:val="en-US" w:eastAsia="zh-CN"/>
              </w:rPr>
              <w:t>1、环境空气</w:t>
            </w:r>
          </w:p>
          <w:p w14:paraId="42365A78">
            <w:pPr>
              <w:pStyle w:val="25"/>
              <w:numPr>
                <w:ilvl w:val="0"/>
                <w:numId w:val="0"/>
              </w:numPr>
              <w:bidi w:val="0"/>
              <w:ind w:firstLine="480" w:firstLineChars="200"/>
              <w:rPr>
                <w:rFonts w:hint="default"/>
              </w:rPr>
            </w:pPr>
            <w:r>
              <w:rPr>
                <w:rFonts w:hint="default" w:ascii="Times New Roman" w:hAnsi="Times New Roman" w:eastAsia="宋体" w:cs="Times New Roman"/>
                <w:kern w:val="2"/>
                <w:sz w:val="24"/>
                <w:szCs w:val="24"/>
                <w:lang w:val="en-US" w:eastAsia="zh-CN" w:bidi="ar-SA"/>
              </w:rPr>
              <w:t>（1）</w:t>
            </w:r>
            <w:r>
              <w:rPr>
                <w:rFonts w:hint="default"/>
                <w:lang w:val="en-US" w:eastAsia="zh-CN"/>
              </w:rPr>
              <w:t>空气质量达标区判定</w:t>
            </w:r>
          </w:p>
          <w:p w14:paraId="13C88F3F">
            <w:pPr>
              <w:pStyle w:val="25"/>
              <w:numPr>
                <w:ilvl w:val="0"/>
                <w:numId w:val="0"/>
              </w:numPr>
              <w:bidi w:val="0"/>
              <w:ind w:firstLine="480" w:firstLineChars="200"/>
              <w:rPr>
                <w:rFonts w:hint="default"/>
                <w:lang w:val="en-US" w:eastAsia="zh-CN"/>
              </w:rPr>
            </w:pPr>
            <w:r>
              <w:rPr>
                <w:rFonts w:hint="default"/>
              </w:rPr>
              <w:t>根据《环境影响评价技术导则大气环境》（HJ2.2-2018）“5.5评价基准年筛选依据评价所需环境空气质量现状、气象资料等数据的可获得性、数据质量、代表性等因素，选择近3年中数据相对完整的1个日历年作为评价基准年”。根据HJ2.2-2018第6.2.1.1条“项目所在区域达标判定，优先选用国家或地方生态环境主管部门公开发布的评价基准年环境质量公告或环境质量公告中的数据或结论”。本次评价选用衡阳市生态环境局发布的《关于202</w:t>
            </w:r>
            <w:r>
              <w:rPr>
                <w:rFonts w:hint="eastAsia"/>
                <w:lang w:val="en-US" w:eastAsia="zh-CN"/>
              </w:rPr>
              <w:t>4</w:t>
            </w:r>
            <w:r>
              <w:rPr>
                <w:rFonts w:hint="default"/>
              </w:rPr>
              <w:t>年12月及1-12月全市环境质量状况的通报》进行区域达标评价。项目区域评价因子环境质量现状如表3-1所示。</w:t>
            </w:r>
          </w:p>
          <w:p w14:paraId="38FCCD3B">
            <w:pPr>
              <w:pStyle w:val="24"/>
              <w:bidi w:val="0"/>
              <w:rPr>
                <w:rFonts w:hint="default"/>
                <w:lang w:val="en-US" w:eastAsia="zh-CN"/>
              </w:rPr>
            </w:pPr>
            <w:r>
              <w:rPr>
                <w:rFonts w:hint="default"/>
                <w:lang w:val="en-US" w:eastAsia="zh-CN"/>
              </w:rPr>
              <w:t>表3-1</w:t>
            </w:r>
            <w:r>
              <w:rPr>
                <w:rFonts w:hint="eastAsia"/>
                <w:lang w:val="en-US" w:eastAsia="zh-CN"/>
              </w:rPr>
              <w:t xml:space="preserve">  衡阳县2024年</w:t>
            </w:r>
            <w:r>
              <w:rPr>
                <w:rFonts w:hint="default"/>
                <w:lang w:val="en-US" w:eastAsia="zh-CN"/>
              </w:rPr>
              <w:t>空气质量现状评价表</w:t>
            </w:r>
          </w:p>
          <w:tbl>
            <w:tblPr>
              <w:tblStyle w:val="1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3"/>
              <w:gridCol w:w="2696"/>
              <w:gridCol w:w="1104"/>
              <w:gridCol w:w="1301"/>
              <w:gridCol w:w="844"/>
              <w:gridCol w:w="980"/>
            </w:tblGrid>
            <w:tr w14:paraId="57F3F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99" w:type="pct"/>
                  <w:tcBorders>
                    <w:tl2br w:val="nil"/>
                    <w:tr2bl w:val="nil"/>
                  </w:tcBorders>
                  <w:noWrap w:val="0"/>
                  <w:vAlign w:val="center"/>
                </w:tcPr>
                <w:p w14:paraId="52FBE078">
                  <w:pPr>
                    <w:pStyle w:val="26"/>
                    <w:bidi w:val="0"/>
                    <w:rPr>
                      <w:rFonts w:hint="default"/>
                      <w:lang w:val="en-US" w:eastAsia="zh-CN"/>
                    </w:rPr>
                  </w:pPr>
                  <w:r>
                    <w:rPr>
                      <w:rFonts w:hint="default"/>
                    </w:rPr>
                    <w:t>污染物</w:t>
                  </w:r>
                </w:p>
              </w:tc>
              <w:tc>
                <w:tcPr>
                  <w:tcW w:w="1712" w:type="pct"/>
                  <w:tcBorders>
                    <w:tl2br w:val="nil"/>
                    <w:tr2bl w:val="nil"/>
                  </w:tcBorders>
                  <w:noWrap w:val="0"/>
                  <w:vAlign w:val="center"/>
                </w:tcPr>
                <w:p w14:paraId="06EFB191">
                  <w:pPr>
                    <w:pStyle w:val="26"/>
                    <w:bidi w:val="0"/>
                    <w:rPr>
                      <w:rFonts w:hint="default"/>
                      <w:lang w:val="en-US" w:eastAsia="zh-CN"/>
                    </w:rPr>
                  </w:pPr>
                  <w:r>
                    <w:rPr>
                      <w:rFonts w:hint="default"/>
                    </w:rPr>
                    <w:t>年评价指标</w:t>
                  </w:r>
                </w:p>
              </w:tc>
              <w:tc>
                <w:tcPr>
                  <w:tcW w:w="701" w:type="pct"/>
                  <w:tcBorders>
                    <w:tl2br w:val="nil"/>
                    <w:tr2bl w:val="nil"/>
                  </w:tcBorders>
                  <w:noWrap w:val="0"/>
                  <w:vAlign w:val="center"/>
                </w:tcPr>
                <w:p w14:paraId="002B6C8A">
                  <w:pPr>
                    <w:pStyle w:val="26"/>
                    <w:bidi w:val="0"/>
                    <w:rPr>
                      <w:rFonts w:hint="default"/>
                      <w:lang w:val="en-US" w:eastAsia="zh-CN"/>
                    </w:rPr>
                  </w:pPr>
                  <w:r>
                    <w:rPr>
                      <w:rFonts w:hint="default"/>
                    </w:rPr>
                    <w:t>现状浓度(µg/m</w:t>
                  </w:r>
                  <w:r>
                    <w:rPr>
                      <w:rFonts w:hint="default"/>
                      <w:vertAlign w:val="superscript"/>
                    </w:rPr>
                    <w:t>3</w:t>
                  </w:r>
                  <w:r>
                    <w:rPr>
                      <w:rFonts w:hint="default"/>
                    </w:rPr>
                    <w:t>）</w:t>
                  </w:r>
                </w:p>
              </w:tc>
              <w:tc>
                <w:tcPr>
                  <w:tcW w:w="826" w:type="pct"/>
                  <w:tcBorders>
                    <w:tl2br w:val="nil"/>
                    <w:tr2bl w:val="nil"/>
                  </w:tcBorders>
                  <w:noWrap w:val="0"/>
                  <w:vAlign w:val="center"/>
                </w:tcPr>
                <w:p w14:paraId="01CA45BF">
                  <w:pPr>
                    <w:pStyle w:val="26"/>
                    <w:bidi w:val="0"/>
                    <w:rPr>
                      <w:rFonts w:hint="default"/>
                      <w:lang w:val="en-US" w:eastAsia="zh-CN"/>
                    </w:rPr>
                  </w:pPr>
                  <w:r>
                    <w:rPr>
                      <w:rFonts w:hint="default"/>
                    </w:rPr>
                    <w:t>标准值(µg/m</w:t>
                  </w:r>
                  <w:r>
                    <w:rPr>
                      <w:rFonts w:hint="default"/>
                      <w:vertAlign w:val="superscript"/>
                    </w:rPr>
                    <w:t>3</w:t>
                  </w:r>
                  <w:r>
                    <w:rPr>
                      <w:rFonts w:hint="default"/>
                    </w:rPr>
                    <w:t>）</w:t>
                  </w:r>
                </w:p>
              </w:tc>
              <w:tc>
                <w:tcPr>
                  <w:tcW w:w="536" w:type="pct"/>
                  <w:tcBorders>
                    <w:tl2br w:val="nil"/>
                    <w:tr2bl w:val="nil"/>
                  </w:tcBorders>
                  <w:noWrap w:val="0"/>
                  <w:vAlign w:val="center"/>
                </w:tcPr>
                <w:p w14:paraId="783AB4D9">
                  <w:pPr>
                    <w:pStyle w:val="26"/>
                    <w:bidi w:val="0"/>
                    <w:rPr>
                      <w:rFonts w:hint="default"/>
                      <w:lang w:val="en-US" w:eastAsia="zh-CN"/>
                    </w:rPr>
                  </w:pPr>
                  <w:r>
                    <w:rPr>
                      <w:rFonts w:hint="default"/>
                    </w:rPr>
                    <w:t>占标率%</w:t>
                  </w:r>
                </w:p>
              </w:tc>
              <w:tc>
                <w:tcPr>
                  <w:tcW w:w="622" w:type="pct"/>
                  <w:tcBorders>
                    <w:tl2br w:val="nil"/>
                    <w:tr2bl w:val="nil"/>
                  </w:tcBorders>
                  <w:noWrap w:val="0"/>
                  <w:vAlign w:val="center"/>
                </w:tcPr>
                <w:p w14:paraId="0C7B0237">
                  <w:pPr>
                    <w:pStyle w:val="26"/>
                    <w:bidi w:val="0"/>
                    <w:rPr>
                      <w:rFonts w:hint="default"/>
                      <w:lang w:val="en-US" w:eastAsia="zh-CN"/>
                    </w:rPr>
                  </w:pPr>
                  <w:r>
                    <w:rPr>
                      <w:rFonts w:hint="default"/>
                    </w:rPr>
                    <w:t>达标情况</w:t>
                  </w:r>
                </w:p>
              </w:tc>
            </w:tr>
            <w:tr w14:paraId="6DF9C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9" w:type="pct"/>
                  <w:tcBorders>
                    <w:tl2br w:val="nil"/>
                    <w:tr2bl w:val="nil"/>
                  </w:tcBorders>
                  <w:noWrap w:val="0"/>
                  <w:vAlign w:val="top"/>
                </w:tcPr>
                <w:p w14:paraId="21C0B592">
                  <w:pPr>
                    <w:pStyle w:val="26"/>
                    <w:bidi w:val="0"/>
                    <w:rPr>
                      <w:rFonts w:hint="default"/>
                      <w:lang w:val="en-US" w:eastAsia="zh-CN"/>
                    </w:rPr>
                  </w:pPr>
                  <w:r>
                    <w:rPr>
                      <w:rFonts w:hint="default"/>
                    </w:rPr>
                    <w:t>SO</w:t>
                  </w:r>
                  <w:r>
                    <w:rPr>
                      <w:rFonts w:hint="default"/>
                      <w:vertAlign w:val="subscript"/>
                    </w:rPr>
                    <w:t>2</w:t>
                  </w:r>
                </w:p>
              </w:tc>
              <w:tc>
                <w:tcPr>
                  <w:tcW w:w="1712" w:type="pct"/>
                  <w:tcBorders>
                    <w:tl2br w:val="nil"/>
                    <w:tr2bl w:val="nil"/>
                  </w:tcBorders>
                  <w:noWrap w:val="0"/>
                  <w:vAlign w:val="top"/>
                </w:tcPr>
                <w:p w14:paraId="3895292B">
                  <w:pPr>
                    <w:pStyle w:val="26"/>
                    <w:bidi w:val="0"/>
                    <w:rPr>
                      <w:rFonts w:hint="default"/>
                      <w:lang w:val="en-US" w:eastAsia="zh-CN"/>
                    </w:rPr>
                  </w:pPr>
                  <w:r>
                    <w:rPr>
                      <w:rFonts w:hint="default"/>
                    </w:rPr>
                    <w:t>年平均质量浓度</w:t>
                  </w:r>
                </w:p>
              </w:tc>
              <w:tc>
                <w:tcPr>
                  <w:tcW w:w="701" w:type="pct"/>
                  <w:tcBorders>
                    <w:tl2br w:val="nil"/>
                    <w:tr2bl w:val="nil"/>
                  </w:tcBorders>
                  <w:noWrap w:val="0"/>
                  <w:vAlign w:val="top"/>
                </w:tcPr>
                <w:p w14:paraId="55CEFA93">
                  <w:pPr>
                    <w:pStyle w:val="26"/>
                    <w:bidi w:val="0"/>
                    <w:rPr>
                      <w:rFonts w:hint="default"/>
                      <w:lang w:val="en-US" w:eastAsia="zh-CN"/>
                    </w:rPr>
                  </w:pPr>
                  <w:r>
                    <w:rPr>
                      <w:rFonts w:hint="eastAsia"/>
                      <w:lang w:val="en-US" w:eastAsia="zh-CN"/>
                    </w:rPr>
                    <w:t>6</w:t>
                  </w:r>
                </w:p>
              </w:tc>
              <w:tc>
                <w:tcPr>
                  <w:tcW w:w="826" w:type="pct"/>
                  <w:tcBorders>
                    <w:tl2br w:val="nil"/>
                    <w:tr2bl w:val="nil"/>
                  </w:tcBorders>
                  <w:noWrap w:val="0"/>
                  <w:vAlign w:val="top"/>
                </w:tcPr>
                <w:p w14:paraId="63CBE2A8">
                  <w:pPr>
                    <w:pStyle w:val="26"/>
                    <w:bidi w:val="0"/>
                    <w:rPr>
                      <w:rFonts w:hint="default"/>
                      <w:lang w:val="en-US" w:eastAsia="zh-CN"/>
                    </w:rPr>
                  </w:pPr>
                  <w:r>
                    <w:rPr>
                      <w:rFonts w:hint="default"/>
                    </w:rPr>
                    <w:t>60</w:t>
                  </w:r>
                </w:p>
              </w:tc>
              <w:tc>
                <w:tcPr>
                  <w:tcW w:w="536" w:type="pct"/>
                  <w:tcBorders>
                    <w:tl2br w:val="nil"/>
                    <w:tr2bl w:val="nil"/>
                  </w:tcBorders>
                  <w:noWrap w:val="0"/>
                  <w:vAlign w:val="top"/>
                </w:tcPr>
                <w:p w14:paraId="740F23E9">
                  <w:pPr>
                    <w:pStyle w:val="26"/>
                    <w:bidi w:val="0"/>
                    <w:rPr>
                      <w:rFonts w:hint="default"/>
                      <w:lang w:val="en-US" w:eastAsia="zh-CN"/>
                    </w:rPr>
                  </w:pPr>
                  <w:r>
                    <w:rPr>
                      <w:rFonts w:hint="eastAsia"/>
                      <w:lang w:val="en-US" w:eastAsia="zh-CN"/>
                    </w:rPr>
                    <w:t>10</w:t>
                  </w:r>
                </w:p>
              </w:tc>
              <w:tc>
                <w:tcPr>
                  <w:tcW w:w="622" w:type="pct"/>
                  <w:tcBorders>
                    <w:tl2br w:val="nil"/>
                    <w:tr2bl w:val="nil"/>
                  </w:tcBorders>
                  <w:noWrap w:val="0"/>
                  <w:vAlign w:val="top"/>
                </w:tcPr>
                <w:p w14:paraId="6FFF3C4A">
                  <w:pPr>
                    <w:pStyle w:val="26"/>
                    <w:bidi w:val="0"/>
                    <w:rPr>
                      <w:rFonts w:hint="default"/>
                      <w:lang w:val="en-US" w:eastAsia="zh-CN"/>
                    </w:rPr>
                  </w:pPr>
                  <w:r>
                    <w:rPr>
                      <w:rFonts w:hint="default"/>
                    </w:rPr>
                    <w:t>达标</w:t>
                  </w:r>
                </w:p>
              </w:tc>
            </w:tr>
            <w:tr w14:paraId="58EE9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Borders>
                    <w:tl2br w:val="nil"/>
                    <w:tr2bl w:val="nil"/>
                  </w:tcBorders>
                  <w:noWrap w:val="0"/>
                  <w:vAlign w:val="top"/>
                </w:tcPr>
                <w:p w14:paraId="56E816B3">
                  <w:pPr>
                    <w:pStyle w:val="26"/>
                    <w:bidi w:val="0"/>
                    <w:rPr>
                      <w:rFonts w:hint="default"/>
                      <w:lang w:val="en-US" w:eastAsia="zh-CN"/>
                    </w:rPr>
                  </w:pPr>
                  <w:r>
                    <w:rPr>
                      <w:rFonts w:hint="default"/>
                    </w:rPr>
                    <w:t>NO</w:t>
                  </w:r>
                  <w:r>
                    <w:rPr>
                      <w:rFonts w:hint="default"/>
                      <w:vertAlign w:val="subscript"/>
                    </w:rPr>
                    <w:t>2</w:t>
                  </w:r>
                </w:p>
              </w:tc>
              <w:tc>
                <w:tcPr>
                  <w:tcW w:w="1712" w:type="pct"/>
                  <w:tcBorders>
                    <w:tl2br w:val="nil"/>
                    <w:tr2bl w:val="nil"/>
                  </w:tcBorders>
                  <w:noWrap w:val="0"/>
                  <w:vAlign w:val="top"/>
                </w:tcPr>
                <w:p w14:paraId="3F4E3539">
                  <w:pPr>
                    <w:pStyle w:val="26"/>
                    <w:bidi w:val="0"/>
                    <w:rPr>
                      <w:rFonts w:hint="default"/>
                      <w:lang w:val="en-US" w:eastAsia="zh-CN"/>
                    </w:rPr>
                  </w:pPr>
                  <w:r>
                    <w:rPr>
                      <w:rFonts w:hint="default"/>
                    </w:rPr>
                    <w:t>年平均质量浓度</w:t>
                  </w:r>
                </w:p>
              </w:tc>
              <w:tc>
                <w:tcPr>
                  <w:tcW w:w="701" w:type="pct"/>
                  <w:tcBorders>
                    <w:tl2br w:val="nil"/>
                    <w:tr2bl w:val="nil"/>
                  </w:tcBorders>
                  <w:noWrap w:val="0"/>
                  <w:vAlign w:val="top"/>
                </w:tcPr>
                <w:p w14:paraId="5A1E0F30">
                  <w:pPr>
                    <w:pStyle w:val="26"/>
                    <w:bidi w:val="0"/>
                    <w:rPr>
                      <w:rFonts w:hint="default"/>
                      <w:lang w:val="en-US" w:eastAsia="zh-CN"/>
                    </w:rPr>
                  </w:pPr>
                  <w:r>
                    <w:rPr>
                      <w:rFonts w:hint="eastAsia"/>
                      <w:lang w:val="en-US" w:eastAsia="zh-CN"/>
                    </w:rPr>
                    <w:t>11</w:t>
                  </w:r>
                </w:p>
              </w:tc>
              <w:tc>
                <w:tcPr>
                  <w:tcW w:w="826" w:type="pct"/>
                  <w:tcBorders>
                    <w:tl2br w:val="nil"/>
                    <w:tr2bl w:val="nil"/>
                  </w:tcBorders>
                  <w:noWrap w:val="0"/>
                  <w:vAlign w:val="top"/>
                </w:tcPr>
                <w:p w14:paraId="2EA4A69D">
                  <w:pPr>
                    <w:pStyle w:val="26"/>
                    <w:bidi w:val="0"/>
                    <w:rPr>
                      <w:rFonts w:hint="default"/>
                      <w:lang w:val="en-US" w:eastAsia="zh-CN"/>
                    </w:rPr>
                  </w:pPr>
                  <w:r>
                    <w:rPr>
                      <w:rFonts w:hint="default"/>
                    </w:rPr>
                    <w:t>40</w:t>
                  </w:r>
                </w:p>
              </w:tc>
              <w:tc>
                <w:tcPr>
                  <w:tcW w:w="536" w:type="pct"/>
                  <w:tcBorders>
                    <w:tl2br w:val="nil"/>
                    <w:tr2bl w:val="nil"/>
                  </w:tcBorders>
                  <w:noWrap w:val="0"/>
                  <w:vAlign w:val="top"/>
                </w:tcPr>
                <w:p w14:paraId="117A76E5">
                  <w:pPr>
                    <w:pStyle w:val="26"/>
                    <w:bidi w:val="0"/>
                    <w:rPr>
                      <w:rFonts w:hint="default"/>
                      <w:lang w:val="en-US" w:eastAsia="zh-CN"/>
                    </w:rPr>
                  </w:pPr>
                  <w:r>
                    <w:rPr>
                      <w:rFonts w:hint="eastAsia"/>
                      <w:lang w:val="en-US" w:eastAsia="zh-CN"/>
                    </w:rPr>
                    <w:t>27.5</w:t>
                  </w:r>
                </w:p>
              </w:tc>
              <w:tc>
                <w:tcPr>
                  <w:tcW w:w="622" w:type="pct"/>
                  <w:tcBorders>
                    <w:tl2br w:val="nil"/>
                    <w:tr2bl w:val="nil"/>
                  </w:tcBorders>
                  <w:noWrap w:val="0"/>
                  <w:vAlign w:val="top"/>
                </w:tcPr>
                <w:p w14:paraId="6C34A8E8">
                  <w:pPr>
                    <w:pStyle w:val="26"/>
                    <w:bidi w:val="0"/>
                    <w:rPr>
                      <w:rFonts w:hint="default"/>
                      <w:lang w:val="en-US" w:eastAsia="zh-CN"/>
                    </w:rPr>
                  </w:pPr>
                  <w:r>
                    <w:rPr>
                      <w:rFonts w:hint="default"/>
                    </w:rPr>
                    <w:t>达标</w:t>
                  </w:r>
                </w:p>
              </w:tc>
            </w:tr>
            <w:tr w14:paraId="41DCB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Borders>
                    <w:tl2br w:val="nil"/>
                    <w:tr2bl w:val="nil"/>
                  </w:tcBorders>
                  <w:noWrap w:val="0"/>
                  <w:vAlign w:val="top"/>
                </w:tcPr>
                <w:p w14:paraId="260F244F">
                  <w:pPr>
                    <w:pStyle w:val="26"/>
                    <w:bidi w:val="0"/>
                    <w:rPr>
                      <w:rFonts w:hint="default"/>
                      <w:lang w:val="en-US" w:eastAsia="zh-CN"/>
                    </w:rPr>
                  </w:pPr>
                  <w:r>
                    <w:rPr>
                      <w:rFonts w:hint="default"/>
                    </w:rPr>
                    <w:t>CO</w:t>
                  </w:r>
                </w:p>
              </w:tc>
              <w:tc>
                <w:tcPr>
                  <w:tcW w:w="1712" w:type="pct"/>
                  <w:tcBorders>
                    <w:tl2br w:val="nil"/>
                    <w:tr2bl w:val="nil"/>
                  </w:tcBorders>
                  <w:noWrap w:val="0"/>
                  <w:vAlign w:val="top"/>
                </w:tcPr>
                <w:p w14:paraId="4C9F6D35">
                  <w:pPr>
                    <w:pStyle w:val="26"/>
                    <w:bidi w:val="0"/>
                    <w:rPr>
                      <w:rFonts w:hint="default"/>
                      <w:lang w:val="en-US" w:eastAsia="zh-CN"/>
                    </w:rPr>
                  </w:pPr>
                  <w:r>
                    <w:rPr>
                      <w:rFonts w:hint="default"/>
                    </w:rPr>
                    <w:t>百分位数日平均质量浓度</w:t>
                  </w:r>
                </w:p>
              </w:tc>
              <w:tc>
                <w:tcPr>
                  <w:tcW w:w="701" w:type="pct"/>
                  <w:tcBorders>
                    <w:tl2br w:val="nil"/>
                    <w:tr2bl w:val="nil"/>
                  </w:tcBorders>
                  <w:noWrap w:val="0"/>
                  <w:vAlign w:val="top"/>
                </w:tcPr>
                <w:p w14:paraId="6F38DB34">
                  <w:pPr>
                    <w:pStyle w:val="26"/>
                    <w:bidi w:val="0"/>
                    <w:rPr>
                      <w:rFonts w:hint="default"/>
                      <w:lang w:val="en-US" w:eastAsia="zh-CN"/>
                    </w:rPr>
                  </w:pPr>
                  <w:r>
                    <w:rPr>
                      <w:rFonts w:hint="eastAsia"/>
                      <w:lang w:val="en-US" w:eastAsia="zh-CN"/>
                    </w:rPr>
                    <w:t>1100</w:t>
                  </w:r>
                </w:p>
              </w:tc>
              <w:tc>
                <w:tcPr>
                  <w:tcW w:w="826" w:type="pct"/>
                  <w:tcBorders>
                    <w:tl2br w:val="nil"/>
                    <w:tr2bl w:val="nil"/>
                  </w:tcBorders>
                  <w:noWrap w:val="0"/>
                  <w:vAlign w:val="top"/>
                </w:tcPr>
                <w:p w14:paraId="5C127C14">
                  <w:pPr>
                    <w:pStyle w:val="26"/>
                    <w:bidi w:val="0"/>
                    <w:rPr>
                      <w:rFonts w:hint="default"/>
                      <w:lang w:val="en-US" w:eastAsia="zh-CN"/>
                    </w:rPr>
                  </w:pPr>
                  <w:r>
                    <w:rPr>
                      <w:rFonts w:hint="default"/>
                    </w:rPr>
                    <w:t>4000</w:t>
                  </w:r>
                </w:p>
              </w:tc>
              <w:tc>
                <w:tcPr>
                  <w:tcW w:w="536" w:type="pct"/>
                  <w:tcBorders>
                    <w:tl2br w:val="nil"/>
                    <w:tr2bl w:val="nil"/>
                  </w:tcBorders>
                  <w:noWrap w:val="0"/>
                  <w:vAlign w:val="top"/>
                </w:tcPr>
                <w:p w14:paraId="65CE3A97">
                  <w:pPr>
                    <w:pStyle w:val="26"/>
                    <w:bidi w:val="0"/>
                    <w:rPr>
                      <w:rFonts w:hint="default"/>
                      <w:lang w:val="en-US" w:eastAsia="zh-CN"/>
                    </w:rPr>
                  </w:pPr>
                  <w:r>
                    <w:rPr>
                      <w:rFonts w:hint="eastAsia"/>
                      <w:lang w:val="en-US" w:eastAsia="zh-CN"/>
                    </w:rPr>
                    <w:t>27.5</w:t>
                  </w:r>
                </w:p>
              </w:tc>
              <w:tc>
                <w:tcPr>
                  <w:tcW w:w="622" w:type="pct"/>
                  <w:tcBorders>
                    <w:tl2br w:val="nil"/>
                    <w:tr2bl w:val="nil"/>
                  </w:tcBorders>
                  <w:noWrap w:val="0"/>
                  <w:vAlign w:val="top"/>
                </w:tcPr>
                <w:p w14:paraId="0E630790">
                  <w:pPr>
                    <w:pStyle w:val="26"/>
                    <w:bidi w:val="0"/>
                    <w:rPr>
                      <w:rFonts w:hint="default"/>
                      <w:lang w:val="en-US" w:eastAsia="zh-CN"/>
                    </w:rPr>
                  </w:pPr>
                  <w:r>
                    <w:rPr>
                      <w:rFonts w:hint="default"/>
                    </w:rPr>
                    <w:t>达标</w:t>
                  </w:r>
                </w:p>
              </w:tc>
            </w:tr>
            <w:tr w14:paraId="71BA6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Borders>
                    <w:tl2br w:val="nil"/>
                    <w:tr2bl w:val="nil"/>
                  </w:tcBorders>
                  <w:noWrap w:val="0"/>
                  <w:vAlign w:val="top"/>
                </w:tcPr>
                <w:p w14:paraId="0B847EBC">
                  <w:pPr>
                    <w:pStyle w:val="26"/>
                    <w:bidi w:val="0"/>
                    <w:rPr>
                      <w:rFonts w:hint="default"/>
                      <w:lang w:val="en-US" w:eastAsia="zh-CN"/>
                    </w:rPr>
                  </w:pPr>
                  <w:r>
                    <w:rPr>
                      <w:rFonts w:hint="default"/>
                    </w:rPr>
                    <w:t>O</w:t>
                  </w:r>
                  <w:r>
                    <w:rPr>
                      <w:rFonts w:hint="default"/>
                      <w:vertAlign w:val="subscript"/>
                    </w:rPr>
                    <w:t>3</w:t>
                  </w:r>
                </w:p>
              </w:tc>
              <w:tc>
                <w:tcPr>
                  <w:tcW w:w="1712" w:type="pct"/>
                  <w:tcBorders>
                    <w:tl2br w:val="nil"/>
                    <w:tr2bl w:val="nil"/>
                  </w:tcBorders>
                  <w:noWrap w:val="0"/>
                  <w:vAlign w:val="top"/>
                </w:tcPr>
                <w:p w14:paraId="42C718D3">
                  <w:pPr>
                    <w:pStyle w:val="26"/>
                    <w:bidi w:val="0"/>
                    <w:rPr>
                      <w:rFonts w:hint="default"/>
                      <w:lang w:val="en-US" w:eastAsia="zh-CN"/>
                    </w:rPr>
                  </w:pPr>
                  <w:r>
                    <w:rPr>
                      <w:rFonts w:hint="default"/>
                    </w:rPr>
                    <w:t>百分位数8h平均质量浓度</w:t>
                  </w:r>
                </w:p>
              </w:tc>
              <w:tc>
                <w:tcPr>
                  <w:tcW w:w="701" w:type="pct"/>
                  <w:tcBorders>
                    <w:tl2br w:val="nil"/>
                    <w:tr2bl w:val="nil"/>
                  </w:tcBorders>
                  <w:noWrap w:val="0"/>
                  <w:vAlign w:val="top"/>
                </w:tcPr>
                <w:p w14:paraId="343B7721">
                  <w:pPr>
                    <w:pStyle w:val="26"/>
                    <w:bidi w:val="0"/>
                    <w:rPr>
                      <w:rFonts w:hint="default"/>
                      <w:lang w:val="en-US" w:eastAsia="zh-CN"/>
                    </w:rPr>
                  </w:pPr>
                  <w:r>
                    <w:rPr>
                      <w:rFonts w:hint="eastAsia"/>
                      <w:lang w:val="en-US" w:eastAsia="zh-CN"/>
                    </w:rPr>
                    <w:t>112</w:t>
                  </w:r>
                </w:p>
              </w:tc>
              <w:tc>
                <w:tcPr>
                  <w:tcW w:w="826" w:type="pct"/>
                  <w:tcBorders>
                    <w:tl2br w:val="nil"/>
                    <w:tr2bl w:val="nil"/>
                  </w:tcBorders>
                  <w:noWrap w:val="0"/>
                  <w:vAlign w:val="top"/>
                </w:tcPr>
                <w:p w14:paraId="15364F0C">
                  <w:pPr>
                    <w:pStyle w:val="26"/>
                    <w:bidi w:val="0"/>
                    <w:rPr>
                      <w:rFonts w:hint="default"/>
                      <w:lang w:val="en-US" w:eastAsia="zh-CN"/>
                    </w:rPr>
                  </w:pPr>
                  <w:r>
                    <w:rPr>
                      <w:rFonts w:hint="default"/>
                    </w:rPr>
                    <w:t>160</w:t>
                  </w:r>
                </w:p>
              </w:tc>
              <w:tc>
                <w:tcPr>
                  <w:tcW w:w="536" w:type="pct"/>
                  <w:tcBorders>
                    <w:tl2br w:val="nil"/>
                    <w:tr2bl w:val="nil"/>
                  </w:tcBorders>
                  <w:noWrap w:val="0"/>
                  <w:vAlign w:val="top"/>
                </w:tcPr>
                <w:p w14:paraId="14BA0A22">
                  <w:pPr>
                    <w:pStyle w:val="26"/>
                    <w:bidi w:val="0"/>
                    <w:rPr>
                      <w:rFonts w:hint="default"/>
                      <w:lang w:val="en-US" w:eastAsia="zh-CN"/>
                    </w:rPr>
                  </w:pPr>
                  <w:r>
                    <w:rPr>
                      <w:rFonts w:hint="eastAsia"/>
                      <w:lang w:val="en-US" w:eastAsia="zh-CN"/>
                    </w:rPr>
                    <w:t>70</w:t>
                  </w:r>
                </w:p>
              </w:tc>
              <w:tc>
                <w:tcPr>
                  <w:tcW w:w="622" w:type="pct"/>
                  <w:tcBorders>
                    <w:tl2br w:val="nil"/>
                    <w:tr2bl w:val="nil"/>
                  </w:tcBorders>
                  <w:noWrap w:val="0"/>
                  <w:vAlign w:val="top"/>
                </w:tcPr>
                <w:p w14:paraId="5A6F8505">
                  <w:pPr>
                    <w:pStyle w:val="26"/>
                    <w:bidi w:val="0"/>
                    <w:rPr>
                      <w:rFonts w:hint="default"/>
                      <w:lang w:val="en-US" w:eastAsia="zh-CN"/>
                    </w:rPr>
                  </w:pPr>
                  <w:r>
                    <w:rPr>
                      <w:rFonts w:hint="default"/>
                    </w:rPr>
                    <w:t>达标</w:t>
                  </w:r>
                </w:p>
              </w:tc>
            </w:tr>
            <w:tr w14:paraId="22569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Borders>
                    <w:tl2br w:val="nil"/>
                    <w:tr2bl w:val="nil"/>
                  </w:tcBorders>
                  <w:noWrap w:val="0"/>
                  <w:vAlign w:val="top"/>
                </w:tcPr>
                <w:p w14:paraId="3BD0C560">
                  <w:pPr>
                    <w:pStyle w:val="26"/>
                    <w:bidi w:val="0"/>
                    <w:rPr>
                      <w:rFonts w:hint="default"/>
                      <w:lang w:val="en-US" w:eastAsia="zh-CN"/>
                    </w:rPr>
                  </w:pPr>
                  <w:r>
                    <w:rPr>
                      <w:rFonts w:hint="default"/>
                    </w:rPr>
                    <w:t>PM</w:t>
                  </w:r>
                  <w:r>
                    <w:rPr>
                      <w:rFonts w:hint="default"/>
                      <w:vertAlign w:val="subscript"/>
                    </w:rPr>
                    <w:t>10</w:t>
                  </w:r>
                </w:p>
              </w:tc>
              <w:tc>
                <w:tcPr>
                  <w:tcW w:w="1712" w:type="pct"/>
                  <w:tcBorders>
                    <w:tl2br w:val="nil"/>
                    <w:tr2bl w:val="nil"/>
                  </w:tcBorders>
                  <w:noWrap w:val="0"/>
                  <w:vAlign w:val="top"/>
                </w:tcPr>
                <w:p w14:paraId="6EDF2A88">
                  <w:pPr>
                    <w:pStyle w:val="26"/>
                    <w:bidi w:val="0"/>
                    <w:rPr>
                      <w:rFonts w:hint="default"/>
                      <w:lang w:val="en-US" w:eastAsia="zh-CN"/>
                    </w:rPr>
                  </w:pPr>
                  <w:r>
                    <w:rPr>
                      <w:rFonts w:hint="default"/>
                    </w:rPr>
                    <w:t>年平均质量浓度</w:t>
                  </w:r>
                </w:p>
              </w:tc>
              <w:tc>
                <w:tcPr>
                  <w:tcW w:w="701" w:type="pct"/>
                  <w:tcBorders>
                    <w:tl2br w:val="nil"/>
                    <w:tr2bl w:val="nil"/>
                  </w:tcBorders>
                  <w:noWrap w:val="0"/>
                  <w:vAlign w:val="top"/>
                </w:tcPr>
                <w:p w14:paraId="0A3763EB">
                  <w:pPr>
                    <w:pStyle w:val="26"/>
                    <w:bidi w:val="0"/>
                    <w:rPr>
                      <w:rFonts w:hint="default"/>
                      <w:lang w:val="en-US" w:eastAsia="zh-CN"/>
                    </w:rPr>
                  </w:pPr>
                  <w:r>
                    <w:rPr>
                      <w:rFonts w:hint="eastAsia"/>
                      <w:lang w:val="en-US" w:eastAsia="zh-CN"/>
                    </w:rPr>
                    <w:t>38</w:t>
                  </w:r>
                </w:p>
              </w:tc>
              <w:tc>
                <w:tcPr>
                  <w:tcW w:w="826" w:type="pct"/>
                  <w:tcBorders>
                    <w:tl2br w:val="nil"/>
                    <w:tr2bl w:val="nil"/>
                  </w:tcBorders>
                  <w:noWrap w:val="0"/>
                  <w:vAlign w:val="top"/>
                </w:tcPr>
                <w:p w14:paraId="52CFAE2D">
                  <w:pPr>
                    <w:pStyle w:val="26"/>
                    <w:bidi w:val="0"/>
                    <w:rPr>
                      <w:rFonts w:hint="default"/>
                      <w:lang w:val="en-US" w:eastAsia="zh-CN"/>
                    </w:rPr>
                  </w:pPr>
                  <w:r>
                    <w:rPr>
                      <w:rFonts w:hint="default"/>
                    </w:rPr>
                    <w:t>70</w:t>
                  </w:r>
                </w:p>
              </w:tc>
              <w:tc>
                <w:tcPr>
                  <w:tcW w:w="536" w:type="pct"/>
                  <w:tcBorders>
                    <w:tl2br w:val="nil"/>
                    <w:tr2bl w:val="nil"/>
                  </w:tcBorders>
                  <w:noWrap w:val="0"/>
                  <w:vAlign w:val="top"/>
                </w:tcPr>
                <w:p w14:paraId="6EC13964">
                  <w:pPr>
                    <w:pStyle w:val="26"/>
                    <w:bidi w:val="0"/>
                    <w:rPr>
                      <w:rFonts w:hint="default"/>
                      <w:lang w:val="en-US" w:eastAsia="zh-CN"/>
                    </w:rPr>
                  </w:pPr>
                  <w:r>
                    <w:rPr>
                      <w:rFonts w:hint="eastAsia"/>
                      <w:lang w:val="en-US" w:eastAsia="zh-CN"/>
                    </w:rPr>
                    <w:t>54.29</w:t>
                  </w:r>
                </w:p>
              </w:tc>
              <w:tc>
                <w:tcPr>
                  <w:tcW w:w="622" w:type="pct"/>
                  <w:tcBorders>
                    <w:tl2br w:val="nil"/>
                    <w:tr2bl w:val="nil"/>
                  </w:tcBorders>
                  <w:noWrap w:val="0"/>
                  <w:vAlign w:val="top"/>
                </w:tcPr>
                <w:p w14:paraId="48BA8DC9">
                  <w:pPr>
                    <w:pStyle w:val="26"/>
                    <w:bidi w:val="0"/>
                    <w:rPr>
                      <w:rFonts w:hint="default"/>
                      <w:lang w:val="en-US" w:eastAsia="zh-CN"/>
                    </w:rPr>
                  </w:pPr>
                  <w:r>
                    <w:rPr>
                      <w:rFonts w:hint="default"/>
                    </w:rPr>
                    <w:t>达标</w:t>
                  </w:r>
                </w:p>
              </w:tc>
            </w:tr>
            <w:tr w14:paraId="77CC2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Borders>
                    <w:tl2br w:val="nil"/>
                    <w:tr2bl w:val="nil"/>
                  </w:tcBorders>
                  <w:noWrap w:val="0"/>
                  <w:vAlign w:val="top"/>
                </w:tcPr>
                <w:p w14:paraId="748E3E96">
                  <w:pPr>
                    <w:pStyle w:val="26"/>
                    <w:bidi w:val="0"/>
                    <w:rPr>
                      <w:rFonts w:hint="default"/>
                      <w:lang w:val="en-US" w:eastAsia="zh-CN"/>
                    </w:rPr>
                  </w:pPr>
                  <w:r>
                    <w:rPr>
                      <w:rFonts w:hint="default"/>
                    </w:rPr>
                    <w:t>PM</w:t>
                  </w:r>
                  <w:r>
                    <w:rPr>
                      <w:rFonts w:hint="default"/>
                      <w:vertAlign w:val="subscript"/>
                    </w:rPr>
                    <w:t>2.5</w:t>
                  </w:r>
                </w:p>
              </w:tc>
              <w:tc>
                <w:tcPr>
                  <w:tcW w:w="1712" w:type="pct"/>
                  <w:tcBorders>
                    <w:tl2br w:val="nil"/>
                    <w:tr2bl w:val="nil"/>
                  </w:tcBorders>
                  <w:noWrap w:val="0"/>
                  <w:vAlign w:val="top"/>
                </w:tcPr>
                <w:p w14:paraId="394F58C1">
                  <w:pPr>
                    <w:pStyle w:val="26"/>
                    <w:bidi w:val="0"/>
                    <w:rPr>
                      <w:rFonts w:hint="default"/>
                      <w:lang w:val="en-US" w:eastAsia="zh-CN"/>
                    </w:rPr>
                  </w:pPr>
                  <w:r>
                    <w:rPr>
                      <w:rFonts w:hint="default"/>
                    </w:rPr>
                    <w:t>年平均质量浓度</w:t>
                  </w:r>
                </w:p>
              </w:tc>
              <w:tc>
                <w:tcPr>
                  <w:tcW w:w="701" w:type="pct"/>
                  <w:tcBorders>
                    <w:tl2br w:val="nil"/>
                    <w:tr2bl w:val="nil"/>
                  </w:tcBorders>
                  <w:noWrap w:val="0"/>
                  <w:vAlign w:val="top"/>
                </w:tcPr>
                <w:p w14:paraId="15F16807">
                  <w:pPr>
                    <w:pStyle w:val="26"/>
                    <w:bidi w:val="0"/>
                    <w:rPr>
                      <w:rFonts w:hint="default"/>
                      <w:lang w:val="en-US" w:eastAsia="zh-CN"/>
                    </w:rPr>
                  </w:pPr>
                  <w:r>
                    <w:rPr>
                      <w:rFonts w:hint="eastAsia"/>
                      <w:lang w:val="en-US" w:eastAsia="zh-CN"/>
                    </w:rPr>
                    <w:t>30</w:t>
                  </w:r>
                </w:p>
              </w:tc>
              <w:tc>
                <w:tcPr>
                  <w:tcW w:w="826" w:type="pct"/>
                  <w:tcBorders>
                    <w:tl2br w:val="nil"/>
                    <w:tr2bl w:val="nil"/>
                  </w:tcBorders>
                  <w:noWrap w:val="0"/>
                  <w:vAlign w:val="top"/>
                </w:tcPr>
                <w:p w14:paraId="058A1D20">
                  <w:pPr>
                    <w:pStyle w:val="26"/>
                    <w:bidi w:val="0"/>
                    <w:rPr>
                      <w:rFonts w:hint="default"/>
                      <w:lang w:val="en-US" w:eastAsia="zh-CN"/>
                    </w:rPr>
                  </w:pPr>
                  <w:r>
                    <w:rPr>
                      <w:rFonts w:hint="default"/>
                    </w:rPr>
                    <w:t>35</w:t>
                  </w:r>
                </w:p>
              </w:tc>
              <w:tc>
                <w:tcPr>
                  <w:tcW w:w="536" w:type="pct"/>
                  <w:tcBorders>
                    <w:tl2br w:val="nil"/>
                    <w:tr2bl w:val="nil"/>
                  </w:tcBorders>
                  <w:noWrap w:val="0"/>
                  <w:vAlign w:val="top"/>
                </w:tcPr>
                <w:p w14:paraId="4E6D4B67">
                  <w:pPr>
                    <w:pStyle w:val="26"/>
                    <w:bidi w:val="0"/>
                    <w:rPr>
                      <w:rFonts w:hint="default"/>
                      <w:lang w:val="en-US" w:eastAsia="zh-CN"/>
                    </w:rPr>
                  </w:pPr>
                  <w:r>
                    <w:rPr>
                      <w:rFonts w:hint="eastAsia"/>
                      <w:lang w:val="en-US" w:eastAsia="zh-CN"/>
                    </w:rPr>
                    <w:t>85.71</w:t>
                  </w:r>
                </w:p>
              </w:tc>
              <w:tc>
                <w:tcPr>
                  <w:tcW w:w="622" w:type="pct"/>
                  <w:tcBorders>
                    <w:tl2br w:val="nil"/>
                    <w:tr2bl w:val="nil"/>
                  </w:tcBorders>
                  <w:noWrap w:val="0"/>
                  <w:vAlign w:val="top"/>
                </w:tcPr>
                <w:p w14:paraId="792AC4DF">
                  <w:pPr>
                    <w:pStyle w:val="26"/>
                    <w:bidi w:val="0"/>
                    <w:rPr>
                      <w:rFonts w:hint="default"/>
                      <w:lang w:val="en-US" w:eastAsia="zh-CN"/>
                    </w:rPr>
                  </w:pPr>
                  <w:r>
                    <w:rPr>
                      <w:rFonts w:hint="default"/>
                    </w:rPr>
                    <w:t>达标</w:t>
                  </w:r>
                </w:p>
              </w:tc>
            </w:tr>
          </w:tbl>
          <w:p w14:paraId="3D6ED7D7">
            <w:pPr>
              <w:pStyle w:val="25"/>
              <w:ind w:firstLine="48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由上表可知，衡阳县</w:t>
            </w:r>
            <w:r>
              <w:rPr>
                <w:rFonts w:hint="eastAsia" w:ascii="Times New Roman" w:hAnsi="Times New Roman" w:eastAsia="宋体" w:cs="Times New Roman"/>
                <w:sz w:val="24"/>
                <w:szCs w:val="24"/>
                <w:lang w:val="en-US" w:eastAsia="zh-CN"/>
              </w:rPr>
              <w:t>2024年</w:t>
            </w:r>
            <w:r>
              <w:rPr>
                <w:rFonts w:hint="default" w:ascii="Times New Roman" w:hAnsi="Times New Roman" w:eastAsia="宋体" w:cs="Times New Roman"/>
                <w:sz w:val="24"/>
                <w:szCs w:val="24"/>
                <w:lang w:val="en-US" w:eastAsia="zh-CN"/>
              </w:rPr>
              <w:t>SO</w:t>
            </w:r>
            <w:r>
              <w:rPr>
                <w:rFonts w:hint="default" w:ascii="Times New Roman" w:hAnsi="Times New Roman" w:eastAsia="宋体" w:cs="Times New Roman"/>
                <w:sz w:val="24"/>
                <w:szCs w:val="24"/>
                <w:vertAlign w:val="subscript"/>
                <w:lang w:val="en-US" w:eastAsia="zh-CN"/>
              </w:rPr>
              <w:t>2</w:t>
            </w:r>
            <w:r>
              <w:rPr>
                <w:rFonts w:hint="default" w:ascii="Times New Roman" w:hAnsi="Times New Roman" w:eastAsia="宋体" w:cs="Times New Roman"/>
                <w:sz w:val="24"/>
                <w:szCs w:val="24"/>
                <w:lang w:val="en-US" w:eastAsia="zh-CN"/>
              </w:rPr>
              <w:t>、NO</w:t>
            </w:r>
            <w:r>
              <w:rPr>
                <w:rFonts w:hint="default" w:ascii="Times New Roman" w:hAnsi="Times New Roman" w:eastAsia="宋体" w:cs="Times New Roman"/>
                <w:sz w:val="24"/>
                <w:szCs w:val="24"/>
                <w:vertAlign w:val="subscript"/>
                <w:lang w:val="en-US" w:eastAsia="zh-CN"/>
              </w:rPr>
              <w:t>2</w:t>
            </w:r>
            <w:r>
              <w:rPr>
                <w:rFonts w:hint="default" w:ascii="Times New Roman" w:hAnsi="Times New Roman" w:eastAsia="宋体" w:cs="Times New Roman"/>
                <w:sz w:val="24"/>
                <w:szCs w:val="24"/>
                <w:lang w:val="en-US" w:eastAsia="zh-CN"/>
              </w:rPr>
              <w:t>、PM</w:t>
            </w:r>
            <w:r>
              <w:rPr>
                <w:rFonts w:hint="default" w:ascii="Times New Roman" w:hAnsi="Times New Roman" w:eastAsia="宋体" w:cs="Times New Roman"/>
                <w:sz w:val="24"/>
                <w:szCs w:val="24"/>
                <w:vertAlign w:val="subscript"/>
                <w:lang w:val="en-US" w:eastAsia="zh-CN"/>
              </w:rPr>
              <w:t>10</w:t>
            </w:r>
            <w:r>
              <w:rPr>
                <w:rFonts w:hint="default" w:ascii="Times New Roman" w:hAnsi="Times New Roman" w:eastAsia="宋体" w:cs="Times New Roman"/>
                <w:sz w:val="24"/>
                <w:szCs w:val="24"/>
                <w:lang w:val="en-US" w:eastAsia="zh-CN"/>
              </w:rPr>
              <w:t>、PM</w:t>
            </w:r>
            <w:r>
              <w:rPr>
                <w:rFonts w:hint="default" w:ascii="Times New Roman" w:hAnsi="Times New Roman" w:eastAsia="宋体" w:cs="Times New Roman"/>
                <w:sz w:val="24"/>
                <w:szCs w:val="24"/>
                <w:vertAlign w:val="subscript"/>
                <w:lang w:val="en-US" w:eastAsia="zh-CN"/>
              </w:rPr>
              <w:t>2.5</w:t>
            </w:r>
            <w:r>
              <w:rPr>
                <w:rFonts w:hint="default" w:ascii="Times New Roman" w:hAnsi="Times New Roman" w:eastAsia="宋体" w:cs="Times New Roman"/>
                <w:sz w:val="24"/>
                <w:szCs w:val="24"/>
                <w:lang w:val="en-US" w:eastAsia="zh-CN"/>
              </w:rPr>
              <w:t>年平均质量浓度、CO百分位数日平均质量浓度、O</w:t>
            </w:r>
            <w:r>
              <w:rPr>
                <w:rFonts w:hint="default" w:ascii="Times New Roman" w:hAnsi="Times New Roman" w:eastAsia="宋体" w:cs="Times New Roman"/>
                <w:sz w:val="24"/>
                <w:szCs w:val="24"/>
                <w:vertAlign w:val="subscript"/>
                <w:lang w:val="en-US" w:eastAsia="zh-CN"/>
              </w:rPr>
              <w:t>3</w:t>
            </w:r>
            <w:r>
              <w:rPr>
                <w:rFonts w:hint="default" w:ascii="Times New Roman" w:hAnsi="Times New Roman" w:eastAsia="宋体" w:cs="Times New Roman"/>
                <w:sz w:val="24"/>
                <w:szCs w:val="24"/>
                <w:lang w:val="en-US" w:eastAsia="zh-CN"/>
              </w:rPr>
              <w:t>百分位数8h平均质量浓度均未超出《环境空气质量标准》（GB3095-2012）二级标准，因此，</w:t>
            </w:r>
            <w:r>
              <w:rPr>
                <w:rFonts w:hint="default" w:ascii="Times New Roman" w:hAnsi="Times New Roman" w:eastAsia="宋体" w:cs="Times New Roman"/>
                <w:spacing w:val="8"/>
                <w:sz w:val="24"/>
              </w:rPr>
              <w:t>本项目所在</w:t>
            </w:r>
            <w:r>
              <w:rPr>
                <w:rFonts w:hint="default" w:ascii="Times New Roman" w:hAnsi="Times New Roman" w:eastAsia="宋体" w:cs="Times New Roman"/>
                <w:spacing w:val="7"/>
                <w:sz w:val="24"/>
              </w:rPr>
              <w:t>区</w:t>
            </w:r>
            <w:r>
              <w:rPr>
                <w:rFonts w:hint="default" w:ascii="Times New Roman" w:hAnsi="Times New Roman" w:eastAsia="宋体" w:cs="Times New Roman"/>
                <w:spacing w:val="-12"/>
                <w:sz w:val="24"/>
              </w:rPr>
              <w:t>域为环境空气质量达标区</w:t>
            </w:r>
            <w:r>
              <w:rPr>
                <w:rFonts w:hint="default" w:ascii="Times New Roman" w:hAnsi="Times New Roman" w:eastAsia="宋体" w:cs="Times New Roman"/>
                <w:sz w:val="24"/>
                <w:szCs w:val="24"/>
                <w:lang w:val="en-US" w:eastAsia="zh-CN"/>
              </w:rPr>
              <w:t>。</w:t>
            </w:r>
          </w:p>
          <w:p w14:paraId="61826E95">
            <w:pPr>
              <w:pStyle w:val="25"/>
              <w:ind w:firstLine="48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（2）补充监测</w:t>
            </w:r>
          </w:p>
          <w:p w14:paraId="0728D20B">
            <w:pPr>
              <w:pStyle w:val="25"/>
              <w:ind w:firstLine="48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本项目特征污染物为VOCs，环境空气质量采用NMHC进行表征，为了解区域NMHC质量现状，本次委托湖南乾诚检测有限公司于2025年3月21日~3月24日对项目周边NMHC浓度进行了监测，监测情况如下：</w:t>
            </w:r>
          </w:p>
          <w:p w14:paraId="57263435">
            <w:pPr>
              <w:pStyle w:val="25"/>
              <w:ind w:firstLine="48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监测点位：设置了1个监测点位：G1项目南侧居民点</w:t>
            </w:r>
          </w:p>
          <w:p w14:paraId="39444F30">
            <w:pPr>
              <w:pStyle w:val="25"/>
              <w:ind w:firstLine="48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监测因子：NMHC</w:t>
            </w:r>
          </w:p>
          <w:p w14:paraId="5275D27E">
            <w:pPr>
              <w:pStyle w:val="25"/>
              <w:ind w:firstLine="48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监测频次：连续监测3日</w:t>
            </w:r>
          </w:p>
          <w:p w14:paraId="736393DF">
            <w:pPr>
              <w:pStyle w:val="25"/>
              <w:ind w:firstLine="480"/>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执行标准：《大气污染物综合排放标准详解》中推荐限值2.0mg/m</w:t>
            </w:r>
            <w:r>
              <w:rPr>
                <w:rFonts w:hint="eastAsia" w:ascii="Times New Roman" w:hAnsi="Times New Roman" w:eastAsia="宋体" w:cs="Times New Roman"/>
                <w:sz w:val="24"/>
                <w:szCs w:val="24"/>
                <w:vertAlign w:val="superscript"/>
                <w:lang w:val="en-US" w:eastAsia="zh-CN"/>
              </w:rPr>
              <w:t>3</w:t>
            </w:r>
          </w:p>
          <w:p w14:paraId="7D53E32D">
            <w:pPr>
              <w:pStyle w:val="25"/>
              <w:ind w:firstLine="480"/>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监测结果：</w:t>
            </w:r>
          </w:p>
          <w:p w14:paraId="71050AD3">
            <w:pPr>
              <w:pStyle w:val="24"/>
              <w:bidi w:val="0"/>
              <w:rPr>
                <w:rFonts w:hint="eastAsia"/>
                <w:lang w:val="en-US" w:eastAsia="zh-CN"/>
              </w:rPr>
            </w:pPr>
            <w:r>
              <w:rPr>
                <w:rFonts w:hint="eastAsia"/>
                <w:lang w:val="en-US" w:eastAsia="zh-CN"/>
              </w:rPr>
              <w:t>表3-2  NMHC浓度补充监测结果表</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4"/>
              <w:gridCol w:w="1574"/>
              <w:gridCol w:w="1575"/>
              <w:gridCol w:w="1575"/>
              <w:gridCol w:w="1575"/>
            </w:tblGrid>
            <w:tr w14:paraId="446F7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00" w:type="pct"/>
                </w:tcPr>
                <w:p w14:paraId="03F7EA24">
                  <w:pPr>
                    <w:pStyle w:val="26"/>
                    <w:bidi w:val="0"/>
                    <w:rPr>
                      <w:rFonts w:hint="default"/>
                      <w:lang w:val="en-US" w:eastAsia="zh-CN"/>
                    </w:rPr>
                  </w:pPr>
                  <w:r>
                    <w:rPr>
                      <w:rFonts w:hint="eastAsia"/>
                      <w:lang w:val="en-US" w:eastAsia="zh-CN"/>
                    </w:rPr>
                    <w:t>监测因子</w:t>
                  </w:r>
                </w:p>
              </w:tc>
              <w:tc>
                <w:tcPr>
                  <w:tcW w:w="1000" w:type="pct"/>
                </w:tcPr>
                <w:p w14:paraId="53A4F36A">
                  <w:pPr>
                    <w:pStyle w:val="26"/>
                    <w:bidi w:val="0"/>
                    <w:rPr>
                      <w:rFonts w:hint="default"/>
                      <w:lang w:val="en-US" w:eastAsia="zh-CN"/>
                    </w:rPr>
                  </w:pPr>
                  <w:r>
                    <w:rPr>
                      <w:rFonts w:hint="eastAsia"/>
                      <w:lang w:val="en-US" w:eastAsia="zh-CN"/>
                    </w:rPr>
                    <w:t>单位</w:t>
                  </w:r>
                </w:p>
              </w:tc>
              <w:tc>
                <w:tcPr>
                  <w:tcW w:w="1000" w:type="pct"/>
                </w:tcPr>
                <w:p w14:paraId="6835A00C">
                  <w:pPr>
                    <w:pStyle w:val="26"/>
                    <w:bidi w:val="0"/>
                    <w:rPr>
                      <w:rFonts w:hint="default"/>
                      <w:vertAlign w:val="baseline"/>
                      <w:lang w:val="en-US" w:eastAsia="zh-CN"/>
                    </w:rPr>
                  </w:pPr>
                  <w:r>
                    <w:rPr>
                      <w:rFonts w:hint="eastAsia"/>
                      <w:lang w:val="en-US" w:eastAsia="zh-CN"/>
                    </w:rPr>
                    <w:t>监测结果</w:t>
                  </w:r>
                </w:p>
              </w:tc>
              <w:tc>
                <w:tcPr>
                  <w:tcW w:w="1000" w:type="pct"/>
                </w:tcPr>
                <w:p w14:paraId="55444229">
                  <w:pPr>
                    <w:pStyle w:val="26"/>
                    <w:bidi w:val="0"/>
                    <w:rPr>
                      <w:rFonts w:hint="default"/>
                      <w:lang w:val="en-US" w:eastAsia="zh-CN"/>
                    </w:rPr>
                  </w:pPr>
                  <w:r>
                    <w:rPr>
                      <w:rFonts w:hint="eastAsia"/>
                      <w:lang w:val="en-US" w:eastAsia="zh-CN"/>
                    </w:rPr>
                    <w:t>标准限值</w:t>
                  </w:r>
                </w:p>
              </w:tc>
              <w:tc>
                <w:tcPr>
                  <w:tcW w:w="1000" w:type="pct"/>
                </w:tcPr>
                <w:p w14:paraId="7A48A233">
                  <w:pPr>
                    <w:pStyle w:val="26"/>
                    <w:bidi w:val="0"/>
                    <w:rPr>
                      <w:rFonts w:hint="default"/>
                      <w:lang w:val="en-US" w:eastAsia="zh-CN"/>
                    </w:rPr>
                  </w:pPr>
                  <w:r>
                    <w:rPr>
                      <w:rFonts w:hint="eastAsia"/>
                      <w:lang w:val="en-US" w:eastAsia="zh-CN"/>
                    </w:rPr>
                    <w:t>达标情况</w:t>
                  </w:r>
                </w:p>
              </w:tc>
            </w:tr>
            <w:tr w14:paraId="4C8B9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pct"/>
                </w:tcPr>
                <w:p w14:paraId="16508327">
                  <w:pPr>
                    <w:pStyle w:val="26"/>
                    <w:bidi w:val="0"/>
                    <w:rPr>
                      <w:rFonts w:hint="default"/>
                      <w:lang w:val="en-US" w:eastAsia="zh-CN"/>
                    </w:rPr>
                  </w:pPr>
                  <w:r>
                    <w:rPr>
                      <w:rFonts w:hint="eastAsia"/>
                      <w:lang w:val="en-US" w:eastAsia="zh-CN"/>
                    </w:rPr>
                    <w:t>NMHC</w:t>
                  </w:r>
                </w:p>
              </w:tc>
              <w:tc>
                <w:tcPr>
                  <w:tcW w:w="1000" w:type="pct"/>
                </w:tcPr>
                <w:p w14:paraId="326D9FFB">
                  <w:pPr>
                    <w:pStyle w:val="26"/>
                    <w:bidi w:val="0"/>
                    <w:rPr>
                      <w:rFonts w:hint="eastAsia"/>
                      <w:lang w:val="en-US" w:eastAsia="zh-CN"/>
                    </w:rPr>
                  </w:pPr>
                  <w:r>
                    <w:rPr>
                      <w:rFonts w:hint="eastAsia"/>
                      <w:lang w:val="en-US" w:eastAsia="zh-CN"/>
                    </w:rPr>
                    <w:t>mg/m</w:t>
                  </w:r>
                  <w:r>
                    <w:rPr>
                      <w:rFonts w:hint="eastAsia"/>
                      <w:vertAlign w:val="superscript"/>
                      <w:lang w:val="en-US" w:eastAsia="zh-CN"/>
                    </w:rPr>
                    <w:t>3</w:t>
                  </w:r>
                </w:p>
              </w:tc>
              <w:tc>
                <w:tcPr>
                  <w:tcW w:w="1000" w:type="pct"/>
                </w:tcPr>
                <w:p w14:paraId="437511DA">
                  <w:pPr>
                    <w:pStyle w:val="26"/>
                    <w:bidi w:val="0"/>
                    <w:rPr>
                      <w:rFonts w:hint="default"/>
                      <w:lang w:val="en-US" w:eastAsia="zh-CN"/>
                    </w:rPr>
                  </w:pPr>
                  <w:r>
                    <w:rPr>
                      <w:rFonts w:hint="eastAsia"/>
                      <w:lang w:val="en-US" w:eastAsia="zh-CN"/>
                    </w:rPr>
                    <w:t>0.66~0.74</w:t>
                  </w:r>
                </w:p>
              </w:tc>
              <w:tc>
                <w:tcPr>
                  <w:tcW w:w="1000" w:type="pct"/>
                </w:tcPr>
                <w:p w14:paraId="5B9CCDA8">
                  <w:pPr>
                    <w:pStyle w:val="26"/>
                    <w:bidi w:val="0"/>
                    <w:rPr>
                      <w:rFonts w:hint="default"/>
                      <w:lang w:val="en-US" w:eastAsia="zh-CN"/>
                    </w:rPr>
                  </w:pPr>
                  <w:r>
                    <w:rPr>
                      <w:rFonts w:hint="eastAsia"/>
                      <w:lang w:val="en-US" w:eastAsia="zh-CN"/>
                    </w:rPr>
                    <w:t>2.0</w:t>
                  </w:r>
                </w:p>
              </w:tc>
              <w:tc>
                <w:tcPr>
                  <w:tcW w:w="1000" w:type="pct"/>
                </w:tcPr>
                <w:p w14:paraId="4A762420">
                  <w:pPr>
                    <w:pStyle w:val="26"/>
                    <w:bidi w:val="0"/>
                    <w:rPr>
                      <w:rFonts w:hint="default"/>
                      <w:lang w:val="en-US" w:eastAsia="zh-CN"/>
                    </w:rPr>
                  </w:pPr>
                  <w:r>
                    <w:rPr>
                      <w:rFonts w:hint="eastAsia"/>
                      <w:lang w:val="en-US" w:eastAsia="zh-CN"/>
                    </w:rPr>
                    <w:t>达标</w:t>
                  </w:r>
                </w:p>
              </w:tc>
            </w:tr>
          </w:tbl>
          <w:p w14:paraId="23D51FED">
            <w:pPr>
              <w:pStyle w:val="25"/>
              <w:rPr>
                <w:rFonts w:hint="eastAsia" w:ascii="Times New Roman" w:hAnsi="Times New Roman" w:eastAsia="宋体" w:cs="Times New Roman"/>
                <w:sz w:val="24"/>
                <w:szCs w:val="24"/>
                <w:vertAlign w:val="baseline"/>
                <w:lang w:val="en-US" w:eastAsia="zh-CN"/>
              </w:rPr>
            </w:pPr>
            <w:r>
              <w:rPr>
                <w:rFonts w:hint="eastAsia"/>
                <w:lang w:val="en-US" w:eastAsia="zh-CN"/>
              </w:rPr>
              <w:t>根据补充监测结果可知，项目所在区域NMHC质量浓度能够满足</w:t>
            </w:r>
            <w:r>
              <w:rPr>
                <w:rFonts w:hint="eastAsia" w:ascii="Times New Roman" w:hAnsi="Times New Roman" w:eastAsia="宋体" w:cs="Times New Roman"/>
                <w:sz w:val="24"/>
                <w:szCs w:val="24"/>
                <w:lang w:val="en-US" w:eastAsia="zh-CN"/>
              </w:rPr>
              <w:t>《大气污染物综合排放标准详解》中推荐限值2.0mg/m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vertAlign w:val="baseline"/>
                <w:lang w:val="en-US" w:eastAsia="zh-CN"/>
              </w:rPr>
              <w:t>。</w:t>
            </w:r>
          </w:p>
          <w:p w14:paraId="5081AAC1">
            <w:pPr>
              <w:pStyle w:val="25"/>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2、地表水环境</w:t>
            </w:r>
          </w:p>
          <w:p w14:paraId="527A3695">
            <w:pPr>
              <w:pStyle w:val="25"/>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pacing w:val="4"/>
                <w:sz w:val="24"/>
                <w:szCs w:val="24"/>
                <w:lang w:val="en-US" w:eastAsia="zh-CN"/>
              </w:rPr>
              <w:t>根据《建设项目环境影响报告表编制技术指南（污染影响类）（试行）》，地表水环境引用与建设项目距离近的有效数据，项目最近水体为</w:t>
            </w:r>
            <w:r>
              <w:rPr>
                <w:rFonts w:hint="eastAsia" w:ascii="Times New Roman" w:hAnsi="Times New Roman" w:eastAsia="宋体" w:cs="Times New Roman"/>
                <w:spacing w:val="4"/>
                <w:sz w:val="24"/>
                <w:szCs w:val="24"/>
                <w:lang w:val="en-US" w:eastAsia="zh-CN"/>
              </w:rPr>
              <w:t>横江浦河，横江铺河无常规监测断面，其属于湘江的一级支流，本次引用最近的湘江监测断面数据</w:t>
            </w:r>
            <w:r>
              <w:rPr>
                <w:rFonts w:hint="default" w:ascii="Times New Roman" w:hAnsi="Times New Roman" w:eastAsia="宋体" w:cs="Times New Roman"/>
                <w:spacing w:val="4"/>
                <w:sz w:val="24"/>
                <w:szCs w:val="24"/>
                <w:lang w:val="en-US" w:eastAsia="zh-CN"/>
              </w:rPr>
              <w:t>，距离本项目最近的</w:t>
            </w:r>
            <w:r>
              <w:rPr>
                <w:rFonts w:hint="eastAsia" w:ascii="Times New Roman" w:hAnsi="Times New Roman" w:eastAsia="宋体" w:cs="Times New Roman"/>
                <w:spacing w:val="4"/>
                <w:sz w:val="24"/>
                <w:szCs w:val="24"/>
                <w:lang w:val="en-US" w:eastAsia="zh-CN"/>
              </w:rPr>
              <w:t>湘江</w:t>
            </w:r>
            <w:r>
              <w:rPr>
                <w:rFonts w:hint="default" w:ascii="Times New Roman" w:hAnsi="Times New Roman" w:eastAsia="宋体" w:cs="Times New Roman"/>
                <w:spacing w:val="4"/>
                <w:sz w:val="24"/>
                <w:szCs w:val="24"/>
                <w:lang w:val="en-US" w:eastAsia="zh-CN"/>
              </w:rPr>
              <w:t>监测断面为</w:t>
            </w:r>
            <w:r>
              <w:rPr>
                <w:rFonts w:hint="eastAsia" w:ascii="Times New Roman" w:hAnsi="Times New Roman" w:eastAsia="宋体" w:cs="Times New Roman"/>
                <w:spacing w:val="4"/>
                <w:sz w:val="24"/>
                <w:szCs w:val="24"/>
                <w:lang w:val="en-US" w:eastAsia="zh-CN"/>
              </w:rPr>
              <w:t>鱼石村</w:t>
            </w:r>
            <w:r>
              <w:rPr>
                <w:rFonts w:hint="default" w:ascii="Times New Roman" w:hAnsi="Times New Roman" w:eastAsia="宋体" w:cs="Times New Roman"/>
                <w:spacing w:val="4"/>
                <w:sz w:val="24"/>
                <w:szCs w:val="24"/>
                <w:lang w:val="en-US" w:eastAsia="zh-CN"/>
              </w:rPr>
              <w:t>断面，据衡阳市生态环境局发布的《关于202</w:t>
            </w:r>
            <w:r>
              <w:rPr>
                <w:rFonts w:hint="eastAsia" w:ascii="Times New Roman" w:hAnsi="Times New Roman" w:eastAsia="宋体" w:cs="Times New Roman"/>
                <w:spacing w:val="4"/>
                <w:sz w:val="24"/>
                <w:szCs w:val="24"/>
                <w:lang w:val="en-US" w:eastAsia="zh-CN"/>
              </w:rPr>
              <w:t>4</w:t>
            </w:r>
            <w:r>
              <w:rPr>
                <w:rFonts w:hint="default" w:ascii="Times New Roman" w:hAnsi="Times New Roman" w:eastAsia="宋体" w:cs="Times New Roman"/>
                <w:spacing w:val="4"/>
                <w:sz w:val="24"/>
                <w:szCs w:val="24"/>
                <w:lang w:val="en-US" w:eastAsia="zh-CN"/>
              </w:rPr>
              <w:t>年12月及1～12月全市环境质量状况的通报》可知其水质监测情况如下图所示：</w:t>
            </w:r>
          </w:p>
          <w:p w14:paraId="7F0C3320">
            <w:pPr>
              <w:pStyle w:val="25"/>
              <w:ind w:left="0" w:leftChars="0" w:firstLine="0" w:firstLineChars="0"/>
              <w:rPr>
                <w:rFonts w:hint="default"/>
                <w:lang w:val="en-US" w:eastAsia="zh-CN"/>
              </w:rPr>
            </w:pPr>
            <w:r>
              <w:rPr>
                <w:sz w:val="24"/>
              </w:rPr>
              <w:pict>
                <v:rect id="_x0000_s2050" o:spid="_x0000_s2050" o:spt="1" style="position:absolute;left:0pt;margin-left:-0.05pt;margin-top:170.35pt;height:26.25pt;width:398.15pt;z-index:251659264;mso-width-relative:page;mso-height-relative:page;" filled="f" stroked="t" coordsize="21600,21600">
                  <v:path/>
                  <v:fill on="f" focussize="0,0"/>
                  <v:stroke weight="1pt" color="#FF0000"/>
                  <v:imagedata o:title=""/>
                  <o:lock v:ext="edit" aspectratio="f"/>
                </v:rect>
              </w:pict>
            </w:r>
            <w:r>
              <w:drawing>
                <wp:inline distT="0" distB="0" distL="114300" distR="114300">
                  <wp:extent cx="5064760" cy="3242310"/>
                  <wp:effectExtent l="0" t="0" r="2540" b="15240"/>
                  <wp:docPr id="1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6"/>
                          <pic:cNvPicPr>
                            <a:picLocks noChangeAspect="1"/>
                          </pic:cNvPicPr>
                        </pic:nvPicPr>
                        <pic:blipFill>
                          <a:blip r:embed="rId18"/>
                          <a:stretch>
                            <a:fillRect/>
                          </a:stretch>
                        </pic:blipFill>
                        <pic:spPr>
                          <a:xfrm>
                            <a:off x="0" y="0"/>
                            <a:ext cx="5064760" cy="3242310"/>
                          </a:xfrm>
                          <a:prstGeom prst="rect">
                            <a:avLst/>
                          </a:prstGeom>
                          <a:noFill/>
                          <a:ln>
                            <a:noFill/>
                          </a:ln>
                        </pic:spPr>
                      </pic:pic>
                    </a:graphicData>
                  </a:graphic>
                </wp:inline>
              </w:drawing>
            </w:r>
          </w:p>
          <w:p w14:paraId="38107E69">
            <w:pPr>
              <w:pStyle w:val="25"/>
              <w:rPr>
                <w:rFonts w:hint="default" w:ascii="Times New Roman" w:hAnsi="Times New Roman" w:eastAsia="宋体" w:cs="Times New Roman"/>
                <w:spacing w:val="9"/>
                <w:sz w:val="24"/>
                <w:szCs w:val="24"/>
              </w:rPr>
            </w:pPr>
            <w:r>
              <w:rPr>
                <w:rFonts w:hint="default" w:ascii="Times New Roman" w:hAnsi="Times New Roman" w:eastAsia="宋体" w:cs="Times New Roman"/>
                <w:spacing w:val="7"/>
                <w:sz w:val="24"/>
                <w:szCs w:val="24"/>
                <w:lang w:val="en-US" w:eastAsia="zh-CN"/>
              </w:rPr>
              <w:t>由</w:t>
            </w:r>
            <w:r>
              <w:rPr>
                <w:rFonts w:hint="default" w:ascii="Times New Roman" w:hAnsi="Times New Roman" w:eastAsia="宋体" w:cs="Times New Roman"/>
                <w:spacing w:val="7"/>
                <w:sz w:val="24"/>
                <w:szCs w:val="24"/>
              </w:rPr>
              <w:t>上表可知，</w:t>
            </w:r>
            <w:r>
              <w:rPr>
                <w:rFonts w:hint="eastAsia" w:ascii="Times New Roman" w:hAnsi="Times New Roman" w:eastAsia="宋体" w:cs="Times New Roman"/>
                <w:spacing w:val="7"/>
                <w:sz w:val="24"/>
                <w:szCs w:val="24"/>
                <w:lang w:val="en-US" w:eastAsia="zh-CN"/>
              </w:rPr>
              <w:t>湘江</w:t>
            </w:r>
            <w:r>
              <w:rPr>
                <w:rFonts w:hint="eastAsia" w:ascii="Times New Roman" w:hAnsi="Times New Roman" w:eastAsia="宋体" w:cs="Times New Roman"/>
                <w:spacing w:val="4"/>
                <w:sz w:val="24"/>
                <w:szCs w:val="24"/>
                <w:lang w:val="en-US" w:eastAsia="zh-CN"/>
              </w:rPr>
              <w:t>鱼石村</w:t>
            </w:r>
            <w:r>
              <w:rPr>
                <w:rFonts w:hint="default" w:ascii="Times New Roman" w:hAnsi="Times New Roman" w:eastAsia="宋体" w:cs="Times New Roman"/>
                <w:spacing w:val="4"/>
                <w:sz w:val="24"/>
                <w:szCs w:val="24"/>
                <w:lang w:val="en-US" w:eastAsia="zh-CN"/>
              </w:rPr>
              <w:t>断面</w:t>
            </w:r>
            <w:r>
              <w:rPr>
                <w:rFonts w:hint="default" w:ascii="Times New Roman" w:hAnsi="Times New Roman" w:eastAsia="宋体" w:cs="Times New Roman"/>
                <w:spacing w:val="7"/>
                <w:sz w:val="24"/>
                <w:szCs w:val="24"/>
              </w:rPr>
              <w:t>监测断面水质满足《地表水环境质量标准》（</w:t>
            </w:r>
            <w:r>
              <w:rPr>
                <w:rFonts w:hint="default" w:ascii="Times New Roman" w:hAnsi="Times New Roman" w:eastAsia="宋体" w:cs="Times New Roman"/>
                <w:sz w:val="24"/>
                <w:szCs w:val="24"/>
              </w:rPr>
              <w:t>GB</w:t>
            </w:r>
            <w:r>
              <w:rPr>
                <w:rFonts w:hint="default" w:ascii="Times New Roman" w:hAnsi="Times New Roman" w:eastAsia="宋体" w:cs="Times New Roman"/>
                <w:spacing w:val="6"/>
                <w:sz w:val="24"/>
                <w:szCs w:val="24"/>
              </w:rPr>
              <w:t>3838-2002）Ⅱ类标</w:t>
            </w:r>
            <w:r>
              <w:rPr>
                <w:rFonts w:hint="default" w:ascii="Times New Roman" w:hAnsi="Times New Roman" w:eastAsia="宋体" w:cs="Times New Roman"/>
                <w:spacing w:val="9"/>
                <w:sz w:val="24"/>
                <w:szCs w:val="24"/>
              </w:rPr>
              <w:t>准的要求。</w:t>
            </w:r>
          </w:p>
          <w:p w14:paraId="554BE527">
            <w:pPr>
              <w:pStyle w:val="25"/>
              <w:rPr>
                <w:rFonts w:hint="eastAsia" w:ascii="Times New Roman" w:hAnsi="Times New Roman" w:eastAsia="宋体" w:cs="Times New Roman"/>
                <w:spacing w:val="9"/>
                <w:sz w:val="24"/>
                <w:szCs w:val="24"/>
                <w:lang w:val="en-US" w:eastAsia="zh-CN"/>
              </w:rPr>
            </w:pPr>
            <w:r>
              <w:rPr>
                <w:rFonts w:hint="eastAsia" w:ascii="Times New Roman" w:hAnsi="Times New Roman" w:eastAsia="宋体" w:cs="Times New Roman"/>
                <w:spacing w:val="9"/>
                <w:sz w:val="24"/>
                <w:szCs w:val="24"/>
                <w:lang w:val="en-US" w:eastAsia="zh-CN"/>
              </w:rPr>
              <w:t>3、声环境</w:t>
            </w:r>
          </w:p>
          <w:p w14:paraId="3A44C54A">
            <w:pPr>
              <w:pStyle w:val="25"/>
              <w:rPr>
                <w:rFonts w:hint="eastAsia" w:ascii="Times New Roman" w:hAnsi="Times New Roman" w:eastAsia="宋体" w:cs="Times New Roman"/>
                <w:spacing w:val="9"/>
                <w:sz w:val="24"/>
                <w:szCs w:val="24"/>
                <w:lang w:val="en-US" w:eastAsia="zh-CN"/>
              </w:rPr>
            </w:pPr>
            <w:r>
              <w:rPr>
                <w:rFonts w:hint="eastAsia" w:ascii="Times New Roman" w:hAnsi="Times New Roman" w:eastAsia="宋体" w:cs="Times New Roman"/>
                <w:spacing w:val="9"/>
                <w:sz w:val="24"/>
                <w:szCs w:val="24"/>
                <w:lang w:val="en-US" w:eastAsia="zh-CN"/>
              </w:rPr>
              <w:t>为了解本项目区域声环境质量现状，本次委托湖南乾诚检测有限公司于2025年3月22日对项目周边敏感点声环境质量现状进行了监测，监测结果如下：</w:t>
            </w:r>
          </w:p>
          <w:p w14:paraId="4734B523">
            <w:pPr>
              <w:pStyle w:val="24"/>
              <w:bidi w:val="0"/>
              <w:rPr>
                <w:rFonts w:hint="eastAsia"/>
                <w:lang w:val="en-US" w:eastAsia="zh-CN"/>
              </w:rPr>
            </w:pPr>
            <w:r>
              <w:rPr>
                <w:rFonts w:hint="eastAsia"/>
                <w:lang w:val="en-US" w:eastAsia="zh-CN"/>
              </w:rPr>
              <w:t>表3-3  声环境质量现状监测结果表</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7"/>
              <w:gridCol w:w="1091"/>
              <w:gridCol w:w="1124"/>
              <w:gridCol w:w="1125"/>
              <w:gridCol w:w="1125"/>
              <w:gridCol w:w="1125"/>
              <w:gridCol w:w="1126"/>
            </w:tblGrid>
            <w:tr w14:paraId="46CC5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7" w:type="dxa"/>
                  <w:vAlign w:val="center"/>
                </w:tcPr>
                <w:p w14:paraId="4368A87C">
                  <w:pPr>
                    <w:pStyle w:val="26"/>
                    <w:bidi w:val="0"/>
                    <w:jc w:val="center"/>
                    <w:rPr>
                      <w:rFonts w:hint="default"/>
                      <w:lang w:val="en-US" w:eastAsia="zh-CN"/>
                    </w:rPr>
                  </w:pPr>
                  <w:r>
                    <w:rPr>
                      <w:rFonts w:hint="eastAsia"/>
                      <w:lang w:val="en-US" w:eastAsia="zh-CN"/>
                    </w:rPr>
                    <w:t>监测点位</w:t>
                  </w:r>
                </w:p>
              </w:tc>
              <w:tc>
                <w:tcPr>
                  <w:tcW w:w="1091" w:type="dxa"/>
                  <w:vAlign w:val="center"/>
                </w:tcPr>
                <w:p w14:paraId="61164C9A">
                  <w:pPr>
                    <w:pStyle w:val="26"/>
                    <w:bidi w:val="0"/>
                    <w:jc w:val="center"/>
                    <w:rPr>
                      <w:rFonts w:hint="default"/>
                      <w:lang w:val="en-US" w:eastAsia="zh-CN"/>
                    </w:rPr>
                  </w:pPr>
                  <w:r>
                    <w:rPr>
                      <w:rFonts w:hint="eastAsia"/>
                      <w:lang w:val="en-US" w:eastAsia="zh-CN"/>
                    </w:rPr>
                    <w:t>监测日期</w:t>
                  </w:r>
                </w:p>
              </w:tc>
              <w:tc>
                <w:tcPr>
                  <w:tcW w:w="1124" w:type="dxa"/>
                  <w:vAlign w:val="center"/>
                </w:tcPr>
                <w:p w14:paraId="2B094A23">
                  <w:pPr>
                    <w:pStyle w:val="26"/>
                    <w:bidi w:val="0"/>
                    <w:jc w:val="center"/>
                    <w:rPr>
                      <w:rFonts w:hint="default"/>
                      <w:lang w:val="en-US" w:eastAsia="zh-CN"/>
                    </w:rPr>
                  </w:pPr>
                  <w:r>
                    <w:rPr>
                      <w:rFonts w:hint="eastAsia"/>
                      <w:lang w:val="en-US" w:eastAsia="zh-CN"/>
                    </w:rPr>
                    <w:t>监测时段</w:t>
                  </w:r>
                </w:p>
              </w:tc>
              <w:tc>
                <w:tcPr>
                  <w:tcW w:w="1125" w:type="dxa"/>
                  <w:vAlign w:val="center"/>
                </w:tcPr>
                <w:p w14:paraId="2ADD9F15">
                  <w:pPr>
                    <w:pStyle w:val="26"/>
                    <w:bidi w:val="0"/>
                    <w:jc w:val="center"/>
                    <w:rPr>
                      <w:rFonts w:hint="default"/>
                      <w:lang w:val="en-US" w:eastAsia="zh-CN"/>
                    </w:rPr>
                  </w:pPr>
                  <w:r>
                    <w:rPr>
                      <w:rFonts w:hint="eastAsia"/>
                      <w:lang w:val="en-US" w:eastAsia="zh-CN"/>
                    </w:rPr>
                    <w:t>单位</w:t>
                  </w:r>
                </w:p>
              </w:tc>
              <w:tc>
                <w:tcPr>
                  <w:tcW w:w="1125" w:type="dxa"/>
                  <w:vAlign w:val="center"/>
                </w:tcPr>
                <w:p w14:paraId="78346D8C">
                  <w:pPr>
                    <w:pStyle w:val="26"/>
                    <w:bidi w:val="0"/>
                    <w:jc w:val="center"/>
                    <w:rPr>
                      <w:rFonts w:hint="default"/>
                      <w:lang w:val="en-US" w:eastAsia="zh-CN"/>
                    </w:rPr>
                  </w:pPr>
                  <w:r>
                    <w:rPr>
                      <w:rFonts w:hint="eastAsia"/>
                      <w:lang w:val="en-US" w:eastAsia="zh-CN"/>
                    </w:rPr>
                    <w:t>监测结果</w:t>
                  </w:r>
                </w:p>
              </w:tc>
              <w:tc>
                <w:tcPr>
                  <w:tcW w:w="1125" w:type="dxa"/>
                  <w:vAlign w:val="center"/>
                </w:tcPr>
                <w:p w14:paraId="69F71B6E">
                  <w:pPr>
                    <w:pStyle w:val="26"/>
                    <w:bidi w:val="0"/>
                    <w:jc w:val="center"/>
                    <w:rPr>
                      <w:rFonts w:hint="default"/>
                      <w:lang w:val="en-US" w:eastAsia="zh-CN"/>
                    </w:rPr>
                  </w:pPr>
                  <w:r>
                    <w:rPr>
                      <w:rFonts w:hint="eastAsia"/>
                      <w:lang w:val="en-US" w:eastAsia="zh-CN"/>
                    </w:rPr>
                    <w:t>标准限值</w:t>
                  </w:r>
                </w:p>
              </w:tc>
              <w:tc>
                <w:tcPr>
                  <w:tcW w:w="1126" w:type="dxa"/>
                  <w:vAlign w:val="center"/>
                </w:tcPr>
                <w:p w14:paraId="2F9FC9DC">
                  <w:pPr>
                    <w:pStyle w:val="26"/>
                    <w:bidi w:val="0"/>
                    <w:jc w:val="center"/>
                    <w:rPr>
                      <w:rFonts w:hint="default"/>
                      <w:lang w:val="en-US" w:eastAsia="zh-CN"/>
                    </w:rPr>
                  </w:pPr>
                  <w:r>
                    <w:rPr>
                      <w:rFonts w:hint="eastAsia"/>
                      <w:lang w:val="en-US" w:eastAsia="zh-CN"/>
                    </w:rPr>
                    <w:t>达标情况</w:t>
                  </w:r>
                </w:p>
              </w:tc>
            </w:tr>
            <w:tr w14:paraId="21C66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7" w:type="dxa"/>
                  <w:vMerge w:val="restart"/>
                  <w:vAlign w:val="center"/>
                </w:tcPr>
                <w:p w14:paraId="01C51808">
                  <w:pPr>
                    <w:pStyle w:val="26"/>
                    <w:bidi w:val="0"/>
                    <w:jc w:val="center"/>
                    <w:rPr>
                      <w:rFonts w:hint="default"/>
                      <w:lang w:val="en-US" w:eastAsia="zh-CN"/>
                    </w:rPr>
                  </w:pPr>
                  <w:r>
                    <w:rPr>
                      <w:rFonts w:hint="eastAsia"/>
                      <w:lang w:val="en-US" w:eastAsia="zh-CN"/>
                    </w:rPr>
                    <w:t>N1项目南侧居民点</w:t>
                  </w:r>
                </w:p>
              </w:tc>
              <w:tc>
                <w:tcPr>
                  <w:tcW w:w="1091" w:type="dxa"/>
                  <w:vMerge w:val="restart"/>
                  <w:vAlign w:val="center"/>
                </w:tcPr>
                <w:p w14:paraId="5B13EDA9">
                  <w:pPr>
                    <w:pStyle w:val="26"/>
                    <w:bidi w:val="0"/>
                    <w:jc w:val="center"/>
                    <w:rPr>
                      <w:rFonts w:hint="eastAsia"/>
                      <w:lang w:val="en-US" w:eastAsia="zh-CN"/>
                    </w:rPr>
                  </w:pPr>
                  <w:r>
                    <w:rPr>
                      <w:rFonts w:hint="eastAsia"/>
                      <w:lang w:val="en-US" w:eastAsia="zh-CN"/>
                    </w:rPr>
                    <w:t>2025年</w:t>
                  </w:r>
                </w:p>
                <w:p w14:paraId="0121054E">
                  <w:pPr>
                    <w:pStyle w:val="26"/>
                    <w:bidi w:val="0"/>
                    <w:jc w:val="center"/>
                    <w:rPr>
                      <w:rFonts w:hint="default"/>
                      <w:lang w:val="en-US" w:eastAsia="zh-CN"/>
                    </w:rPr>
                  </w:pPr>
                  <w:r>
                    <w:rPr>
                      <w:rFonts w:hint="eastAsia"/>
                      <w:lang w:val="en-US" w:eastAsia="zh-CN"/>
                    </w:rPr>
                    <w:t>3月22日</w:t>
                  </w:r>
                </w:p>
              </w:tc>
              <w:tc>
                <w:tcPr>
                  <w:tcW w:w="1124" w:type="dxa"/>
                  <w:vAlign w:val="center"/>
                </w:tcPr>
                <w:p w14:paraId="1284D1AB">
                  <w:pPr>
                    <w:pStyle w:val="26"/>
                    <w:bidi w:val="0"/>
                    <w:jc w:val="center"/>
                    <w:rPr>
                      <w:rFonts w:hint="default"/>
                      <w:lang w:val="en-US" w:eastAsia="zh-CN"/>
                    </w:rPr>
                  </w:pPr>
                  <w:r>
                    <w:rPr>
                      <w:rFonts w:hint="eastAsia"/>
                      <w:lang w:val="en-US" w:eastAsia="zh-CN"/>
                    </w:rPr>
                    <w:t>昼间</w:t>
                  </w:r>
                </w:p>
              </w:tc>
              <w:tc>
                <w:tcPr>
                  <w:tcW w:w="1125" w:type="dxa"/>
                  <w:vAlign w:val="center"/>
                </w:tcPr>
                <w:p w14:paraId="75494307">
                  <w:pPr>
                    <w:pStyle w:val="26"/>
                    <w:bidi w:val="0"/>
                    <w:jc w:val="center"/>
                    <w:rPr>
                      <w:rFonts w:hint="default"/>
                      <w:lang w:val="en-US" w:eastAsia="zh-CN"/>
                    </w:rPr>
                  </w:pPr>
                  <w:r>
                    <w:rPr>
                      <w:rFonts w:hint="eastAsia"/>
                      <w:lang w:val="en-US" w:eastAsia="zh-CN"/>
                    </w:rPr>
                    <w:t>dB(A)</w:t>
                  </w:r>
                </w:p>
              </w:tc>
              <w:tc>
                <w:tcPr>
                  <w:tcW w:w="1125" w:type="dxa"/>
                  <w:vAlign w:val="center"/>
                </w:tcPr>
                <w:p w14:paraId="75514B6D">
                  <w:pPr>
                    <w:pStyle w:val="26"/>
                    <w:bidi w:val="0"/>
                    <w:jc w:val="center"/>
                    <w:rPr>
                      <w:rFonts w:hint="default"/>
                      <w:lang w:val="en-US" w:eastAsia="zh-CN"/>
                    </w:rPr>
                  </w:pPr>
                  <w:r>
                    <w:rPr>
                      <w:rFonts w:hint="eastAsia"/>
                      <w:lang w:val="en-US" w:eastAsia="zh-CN"/>
                    </w:rPr>
                    <w:t>53.8</w:t>
                  </w:r>
                </w:p>
              </w:tc>
              <w:tc>
                <w:tcPr>
                  <w:tcW w:w="1125" w:type="dxa"/>
                  <w:vAlign w:val="center"/>
                </w:tcPr>
                <w:p w14:paraId="35D15C75">
                  <w:pPr>
                    <w:pStyle w:val="26"/>
                    <w:bidi w:val="0"/>
                    <w:jc w:val="center"/>
                    <w:rPr>
                      <w:rFonts w:hint="default"/>
                      <w:lang w:val="en-US" w:eastAsia="zh-CN"/>
                    </w:rPr>
                  </w:pPr>
                  <w:r>
                    <w:rPr>
                      <w:rFonts w:hint="eastAsia"/>
                      <w:lang w:val="en-US" w:eastAsia="zh-CN"/>
                    </w:rPr>
                    <w:t>60</w:t>
                  </w:r>
                </w:p>
              </w:tc>
              <w:tc>
                <w:tcPr>
                  <w:tcW w:w="1126" w:type="dxa"/>
                  <w:vAlign w:val="center"/>
                </w:tcPr>
                <w:p w14:paraId="25B65DD4">
                  <w:pPr>
                    <w:pStyle w:val="26"/>
                    <w:bidi w:val="0"/>
                    <w:rPr>
                      <w:rFonts w:hint="default"/>
                      <w:lang w:val="en-US" w:eastAsia="zh-CN"/>
                    </w:rPr>
                  </w:pPr>
                  <w:r>
                    <w:rPr>
                      <w:rFonts w:hint="eastAsia"/>
                      <w:lang w:val="en-US" w:eastAsia="zh-CN"/>
                    </w:rPr>
                    <w:t>达标</w:t>
                  </w:r>
                </w:p>
              </w:tc>
            </w:tr>
            <w:tr w14:paraId="01B02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7" w:type="dxa"/>
                  <w:vMerge w:val="continue"/>
                  <w:vAlign w:val="center"/>
                </w:tcPr>
                <w:p w14:paraId="2ED96669">
                  <w:pPr>
                    <w:pStyle w:val="26"/>
                    <w:bidi w:val="0"/>
                    <w:jc w:val="center"/>
                    <w:rPr>
                      <w:rFonts w:hint="default"/>
                      <w:lang w:val="en-US" w:eastAsia="zh-CN"/>
                    </w:rPr>
                  </w:pPr>
                </w:p>
              </w:tc>
              <w:tc>
                <w:tcPr>
                  <w:tcW w:w="1091" w:type="dxa"/>
                  <w:vMerge w:val="continue"/>
                  <w:vAlign w:val="center"/>
                </w:tcPr>
                <w:p w14:paraId="308E1B9C">
                  <w:pPr>
                    <w:pStyle w:val="26"/>
                    <w:bidi w:val="0"/>
                    <w:jc w:val="center"/>
                    <w:rPr>
                      <w:rFonts w:hint="default"/>
                      <w:lang w:val="en-US" w:eastAsia="zh-CN"/>
                    </w:rPr>
                  </w:pPr>
                </w:p>
              </w:tc>
              <w:tc>
                <w:tcPr>
                  <w:tcW w:w="1124" w:type="dxa"/>
                  <w:vAlign w:val="center"/>
                </w:tcPr>
                <w:p w14:paraId="4E9F48DA">
                  <w:pPr>
                    <w:pStyle w:val="26"/>
                    <w:bidi w:val="0"/>
                    <w:jc w:val="center"/>
                    <w:rPr>
                      <w:rFonts w:hint="default"/>
                      <w:lang w:val="en-US" w:eastAsia="zh-CN"/>
                    </w:rPr>
                  </w:pPr>
                  <w:r>
                    <w:rPr>
                      <w:rFonts w:hint="eastAsia"/>
                      <w:lang w:val="en-US" w:eastAsia="zh-CN"/>
                    </w:rPr>
                    <w:t>夜间</w:t>
                  </w:r>
                </w:p>
              </w:tc>
              <w:tc>
                <w:tcPr>
                  <w:tcW w:w="1125" w:type="dxa"/>
                  <w:vAlign w:val="center"/>
                </w:tcPr>
                <w:p w14:paraId="64A79EBE">
                  <w:pPr>
                    <w:pStyle w:val="26"/>
                    <w:bidi w:val="0"/>
                    <w:jc w:val="center"/>
                    <w:rPr>
                      <w:rFonts w:hint="default"/>
                      <w:lang w:val="en-US" w:eastAsia="zh-CN"/>
                    </w:rPr>
                  </w:pPr>
                  <w:r>
                    <w:rPr>
                      <w:rFonts w:hint="eastAsia"/>
                      <w:lang w:val="en-US" w:eastAsia="zh-CN"/>
                    </w:rPr>
                    <w:t>dB(A)</w:t>
                  </w:r>
                </w:p>
              </w:tc>
              <w:tc>
                <w:tcPr>
                  <w:tcW w:w="1125" w:type="dxa"/>
                  <w:vAlign w:val="center"/>
                </w:tcPr>
                <w:p w14:paraId="3F3DEC06">
                  <w:pPr>
                    <w:pStyle w:val="26"/>
                    <w:bidi w:val="0"/>
                    <w:jc w:val="center"/>
                    <w:rPr>
                      <w:rFonts w:hint="default"/>
                      <w:lang w:val="en-US" w:eastAsia="zh-CN"/>
                    </w:rPr>
                  </w:pPr>
                  <w:r>
                    <w:rPr>
                      <w:rFonts w:hint="eastAsia"/>
                      <w:lang w:val="en-US" w:eastAsia="zh-CN"/>
                    </w:rPr>
                    <w:t>44.8</w:t>
                  </w:r>
                </w:p>
              </w:tc>
              <w:tc>
                <w:tcPr>
                  <w:tcW w:w="1125" w:type="dxa"/>
                  <w:vAlign w:val="center"/>
                </w:tcPr>
                <w:p w14:paraId="6E8F23EB">
                  <w:pPr>
                    <w:pStyle w:val="26"/>
                    <w:bidi w:val="0"/>
                    <w:jc w:val="center"/>
                    <w:rPr>
                      <w:rFonts w:hint="default"/>
                      <w:lang w:val="en-US" w:eastAsia="zh-CN"/>
                    </w:rPr>
                  </w:pPr>
                  <w:r>
                    <w:rPr>
                      <w:rFonts w:hint="eastAsia"/>
                      <w:lang w:val="en-US" w:eastAsia="zh-CN"/>
                    </w:rPr>
                    <w:t>50</w:t>
                  </w:r>
                </w:p>
              </w:tc>
              <w:tc>
                <w:tcPr>
                  <w:tcW w:w="1126" w:type="dxa"/>
                  <w:vAlign w:val="center"/>
                </w:tcPr>
                <w:p w14:paraId="6A32B7A9">
                  <w:pPr>
                    <w:pStyle w:val="26"/>
                    <w:bidi w:val="0"/>
                    <w:rPr>
                      <w:rFonts w:hint="default"/>
                      <w:lang w:val="en-US" w:eastAsia="zh-CN"/>
                    </w:rPr>
                  </w:pPr>
                  <w:r>
                    <w:rPr>
                      <w:rFonts w:hint="eastAsia"/>
                      <w:lang w:val="en-US" w:eastAsia="zh-CN"/>
                    </w:rPr>
                    <w:t>达标</w:t>
                  </w:r>
                </w:p>
              </w:tc>
            </w:tr>
            <w:tr w14:paraId="24FDD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7" w:type="dxa"/>
                  <w:vMerge w:val="restart"/>
                  <w:shd w:val="clear" w:color="auto" w:fill="auto"/>
                  <w:vAlign w:val="center"/>
                </w:tcPr>
                <w:p w14:paraId="1EF80B4D">
                  <w:pPr>
                    <w:pStyle w:val="26"/>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N2项目西侧居民点</w:t>
                  </w:r>
                </w:p>
              </w:tc>
              <w:tc>
                <w:tcPr>
                  <w:tcW w:w="1091" w:type="dxa"/>
                  <w:vMerge w:val="continue"/>
                  <w:vAlign w:val="center"/>
                </w:tcPr>
                <w:p w14:paraId="4461B5D3">
                  <w:pPr>
                    <w:pStyle w:val="26"/>
                    <w:bidi w:val="0"/>
                    <w:jc w:val="center"/>
                    <w:rPr>
                      <w:rFonts w:hint="default"/>
                      <w:lang w:val="en-US" w:eastAsia="zh-CN"/>
                    </w:rPr>
                  </w:pPr>
                </w:p>
              </w:tc>
              <w:tc>
                <w:tcPr>
                  <w:tcW w:w="1124" w:type="dxa"/>
                  <w:vAlign w:val="center"/>
                </w:tcPr>
                <w:p w14:paraId="03CF7994">
                  <w:pPr>
                    <w:pStyle w:val="26"/>
                    <w:bidi w:val="0"/>
                    <w:ind w:firstLine="0" w:firstLineChars="0"/>
                    <w:jc w:val="center"/>
                    <w:rPr>
                      <w:rFonts w:hint="default"/>
                      <w:lang w:val="en-US" w:eastAsia="zh-CN"/>
                    </w:rPr>
                  </w:pPr>
                  <w:r>
                    <w:rPr>
                      <w:rFonts w:hint="eastAsia"/>
                      <w:lang w:val="en-US" w:eastAsia="zh-CN"/>
                    </w:rPr>
                    <w:t>昼间</w:t>
                  </w:r>
                </w:p>
              </w:tc>
              <w:tc>
                <w:tcPr>
                  <w:tcW w:w="1125" w:type="dxa"/>
                  <w:vAlign w:val="center"/>
                </w:tcPr>
                <w:p w14:paraId="32F443BD">
                  <w:pPr>
                    <w:pStyle w:val="26"/>
                    <w:bidi w:val="0"/>
                    <w:jc w:val="center"/>
                    <w:rPr>
                      <w:rFonts w:hint="default"/>
                      <w:lang w:val="en-US" w:eastAsia="zh-CN"/>
                    </w:rPr>
                  </w:pPr>
                  <w:r>
                    <w:rPr>
                      <w:rFonts w:hint="eastAsia"/>
                      <w:lang w:val="en-US" w:eastAsia="zh-CN"/>
                    </w:rPr>
                    <w:t>dB(A)</w:t>
                  </w:r>
                </w:p>
              </w:tc>
              <w:tc>
                <w:tcPr>
                  <w:tcW w:w="1125" w:type="dxa"/>
                  <w:vAlign w:val="center"/>
                </w:tcPr>
                <w:p w14:paraId="11445BC7">
                  <w:pPr>
                    <w:pStyle w:val="26"/>
                    <w:bidi w:val="0"/>
                    <w:jc w:val="center"/>
                    <w:rPr>
                      <w:rFonts w:hint="default"/>
                      <w:lang w:val="en-US" w:eastAsia="zh-CN"/>
                    </w:rPr>
                  </w:pPr>
                  <w:r>
                    <w:rPr>
                      <w:rFonts w:hint="eastAsia"/>
                      <w:lang w:val="en-US" w:eastAsia="zh-CN"/>
                    </w:rPr>
                    <w:t>50.2</w:t>
                  </w:r>
                </w:p>
              </w:tc>
              <w:tc>
                <w:tcPr>
                  <w:tcW w:w="1125" w:type="dxa"/>
                  <w:vAlign w:val="center"/>
                </w:tcPr>
                <w:p w14:paraId="6F2D852C">
                  <w:pPr>
                    <w:pStyle w:val="26"/>
                    <w:bidi w:val="0"/>
                    <w:jc w:val="center"/>
                    <w:rPr>
                      <w:rFonts w:hint="default"/>
                      <w:lang w:val="en-US" w:eastAsia="zh-CN"/>
                    </w:rPr>
                  </w:pPr>
                  <w:r>
                    <w:rPr>
                      <w:rFonts w:hint="eastAsia"/>
                      <w:lang w:val="en-US" w:eastAsia="zh-CN"/>
                    </w:rPr>
                    <w:t>60</w:t>
                  </w:r>
                </w:p>
              </w:tc>
              <w:tc>
                <w:tcPr>
                  <w:tcW w:w="1126" w:type="dxa"/>
                  <w:vAlign w:val="center"/>
                </w:tcPr>
                <w:p w14:paraId="6E56A589">
                  <w:pPr>
                    <w:pStyle w:val="26"/>
                    <w:bidi w:val="0"/>
                    <w:rPr>
                      <w:rFonts w:hint="default"/>
                      <w:lang w:val="en-US" w:eastAsia="zh-CN"/>
                    </w:rPr>
                  </w:pPr>
                  <w:r>
                    <w:rPr>
                      <w:rFonts w:hint="eastAsia"/>
                      <w:lang w:val="en-US" w:eastAsia="zh-CN"/>
                    </w:rPr>
                    <w:t>达标</w:t>
                  </w:r>
                </w:p>
              </w:tc>
            </w:tr>
            <w:tr w14:paraId="7577B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7" w:type="dxa"/>
                  <w:vMerge w:val="continue"/>
                  <w:vAlign w:val="center"/>
                </w:tcPr>
                <w:p w14:paraId="6C27CD9C">
                  <w:pPr>
                    <w:pStyle w:val="26"/>
                    <w:bidi w:val="0"/>
                    <w:jc w:val="center"/>
                    <w:rPr>
                      <w:rFonts w:hint="default"/>
                      <w:lang w:val="en-US" w:eastAsia="zh-CN"/>
                    </w:rPr>
                  </w:pPr>
                </w:p>
              </w:tc>
              <w:tc>
                <w:tcPr>
                  <w:tcW w:w="1091" w:type="dxa"/>
                  <w:vMerge w:val="continue"/>
                  <w:vAlign w:val="center"/>
                </w:tcPr>
                <w:p w14:paraId="61D02E73">
                  <w:pPr>
                    <w:pStyle w:val="26"/>
                    <w:bidi w:val="0"/>
                    <w:jc w:val="center"/>
                    <w:rPr>
                      <w:rFonts w:hint="default"/>
                      <w:lang w:val="en-US" w:eastAsia="zh-CN"/>
                    </w:rPr>
                  </w:pPr>
                </w:p>
              </w:tc>
              <w:tc>
                <w:tcPr>
                  <w:tcW w:w="1124" w:type="dxa"/>
                  <w:vAlign w:val="center"/>
                </w:tcPr>
                <w:p w14:paraId="6A8248CA">
                  <w:pPr>
                    <w:pStyle w:val="26"/>
                    <w:bidi w:val="0"/>
                    <w:ind w:firstLine="0" w:firstLineChars="0"/>
                    <w:jc w:val="center"/>
                    <w:rPr>
                      <w:rFonts w:hint="default"/>
                      <w:lang w:val="en-US" w:eastAsia="zh-CN"/>
                    </w:rPr>
                  </w:pPr>
                  <w:r>
                    <w:rPr>
                      <w:rFonts w:hint="eastAsia"/>
                      <w:lang w:val="en-US" w:eastAsia="zh-CN"/>
                    </w:rPr>
                    <w:t>夜间</w:t>
                  </w:r>
                </w:p>
              </w:tc>
              <w:tc>
                <w:tcPr>
                  <w:tcW w:w="1125" w:type="dxa"/>
                  <w:vAlign w:val="center"/>
                </w:tcPr>
                <w:p w14:paraId="44A3E8EF">
                  <w:pPr>
                    <w:pStyle w:val="26"/>
                    <w:bidi w:val="0"/>
                    <w:jc w:val="center"/>
                    <w:rPr>
                      <w:rFonts w:hint="default"/>
                      <w:lang w:val="en-US" w:eastAsia="zh-CN"/>
                    </w:rPr>
                  </w:pPr>
                  <w:r>
                    <w:rPr>
                      <w:rFonts w:hint="eastAsia"/>
                      <w:lang w:val="en-US" w:eastAsia="zh-CN"/>
                    </w:rPr>
                    <w:t>dB(A)</w:t>
                  </w:r>
                </w:p>
              </w:tc>
              <w:tc>
                <w:tcPr>
                  <w:tcW w:w="1125" w:type="dxa"/>
                  <w:vAlign w:val="center"/>
                </w:tcPr>
                <w:p w14:paraId="4D41E70E">
                  <w:pPr>
                    <w:pStyle w:val="26"/>
                    <w:bidi w:val="0"/>
                    <w:jc w:val="center"/>
                    <w:rPr>
                      <w:rFonts w:hint="default"/>
                      <w:lang w:val="en-US" w:eastAsia="zh-CN"/>
                    </w:rPr>
                  </w:pPr>
                  <w:r>
                    <w:rPr>
                      <w:rFonts w:hint="eastAsia"/>
                      <w:lang w:val="en-US" w:eastAsia="zh-CN"/>
                    </w:rPr>
                    <w:t>43.0</w:t>
                  </w:r>
                </w:p>
              </w:tc>
              <w:tc>
                <w:tcPr>
                  <w:tcW w:w="1125" w:type="dxa"/>
                  <w:vAlign w:val="center"/>
                </w:tcPr>
                <w:p w14:paraId="3E25B783">
                  <w:pPr>
                    <w:pStyle w:val="26"/>
                    <w:bidi w:val="0"/>
                    <w:jc w:val="center"/>
                    <w:rPr>
                      <w:rFonts w:hint="default"/>
                      <w:lang w:val="en-US" w:eastAsia="zh-CN"/>
                    </w:rPr>
                  </w:pPr>
                  <w:r>
                    <w:rPr>
                      <w:rFonts w:hint="eastAsia"/>
                      <w:lang w:val="en-US" w:eastAsia="zh-CN"/>
                    </w:rPr>
                    <w:t>50</w:t>
                  </w:r>
                </w:p>
              </w:tc>
              <w:tc>
                <w:tcPr>
                  <w:tcW w:w="1126" w:type="dxa"/>
                  <w:vAlign w:val="center"/>
                </w:tcPr>
                <w:p w14:paraId="10E85A91">
                  <w:pPr>
                    <w:pStyle w:val="26"/>
                    <w:bidi w:val="0"/>
                    <w:rPr>
                      <w:rFonts w:hint="default"/>
                      <w:lang w:val="en-US" w:eastAsia="zh-CN"/>
                    </w:rPr>
                  </w:pPr>
                  <w:r>
                    <w:rPr>
                      <w:rFonts w:hint="eastAsia"/>
                      <w:lang w:val="en-US" w:eastAsia="zh-CN"/>
                    </w:rPr>
                    <w:t>达标</w:t>
                  </w:r>
                </w:p>
              </w:tc>
            </w:tr>
            <w:tr w14:paraId="2A371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7" w:type="dxa"/>
                  <w:vMerge w:val="restart"/>
                  <w:shd w:val="clear" w:color="auto" w:fill="auto"/>
                  <w:vAlign w:val="center"/>
                </w:tcPr>
                <w:p w14:paraId="34B4B068">
                  <w:pPr>
                    <w:pStyle w:val="26"/>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N3项目东侧居民点</w:t>
                  </w:r>
                </w:p>
              </w:tc>
              <w:tc>
                <w:tcPr>
                  <w:tcW w:w="1091" w:type="dxa"/>
                  <w:vMerge w:val="continue"/>
                  <w:vAlign w:val="center"/>
                </w:tcPr>
                <w:p w14:paraId="01E8F522">
                  <w:pPr>
                    <w:pStyle w:val="26"/>
                    <w:bidi w:val="0"/>
                    <w:jc w:val="center"/>
                    <w:rPr>
                      <w:rFonts w:hint="default"/>
                      <w:lang w:val="en-US" w:eastAsia="zh-CN"/>
                    </w:rPr>
                  </w:pPr>
                </w:p>
              </w:tc>
              <w:tc>
                <w:tcPr>
                  <w:tcW w:w="1124" w:type="dxa"/>
                  <w:vAlign w:val="center"/>
                </w:tcPr>
                <w:p w14:paraId="7CF6397D">
                  <w:pPr>
                    <w:pStyle w:val="26"/>
                    <w:bidi w:val="0"/>
                    <w:ind w:firstLine="0" w:firstLineChars="0"/>
                    <w:jc w:val="center"/>
                    <w:rPr>
                      <w:rFonts w:hint="default"/>
                      <w:lang w:val="en-US" w:eastAsia="zh-CN"/>
                    </w:rPr>
                  </w:pPr>
                  <w:r>
                    <w:rPr>
                      <w:rFonts w:hint="eastAsia"/>
                      <w:lang w:val="en-US" w:eastAsia="zh-CN"/>
                    </w:rPr>
                    <w:t>昼间</w:t>
                  </w:r>
                </w:p>
              </w:tc>
              <w:tc>
                <w:tcPr>
                  <w:tcW w:w="1125" w:type="dxa"/>
                  <w:vAlign w:val="center"/>
                </w:tcPr>
                <w:p w14:paraId="0B1B489F">
                  <w:pPr>
                    <w:pStyle w:val="26"/>
                    <w:bidi w:val="0"/>
                    <w:jc w:val="center"/>
                    <w:rPr>
                      <w:rFonts w:hint="default"/>
                      <w:lang w:val="en-US" w:eastAsia="zh-CN"/>
                    </w:rPr>
                  </w:pPr>
                  <w:r>
                    <w:rPr>
                      <w:rFonts w:hint="eastAsia"/>
                      <w:lang w:val="en-US" w:eastAsia="zh-CN"/>
                    </w:rPr>
                    <w:t>dB(A)</w:t>
                  </w:r>
                </w:p>
              </w:tc>
              <w:tc>
                <w:tcPr>
                  <w:tcW w:w="1125" w:type="dxa"/>
                  <w:vAlign w:val="center"/>
                </w:tcPr>
                <w:p w14:paraId="6DBA0586">
                  <w:pPr>
                    <w:pStyle w:val="26"/>
                    <w:bidi w:val="0"/>
                    <w:jc w:val="center"/>
                    <w:rPr>
                      <w:rFonts w:hint="default"/>
                      <w:lang w:val="en-US" w:eastAsia="zh-CN"/>
                    </w:rPr>
                  </w:pPr>
                  <w:r>
                    <w:rPr>
                      <w:rFonts w:hint="eastAsia"/>
                      <w:lang w:val="en-US" w:eastAsia="zh-CN"/>
                    </w:rPr>
                    <w:t>66.5</w:t>
                  </w:r>
                </w:p>
              </w:tc>
              <w:tc>
                <w:tcPr>
                  <w:tcW w:w="1125" w:type="dxa"/>
                  <w:vAlign w:val="center"/>
                </w:tcPr>
                <w:p w14:paraId="47FCB284">
                  <w:pPr>
                    <w:pStyle w:val="26"/>
                    <w:bidi w:val="0"/>
                    <w:jc w:val="center"/>
                    <w:rPr>
                      <w:rFonts w:hint="default"/>
                      <w:lang w:val="en-US" w:eastAsia="zh-CN"/>
                    </w:rPr>
                  </w:pPr>
                  <w:r>
                    <w:rPr>
                      <w:rFonts w:hint="eastAsia"/>
                      <w:lang w:val="en-US" w:eastAsia="zh-CN"/>
                    </w:rPr>
                    <w:t>70</w:t>
                  </w:r>
                </w:p>
              </w:tc>
              <w:tc>
                <w:tcPr>
                  <w:tcW w:w="1126" w:type="dxa"/>
                  <w:vAlign w:val="center"/>
                </w:tcPr>
                <w:p w14:paraId="07A79E67">
                  <w:pPr>
                    <w:pStyle w:val="26"/>
                    <w:bidi w:val="0"/>
                    <w:rPr>
                      <w:rFonts w:hint="default"/>
                      <w:lang w:val="en-US" w:eastAsia="zh-CN"/>
                    </w:rPr>
                  </w:pPr>
                  <w:r>
                    <w:rPr>
                      <w:rFonts w:hint="eastAsia"/>
                      <w:lang w:val="en-US" w:eastAsia="zh-CN"/>
                    </w:rPr>
                    <w:t>达标</w:t>
                  </w:r>
                </w:p>
              </w:tc>
            </w:tr>
            <w:tr w14:paraId="42A46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7" w:type="dxa"/>
                  <w:vMerge w:val="continue"/>
                  <w:vAlign w:val="center"/>
                </w:tcPr>
                <w:p w14:paraId="2089418D">
                  <w:pPr>
                    <w:pStyle w:val="26"/>
                    <w:bidi w:val="0"/>
                    <w:jc w:val="center"/>
                    <w:rPr>
                      <w:rFonts w:hint="default"/>
                      <w:lang w:val="en-US" w:eastAsia="zh-CN"/>
                    </w:rPr>
                  </w:pPr>
                </w:p>
              </w:tc>
              <w:tc>
                <w:tcPr>
                  <w:tcW w:w="1091" w:type="dxa"/>
                  <w:vMerge w:val="continue"/>
                  <w:vAlign w:val="center"/>
                </w:tcPr>
                <w:p w14:paraId="16EA26CC">
                  <w:pPr>
                    <w:pStyle w:val="26"/>
                    <w:bidi w:val="0"/>
                    <w:jc w:val="center"/>
                    <w:rPr>
                      <w:rFonts w:hint="default"/>
                      <w:lang w:val="en-US" w:eastAsia="zh-CN"/>
                    </w:rPr>
                  </w:pPr>
                </w:p>
              </w:tc>
              <w:tc>
                <w:tcPr>
                  <w:tcW w:w="1124" w:type="dxa"/>
                  <w:vAlign w:val="center"/>
                </w:tcPr>
                <w:p w14:paraId="502FD99F">
                  <w:pPr>
                    <w:pStyle w:val="26"/>
                    <w:bidi w:val="0"/>
                    <w:ind w:firstLine="0" w:firstLineChars="0"/>
                    <w:jc w:val="center"/>
                    <w:rPr>
                      <w:rFonts w:hint="default"/>
                      <w:lang w:val="en-US" w:eastAsia="zh-CN"/>
                    </w:rPr>
                  </w:pPr>
                  <w:r>
                    <w:rPr>
                      <w:rFonts w:hint="eastAsia"/>
                      <w:lang w:val="en-US" w:eastAsia="zh-CN"/>
                    </w:rPr>
                    <w:t>夜间</w:t>
                  </w:r>
                </w:p>
              </w:tc>
              <w:tc>
                <w:tcPr>
                  <w:tcW w:w="1125" w:type="dxa"/>
                  <w:vAlign w:val="center"/>
                </w:tcPr>
                <w:p w14:paraId="37C3F6E4">
                  <w:pPr>
                    <w:pStyle w:val="26"/>
                    <w:bidi w:val="0"/>
                    <w:jc w:val="center"/>
                    <w:rPr>
                      <w:rFonts w:hint="default"/>
                      <w:lang w:val="en-US" w:eastAsia="zh-CN"/>
                    </w:rPr>
                  </w:pPr>
                  <w:r>
                    <w:rPr>
                      <w:rFonts w:hint="eastAsia"/>
                      <w:lang w:val="en-US" w:eastAsia="zh-CN"/>
                    </w:rPr>
                    <w:t>dB(A)</w:t>
                  </w:r>
                </w:p>
              </w:tc>
              <w:tc>
                <w:tcPr>
                  <w:tcW w:w="1125" w:type="dxa"/>
                  <w:vAlign w:val="center"/>
                </w:tcPr>
                <w:p w14:paraId="256C8963">
                  <w:pPr>
                    <w:pStyle w:val="26"/>
                    <w:bidi w:val="0"/>
                    <w:jc w:val="center"/>
                    <w:rPr>
                      <w:rFonts w:hint="default"/>
                      <w:lang w:val="en-US" w:eastAsia="zh-CN"/>
                    </w:rPr>
                  </w:pPr>
                  <w:r>
                    <w:rPr>
                      <w:rFonts w:hint="eastAsia"/>
                      <w:lang w:val="en-US" w:eastAsia="zh-CN"/>
                    </w:rPr>
                    <w:t>53.6</w:t>
                  </w:r>
                </w:p>
              </w:tc>
              <w:tc>
                <w:tcPr>
                  <w:tcW w:w="1125" w:type="dxa"/>
                  <w:vAlign w:val="center"/>
                </w:tcPr>
                <w:p w14:paraId="4F15342B">
                  <w:pPr>
                    <w:pStyle w:val="26"/>
                    <w:bidi w:val="0"/>
                    <w:jc w:val="center"/>
                    <w:rPr>
                      <w:rFonts w:hint="default"/>
                      <w:lang w:val="en-US" w:eastAsia="zh-CN"/>
                    </w:rPr>
                  </w:pPr>
                  <w:r>
                    <w:rPr>
                      <w:rFonts w:hint="eastAsia"/>
                      <w:lang w:val="en-US" w:eastAsia="zh-CN"/>
                    </w:rPr>
                    <w:t>55</w:t>
                  </w:r>
                </w:p>
              </w:tc>
              <w:tc>
                <w:tcPr>
                  <w:tcW w:w="1126" w:type="dxa"/>
                  <w:vAlign w:val="center"/>
                </w:tcPr>
                <w:p w14:paraId="67C33D92">
                  <w:pPr>
                    <w:pStyle w:val="26"/>
                    <w:bidi w:val="0"/>
                    <w:rPr>
                      <w:rFonts w:hint="default"/>
                      <w:lang w:val="en-US" w:eastAsia="zh-CN"/>
                    </w:rPr>
                  </w:pPr>
                  <w:r>
                    <w:rPr>
                      <w:rFonts w:hint="eastAsia"/>
                      <w:lang w:val="en-US" w:eastAsia="zh-CN"/>
                    </w:rPr>
                    <w:t>达标</w:t>
                  </w:r>
                </w:p>
              </w:tc>
            </w:tr>
          </w:tbl>
          <w:p w14:paraId="092D92EC">
            <w:pPr>
              <w:pStyle w:val="25"/>
              <w:rPr>
                <w:rFonts w:hint="eastAsia"/>
                <w:lang w:val="en-US" w:eastAsia="zh-CN"/>
              </w:rPr>
            </w:pPr>
            <w:r>
              <w:rPr>
                <w:rFonts w:hint="eastAsia"/>
                <w:lang w:val="en-US" w:eastAsia="zh-CN"/>
              </w:rPr>
              <w:t>根据监测结果可知，N1项目南侧居民点和N2项目西侧居民点昼夜间声环境质量现状均能满足《声环境质量标准》（GB3096-2008）2类标准，N3项目东侧居民点昼夜间声环境质量现状均能满足《声环境质量标准》（GB3096-2008）4a类标准。</w:t>
            </w:r>
          </w:p>
          <w:p w14:paraId="1685F8B7">
            <w:pPr>
              <w:pStyle w:val="25"/>
              <w:rPr>
                <w:rFonts w:hint="default"/>
                <w:lang w:val="en-US" w:eastAsia="zh-CN"/>
              </w:rPr>
            </w:pPr>
            <w:r>
              <w:rPr>
                <w:rFonts w:hint="eastAsia"/>
                <w:lang w:val="en-US" w:eastAsia="zh-CN"/>
              </w:rPr>
              <w:t>4、地下水及土壤环境质量现状</w:t>
            </w:r>
          </w:p>
          <w:p w14:paraId="59F10836">
            <w:pPr>
              <w:pStyle w:val="25"/>
              <w:rPr>
                <w:rFonts w:hint="default"/>
                <w:lang w:val="en-US" w:eastAsia="zh-CN"/>
              </w:rPr>
            </w:pPr>
            <w:r>
              <w:rPr>
                <w:rFonts w:hint="default"/>
                <w:lang w:val="en-US" w:eastAsia="zh-CN"/>
              </w:rPr>
              <w:t>根据《建设项目环境影响报告表编制技术指南（污染影响类）（试行）》要求，污染影响类建设项目原则上不开展地下水和土壤环境的环境质量现状调查。项目用水均来自市政供水管网，不进行地下水的开采，不会造成因取用地下水而引起的环境水文地质问题。</w:t>
            </w:r>
            <w:r>
              <w:rPr>
                <w:rFonts w:hint="eastAsia"/>
                <w:lang w:val="en-US" w:eastAsia="zh-CN"/>
              </w:rPr>
              <w:t>项目生产厂房及储罐区均进行重点防渗，且储罐采用高压储罐，设置压力报警装置，基本不会出现大量泄漏情况，不存在对地下水及土壤的污染途径，因此本次不开展地下水及土壤环境质量监测。</w:t>
            </w:r>
          </w:p>
          <w:p w14:paraId="1DEA9D89">
            <w:pPr>
              <w:pStyle w:val="25"/>
              <w:rPr>
                <w:rFonts w:hint="eastAsia"/>
                <w:lang w:val="en-US" w:eastAsia="zh-CN"/>
              </w:rPr>
            </w:pPr>
            <w:r>
              <w:rPr>
                <w:rFonts w:hint="eastAsia"/>
                <w:lang w:val="en-US" w:eastAsia="zh-CN"/>
              </w:rPr>
              <w:t>5、生态环境质量现状</w:t>
            </w:r>
          </w:p>
          <w:p w14:paraId="46C2D0A0">
            <w:pPr>
              <w:pStyle w:val="25"/>
              <w:rPr>
                <w:rFonts w:hint="default" w:ascii="Times New Roman" w:hAnsi="Times New Roman" w:eastAsia="宋体" w:cs="Times New Roman"/>
                <w:color w:val="auto"/>
                <w:spacing w:val="2"/>
                <w:position w:val="12"/>
                <w:sz w:val="24"/>
                <w:szCs w:val="24"/>
                <w:lang w:val="en-US" w:eastAsia="zh-CN"/>
              </w:rPr>
            </w:pPr>
            <w:r>
              <w:rPr>
                <w:rFonts w:hint="default" w:ascii="Times New Roman" w:hAnsi="Times New Roman" w:eastAsia="宋体" w:cs="Times New Roman"/>
                <w:color w:val="auto"/>
                <w:spacing w:val="2"/>
                <w:position w:val="12"/>
                <w:sz w:val="24"/>
                <w:szCs w:val="24"/>
                <w:lang w:eastAsia="zh-CN"/>
              </w:rPr>
              <w:t>根据《建设项目环境影响报告表编制技术指南(污染影响类)》，产业园区外建设项目新增用地且用地范围内含有生态环境保护目标时，应进行生态现状调查。</w:t>
            </w:r>
            <w:r>
              <w:rPr>
                <w:rFonts w:hint="eastAsia" w:ascii="Times New Roman" w:hAnsi="Times New Roman" w:eastAsia="宋体" w:cs="Times New Roman"/>
                <w:color w:val="auto"/>
                <w:spacing w:val="2"/>
                <w:position w:val="12"/>
                <w:sz w:val="24"/>
                <w:szCs w:val="24"/>
                <w:lang w:val="en-US" w:eastAsia="zh-CN"/>
              </w:rPr>
              <w:t>本项目用地范围内不涉及生态保护红线、风景名胜区、自然保护区、森林公园、湿地公园等生态环境保护目标，因此可不进行生态环境质量调查。</w:t>
            </w:r>
          </w:p>
        </w:tc>
      </w:tr>
      <w:tr w14:paraId="18661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Align w:val="center"/>
          </w:tcPr>
          <w:p w14:paraId="5D0F8943">
            <w:pPr>
              <w:pStyle w:val="26"/>
            </w:pPr>
            <w:r>
              <w:rPr>
                <w:rFonts w:hint="eastAsia"/>
              </w:rPr>
              <w:t>环境保护目标</w:t>
            </w:r>
          </w:p>
        </w:tc>
        <w:tc>
          <w:tcPr>
            <w:tcW w:w="8130" w:type="dxa"/>
          </w:tcPr>
          <w:p w14:paraId="3811A7FB">
            <w:pPr>
              <w:pStyle w:val="25"/>
              <w:ind w:firstLine="480"/>
              <w:rPr>
                <w:rFonts w:hint="eastAsia"/>
                <w:lang w:val="en-US" w:eastAsia="zh-CN"/>
              </w:rPr>
            </w:pPr>
            <w:r>
              <w:rPr>
                <w:rFonts w:hint="eastAsia"/>
                <w:lang w:val="en-US" w:eastAsia="zh-CN"/>
              </w:rPr>
              <w:t>1、环境空气保护目标</w:t>
            </w:r>
          </w:p>
          <w:p w14:paraId="1D2CC0C9">
            <w:pPr>
              <w:pStyle w:val="25"/>
              <w:ind w:firstLine="480"/>
              <w:rPr>
                <w:rFonts w:hint="eastAsia"/>
                <w:lang w:val="en-US" w:eastAsia="zh-CN"/>
              </w:rPr>
            </w:pPr>
            <w:r>
              <w:rPr>
                <w:rFonts w:hint="eastAsia"/>
                <w:lang w:val="en-US" w:eastAsia="zh-CN"/>
              </w:rPr>
              <w:t>本次调查项目周边500m范围内环境空气保护目标，具体如下：</w:t>
            </w:r>
          </w:p>
          <w:p w14:paraId="3FFC8764">
            <w:pPr>
              <w:pStyle w:val="24"/>
              <w:bidi w:val="0"/>
              <w:rPr>
                <w:rFonts w:hint="eastAsia"/>
                <w:lang w:val="en-US" w:eastAsia="zh-CN"/>
              </w:rPr>
            </w:pPr>
            <w:r>
              <w:rPr>
                <w:rFonts w:hint="eastAsia"/>
                <w:lang w:val="en-US" w:eastAsia="zh-CN"/>
              </w:rPr>
              <w:t>表3-4  环境空气保护目标一览表</w:t>
            </w:r>
          </w:p>
          <w:tbl>
            <w:tblPr>
              <w:tblStyle w:val="1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3"/>
              <w:gridCol w:w="532"/>
              <w:gridCol w:w="647"/>
              <w:gridCol w:w="684"/>
              <w:gridCol w:w="1238"/>
              <w:gridCol w:w="910"/>
              <w:gridCol w:w="910"/>
              <w:gridCol w:w="1136"/>
            </w:tblGrid>
            <w:tr w14:paraId="719E8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51" w:type="pct"/>
                  <w:vMerge w:val="restart"/>
                  <w:vAlign w:val="center"/>
                </w:tcPr>
                <w:p w14:paraId="37C90AC8">
                  <w:pPr>
                    <w:pStyle w:val="26"/>
                    <w:bidi w:val="0"/>
                    <w:jc w:val="center"/>
                    <w:rPr>
                      <w:rFonts w:hint="default"/>
                      <w:lang w:val="en-US" w:eastAsia="zh-CN"/>
                    </w:rPr>
                  </w:pPr>
                  <w:r>
                    <w:rPr>
                      <w:rFonts w:hint="eastAsia"/>
                      <w:lang w:val="en-US" w:eastAsia="zh-CN"/>
                    </w:rPr>
                    <w:t>名称</w:t>
                  </w:r>
                </w:p>
              </w:tc>
              <w:tc>
                <w:tcPr>
                  <w:tcW w:w="749" w:type="pct"/>
                  <w:gridSpan w:val="2"/>
                  <w:vAlign w:val="center"/>
                </w:tcPr>
                <w:p w14:paraId="363A3D4A">
                  <w:pPr>
                    <w:pStyle w:val="26"/>
                    <w:bidi w:val="0"/>
                    <w:jc w:val="center"/>
                    <w:rPr>
                      <w:rFonts w:hint="default"/>
                      <w:lang w:val="en-US" w:eastAsia="zh-CN"/>
                    </w:rPr>
                  </w:pPr>
                  <w:r>
                    <w:rPr>
                      <w:rFonts w:hint="eastAsia"/>
                      <w:lang w:val="en-US" w:eastAsia="zh-CN"/>
                    </w:rPr>
                    <w:t>坐标/m</w:t>
                  </w:r>
                </w:p>
              </w:tc>
              <w:tc>
                <w:tcPr>
                  <w:tcW w:w="434" w:type="pct"/>
                  <w:vMerge w:val="restart"/>
                  <w:vAlign w:val="center"/>
                </w:tcPr>
                <w:p w14:paraId="33310D99">
                  <w:pPr>
                    <w:pStyle w:val="26"/>
                    <w:bidi w:val="0"/>
                    <w:jc w:val="center"/>
                    <w:rPr>
                      <w:rFonts w:hint="eastAsia"/>
                      <w:lang w:val="en-US" w:eastAsia="zh-CN"/>
                    </w:rPr>
                  </w:pPr>
                  <w:r>
                    <w:rPr>
                      <w:rFonts w:hint="eastAsia"/>
                      <w:lang w:val="en-US" w:eastAsia="zh-CN"/>
                    </w:rPr>
                    <w:t>保护</w:t>
                  </w:r>
                </w:p>
                <w:p w14:paraId="356DE6CE">
                  <w:pPr>
                    <w:pStyle w:val="26"/>
                    <w:bidi w:val="0"/>
                    <w:jc w:val="center"/>
                    <w:rPr>
                      <w:rFonts w:hint="default"/>
                      <w:lang w:val="en-US" w:eastAsia="zh-CN"/>
                    </w:rPr>
                  </w:pPr>
                  <w:r>
                    <w:rPr>
                      <w:rFonts w:hint="eastAsia"/>
                      <w:lang w:val="en-US" w:eastAsia="zh-CN"/>
                    </w:rPr>
                    <w:t>对象</w:t>
                  </w:r>
                </w:p>
              </w:tc>
              <w:tc>
                <w:tcPr>
                  <w:tcW w:w="786" w:type="pct"/>
                  <w:vMerge w:val="restart"/>
                  <w:vAlign w:val="center"/>
                </w:tcPr>
                <w:p w14:paraId="1B38E2D4">
                  <w:pPr>
                    <w:pStyle w:val="26"/>
                    <w:bidi w:val="0"/>
                    <w:jc w:val="center"/>
                    <w:rPr>
                      <w:rFonts w:hint="eastAsia"/>
                      <w:lang w:val="en-US" w:eastAsia="zh-CN"/>
                    </w:rPr>
                  </w:pPr>
                  <w:r>
                    <w:rPr>
                      <w:rFonts w:hint="eastAsia"/>
                      <w:lang w:val="en-US" w:eastAsia="zh-CN"/>
                    </w:rPr>
                    <w:t>保护</w:t>
                  </w:r>
                </w:p>
                <w:p w14:paraId="023F125F">
                  <w:pPr>
                    <w:pStyle w:val="26"/>
                    <w:bidi w:val="0"/>
                    <w:jc w:val="center"/>
                    <w:rPr>
                      <w:rFonts w:hint="default"/>
                      <w:lang w:val="en-US" w:eastAsia="zh-CN"/>
                    </w:rPr>
                  </w:pPr>
                  <w:r>
                    <w:rPr>
                      <w:rFonts w:hint="eastAsia"/>
                      <w:lang w:val="en-US" w:eastAsia="zh-CN"/>
                    </w:rPr>
                    <w:t>内容</w:t>
                  </w:r>
                </w:p>
              </w:tc>
              <w:tc>
                <w:tcPr>
                  <w:tcW w:w="578" w:type="pct"/>
                  <w:vMerge w:val="restart"/>
                  <w:vAlign w:val="center"/>
                </w:tcPr>
                <w:p w14:paraId="09390ABF">
                  <w:pPr>
                    <w:pStyle w:val="26"/>
                    <w:bidi w:val="0"/>
                    <w:jc w:val="center"/>
                    <w:rPr>
                      <w:rFonts w:hint="eastAsia"/>
                      <w:lang w:val="en-US" w:eastAsia="zh-CN"/>
                    </w:rPr>
                  </w:pPr>
                  <w:r>
                    <w:rPr>
                      <w:rFonts w:hint="eastAsia"/>
                      <w:lang w:val="en-US" w:eastAsia="zh-CN"/>
                    </w:rPr>
                    <w:t>环境</w:t>
                  </w:r>
                </w:p>
                <w:p w14:paraId="138605D3">
                  <w:pPr>
                    <w:pStyle w:val="26"/>
                    <w:bidi w:val="0"/>
                    <w:jc w:val="center"/>
                    <w:rPr>
                      <w:rFonts w:hint="default"/>
                      <w:lang w:val="en-US" w:eastAsia="zh-CN"/>
                    </w:rPr>
                  </w:pPr>
                  <w:r>
                    <w:rPr>
                      <w:rFonts w:hint="eastAsia"/>
                      <w:lang w:val="en-US" w:eastAsia="zh-CN"/>
                    </w:rPr>
                    <w:t>功能区</w:t>
                  </w:r>
                </w:p>
              </w:tc>
              <w:tc>
                <w:tcPr>
                  <w:tcW w:w="578" w:type="pct"/>
                  <w:vMerge w:val="restart"/>
                  <w:vAlign w:val="center"/>
                </w:tcPr>
                <w:p w14:paraId="69541029">
                  <w:pPr>
                    <w:pStyle w:val="26"/>
                    <w:bidi w:val="0"/>
                    <w:jc w:val="center"/>
                    <w:rPr>
                      <w:rFonts w:hint="eastAsia"/>
                      <w:lang w:val="en-US" w:eastAsia="zh-CN"/>
                    </w:rPr>
                  </w:pPr>
                  <w:r>
                    <w:rPr>
                      <w:rFonts w:hint="eastAsia"/>
                      <w:lang w:val="en-US" w:eastAsia="zh-CN"/>
                    </w:rPr>
                    <w:t>相对厂</w:t>
                  </w:r>
                </w:p>
                <w:p w14:paraId="46A8309B">
                  <w:pPr>
                    <w:pStyle w:val="26"/>
                    <w:bidi w:val="0"/>
                    <w:jc w:val="center"/>
                    <w:rPr>
                      <w:rFonts w:hint="default"/>
                      <w:lang w:val="en-US" w:eastAsia="zh-CN"/>
                    </w:rPr>
                  </w:pPr>
                  <w:r>
                    <w:rPr>
                      <w:rFonts w:hint="eastAsia"/>
                      <w:lang w:val="en-US" w:eastAsia="zh-CN"/>
                    </w:rPr>
                    <w:t>址方位</w:t>
                  </w:r>
                </w:p>
              </w:tc>
              <w:tc>
                <w:tcPr>
                  <w:tcW w:w="721" w:type="pct"/>
                  <w:vMerge w:val="restart"/>
                  <w:vAlign w:val="center"/>
                </w:tcPr>
                <w:p w14:paraId="2778F6E6">
                  <w:pPr>
                    <w:pStyle w:val="26"/>
                    <w:bidi w:val="0"/>
                    <w:jc w:val="center"/>
                    <w:rPr>
                      <w:rFonts w:hint="eastAsia"/>
                      <w:lang w:val="en-US" w:eastAsia="zh-CN"/>
                    </w:rPr>
                  </w:pPr>
                  <w:r>
                    <w:rPr>
                      <w:rFonts w:hint="eastAsia"/>
                      <w:lang w:val="en-US" w:eastAsia="zh-CN"/>
                    </w:rPr>
                    <w:t>相对厂界</w:t>
                  </w:r>
                </w:p>
                <w:p w14:paraId="2BC42EC1">
                  <w:pPr>
                    <w:pStyle w:val="26"/>
                    <w:bidi w:val="0"/>
                    <w:jc w:val="center"/>
                    <w:rPr>
                      <w:rFonts w:hint="default"/>
                      <w:lang w:val="en-US" w:eastAsia="zh-CN"/>
                    </w:rPr>
                  </w:pPr>
                  <w:r>
                    <w:rPr>
                      <w:rFonts w:hint="eastAsia"/>
                      <w:lang w:val="en-US" w:eastAsia="zh-CN"/>
                    </w:rPr>
                    <w:t>距离m</w:t>
                  </w:r>
                </w:p>
              </w:tc>
            </w:tr>
            <w:tr w14:paraId="7E4D7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1" w:type="pct"/>
                  <w:vMerge w:val="continue"/>
                  <w:vAlign w:val="center"/>
                </w:tcPr>
                <w:p w14:paraId="30DAC005">
                  <w:pPr>
                    <w:pStyle w:val="26"/>
                    <w:bidi w:val="0"/>
                    <w:jc w:val="center"/>
                    <w:rPr>
                      <w:rFonts w:hint="default"/>
                      <w:lang w:val="en-US" w:eastAsia="zh-CN"/>
                    </w:rPr>
                  </w:pPr>
                </w:p>
              </w:tc>
              <w:tc>
                <w:tcPr>
                  <w:tcW w:w="338" w:type="pct"/>
                  <w:vAlign w:val="center"/>
                </w:tcPr>
                <w:p w14:paraId="6F464BFF">
                  <w:pPr>
                    <w:pStyle w:val="26"/>
                    <w:bidi w:val="0"/>
                    <w:jc w:val="center"/>
                    <w:rPr>
                      <w:rFonts w:hint="default"/>
                      <w:lang w:val="en-US" w:eastAsia="zh-CN"/>
                    </w:rPr>
                  </w:pPr>
                  <w:r>
                    <w:rPr>
                      <w:rFonts w:hint="eastAsia"/>
                      <w:lang w:val="en-US" w:eastAsia="zh-CN"/>
                    </w:rPr>
                    <w:t>X</w:t>
                  </w:r>
                </w:p>
              </w:tc>
              <w:tc>
                <w:tcPr>
                  <w:tcW w:w="411" w:type="pct"/>
                  <w:vAlign w:val="center"/>
                </w:tcPr>
                <w:p w14:paraId="4B6555DE">
                  <w:pPr>
                    <w:pStyle w:val="26"/>
                    <w:bidi w:val="0"/>
                    <w:jc w:val="center"/>
                    <w:rPr>
                      <w:rFonts w:hint="default"/>
                      <w:lang w:val="en-US" w:eastAsia="zh-CN"/>
                    </w:rPr>
                  </w:pPr>
                  <w:r>
                    <w:rPr>
                      <w:rFonts w:hint="eastAsia"/>
                      <w:lang w:val="en-US" w:eastAsia="zh-CN"/>
                    </w:rPr>
                    <w:t>Y</w:t>
                  </w:r>
                </w:p>
              </w:tc>
              <w:tc>
                <w:tcPr>
                  <w:tcW w:w="434" w:type="pct"/>
                  <w:vMerge w:val="continue"/>
                  <w:vAlign w:val="center"/>
                </w:tcPr>
                <w:p w14:paraId="6907C104">
                  <w:pPr>
                    <w:pStyle w:val="26"/>
                    <w:bidi w:val="0"/>
                    <w:jc w:val="center"/>
                    <w:rPr>
                      <w:rFonts w:hint="default"/>
                      <w:lang w:val="en-US" w:eastAsia="zh-CN"/>
                    </w:rPr>
                  </w:pPr>
                </w:p>
              </w:tc>
              <w:tc>
                <w:tcPr>
                  <w:tcW w:w="786" w:type="pct"/>
                  <w:vMerge w:val="continue"/>
                  <w:vAlign w:val="center"/>
                </w:tcPr>
                <w:p w14:paraId="247A282F">
                  <w:pPr>
                    <w:pStyle w:val="26"/>
                    <w:bidi w:val="0"/>
                    <w:jc w:val="center"/>
                    <w:rPr>
                      <w:rFonts w:hint="default"/>
                      <w:lang w:val="en-US" w:eastAsia="zh-CN"/>
                    </w:rPr>
                  </w:pPr>
                </w:p>
              </w:tc>
              <w:tc>
                <w:tcPr>
                  <w:tcW w:w="578" w:type="pct"/>
                  <w:vMerge w:val="continue"/>
                  <w:vAlign w:val="center"/>
                </w:tcPr>
                <w:p w14:paraId="50AB869F">
                  <w:pPr>
                    <w:pStyle w:val="26"/>
                    <w:bidi w:val="0"/>
                    <w:jc w:val="center"/>
                    <w:rPr>
                      <w:rFonts w:hint="default"/>
                      <w:lang w:val="en-US" w:eastAsia="zh-CN"/>
                    </w:rPr>
                  </w:pPr>
                </w:p>
              </w:tc>
              <w:tc>
                <w:tcPr>
                  <w:tcW w:w="578" w:type="pct"/>
                  <w:vMerge w:val="continue"/>
                  <w:vAlign w:val="center"/>
                </w:tcPr>
                <w:p w14:paraId="3D418A57">
                  <w:pPr>
                    <w:pStyle w:val="26"/>
                    <w:bidi w:val="0"/>
                    <w:jc w:val="center"/>
                    <w:rPr>
                      <w:rFonts w:hint="default"/>
                      <w:lang w:val="en-US" w:eastAsia="zh-CN"/>
                    </w:rPr>
                  </w:pPr>
                </w:p>
              </w:tc>
              <w:tc>
                <w:tcPr>
                  <w:tcW w:w="721" w:type="pct"/>
                  <w:vMerge w:val="continue"/>
                  <w:vAlign w:val="center"/>
                </w:tcPr>
                <w:p w14:paraId="632F9579">
                  <w:pPr>
                    <w:pStyle w:val="26"/>
                    <w:bidi w:val="0"/>
                    <w:jc w:val="center"/>
                    <w:rPr>
                      <w:rFonts w:hint="default"/>
                      <w:lang w:val="en-US" w:eastAsia="zh-CN"/>
                    </w:rPr>
                  </w:pPr>
                </w:p>
              </w:tc>
            </w:tr>
            <w:tr w14:paraId="3BDB7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1" w:type="pct"/>
                  <w:vAlign w:val="center"/>
                </w:tcPr>
                <w:p w14:paraId="618772CE">
                  <w:pPr>
                    <w:pStyle w:val="26"/>
                    <w:bidi w:val="0"/>
                    <w:jc w:val="center"/>
                    <w:rPr>
                      <w:rFonts w:hint="default"/>
                      <w:lang w:val="en-US" w:eastAsia="zh-CN"/>
                    </w:rPr>
                  </w:pPr>
                  <w:r>
                    <w:rPr>
                      <w:rFonts w:hint="default"/>
                      <w:lang w:val="en-US" w:eastAsia="zh-CN"/>
                    </w:rPr>
                    <w:t>太栗村胡</w:t>
                  </w:r>
                </w:p>
                <w:p w14:paraId="17F16E2E">
                  <w:pPr>
                    <w:pStyle w:val="26"/>
                    <w:bidi w:val="0"/>
                    <w:jc w:val="center"/>
                    <w:rPr>
                      <w:rFonts w:hint="default"/>
                      <w:lang w:val="en-US" w:eastAsia="zh-CN"/>
                    </w:rPr>
                  </w:pPr>
                  <w:r>
                    <w:rPr>
                      <w:rFonts w:hint="default"/>
                      <w:lang w:val="en-US" w:eastAsia="zh-CN"/>
                    </w:rPr>
                    <w:t>家组</w:t>
                  </w:r>
                  <w:r>
                    <w:rPr>
                      <w:rFonts w:hint="eastAsia"/>
                      <w:lang w:val="en-US" w:eastAsia="zh-CN"/>
                    </w:rPr>
                    <w:t>居民</w:t>
                  </w:r>
                </w:p>
              </w:tc>
              <w:tc>
                <w:tcPr>
                  <w:tcW w:w="338" w:type="pct"/>
                  <w:vAlign w:val="center"/>
                </w:tcPr>
                <w:p w14:paraId="5517ADDC">
                  <w:pPr>
                    <w:pStyle w:val="26"/>
                    <w:bidi w:val="0"/>
                    <w:jc w:val="center"/>
                    <w:rPr>
                      <w:rFonts w:hint="default"/>
                      <w:lang w:val="en-US" w:eastAsia="zh-CN"/>
                    </w:rPr>
                  </w:pPr>
                  <w:r>
                    <w:rPr>
                      <w:rFonts w:hint="eastAsia"/>
                      <w:lang w:val="en-US" w:eastAsia="zh-CN"/>
                    </w:rPr>
                    <w:t>0</w:t>
                  </w:r>
                </w:p>
              </w:tc>
              <w:tc>
                <w:tcPr>
                  <w:tcW w:w="411" w:type="pct"/>
                  <w:vAlign w:val="center"/>
                </w:tcPr>
                <w:p w14:paraId="1E08799F">
                  <w:pPr>
                    <w:pStyle w:val="26"/>
                    <w:bidi w:val="0"/>
                    <w:jc w:val="center"/>
                    <w:rPr>
                      <w:rFonts w:hint="default"/>
                      <w:lang w:val="en-US" w:eastAsia="zh-CN"/>
                    </w:rPr>
                  </w:pPr>
                  <w:r>
                    <w:rPr>
                      <w:rFonts w:hint="eastAsia"/>
                      <w:lang w:val="en-US" w:eastAsia="zh-CN"/>
                    </w:rPr>
                    <w:t>-65</w:t>
                  </w:r>
                </w:p>
              </w:tc>
              <w:tc>
                <w:tcPr>
                  <w:tcW w:w="434" w:type="pct"/>
                  <w:vAlign w:val="center"/>
                </w:tcPr>
                <w:p w14:paraId="4F5D2B6D">
                  <w:pPr>
                    <w:pStyle w:val="26"/>
                    <w:bidi w:val="0"/>
                    <w:jc w:val="center"/>
                    <w:rPr>
                      <w:rFonts w:hint="default"/>
                      <w:lang w:val="en-US" w:eastAsia="zh-CN"/>
                    </w:rPr>
                  </w:pPr>
                  <w:r>
                    <w:rPr>
                      <w:rFonts w:hint="eastAsia"/>
                      <w:lang w:val="en-US" w:eastAsia="zh-CN"/>
                    </w:rPr>
                    <w:t>居民</w:t>
                  </w:r>
                </w:p>
              </w:tc>
              <w:tc>
                <w:tcPr>
                  <w:tcW w:w="786" w:type="pct"/>
                  <w:vAlign w:val="center"/>
                </w:tcPr>
                <w:p w14:paraId="055770C6">
                  <w:pPr>
                    <w:pStyle w:val="26"/>
                    <w:bidi w:val="0"/>
                    <w:jc w:val="center"/>
                    <w:rPr>
                      <w:rFonts w:hint="eastAsia"/>
                      <w:lang w:val="en-US" w:eastAsia="zh-CN"/>
                    </w:rPr>
                  </w:pPr>
                  <w:r>
                    <w:rPr>
                      <w:rFonts w:hint="eastAsia"/>
                      <w:lang w:val="en-US" w:eastAsia="zh-CN"/>
                    </w:rPr>
                    <w:t>约40户，</w:t>
                  </w:r>
                </w:p>
                <w:p w14:paraId="4A4D3B00">
                  <w:pPr>
                    <w:pStyle w:val="26"/>
                    <w:bidi w:val="0"/>
                    <w:jc w:val="center"/>
                    <w:rPr>
                      <w:rFonts w:hint="default"/>
                      <w:lang w:val="en-US" w:eastAsia="zh-CN"/>
                    </w:rPr>
                  </w:pPr>
                  <w:r>
                    <w:rPr>
                      <w:rFonts w:hint="eastAsia"/>
                      <w:lang w:val="en-US" w:eastAsia="zh-CN"/>
                    </w:rPr>
                    <w:t>150人</w:t>
                  </w:r>
                </w:p>
              </w:tc>
              <w:tc>
                <w:tcPr>
                  <w:tcW w:w="578" w:type="pct"/>
                  <w:vAlign w:val="center"/>
                </w:tcPr>
                <w:p w14:paraId="5DC39EE3">
                  <w:pPr>
                    <w:pStyle w:val="26"/>
                    <w:bidi w:val="0"/>
                    <w:jc w:val="center"/>
                    <w:rPr>
                      <w:rFonts w:hint="default"/>
                      <w:lang w:val="en-US" w:eastAsia="zh-CN"/>
                    </w:rPr>
                  </w:pPr>
                  <w:r>
                    <w:rPr>
                      <w:rFonts w:hint="eastAsia"/>
                      <w:lang w:val="en-US" w:eastAsia="zh-CN"/>
                    </w:rPr>
                    <w:t>2类</w:t>
                  </w:r>
                </w:p>
              </w:tc>
              <w:tc>
                <w:tcPr>
                  <w:tcW w:w="578" w:type="pct"/>
                  <w:vAlign w:val="center"/>
                </w:tcPr>
                <w:p w14:paraId="47116E82">
                  <w:pPr>
                    <w:pStyle w:val="26"/>
                    <w:bidi w:val="0"/>
                    <w:jc w:val="center"/>
                    <w:rPr>
                      <w:rFonts w:hint="default"/>
                      <w:lang w:val="en-US" w:eastAsia="zh-CN"/>
                    </w:rPr>
                  </w:pPr>
                  <w:r>
                    <w:rPr>
                      <w:rFonts w:hint="eastAsia"/>
                      <w:lang w:val="en-US" w:eastAsia="zh-CN"/>
                    </w:rPr>
                    <w:t>W，S</w:t>
                  </w:r>
                </w:p>
              </w:tc>
              <w:tc>
                <w:tcPr>
                  <w:tcW w:w="721" w:type="pct"/>
                  <w:vAlign w:val="center"/>
                </w:tcPr>
                <w:p w14:paraId="36FEE729">
                  <w:pPr>
                    <w:pStyle w:val="26"/>
                    <w:bidi w:val="0"/>
                    <w:jc w:val="center"/>
                    <w:rPr>
                      <w:rFonts w:hint="default"/>
                      <w:lang w:val="en-US" w:eastAsia="zh-CN"/>
                    </w:rPr>
                  </w:pPr>
                  <w:r>
                    <w:rPr>
                      <w:rFonts w:hint="eastAsia"/>
                      <w:lang w:val="en-US" w:eastAsia="zh-CN"/>
                    </w:rPr>
                    <w:t>10~500</w:t>
                  </w:r>
                </w:p>
              </w:tc>
            </w:tr>
            <w:tr w14:paraId="10B14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1" w:type="pct"/>
                  <w:vAlign w:val="center"/>
                </w:tcPr>
                <w:p w14:paraId="11711B05">
                  <w:pPr>
                    <w:pStyle w:val="26"/>
                    <w:bidi w:val="0"/>
                    <w:jc w:val="center"/>
                    <w:rPr>
                      <w:rFonts w:hint="eastAsia"/>
                      <w:lang w:val="en-US" w:eastAsia="zh-CN"/>
                    </w:rPr>
                  </w:pPr>
                  <w:r>
                    <w:rPr>
                      <w:rFonts w:hint="default"/>
                      <w:lang w:val="en-US" w:eastAsia="zh-CN"/>
                    </w:rPr>
                    <w:t>太栗村</w:t>
                  </w:r>
                  <w:r>
                    <w:rPr>
                      <w:rFonts w:hint="eastAsia"/>
                      <w:lang w:val="en-US" w:eastAsia="zh-CN"/>
                    </w:rPr>
                    <w:t>畔</w:t>
                  </w:r>
                </w:p>
                <w:p w14:paraId="3D5BF930">
                  <w:pPr>
                    <w:pStyle w:val="26"/>
                    <w:bidi w:val="0"/>
                    <w:jc w:val="center"/>
                    <w:rPr>
                      <w:rFonts w:hint="default"/>
                      <w:lang w:val="en-US" w:eastAsia="zh-CN"/>
                    </w:rPr>
                  </w:pPr>
                  <w:r>
                    <w:rPr>
                      <w:rFonts w:hint="eastAsia"/>
                      <w:lang w:val="en-US" w:eastAsia="zh-CN"/>
                    </w:rPr>
                    <w:t>湖塘组居民</w:t>
                  </w:r>
                </w:p>
              </w:tc>
              <w:tc>
                <w:tcPr>
                  <w:tcW w:w="338" w:type="pct"/>
                  <w:vAlign w:val="center"/>
                </w:tcPr>
                <w:p w14:paraId="1129CA35">
                  <w:pPr>
                    <w:pStyle w:val="26"/>
                    <w:bidi w:val="0"/>
                    <w:jc w:val="center"/>
                    <w:rPr>
                      <w:rFonts w:hint="default"/>
                      <w:lang w:val="en-US" w:eastAsia="zh-CN"/>
                    </w:rPr>
                  </w:pPr>
                  <w:r>
                    <w:rPr>
                      <w:rFonts w:hint="eastAsia"/>
                      <w:lang w:val="en-US" w:eastAsia="zh-CN"/>
                    </w:rPr>
                    <w:t>90</w:t>
                  </w:r>
                </w:p>
              </w:tc>
              <w:tc>
                <w:tcPr>
                  <w:tcW w:w="411" w:type="pct"/>
                  <w:vAlign w:val="center"/>
                </w:tcPr>
                <w:p w14:paraId="1D6C2ED5">
                  <w:pPr>
                    <w:pStyle w:val="26"/>
                    <w:bidi w:val="0"/>
                    <w:jc w:val="center"/>
                    <w:rPr>
                      <w:rFonts w:hint="default"/>
                      <w:lang w:val="en-US" w:eastAsia="zh-CN"/>
                    </w:rPr>
                  </w:pPr>
                  <w:r>
                    <w:rPr>
                      <w:rFonts w:hint="eastAsia"/>
                      <w:lang w:val="en-US" w:eastAsia="zh-CN"/>
                    </w:rPr>
                    <w:t>0</w:t>
                  </w:r>
                </w:p>
              </w:tc>
              <w:tc>
                <w:tcPr>
                  <w:tcW w:w="434" w:type="pct"/>
                  <w:vAlign w:val="center"/>
                </w:tcPr>
                <w:p w14:paraId="376973A5">
                  <w:pPr>
                    <w:pStyle w:val="26"/>
                    <w:bidi w:val="0"/>
                    <w:jc w:val="center"/>
                    <w:rPr>
                      <w:rFonts w:hint="default"/>
                      <w:lang w:val="en-US" w:eastAsia="zh-CN"/>
                    </w:rPr>
                  </w:pPr>
                  <w:r>
                    <w:rPr>
                      <w:rFonts w:hint="eastAsia"/>
                      <w:lang w:val="en-US" w:eastAsia="zh-CN"/>
                    </w:rPr>
                    <w:t>居民</w:t>
                  </w:r>
                </w:p>
              </w:tc>
              <w:tc>
                <w:tcPr>
                  <w:tcW w:w="786" w:type="pct"/>
                  <w:vAlign w:val="center"/>
                </w:tcPr>
                <w:p w14:paraId="14E5582E">
                  <w:pPr>
                    <w:pStyle w:val="26"/>
                    <w:bidi w:val="0"/>
                    <w:jc w:val="center"/>
                    <w:rPr>
                      <w:rFonts w:hint="eastAsia"/>
                      <w:lang w:val="en-US" w:eastAsia="zh-CN"/>
                    </w:rPr>
                  </w:pPr>
                  <w:r>
                    <w:rPr>
                      <w:rFonts w:hint="eastAsia"/>
                      <w:lang w:val="en-US" w:eastAsia="zh-CN"/>
                    </w:rPr>
                    <w:t>约70户，</w:t>
                  </w:r>
                </w:p>
                <w:p w14:paraId="56B01006">
                  <w:pPr>
                    <w:pStyle w:val="26"/>
                    <w:bidi w:val="0"/>
                    <w:jc w:val="center"/>
                    <w:rPr>
                      <w:rFonts w:hint="default"/>
                      <w:lang w:val="en-US" w:eastAsia="zh-CN"/>
                    </w:rPr>
                  </w:pPr>
                  <w:r>
                    <w:rPr>
                      <w:rFonts w:hint="eastAsia"/>
                      <w:lang w:val="en-US" w:eastAsia="zh-CN"/>
                    </w:rPr>
                    <w:t>250人</w:t>
                  </w:r>
                </w:p>
              </w:tc>
              <w:tc>
                <w:tcPr>
                  <w:tcW w:w="578" w:type="pct"/>
                  <w:vAlign w:val="center"/>
                </w:tcPr>
                <w:p w14:paraId="3CB2DF37">
                  <w:pPr>
                    <w:pStyle w:val="26"/>
                    <w:bidi w:val="0"/>
                    <w:jc w:val="center"/>
                    <w:rPr>
                      <w:rFonts w:hint="default"/>
                      <w:lang w:val="en-US" w:eastAsia="zh-CN"/>
                    </w:rPr>
                  </w:pPr>
                  <w:r>
                    <w:rPr>
                      <w:rFonts w:hint="eastAsia"/>
                      <w:lang w:val="en-US" w:eastAsia="zh-CN"/>
                    </w:rPr>
                    <w:t>2类</w:t>
                  </w:r>
                </w:p>
              </w:tc>
              <w:tc>
                <w:tcPr>
                  <w:tcW w:w="578" w:type="pct"/>
                  <w:vAlign w:val="center"/>
                </w:tcPr>
                <w:p w14:paraId="476400CA">
                  <w:pPr>
                    <w:pStyle w:val="26"/>
                    <w:bidi w:val="0"/>
                    <w:jc w:val="center"/>
                    <w:rPr>
                      <w:rFonts w:hint="default"/>
                      <w:lang w:val="en-US" w:eastAsia="zh-CN"/>
                    </w:rPr>
                  </w:pPr>
                  <w:r>
                    <w:rPr>
                      <w:rFonts w:hint="eastAsia"/>
                      <w:lang w:val="en-US" w:eastAsia="zh-CN"/>
                    </w:rPr>
                    <w:t>E</w:t>
                  </w:r>
                </w:p>
              </w:tc>
              <w:tc>
                <w:tcPr>
                  <w:tcW w:w="721" w:type="pct"/>
                  <w:vAlign w:val="center"/>
                </w:tcPr>
                <w:p w14:paraId="6FED2353">
                  <w:pPr>
                    <w:pStyle w:val="26"/>
                    <w:bidi w:val="0"/>
                    <w:jc w:val="center"/>
                    <w:rPr>
                      <w:rFonts w:hint="default"/>
                      <w:lang w:val="en-US" w:eastAsia="zh-CN"/>
                    </w:rPr>
                  </w:pPr>
                  <w:r>
                    <w:rPr>
                      <w:rFonts w:hint="eastAsia"/>
                      <w:lang w:val="en-US" w:eastAsia="zh-CN"/>
                    </w:rPr>
                    <w:t>40~500</w:t>
                  </w:r>
                </w:p>
              </w:tc>
            </w:tr>
            <w:tr w14:paraId="77FE5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1" w:type="pct"/>
                  <w:vAlign w:val="center"/>
                </w:tcPr>
                <w:p w14:paraId="62AE4A54">
                  <w:pPr>
                    <w:pStyle w:val="26"/>
                    <w:bidi w:val="0"/>
                    <w:jc w:val="center"/>
                    <w:rPr>
                      <w:rFonts w:hint="default"/>
                      <w:lang w:val="en-US" w:eastAsia="zh-CN"/>
                    </w:rPr>
                  </w:pPr>
                  <w:r>
                    <w:rPr>
                      <w:rFonts w:hint="eastAsia"/>
                      <w:lang w:val="en-US" w:eastAsia="zh-CN"/>
                    </w:rPr>
                    <w:t>阳光蓓蕾幼儿园</w:t>
                  </w:r>
                </w:p>
              </w:tc>
              <w:tc>
                <w:tcPr>
                  <w:tcW w:w="338" w:type="pct"/>
                  <w:vAlign w:val="center"/>
                </w:tcPr>
                <w:p w14:paraId="439F645F">
                  <w:pPr>
                    <w:pStyle w:val="26"/>
                    <w:bidi w:val="0"/>
                    <w:jc w:val="center"/>
                    <w:rPr>
                      <w:rFonts w:hint="default"/>
                      <w:lang w:val="en-US" w:eastAsia="zh-CN"/>
                    </w:rPr>
                  </w:pPr>
                  <w:r>
                    <w:rPr>
                      <w:rFonts w:hint="eastAsia"/>
                      <w:lang w:val="en-US" w:eastAsia="zh-CN"/>
                    </w:rPr>
                    <w:t>-55</w:t>
                  </w:r>
                </w:p>
              </w:tc>
              <w:tc>
                <w:tcPr>
                  <w:tcW w:w="411" w:type="pct"/>
                  <w:vAlign w:val="center"/>
                </w:tcPr>
                <w:p w14:paraId="50B0F0EF">
                  <w:pPr>
                    <w:pStyle w:val="26"/>
                    <w:bidi w:val="0"/>
                    <w:jc w:val="center"/>
                    <w:rPr>
                      <w:rFonts w:hint="default"/>
                      <w:lang w:val="en-US" w:eastAsia="zh-CN"/>
                    </w:rPr>
                  </w:pPr>
                  <w:r>
                    <w:rPr>
                      <w:rFonts w:hint="eastAsia"/>
                      <w:lang w:val="en-US" w:eastAsia="zh-CN"/>
                    </w:rPr>
                    <w:t>-140</w:t>
                  </w:r>
                </w:p>
              </w:tc>
              <w:tc>
                <w:tcPr>
                  <w:tcW w:w="434" w:type="pct"/>
                  <w:vAlign w:val="center"/>
                </w:tcPr>
                <w:p w14:paraId="1F7D7FFD">
                  <w:pPr>
                    <w:pStyle w:val="26"/>
                    <w:bidi w:val="0"/>
                    <w:jc w:val="center"/>
                    <w:rPr>
                      <w:rFonts w:hint="default"/>
                      <w:lang w:val="en-US" w:eastAsia="zh-CN"/>
                    </w:rPr>
                  </w:pPr>
                  <w:r>
                    <w:rPr>
                      <w:rFonts w:hint="eastAsia"/>
                      <w:lang w:val="en-US" w:eastAsia="zh-CN"/>
                    </w:rPr>
                    <w:t>学校</w:t>
                  </w:r>
                </w:p>
              </w:tc>
              <w:tc>
                <w:tcPr>
                  <w:tcW w:w="786" w:type="pct"/>
                  <w:vAlign w:val="center"/>
                </w:tcPr>
                <w:p w14:paraId="3E5F830B">
                  <w:pPr>
                    <w:pStyle w:val="26"/>
                    <w:bidi w:val="0"/>
                    <w:jc w:val="center"/>
                    <w:rPr>
                      <w:rFonts w:hint="default"/>
                      <w:lang w:val="en-US" w:eastAsia="zh-CN"/>
                    </w:rPr>
                  </w:pPr>
                  <w:r>
                    <w:rPr>
                      <w:rFonts w:hint="eastAsia"/>
                      <w:lang w:val="en-US" w:eastAsia="zh-CN"/>
                    </w:rPr>
                    <w:t>约30人</w:t>
                  </w:r>
                </w:p>
              </w:tc>
              <w:tc>
                <w:tcPr>
                  <w:tcW w:w="578" w:type="pct"/>
                  <w:vAlign w:val="center"/>
                </w:tcPr>
                <w:p w14:paraId="67211468">
                  <w:pPr>
                    <w:pStyle w:val="26"/>
                    <w:bidi w:val="0"/>
                    <w:jc w:val="center"/>
                    <w:rPr>
                      <w:rFonts w:hint="default"/>
                      <w:lang w:val="en-US" w:eastAsia="zh-CN"/>
                    </w:rPr>
                  </w:pPr>
                  <w:r>
                    <w:rPr>
                      <w:rFonts w:hint="eastAsia"/>
                      <w:lang w:val="en-US" w:eastAsia="zh-CN"/>
                    </w:rPr>
                    <w:t>2类</w:t>
                  </w:r>
                </w:p>
              </w:tc>
              <w:tc>
                <w:tcPr>
                  <w:tcW w:w="578" w:type="pct"/>
                  <w:vAlign w:val="center"/>
                </w:tcPr>
                <w:p w14:paraId="21E4944C">
                  <w:pPr>
                    <w:pStyle w:val="26"/>
                    <w:bidi w:val="0"/>
                    <w:jc w:val="center"/>
                    <w:rPr>
                      <w:rFonts w:hint="default"/>
                      <w:lang w:val="en-US" w:eastAsia="zh-CN"/>
                    </w:rPr>
                  </w:pPr>
                  <w:r>
                    <w:rPr>
                      <w:rFonts w:hint="eastAsia"/>
                      <w:lang w:val="en-US" w:eastAsia="zh-CN"/>
                    </w:rPr>
                    <w:t>WS</w:t>
                  </w:r>
                </w:p>
              </w:tc>
              <w:tc>
                <w:tcPr>
                  <w:tcW w:w="721" w:type="pct"/>
                  <w:vAlign w:val="center"/>
                </w:tcPr>
                <w:p w14:paraId="07F27E4B">
                  <w:pPr>
                    <w:pStyle w:val="26"/>
                    <w:bidi w:val="0"/>
                    <w:jc w:val="center"/>
                    <w:rPr>
                      <w:rFonts w:hint="default"/>
                      <w:lang w:val="en-US" w:eastAsia="zh-CN"/>
                    </w:rPr>
                  </w:pPr>
                  <w:r>
                    <w:rPr>
                      <w:rFonts w:hint="eastAsia"/>
                      <w:lang w:val="en-US" w:eastAsia="zh-CN"/>
                    </w:rPr>
                    <w:t>85</w:t>
                  </w:r>
                </w:p>
              </w:tc>
            </w:tr>
          </w:tbl>
          <w:p w14:paraId="24A3C6E9">
            <w:pPr>
              <w:pStyle w:val="25"/>
              <w:rPr>
                <w:rFonts w:hint="default"/>
                <w:lang w:val="en-US" w:eastAsia="zh-CN"/>
              </w:rPr>
            </w:pPr>
            <w:r>
              <w:rPr>
                <w:rFonts w:hint="eastAsia"/>
                <w:lang w:val="en-US" w:eastAsia="zh-CN"/>
              </w:rPr>
              <w:t>注：以项目厂址为中心，正北方向为Y轴正方形，正东方向为X轴正方形建立坐标系。</w:t>
            </w:r>
          </w:p>
          <w:p w14:paraId="04F3968E">
            <w:pPr>
              <w:pStyle w:val="25"/>
              <w:ind w:firstLine="480"/>
              <w:rPr>
                <w:rFonts w:hint="eastAsia"/>
                <w:lang w:val="en-US" w:eastAsia="zh-CN"/>
              </w:rPr>
            </w:pPr>
            <w:r>
              <w:rPr>
                <w:rFonts w:hint="eastAsia"/>
                <w:lang w:val="en-US" w:eastAsia="zh-CN"/>
              </w:rPr>
              <w:t>2、声环境保护目标</w:t>
            </w:r>
          </w:p>
          <w:p w14:paraId="049031C2">
            <w:pPr>
              <w:pStyle w:val="25"/>
              <w:ind w:firstLine="480"/>
              <w:rPr>
                <w:rFonts w:hint="eastAsia"/>
                <w:lang w:val="en-US" w:eastAsia="zh-CN"/>
              </w:rPr>
            </w:pPr>
            <w:r>
              <w:rPr>
                <w:rFonts w:hint="eastAsia"/>
                <w:lang w:val="en-US" w:eastAsia="zh-CN"/>
              </w:rPr>
              <w:t>本次调查项目周边50m范围内环境空气保护目标，具体如下：</w:t>
            </w:r>
          </w:p>
          <w:p w14:paraId="1CFCF49B">
            <w:pPr>
              <w:pStyle w:val="24"/>
              <w:bidi w:val="0"/>
              <w:rPr>
                <w:rFonts w:hint="eastAsia"/>
                <w:lang w:val="en-US" w:eastAsia="zh-CN"/>
              </w:rPr>
            </w:pPr>
            <w:r>
              <w:rPr>
                <w:rFonts w:hint="eastAsia"/>
                <w:lang w:val="en-US" w:eastAsia="zh-CN"/>
              </w:rPr>
              <w:t>表3-5  声环境保护目标</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5"/>
              <w:gridCol w:w="638"/>
              <w:gridCol w:w="744"/>
              <w:gridCol w:w="1135"/>
              <w:gridCol w:w="662"/>
              <w:gridCol w:w="888"/>
              <w:gridCol w:w="1375"/>
              <w:gridCol w:w="1116"/>
            </w:tblGrid>
            <w:tr w14:paraId="03B12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5" w:type="dxa"/>
                  <w:vMerge w:val="restart"/>
                  <w:vAlign w:val="center"/>
                </w:tcPr>
                <w:p w14:paraId="48758813">
                  <w:pPr>
                    <w:pStyle w:val="26"/>
                    <w:bidi w:val="0"/>
                    <w:jc w:val="center"/>
                    <w:rPr>
                      <w:rFonts w:hint="default"/>
                      <w:lang w:val="en-US" w:eastAsia="zh-CN"/>
                    </w:rPr>
                  </w:pPr>
                  <w:r>
                    <w:rPr>
                      <w:rFonts w:hint="eastAsia"/>
                      <w:lang w:val="en-US" w:eastAsia="zh-CN"/>
                    </w:rPr>
                    <w:t>名称</w:t>
                  </w:r>
                </w:p>
              </w:tc>
              <w:tc>
                <w:tcPr>
                  <w:tcW w:w="1382" w:type="dxa"/>
                  <w:gridSpan w:val="2"/>
                  <w:vAlign w:val="center"/>
                </w:tcPr>
                <w:p w14:paraId="7E20C6C3">
                  <w:pPr>
                    <w:pStyle w:val="26"/>
                    <w:bidi w:val="0"/>
                    <w:jc w:val="center"/>
                    <w:rPr>
                      <w:rFonts w:hint="default"/>
                      <w:lang w:val="en-US" w:eastAsia="zh-CN"/>
                    </w:rPr>
                  </w:pPr>
                  <w:r>
                    <w:rPr>
                      <w:rFonts w:hint="eastAsia"/>
                      <w:lang w:val="en-US" w:eastAsia="zh-CN"/>
                    </w:rPr>
                    <w:t>坐标</w:t>
                  </w:r>
                </w:p>
              </w:tc>
              <w:tc>
                <w:tcPr>
                  <w:tcW w:w="1135" w:type="dxa"/>
                  <w:vMerge w:val="restart"/>
                  <w:vAlign w:val="center"/>
                </w:tcPr>
                <w:p w14:paraId="600925CE">
                  <w:pPr>
                    <w:pStyle w:val="26"/>
                    <w:bidi w:val="0"/>
                    <w:jc w:val="center"/>
                    <w:rPr>
                      <w:rFonts w:hint="default"/>
                      <w:lang w:val="en-US" w:eastAsia="zh-CN"/>
                    </w:rPr>
                  </w:pPr>
                  <w:r>
                    <w:rPr>
                      <w:rFonts w:hint="eastAsia"/>
                      <w:lang w:val="en-US" w:eastAsia="zh-CN"/>
                    </w:rPr>
                    <w:t>相对厂界距离m</w:t>
                  </w:r>
                </w:p>
              </w:tc>
              <w:tc>
                <w:tcPr>
                  <w:tcW w:w="662" w:type="dxa"/>
                  <w:vMerge w:val="restart"/>
                  <w:vAlign w:val="center"/>
                </w:tcPr>
                <w:p w14:paraId="752806BB">
                  <w:pPr>
                    <w:pStyle w:val="26"/>
                    <w:bidi w:val="0"/>
                    <w:jc w:val="center"/>
                    <w:rPr>
                      <w:rFonts w:hint="default"/>
                      <w:lang w:val="en-US" w:eastAsia="zh-CN"/>
                    </w:rPr>
                  </w:pPr>
                  <w:r>
                    <w:rPr>
                      <w:rFonts w:hint="eastAsia"/>
                      <w:lang w:val="en-US" w:eastAsia="zh-CN"/>
                    </w:rPr>
                    <w:t>方位</w:t>
                  </w:r>
                </w:p>
              </w:tc>
              <w:tc>
                <w:tcPr>
                  <w:tcW w:w="888" w:type="dxa"/>
                  <w:vMerge w:val="restart"/>
                  <w:vAlign w:val="center"/>
                </w:tcPr>
                <w:p w14:paraId="5F938170">
                  <w:pPr>
                    <w:pStyle w:val="26"/>
                    <w:bidi w:val="0"/>
                    <w:jc w:val="center"/>
                    <w:rPr>
                      <w:rFonts w:hint="default"/>
                      <w:lang w:val="en-US" w:eastAsia="zh-CN"/>
                    </w:rPr>
                  </w:pPr>
                  <w:r>
                    <w:rPr>
                      <w:rFonts w:hint="eastAsia"/>
                      <w:lang w:val="en-US" w:eastAsia="zh-CN"/>
                    </w:rPr>
                    <w:t>功能区类别</w:t>
                  </w:r>
                </w:p>
              </w:tc>
              <w:tc>
                <w:tcPr>
                  <w:tcW w:w="1375" w:type="dxa"/>
                  <w:vMerge w:val="restart"/>
                  <w:vAlign w:val="center"/>
                </w:tcPr>
                <w:p w14:paraId="61964C67">
                  <w:pPr>
                    <w:pStyle w:val="26"/>
                    <w:bidi w:val="0"/>
                    <w:jc w:val="center"/>
                    <w:rPr>
                      <w:rFonts w:hint="default"/>
                      <w:lang w:val="en-US" w:eastAsia="zh-CN"/>
                    </w:rPr>
                  </w:pPr>
                  <w:r>
                    <w:rPr>
                      <w:rFonts w:hint="eastAsia"/>
                      <w:lang w:val="en-US" w:eastAsia="zh-CN"/>
                    </w:rPr>
                    <w:t>规模</w:t>
                  </w:r>
                </w:p>
              </w:tc>
              <w:tc>
                <w:tcPr>
                  <w:tcW w:w="1116" w:type="dxa"/>
                  <w:vMerge w:val="restart"/>
                  <w:vAlign w:val="center"/>
                </w:tcPr>
                <w:p w14:paraId="4B41EACE">
                  <w:pPr>
                    <w:pStyle w:val="26"/>
                    <w:bidi w:val="0"/>
                    <w:jc w:val="center"/>
                    <w:rPr>
                      <w:rFonts w:hint="default"/>
                      <w:lang w:val="en-US" w:eastAsia="zh-CN"/>
                    </w:rPr>
                  </w:pPr>
                  <w:r>
                    <w:rPr>
                      <w:rFonts w:hint="eastAsia"/>
                      <w:lang w:val="en-US" w:eastAsia="zh-CN"/>
                    </w:rPr>
                    <w:t>阻隔情况</w:t>
                  </w:r>
                </w:p>
              </w:tc>
            </w:tr>
            <w:tr w14:paraId="1A4E4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5" w:type="dxa"/>
                  <w:vMerge w:val="continue"/>
                  <w:vAlign w:val="center"/>
                </w:tcPr>
                <w:p w14:paraId="476E08A7">
                  <w:pPr>
                    <w:pStyle w:val="26"/>
                    <w:bidi w:val="0"/>
                    <w:jc w:val="center"/>
                    <w:rPr>
                      <w:rFonts w:hint="default"/>
                      <w:lang w:val="en-US" w:eastAsia="zh-CN"/>
                    </w:rPr>
                  </w:pPr>
                </w:p>
              </w:tc>
              <w:tc>
                <w:tcPr>
                  <w:tcW w:w="638" w:type="dxa"/>
                  <w:shd w:val="clear" w:color="auto" w:fill="auto"/>
                  <w:vAlign w:val="center"/>
                </w:tcPr>
                <w:p w14:paraId="7BD36F5B">
                  <w:pPr>
                    <w:pStyle w:val="26"/>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X</w:t>
                  </w:r>
                </w:p>
              </w:tc>
              <w:tc>
                <w:tcPr>
                  <w:tcW w:w="744" w:type="dxa"/>
                  <w:shd w:val="clear" w:color="auto" w:fill="auto"/>
                  <w:vAlign w:val="center"/>
                </w:tcPr>
                <w:p w14:paraId="7955AD5A">
                  <w:pPr>
                    <w:pStyle w:val="26"/>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Y</w:t>
                  </w:r>
                </w:p>
              </w:tc>
              <w:tc>
                <w:tcPr>
                  <w:tcW w:w="1135" w:type="dxa"/>
                  <w:vMerge w:val="continue"/>
                  <w:vAlign w:val="center"/>
                </w:tcPr>
                <w:p w14:paraId="1DD97AFA">
                  <w:pPr>
                    <w:pStyle w:val="26"/>
                    <w:bidi w:val="0"/>
                    <w:jc w:val="center"/>
                    <w:rPr>
                      <w:rFonts w:hint="default"/>
                      <w:lang w:val="en-US" w:eastAsia="zh-CN"/>
                    </w:rPr>
                  </w:pPr>
                </w:p>
              </w:tc>
              <w:tc>
                <w:tcPr>
                  <w:tcW w:w="662" w:type="dxa"/>
                  <w:vMerge w:val="continue"/>
                  <w:vAlign w:val="center"/>
                </w:tcPr>
                <w:p w14:paraId="5B71CCE9">
                  <w:pPr>
                    <w:pStyle w:val="26"/>
                    <w:bidi w:val="0"/>
                    <w:jc w:val="center"/>
                    <w:rPr>
                      <w:rFonts w:hint="default"/>
                      <w:lang w:val="en-US" w:eastAsia="zh-CN"/>
                    </w:rPr>
                  </w:pPr>
                </w:p>
              </w:tc>
              <w:tc>
                <w:tcPr>
                  <w:tcW w:w="888" w:type="dxa"/>
                  <w:vMerge w:val="continue"/>
                  <w:vAlign w:val="center"/>
                </w:tcPr>
                <w:p w14:paraId="71FB795C">
                  <w:pPr>
                    <w:pStyle w:val="26"/>
                    <w:bidi w:val="0"/>
                    <w:jc w:val="center"/>
                    <w:rPr>
                      <w:rFonts w:hint="default"/>
                      <w:lang w:val="en-US" w:eastAsia="zh-CN"/>
                    </w:rPr>
                  </w:pPr>
                </w:p>
              </w:tc>
              <w:tc>
                <w:tcPr>
                  <w:tcW w:w="1375" w:type="dxa"/>
                  <w:vMerge w:val="continue"/>
                  <w:vAlign w:val="center"/>
                </w:tcPr>
                <w:p w14:paraId="68A8DFE6">
                  <w:pPr>
                    <w:pStyle w:val="26"/>
                    <w:bidi w:val="0"/>
                    <w:jc w:val="center"/>
                    <w:rPr>
                      <w:rFonts w:hint="default"/>
                      <w:lang w:val="en-US" w:eastAsia="zh-CN"/>
                    </w:rPr>
                  </w:pPr>
                </w:p>
              </w:tc>
              <w:tc>
                <w:tcPr>
                  <w:tcW w:w="1116" w:type="dxa"/>
                  <w:vMerge w:val="continue"/>
                  <w:vAlign w:val="center"/>
                </w:tcPr>
                <w:p w14:paraId="33484562">
                  <w:pPr>
                    <w:pStyle w:val="26"/>
                    <w:bidi w:val="0"/>
                    <w:jc w:val="center"/>
                    <w:rPr>
                      <w:rFonts w:hint="default"/>
                      <w:lang w:val="en-US" w:eastAsia="zh-CN"/>
                    </w:rPr>
                  </w:pPr>
                </w:p>
              </w:tc>
            </w:tr>
            <w:tr w14:paraId="209FA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5" w:type="dxa"/>
                  <w:vMerge w:val="restart"/>
                  <w:shd w:val="clear" w:color="auto" w:fill="auto"/>
                  <w:vAlign w:val="center"/>
                </w:tcPr>
                <w:p w14:paraId="71090C95">
                  <w:pPr>
                    <w:pStyle w:val="26"/>
                    <w:bidi w:val="0"/>
                    <w:jc w:val="center"/>
                    <w:rPr>
                      <w:rFonts w:hint="default"/>
                      <w:lang w:val="en-US" w:eastAsia="zh-CN"/>
                    </w:rPr>
                  </w:pPr>
                  <w:r>
                    <w:rPr>
                      <w:rFonts w:hint="default"/>
                      <w:lang w:val="en-US" w:eastAsia="zh-CN"/>
                    </w:rPr>
                    <w:t>太栗村胡</w:t>
                  </w:r>
                </w:p>
                <w:p w14:paraId="66E7B0E2">
                  <w:pPr>
                    <w:pStyle w:val="26"/>
                    <w:bidi w:val="0"/>
                    <w:ind w:firstLine="0" w:firstLineChars="0"/>
                    <w:jc w:val="center"/>
                    <w:rPr>
                      <w:rFonts w:hint="default" w:ascii="Times New Roman" w:hAnsi="Times New Roman" w:eastAsia="宋体" w:cs="Times New Roman"/>
                      <w:kern w:val="2"/>
                      <w:sz w:val="21"/>
                      <w:szCs w:val="24"/>
                      <w:lang w:val="en-US" w:eastAsia="zh-CN" w:bidi="ar-SA"/>
                    </w:rPr>
                  </w:pPr>
                  <w:r>
                    <w:rPr>
                      <w:rFonts w:hint="default"/>
                      <w:lang w:val="en-US" w:eastAsia="zh-CN"/>
                    </w:rPr>
                    <w:t>家组</w:t>
                  </w:r>
                  <w:r>
                    <w:rPr>
                      <w:rFonts w:hint="eastAsia"/>
                      <w:lang w:val="en-US" w:eastAsia="zh-CN"/>
                    </w:rPr>
                    <w:t>居民</w:t>
                  </w:r>
                </w:p>
              </w:tc>
              <w:tc>
                <w:tcPr>
                  <w:tcW w:w="638" w:type="dxa"/>
                  <w:vMerge w:val="restart"/>
                  <w:shd w:val="clear" w:color="auto" w:fill="auto"/>
                  <w:vAlign w:val="center"/>
                </w:tcPr>
                <w:p w14:paraId="737C087F">
                  <w:pPr>
                    <w:pStyle w:val="26"/>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0</w:t>
                  </w:r>
                </w:p>
              </w:tc>
              <w:tc>
                <w:tcPr>
                  <w:tcW w:w="744" w:type="dxa"/>
                  <w:vMerge w:val="restart"/>
                  <w:shd w:val="clear" w:color="auto" w:fill="auto"/>
                  <w:vAlign w:val="center"/>
                </w:tcPr>
                <w:p w14:paraId="71334D54">
                  <w:pPr>
                    <w:pStyle w:val="26"/>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-65</w:t>
                  </w:r>
                </w:p>
              </w:tc>
              <w:tc>
                <w:tcPr>
                  <w:tcW w:w="1135" w:type="dxa"/>
                  <w:vMerge w:val="restart"/>
                  <w:vAlign w:val="center"/>
                </w:tcPr>
                <w:p w14:paraId="2AA9588B">
                  <w:pPr>
                    <w:pStyle w:val="26"/>
                    <w:bidi w:val="0"/>
                    <w:jc w:val="center"/>
                    <w:rPr>
                      <w:rFonts w:hint="default"/>
                      <w:lang w:val="en-US" w:eastAsia="zh-CN"/>
                    </w:rPr>
                  </w:pPr>
                  <w:r>
                    <w:rPr>
                      <w:rFonts w:hint="eastAsia"/>
                      <w:lang w:val="en-US" w:eastAsia="zh-CN"/>
                    </w:rPr>
                    <w:t>10~50</w:t>
                  </w:r>
                </w:p>
              </w:tc>
              <w:tc>
                <w:tcPr>
                  <w:tcW w:w="662" w:type="dxa"/>
                  <w:vMerge w:val="restart"/>
                  <w:shd w:val="clear" w:color="auto" w:fill="auto"/>
                  <w:vAlign w:val="center"/>
                </w:tcPr>
                <w:p w14:paraId="5805824F">
                  <w:pPr>
                    <w:pStyle w:val="26"/>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W，S</w:t>
                  </w:r>
                </w:p>
              </w:tc>
              <w:tc>
                <w:tcPr>
                  <w:tcW w:w="888" w:type="dxa"/>
                  <w:vAlign w:val="center"/>
                </w:tcPr>
                <w:p w14:paraId="4075DF89">
                  <w:pPr>
                    <w:pStyle w:val="26"/>
                    <w:bidi w:val="0"/>
                    <w:jc w:val="center"/>
                    <w:rPr>
                      <w:rFonts w:hint="default"/>
                      <w:lang w:val="en-US" w:eastAsia="zh-CN"/>
                    </w:rPr>
                  </w:pPr>
                  <w:r>
                    <w:rPr>
                      <w:rFonts w:hint="eastAsia"/>
                      <w:lang w:val="en-US" w:eastAsia="zh-CN"/>
                    </w:rPr>
                    <w:t>2类</w:t>
                  </w:r>
                </w:p>
              </w:tc>
              <w:tc>
                <w:tcPr>
                  <w:tcW w:w="1375" w:type="dxa"/>
                  <w:vAlign w:val="center"/>
                </w:tcPr>
                <w:p w14:paraId="5DB61BCF">
                  <w:pPr>
                    <w:pStyle w:val="26"/>
                    <w:bidi w:val="0"/>
                    <w:jc w:val="center"/>
                    <w:rPr>
                      <w:rFonts w:hint="default"/>
                      <w:lang w:val="en-US" w:eastAsia="zh-CN"/>
                    </w:rPr>
                  </w:pPr>
                  <w:r>
                    <w:rPr>
                      <w:rFonts w:hint="eastAsia"/>
                      <w:lang w:val="en-US" w:eastAsia="zh-CN"/>
                    </w:rPr>
                    <w:t>6户，20人</w:t>
                  </w:r>
                </w:p>
              </w:tc>
              <w:tc>
                <w:tcPr>
                  <w:tcW w:w="1116" w:type="dxa"/>
                  <w:vAlign w:val="center"/>
                </w:tcPr>
                <w:p w14:paraId="1211AB4F">
                  <w:pPr>
                    <w:pStyle w:val="26"/>
                    <w:bidi w:val="0"/>
                    <w:jc w:val="center"/>
                    <w:rPr>
                      <w:rFonts w:hint="default"/>
                      <w:lang w:val="en-US" w:eastAsia="zh-CN"/>
                    </w:rPr>
                  </w:pPr>
                  <w:r>
                    <w:rPr>
                      <w:rFonts w:hint="eastAsia"/>
                      <w:lang w:val="en-US" w:eastAsia="zh-CN"/>
                    </w:rPr>
                    <w:t>无阻隔</w:t>
                  </w:r>
                </w:p>
              </w:tc>
            </w:tr>
            <w:tr w14:paraId="3FE4E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5" w:type="dxa"/>
                  <w:vMerge w:val="continue"/>
                  <w:shd w:val="clear" w:color="auto" w:fill="auto"/>
                  <w:vAlign w:val="center"/>
                </w:tcPr>
                <w:p w14:paraId="3F5FD205">
                  <w:pPr>
                    <w:pStyle w:val="26"/>
                    <w:bidi w:val="0"/>
                    <w:ind w:firstLine="0" w:firstLineChars="0"/>
                    <w:jc w:val="center"/>
                    <w:rPr>
                      <w:rFonts w:hint="default"/>
                      <w:lang w:val="en-US" w:eastAsia="zh-CN"/>
                    </w:rPr>
                  </w:pPr>
                </w:p>
              </w:tc>
              <w:tc>
                <w:tcPr>
                  <w:tcW w:w="638" w:type="dxa"/>
                  <w:vMerge w:val="continue"/>
                  <w:shd w:val="clear" w:color="auto" w:fill="auto"/>
                  <w:vAlign w:val="center"/>
                </w:tcPr>
                <w:p w14:paraId="4AA225AD">
                  <w:pPr>
                    <w:pStyle w:val="26"/>
                    <w:bidi w:val="0"/>
                    <w:ind w:firstLine="0" w:firstLineChars="0"/>
                    <w:jc w:val="center"/>
                    <w:rPr>
                      <w:rFonts w:hint="eastAsia"/>
                      <w:lang w:val="en-US" w:eastAsia="zh-CN"/>
                    </w:rPr>
                  </w:pPr>
                </w:p>
              </w:tc>
              <w:tc>
                <w:tcPr>
                  <w:tcW w:w="744" w:type="dxa"/>
                  <w:vMerge w:val="continue"/>
                  <w:shd w:val="clear" w:color="auto" w:fill="auto"/>
                  <w:vAlign w:val="center"/>
                </w:tcPr>
                <w:p w14:paraId="03948643">
                  <w:pPr>
                    <w:pStyle w:val="26"/>
                    <w:bidi w:val="0"/>
                    <w:ind w:firstLine="0" w:firstLineChars="0"/>
                    <w:jc w:val="center"/>
                    <w:rPr>
                      <w:rFonts w:hint="eastAsia"/>
                      <w:lang w:val="en-US" w:eastAsia="zh-CN"/>
                    </w:rPr>
                  </w:pPr>
                </w:p>
              </w:tc>
              <w:tc>
                <w:tcPr>
                  <w:tcW w:w="1135" w:type="dxa"/>
                  <w:vMerge w:val="continue"/>
                  <w:vAlign w:val="center"/>
                </w:tcPr>
                <w:p w14:paraId="0F4974C7">
                  <w:pPr>
                    <w:pStyle w:val="26"/>
                    <w:bidi w:val="0"/>
                    <w:jc w:val="center"/>
                    <w:rPr>
                      <w:rFonts w:hint="eastAsia"/>
                      <w:lang w:val="en-US" w:eastAsia="zh-CN"/>
                    </w:rPr>
                  </w:pPr>
                </w:p>
              </w:tc>
              <w:tc>
                <w:tcPr>
                  <w:tcW w:w="662" w:type="dxa"/>
                  <w:vMerge w:val="continue"/>
                  <w:shd w:val="clear" w:color="auto" w:fill="auto"/>
                  <w:vAlign w:val="center"/>
                </w:tcPr>
                <w:p w14:paraId="3330CBC3">
                  <w:pPr>
                    <w:pStyle w:val="26"/>
                    <w:bidi w:val="0"/>
                    <w:ind w:firstLine="0" w:firstLineChars="0"/>
                    <w:jc w:val="center"/>
                    <w:rPr>
                      <w:rFonts w:hint="eastAsia"/>
                      <w:lang w:val="en-US" w:eastAsia="zh-CN"/>
                    </w:rPr>
                  </w:pPr>
                </w:p>
              </w:tc>
              <w:tc>
                <w:tcPr>
                  <w:tcW w:w="888" w:type="dxa"/>
                  <w:vAlign w:val="center"/>
                </w:tcPr>
                <w:p w14:paraId="626A9E4B">
                  <w:pPr>
                    <w:pStyle w:val="26"/>
                    <w:bidi w:val="0"/>
                    <w:jc w:val="center"/>
                    <w:rPr>
                      <w:rFonts w:hint="default"/>
                      <w:lang w:val="en-US" w:eastAsia="zh-CN"/>
                    </w:rPr>
                  </w:pPr>
                  <w:r>
                    <w:rPr>
                      <w:rFonts w:hint="eastAsia"/>
                      <w:lang w:val="en-US" w:eastAsia="zh-CN"/>
                    </w:rPr>
                    <w:t>4a类</w:t>
                  </w:r>
                </w:p>
              </w:tc>
              <w:tc>
                <w:tcPr>
                  <w:tcW w:w="1375" w:type="dxa"/>
                  <w:vAlign w:val="center"/>
                </w:tcPr>
                <w:p w14:paraId="0DB20008">
                  <w:pPr>
                    <w:pStyle w:val="26"/>
                    <w:bidi w:val="0"/>
                    <w:jc w:val="center"/>
                    <w:rPr>
                      <w:rFonts w:hint="default"/>
                      <w:lang w:val="en-US" w:eastAsia="zh-CN"/>
                    </w:rPr>
                  </w:pPr>
                  <w:r>
                    <w:rPr>
                      <w:rFonts w:hint="eastAsia"/>
                      <w:lang w:val="en-US" w:eastAsia="zh-CN"/>
                    </w:rPr>
                    <w:t>2户，7人</w:t>
                  </w:r>
                </w:p>
              </w:tc>
              <w:tc>
                <w:tcPr>
                  <w:tcW w:w="1116" w:type="dxa"/>
                  <w:vAlign w:val="center"/>
                </w:tcPr>
                <w:p w14:paraId="1F228927">
                  <w:pPr>
                    <w:pStyle w:val="26"/>
                    <w:bidi w:val="0"/>
                    <w:jc w:val="center"/>
                    <w:rPr>
                      <w:rFonts w:hint="default"/>
                      <w:lang w:val="en-US" w:eastAsia="zh-CN"/>
                    </w:rPr>
                  </w:pPr>
                  <w:r>
                    <w:rPr>
                      <w:rFonts w:hint="eastAsia"/>
                      <w:lang w:val="en-US" w:eastAsia="zh-CN"/>
                    </w:rPr>
                    <w:t>建筑阻隔</w:t>
                  </w:r>
                </w:p>
              </w:tc>
            </w:tr>
            <w:tr w14:paraId="78AE0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5" w:type="dxa"/>
                  <w:shd w:val="clear" w:color="auto" w:fill="auto"/>
                  <w:vAlign w:val="center"/>
                </w:tcPr>
                <w:p w14:paraId="59A15536">
                  <w:pPr>
                    <w:pStyle w:val="26"/>
                    <w:bidi w:val="0"/>
                    <w:jc w:val="center"/>
                    <w:rPr>
                      <w:rFonts w:hint="default" w:ascii="Times New Roman" w:hAnsi="Times New Roman" w:eastAsia="宋体" w:cs="Times New Roman"/>
                      <w:kern w:val="2"/>
                      <w:sz w:val="21"/>
                      <w:szCs w:val="24"/>
                      <w:lang w:val="en-US" w:eastAsia="zh-CN" w:bidi="ar-SA"/>
                    </w:rPr>
                  </w:pPr>
                  <w:r>
                    <w:rPr>
                      <w:rFonts w:hint="default"/>
                      <w:lang w:val="en-US" w:eastAsia="zh-CN"/>
                    </w:rPr>
                    <w:t>太栗村</w:t>
                  </w:r>
                  <w:r>
                    <w:rPr>
                      <w:rFonts w:hint="eastAsia"/>
                      <w:lang w:val="en-US" w:eastAsia="zh-CN"/>
                    </w:rPr>
                    <w:t>畔湖塘组居民</w:t>
                  </w:r>
                </w:p>
              </w:tc>
              <w:tc>
                <w:tcPr>
                  <w:tcW w:w="638" w:type="dxa"/>
                  <w:shd w:val="clear" w:color="auto" w:fill="auto"/>
                  <w:vAlign w:val="center"/>
                </w:tcPr>
                <w:p w14:paraId="4624D04D">
                  <w:pPr>
                    <w:pStyle w:val="26"/>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90</w:t>
                  </w:r>
                </w:p>
              </w:tc>
              <w:tc>
                <w:tcPr>
                  <w:tcW w:w="744" w:type="dxa"/>
                  <w:shd w:val="clear" w:color="auto" w:fill="auto"/>
                  <w:vAlign w:val="center"/>
                </w:tcPr>
                <w:p w14:paraId="1811A8A3">
                  <w:pPr>
                    <w:pStyle w:val="26"/>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0</w:t>
                  </w:r>
                </w:p>
              </w:tc>
              <w:tc>
                <w:tcPr>
                  <w:tcW w:w="1135" w:type="dxa"/>
                  <w:vAlign w:val="center"/>
                </w:tcPr>
                <w:p w14:paraId="56D0B885">
                  <w:pPr>
                    <w:pStyle w:val="26"/>
                    <w:bidi w:val="0"/>
                    <w:jc w:val="center"/>
                    <w:rPr>
                      <w:rFonts w:hint="default"/>
                      <w:lang w:val="en-US" w:eastAsia="zh-CN"/>
                    </w:rPr>
                  </w:pPr>
                  <w:r>
                    <w:rPr>
                      <w:rFonts w:hint="eastAsia"/>
                      <w:lang w:val="en-US" w:eastAsia="zh-CN"/>
                    </w:rPr>
                    <w:t>40~50</w:t>
                  </w:r>
                </w:p>
              </w:tc>
              <w:tc>
                <w:tcPr>
                  <w:tcW w:w="662" w:type="dxa"/>
                  <w:shd w:val="clear" w:color="auto" w:fill="auto"/>
                  <w:vAlign w:val="center"/>
                </w:tcPr>
                <w:p w14:paraId="2C52BF05">
                  <w:pPr>
                    <w:pStyle w:val="26"/>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E</w:t>
                  </w:r>
                </w:p>
              </w:tc>
              <w:tc>
                <w:tcPr>
                  <w:tcW w:w="888" w:type="dxa"/>
                  <w:shd w:val="clear" w:color="auto" w:fill="auto"/>
                  <w:vAlign w:val="center"/>
                </w:tcPr>
                <w:p w14:paraId="0D43D4FD">
                  <w:pPr>
                    <w:pStyle w:val="26"/>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4a类</w:t>
                  </w:r>
                </w:p>
              </w:tc>
              <w:tc>
                <w:tcPr>
                  <w:tcW w:w="1375" w:type="dxa"/>
                  <w:shd w:val="clear" w:color="auto" w:fill="auto"/>
                  <w:vAlign w:val="center"/>
                </w:tcPr>
                <w:p w14:paraId="62DC6BFB">
                  <w:pPr>
                    <w:pStyle w:val="26"/>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4户，14人</w:t>
                  </w:r>
                </w:p>
              </w:tc>
              <w:tc>
                <w:tcPr>
                  <w:tcW w:w="1116" w:type="dxa"/>
                  <w:vAlign w:val="center"/>
                </w:tcPr>
                <w:p w14:paraId="2C624135">
                  <w:pPr>
                    <w:pStyle w:val="26"/>
                    <w:bidi w:val="0"/>
                    <w:jc w:val="center"/>
                    <w:rPr>
                      <w:rFonts w:hint="default"/>
                      <w:lang w:val="en-US" w:eastAsia="zh-CN"/>
                    </w:rPr>
                  </w:pPr>
                  <w:r>
                    <w:rPr>
                      <w:rFonts w:hint="eastAsia"/>
                      <w:lang w:val="en-US" w:eastAsia="zh-CN"/>
                    </w:rPr>
                    <w:t>公路阻隔</w:t>
                  </w:r>
                </w:p>
              </w:tc>
            </w:tr>
          </w:tbl>
          <w:p w14:paraId="3DDDE41B">
            <w:pPr>
              <w:pStyle w:val="25"/>
              <w:rPr>
                <w:rFonts w:hint="default"/>
                <w:lang w:val="en-US" w:eastAsia="zh-CN"/>
              </w:rPr>
            </w:pPr>
            <w:r>
              <w:rPr>
                <w:rFonts w:hint="eastAsia"/>
                <w:lang w:val="en-US" w:eastAsia="zh-CN"/>
              </w:rPr>
              <w:t>注：以项目厂址为中心，正北方向为Y轴正方形，正东方向为X轴正方形建立坐标系。</w:t>
            </w:r>
          </w:p>
          <w:p w14:paraId="0EFB43C7">
            <w:pPr>
              <w:pStyle w:val="25"/>
              <w:ind w:firstLine="480"/>
              <w:rPr>
                <w:rFonts w:hint="eastAsia"/>
                <w:lang w:val="en-US" w:eastAsia="zh-CN"/>
              </w:rPr>
            </w:pPr>
            <w:r>
              <w:rPr>
                <w:rFonts w:hint="eastAsia"/>
                <w:lang w:val="en-US" w:eastAsia="zh-CN"/>
              </w:rPr>
              <w:t>3、地表水环境保护目标</w:t>
            </w:r>
          </w:p>
          <w:p w14:paraId="4F7AFA1B">
            <w:pPr>
              <w:pStyle w:val="24"/>
              <w:bidi w:val="0"/>
              <w:rPr>
                <w:rFonts w:hint="eastAsia"/>
                <w:lang w:val="en-US" w:eastAsia="zh-CN"/>
              </w:rPr>
            </w:pPr>
            <w:r>
              <w:rPr>
                <w:rFonts w:hint="eastAsia"/>
                <w:lang w:val="en-US" w:eastAsia="zh-CN"/>
              </w:rPr>
              <w:t>表3-6  地表水环境保护目标</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7"/>
              <w:gridCol w:w="1941"/>
              <w:gridCol w:w="1575"/>
              <w:gridCol w:w="1575"/>
              <w:gridCol w:w="1575"/>
            </w:tblGrid>
            <w:tr w14:paraId="084B5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7" w:type="dxa"/>
                </w:tcPr>
                <w:p w14:paraId="0125D0EA">
                  <w:pPr>
                    <w:pStyle w:val="26"/>
                    <w:bidi w:val="0"/>
                    <w:rPr>
                      <w:rFonts w:hint="default"/>
                      <w:lang w:val="en-US" w:eastAsia="zh-CN"/>
                    </w:rPr>
                  </w:pPr>
                  <w:r>
                    <w:rPr>
                      <w:rFonts w:hint="eastAsia"/>
                      <w:lang w:val="en-US" w:eastAsia="zh-CN"/>
                    </w:rPr>
                    <w:t>名称</w:t>
                  </w:r>
                </w:p>
              </w:tc>
              <w:tc>
                <w:tcPr>
                  <w:tcW w:w="1941" w:type="dxa"/>
                </w:tcPr>
                <w:p w14:paraId="686BFCCD">
                  <w:pPr>
                    <w:pStyle w:val="26"/>
                    <w:bidi w:val="0"/>
                    <w:rPr>
                      <w:rFonts w:hint="default"/>
                      <w:lang w:val="en-US" w:eastAsia="zh-CN"/>
                    </w:rPr>
                  </w:pPr>
                  <w:r>
                    <w:rPr>
                      <w:rFonts w:hint="eastAsia"/>
                      <w:lang w:val="en-US" w:eastAsia="zh-CN"/>
                    </w:rPr>
                    <w:t>功能</w:t>
                  </w:r>
                </w:p>
              </w:tc>
              <w:tc>
                <w:tcPr>
                  <w:tcW w:w="1575" w:type="dxa"/>
                </w:tcPr>
                <w:p w14:paraId="73202B2C">
                  <w:pPr>
                    <w:pStyle w:val="26"/>
                    <w:bidi w:val="0"/>
                    <w:rPr>
                      <w:rFonts w:hint="default"/>
                      <w:lang w:val="en-US" w:eastAsia="zh-CN"/>
                    </w:rPr>
                  </w:pPr>
                  <w:r>
                    <w:rPr>
                      <w:rFonts w:hint="eastAsia"/>
                      <w:lang w:val="en-US" w:eastAsia="zh-CN"/>
                    </w:rPr>
                    <w:t>规模</w:t>
                  </w:r>
                </w:p>
              </w:tc>
              <w:tc>
                <w:tcPr>
                  <w:tcW w:w="1575" w:type="dxa"/>
                </w:tcPr>
                <w:p w14:paraId="7F6D75BB">
                  <w:pPr>
                    <w:pStyle w:val="26"/>
                    <w:bidi w:val="0"/>
                    <w:rPr>
                      <w:rFonts w:hint="default"/>
                      <w:lang w:val="en-US" w:eastAsia="zh-CN"/>
                    </w:rPr>
                  </w:pPr>
                  <w:r>
                    <w:rPr>
                      <w:rFonts w:hint="eastAsia"/>
                      <w:lang w:val="en-US" w:eastAsia="zh-CN"/>
                    </w:rPr>
                    <w:t>方位距离</w:t>
                  </w:r>
                </w:p>
              </w:tc>
              <w:tc>
                <w:tcPr>
                  <w:tcW w:w="1575" w:type="dxa"/>
                </w:tcPr>
                <w:p w14:paraId="39D382AA">
                  <w:pPr>
                    <w:pStyle w:val="26"/>
                    <w:bidi w:val="0"/>
                    <w:rPr>
                      <w:rFonts w:hint="default"/>
                      <w:lang w:val="en-US" w:eastAsia="zh-CN"/>
                    </w:rPr>
                  </w:pPr>
                  <w:r>
                    <w:rPr>
                      <w:rFonts w:hint="eastAsia"/>
                      <w:lang w:val="en-US" w:eastAsia="zh-CN"/>
                    </w:rPr>
                    <w:t>保护目标</w:t>
                  </w:r>
                </w:p>
              </w:tc>
            </w:tr>
            <w:tr w14:paraId="73796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7" w:type="dxa"/>
                </w:tcPr>
                <w:p w14:paraId="0D462B4A">
                  <w:pPr>
                    <w:pStyle w:val="26"/>
                    <w:bidi w:val="0"/>
                    <w:rPr>
                      <w:rFonts w:hint="default"/>
                      <w:lang w:val="en-US" w:eastAsia="zh-CN"/>
                    </w:rPr>
                  </w:pPr>
                  <w:r>
                    <w:rPr>
                      <w:rFonts w:hint="eastAsia"/>
                      <w:lang w:val="en-US" w:eastAsia="zh-CN"/>
                    </w:rPr>
                    <w:t>横江铺河</w:t>
                  </w:r>
                </w:p>
              </w:tc>
              <w:tc>
                <w:tcPr>
                  <w:tcW w:w="1941" w:type="dxa"/>
                </w:tcPr>
                <w:p w14:paraId="718086E8">
                  <w:pPr>
                    <w:pStyle w:val="26"/>
                    <w:bidi w:val="0"/>
                    <w:rPr>
                      <w:rFonts w:hint="default"/>
                      <w:lang w:val="en-US" w:eastAsia="zh-CN"/>
                    </w:rPr>
                  </w:pPr>
                  <w:r>
                    <w:rPr>
                      <w:rFonts w:hint="eastAsia"/>
                      <w:lang w:val="en-US" w:eastAsia="zh-CN"/>
                    </w:rPr>
                    <w:t>未规划功能区，实际功能以农灌为主</w:t>
                  </w:r>
                </w:p>
              </w:tc>
              <w:tc>
                <w:tcPr>
                  <w:tcW w:w="1575" w:type="dxa"/>
                </w:tcPr>
                <w:p w14:paraId="7D73ED96">
                  <w:pPr>
                    <w:pStyle w:val="26"/>
                    <w:bidi w:val="0"/>
                    <w:rPr>
                      <w:rFonts w:hint="default"/>
                      <w:lang w:val="en-US" w:eastAsia="zh-CN"/>
                    </w:rPr>
                  </w:pPr>
                  <w:r>
                    <w:rPr>
                      <w:rFonts w:hint="eastAsia"/>
                      <w:lang w:val="en-US" w:eastAsia="zh-CN"/>
                    </w:rPr>
                    <w:t>小型河流</w:t>
                  </w:r>
                </w:p>
              </w:tc>
              <w:tc>
                <w:tcPr>
                  <w:tcW w:w="1575" w:type="dxa"/>
                </w:tcPr>
                <w:p w14:paraId="7CC5DBD2">
                  <w:pPr>
                    <w:pStyle w:val="26"/>
                    <w:bidi w:val="0"/>
                    <w:rPr>
                      <w:rFonts w:hint="default"/>
                      <w:lang w:val="en-US" w:eastAsia="zh-CN"/>
                    </w:rPr>
                  </w:pPr>
                  <w:r>
                    <w:rPr>
                      <w:rFonts w:hint="eastAsia"/>
                      <w:lang w:val="en-US" w:eastAsia="zh-CN"/>
                    </w:rPr>
                    <w:t>S，625m</w:t>
                  </w:r>
                </w:p>
              </w:tc>
              <w:tc>
                <w:tcPr>
                  <w:tcW w:w="1575" w:type="dxa"/>
                </w:tcPr>
                <w:p w14:paraId="2C8B8A61">
                  <w:pPr>
                    <w:pStyle w:val="26"/>
                    <w:bidi w:val="0"/>
                    <w:rPr>
                      <w:rFonts w:hint="default"/>
                      <w:lang w:val="en-US" w:eastAsia="zh-CN"/>
                    </w:rPr>
                  </w:pPr>
                  <w:r>
                    <w:rPr>
                      <w:rFonts w:hint="eastAsia"/>
                      <w:lang w:val="en-US" w:eastAsia="zh-CN"/>
                    </w:rPr>
                    <w:t>Ⅲ类</w:t>
                  </w:r>
                </w:p>
              </w:tc>
            </w:tr>
            <w:tr w14:paraId="11082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7" w:type="dxa"/>
                </w:tcPr>
                <w:p w14:paraId="76860E2B">
                  <w:pPr>
                    <w:pStyle w:val="26"/>
                    <w:bidi w:val="0"/>
                    <w:rPr>
                      <w:rFonts w:hint="default"/>
                      <w:lang w:val="en-US" w:eastAsia="zh-CN"/>
                    </w:rPr>
                  </w:pPr>
                  <w:r>
                    <w:rPr>
                      <w:rFonts w:hint="eastAsia"/>
                      <w:lang w:val="en-US" w:eastAsia="zh-CN"/>
                    </w:rPr>
                    <w:t>湘江</w:t>
                  </w:r>
                </w:p>
              </w:tc>
              <w:tc>
                <w:tcPr>
                  <w:tcW w:w="1941" w:type="dxa"/>
                </w:tcPr>
                <w:p w14:paraId="6117C93C">
                  <w:pPr>
                    <w:pStyle w:val="26"/>
                    <w:bidi w:val="0"/>
                    <w:rPr>
                      <w:rFonts w:hint="default"/>
                      <w:lang w:val="en-US" w:eastAsia="zh-CN"/>
                    </w:rPr>
                  </w:pPr>
                  <w:r>
                    <w:rPr>
                      <w:rFonts w:hint="default"/>
                      <w:lang w:val="en-US" w:eastAsia="zh-CN"/>
                    </w:rPr>
                    <w:t>衡阳工业用水区</w:t>
                  </w:r>
                </w:p>
              </w:tc>
              <w:tc>
                <w:tcPr>
                  <w:tcW w:w="1575" w:type="dxa"/>
                </w:tcPr>
                <w:p w14:paraId="44950D64">
                  <w:pPr>
                    <w:pStyle w:val="26"/>
                    <w:bidi w:val="0"/>
                    <w:rPr>
                      <w:rFonts w:hint="default"/>
                      <w:lang w:val="en-US" w:eastAsia="zh-CN"/>
                    </w:rPr>
                  </w:pPr>
                  <w:r>
                    <w:rPr>
                      <w:rFonts w:hint="eastAsia"/>
                      <w:lang w:val="en-US" w:eastAsia="zh-CN"/>
                    </w:rPr>
                    <w:t>大型河流</w:t>
                  </w:r>
                </w:p>
              </w:tc>
              <w:tc>
                <w:tcPr>
                  <w:tcW w:w="1575" w:type="dxa"/>
                </w:tcPr>
                <w:p w14:paraId="1713BCC7">
                  <w:pPr>
                    <w:pStyle w:val="26"/>
                    <w:bidi w:val="0"/>
                    <w:rPr>
                      <w:rFonts w:hint="default"/>
                      <w:lang w:val="en-US" w:eastAsia="zh-CN"/>
                    </w:rPr>
                  </w:pPr>
                  <w:r>
                    <w:rPr>
                      <w:rFonts w:hint="eastAsia"/>
                      <w:lang w:val="en-US" w:eastAsia="zh-CN"/>
                    </w:rPr>
                    <w:t>E，2110m</w:t>
                  </w:r>
                </w:p>
              </w:tc>
              <w:tc>
                <w:tcPr>
                  <w:tcW w:w="1575" w:type="dxa"/>
                </w:tcPr>
                <w:p w14:paraId="02D6DECE">
                  <w:pPr>
                    <w:pStyle w:val="26"/>
                    <w:bidi w:val="0"/>
                    <w:rPr>
                      <w:rFonts w:hint="default"/>
                      <w:lang w:val="en-US" w:eastAsia="zh-CN"/>
                    </w:rPr>
                  </w:pPr>
                  <w:r>
                    <w:rPr>
                      <w:rFonts w:hint="eastAsia"/>
                      <w:lang w:val="en-US" w:eastAsia="zh-CN"/>
                    </w:rPr>
                    <w:t>Ⅲ类</w:t>
                  </w:r>
                </w:p>
              </w:tc>
            </w:tr>
          </w:tbl>
          <w:p w14:paraId="0BD3F720">
            <w:pPr>
              <w:pStyle w:val="25"/>
              <w:ind w:firstLine="480"/>
            </w:pPr>
            <w:r>
              <w:rPr>
                <w:rFonts w:hint="eastAsia"/>
              </w:rPr>
              <w:t>4、地下水环境</w:t>
            </w:r>
          </w:p>
          <w:p w14:paraId="5DBC49E9">
            <w:pPr>
              <w:pStyle w:val="25"/>
              <w:ind w:firstLine="480"/>
            </w:pPr>
            <w:r>
              <w:rPr>
                <w:rFonts w:hint="eastAsia"/>
              </w:rPr>
              <w:t>本项目厂界外500米范围内无地下水饮用水水源和热水、矿泉水、温泉等特殊地下水资源。</w:t>
            </w:r>
          </w:p>
          <w:p w14:paraId="4BA7EDFB">
            <w:pPr>
              <w:pStyle w:val="25"/>
              <w:rPr>
                <w:rFonts w:hint="default"/>
                <w:lang w:val="en-US" w:eastAsia="zh-CN"/>
              </w:rPr>
            </w:pPr>
            <w:r>
              <w:rPr>
                <w:rFonts w:hint="eastAsia"/>
              </w:rPr>
              <w:t>5、生态环境</w:t>
            </w:r>
          </w:p>
          <w:p w14:paraId="7F4796E7">
            <w:pPr>
              <w:pStyle w:val="25"/>
              <w:ind w:firstLine="480"/>
              <w:rPr>
                <w:rFonts w:hint="default"/>
                <w:lang w:val="en-US" w:eastAsia="zh-CN"/>
              </w:rPr>
            </w:pPr>
            <w:r>
              <w:rPr>
                <w:rFonts w:hint="eastAsia" w:ascii="Times New Roman" w:hAnsi="Times New Roman" w:eastAsia="宋体" w:cs="Times New Roman"/>
                <w:color w:val="auto"/>
                <w:spacing w:val="2"/>
                <w:position w:val="12"/>
                <w:sz w:val="24"/>
                <w:szCs w:val="24"/>
                <w:lang w:val="en-US" w:eastAsia="zh-CN"/>
              </w:rPr>
              <w:t>本项目用地范围内不涉及生态保护红线、风景名胜区、自然保护区、森林公园、湿地公园等生态环境保护目标。</w:t>
            </w:r>
          </w:p>
        </w:tc>
      </w:tr>
      <w:tr w14:paraId="24837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Align w:val="center"/>
          </w:tcPr>
          <w:p w14:paraId="2084B9BE">
            <w:pPr>
              <w:pStyle w:val="26"/>
            </w:pPr>
            <w:r>
              <w:rPr>
                <w:rFonts w:hint="eastAsia"/>
              </w:rPr>
              <w:t>污染物排放标准</w:t>
            </w:r>
          </w:p>
        </w:tc>
        <w:tc>
          <w:tcPr>
            <w:tcW w:w="8130" w:type="dxa"/>
          </w:tcPr>
          <w:p w14:paraId="1ED67642">
            <w:pPr>
              <w:pStyle w:val="25"/>
              <w:ind w:firstLine="480"/>
              <w:rPr>
                <w:rFonts w:hint="eastAsia"/>
                <w:lang w:val="en-US" w:eastAsia="zh-CN"/>
              </w:rPr>
            </w:pPr>
            <w:r>
              <w:rPr>
                <w:rFonts w:hint="eastAsia"/>
                <w:lang w:val="en-US" w:eastAsia="zh-CN"/>
              </w:rPr>
              <w:t>1、废气</w:t>
            </w:r>
          </w:p>
          <w:p w14:paraId="4DDF30E2">
            <w:pPr>
              <w:pStyle w:val="25"/>
              <w:ind w:firstLine="480"/>
              <w:rPr>
                <w:rFonts w:hint="eastAsia"/>
                <w:lang w:val="en-US" w:eastAsia="zh-CN"/>
              </w:rPr>
            </w:pPr>
            <w:r>
              <w:rPr>
                <w:rFonts w:hint="eastAsia"/>
                <w:lang w:val="en-US" w:eastAsia="zh-CN"/>
              </w:rPr>
              <w:t>本项目液化石油气装卸、灌装、贮存过程产生的NMHC均为无组织排放，厂区内NMHC浓度执行‌《挥发性有机物无组织排放控制标准》（GB 37822-2019），厂界NMHC浓度执行《大气污染物综合排放标准》（GB16297-1996）表2中无组织监控浓度限值，具体如下：</w:t>
            </w:r>
          </w:p>
          <w:p w14:paraId="2D718115">
            <w:pPr>
              <w:pStyle w:val="25"/>
              <w:ind w:firstLine="480"/>
              <w:rPr>
                <w:rFonts w:hint="eastAsia"/>
                <w:lang w:val="en-US" w:eastAsia="zh-CN"/>
              </w:rPr>
            </w:pPr>
          </w:p>
          <w:p w14:paraId="506BAD4B">
            <w:pPr>
              <w:pStyle w:val="25"/>
              <w:ind w:firstLine="480"/>
              <w:rPr>
                <w:rFonts w:hint="eastAsia"/>
                <w:lang w:val="en-US" w:eastAsia="zh-CN"/>
              </w:rPr>
            </w:pPr>
          </w:p>
          <w:p w14:paraId="5ECADA91">
            <w:pPr>
              <w:pStyle w:val="24"/>
              <w:bidi w:val="0"/>
              <w:rPr>
                <w:rFonts w:hint="eastAsia"/>
                <w:lang w:val="en-US" w:eastAsia="zh-CN"/>
              </w:rPr>
            </w:pPr>
            <w:r>
              <w:rPr>
                <w:rFonts w:hint="eastAsia"/>
                <w:lang w:val="en-US" w:eastAsia="zh-CN"/>
              </w:rPr>
              <w:t>表3-7  大气污染物排放标准</w:t>
            </w:r>
          </w:p>
          <w:tbl>
            <w:tblPr>
              <w:tblStyle w:val="1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6"/>
              <w:gridCol w:w="1005"/>
              <w:gridCol w:w="2006"/>
              <w:gridCol w:w="1981"/>
              <w:gridCol w:w="1872"/>
            </w:tblGrid>
            <w:tr w14:paraId="6FC96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39" w:type="pct"/>
                  <w:vAlign w:val="center"/>
                </w:tcPr>
                <w:p w14:paraId="56473C9A">
                  <w:pPr>
                    <w:pStyle w:val="26"/>
                    <w:bidi w:val="0"/>
                    <w:jc w:val="center"/>
                    <w:rPr>
                      <w:rFonts w:hint="default"/>
                      <w:lang w:val="en-US" w:eastAsia="zh-CN"/>
                    </w:rPr>
                  </w:pPr>
                  <w:r>
                    <w:rPr>
                      <w:rFonts w:hint="eastAsia"/>
                      <w:lang w:val="en-US" w:eastAsia="zh-CN"/>
                    </w:rPr>
                    <w:t>污染物</w:t>
                  </w:r>
                </w:p>
              </w:tc>
              <w:tc>
                <w:tcPr>
                  <w:tcW w:w="1912" w:type="pct"/>
                  <w:gridSpan w:val="2"/>
                  <w:vAlign w:val="center"/>
                </w:tcPr>
                <w:p w14:paraId="77A5A806">
                  <w:pPr>
                    <w:pStyle w:val="26"/>
                    <w:bidi w:val="0"/>
                    <w:jc w:val="center"/>
                    <w:rPr>
                      <w:rFonts w:hint="default"/>
                      <w:lang w:val="en-US" w:eastAsia="zh-CN"/>
                    </w:rPr>
                  </w:pPr>
                  <w:r>
                    <w:rPr>
                      <w:rFonts w:hint="eastAsia"/>
                      <w:lang w:val="en-US" w:eastAsia="zh-CN"/>
                    </w:rPr>
                    <w:t>监测点位</w:t>
                  </w:r>
                </w:p>
              </w:tc>
              <w:tc>
                <w:tcPr>
                  <w:tcW w:w="1258" w:type="pct"/>
                  <w:vAlign w:val="center"/>
                </w:tcPr>
                <w:p w14:paraId="6A52C927">
                  <w:pPr>
                    <w:pStyle w:val="26"/>
                    <w:bidi w:val="0"/>
                    <w:jc w:val="center"/>
                    <w:rPr>
                      <w:rFonts w:hint="default"/>
                      <w:vertAlign w:val="baseline"/>
                      <w:lang w:val="en-US" w:eastAsia="zh-CN"/>
                    </w:rPr>
                  </w:pPr>
                  <w:r>
                    <w:rPr>
                      <w:rFonts w:hint="eastAsia"/>
                      <w:lang w:val="en-US" w:eastAsia="zh-CN"/>
                    </w:rPr>
                    <w:t>浓度限值mg/m</w:t>
                  </w:r>
                  <w:r>
                    <w:rPr>
                      <w:rFonts w:hint="eastAsia"/>
                      <w:vertAlign w:val="superscript"/>
                      <w:lang w:val="en-US" w:eastAsia="zh-CN"/>
                    </w:rPr>
                    <w:t>3</w:t>
                  </w:r>
                </w:p>
              </w:tc>
              <w:tc>
                <w:tcPr>
                  <w:tcW w:w="1189" w:type="pct"/>
                  <w:vAlign w:val="center"/>
                </w:tcPr>
                <w:p w14:paraId="6860BCAB">
                  <w:pPr>
                    <w:pStyle w:val="26"/>
                    <w:bidi w:val="0"/>
                    <w:jc w:val="center"/>
                    <w:rPr>
                      <w:rFonts w:hint="default"/>
                      <w:lang w:val="en-US" w:eastAsia="zh-CN"/>
                    </w:rPr>
                  </w:pPr>
                  <w:r>
                    <w:rPr>
                      <w:rFonts w:hint="eastAsia"/>
                      <w:lang w:val="en-US" w:eastAsia="zh-CN"/>
                    </w:rPr>
                    <w:t>标准来源</w:t>
                  </w:r>
                </w:p>
              </w:tc>
            </w:tr>
            <w:tr w14:paraId="1DCE3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9" w:type="pct"/>
                  <w:vMerge w:val="restart"/>
                  <w:vAlign w:val="center"/>
                </w:tcPr>
                <w:p w14:paraId="00BC4333">
                  <w:pPr>
                    <w:pStyle w:val="26"/>
                    <w:bidi w:val="0"/>
                    <w:jc w:val="center"/>
                    <w:rPr>
                      <w:rFonts w:hint="default"/>
                      <w:lang w:val="en-US" w:eastAsia="zh-CN"/>
                    </w:rPr>
                  </w:pPr>
                  <w:r>
                    <w:rPr>
                      <w:rFonts w:hint="eastAsia"/>
                      <w:lang w:val="en-US" w:eastAsia="zh-CN"/>
                    </w:rPr>
                    <w:t>NMHC</w:t>
                  </w:r>
                </w:p>
              </w:tc>
              <w:tc>
                <w:tcPr>
                  <w:tcW w:w="1912" w:type="pct"/>
                  <w:gridSpan w:val="2"/>
                  <w:vAlign w:val="center"/>
                </w:tcPr>
                <w:p w14:paraId="30A9E5D4">
                  <w:pPr>
                    <w:pStyle w:val="26"/>
                    <w:bidi w:val="0"/>
                    <w:jc w:val="center"/>
                    <w:rPr>
                      <w:rFonts w:hint="default"/>
                      <w:lang w:val="en-US" w:eastAsia="zh-CN"/>
                    </w:rPr>
                  </w:pPr>
                  <w:r>
                    <w:rPr>
                      <w:rFonts w:hint="eastAsia"/>
                      <w:lang w:val="en-US" w:eastAsia="zh-CN"/>
                    </w:rPr>
                    <w:t>厂界</w:t>
                  </w:r>
                </w:p>
              </w:tc>
              <w:tc>
                <w:tcPr>
                  <w:tcW w:w="1258" w:type="pct"/>
                  <w:vAlign w:val="center"/>
                </w:tcPr>
                <w:p w14:paraId="682AF468">
                  <w:pPr>
                    <w:pStyle w:val="26"/>
                    <w:bidi w:val="0"/>
                    <w:jc w:val="center"/>
                    <w:rPr>
                      <w:rFonts w:hint="default"/>
                      <w:lang w:val="en-US" w:eastAsia="zh-CN"/>
                    </w:rPr>
                  </w:pPr>
                  <w:r>
                    <w:rPr>
                      <w:rFonts w:hint="eastAsia"/>
                      <w:lang w:val="en-US" w:eastAsia="zh-CN"/>
                    </w:rPr>
                    <w:t>4</w:t>
                  </w:r>
                </w:p>
              </w:tc>
              <w:tc>
                <w:tcPr>
                  <w:tcW w:w="1189" w:type="pct"/>
                  <w:vAlign w:val="center"/>
                </w:tcPr>
                <w:p w14:paraId="0CEB8307">
                  <w:pPr>
                    <w:pStyle w:val="26"/>
                    <w:bidi w:val="0"/>
                    <w:jc w:val="center"/>
                    <w:rPr>
                      <w:rFonts w:hint="default"/>
                      <w:lang w:val="en-US" w:eastAsia="zh-CN"/>
                    </w:rPr>
                  </w:pPr>
                  <w:r>
                    <w:rPr>
                      <w:rFonts w:hint="eastAsia"/>
                      <w:lang w:val="en-US" w:eastAsia="zh-CN"/>
                    </w:rPr>
                    <w:t>GB16297-1996</w:t>
                  </w:r>
                </w:p>
              </w:tc>
            </w:tr>
            <w:tr w14:paraId="75D54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9" w:type="pct"/>
                  <w:vMerge w:val="continue"/>
                  <w:vAlign w:val="center"/>
                </w:tcPr>
                <w:p w14:paraId="7D4273C2">
                  <w:pPr>
                    <w:pStyle w:val="26"/>
                    <w:bidi w:val="0"/>
                    <w:jc w:val="center"/>
                    <w:rPr>
                      <w:rFonts w:hint="default"/>
                      <w:lang w:val="en-US" w:eastAsia="zh-CN"/>
                    </w:rPr>
                  </w:pPr>
                </w:p>
              </w:tc>
              <w:tc>
                <w:tcPr>
                  <w:tcW w:w="638" w:type="pct"/>
                  <w:vMerge w:val="restart"/>
                  <w:vAlign w:val="center"/>
                </w:tcPr>
                <w:p w14:paraId="4988D4E7">
                  <w:pPr>
                    <w:pStyle w:val="26"/>
                    <w:bidi w:val="0"/>
                    <w:jc w:val="center"/>
                    <w:rPr>
                      <w:rFonts w:hint="default"/>
                      <w:lang w:val="en-US" w:eastAsia="zh-CN"/>
                    </w:rPr>
                  </w:pPr>
                  <w:r>
                    <w:rPr>
                      <w:rFonts w:hint="eastAsia"/>
                      <w:lang w:val="en-US" w:eastAsia="zh-CN"/>
                    </w:rPr>
                    <w:t>厂房外</w:t>
                  </w:r>
                </w:p>
              </w:tc>
              <w:tc>
                <w:tcPr>
                  <w:tcW w:w="1273" w:type="pct"/>
                  <w:shd w:val="clear" w:color="auto" w:fill="auto"/>
                  <w:vAlign w:val="center"/>
                </w:tcPr>
                <w:p w14:paraId="1B8E3277">
                  <w:pPr>
                    <w:pStyle w:val="26"/>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1h平均浓度值</w:t>
                  </w:r>
                </w:p>
              </w:tc>
              <w:tc>
                <w:tcPr>
                  <w:tcW w:w="1258" w:type="pct"/>
                  <w:vAlign w:val="center"/>
                </w:tcPr>
                <w:p w14:paraId="194B9CB4">
                  <w:pPr>
                    <w:pStyle w:val="26"/>
                    <w:bidi w:val="0"/>
                    <w:jc w:val="center"/>
                    <w:rPr>
                      <w:rFonts w:hint="default"/>
                      <w:lang w:val="en-US" w:eastAsia="zh-CN"/>
                    </w:rPr>
                  </w:pPr>
                  <w:r>
                    <w:rPr>
                      <w:rFonts w:hint="eastAsia"/>
                      <w:lang w:val="en-US" w:eastAsia="zh-CN"/>
                    </w:rPr>
                    <w:t>10</w:t>
                  </w:r>
                </w:p>
              </w:tc>
              <w:tc>
                <w:tcPr>
                  <w:tcW w:w="1189" w:type="pct"/>
                  <w:vAlign w:val="center"/>
                </w:tcPr>
                <w:p w14:paraId="21678602">
                  <w:pPr>
                    <w:pStyle w:val="26"/>
                    <w:bidi w:val="0"/>
                    <w:jc w:val="center"/>
                    <w:rPr>
                      <w:rFonts w:hint="default"/>
                      <w:lang w:val="en-US" w:eastAsia="zh-CN"/>
                    </w:rPr>
                  </w:pPr>
                  <w:r>
                    <w:rPr>
                      <w:rFonts w:hint="eastAsia"/>
                      <w:lang w:val="en-US" w:eastAsia="zh-CN"/>
                    </w:rPr>
                    <w:t>GB 37822-2019</w:t>
                  </w:r>
                </w:p>
              </w:tc>
            </w:tr>
            <w:tr w14:paraId="79E22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9" w:type="pct"/>
                  <w:vMerge w:val="continue"/>
                  <w:vAlign w:val="center"/>
                </w:tcPr>
                <w:p w14:paraId="33D37852">
                  <w:pPr>
                    <w:pStyle w:val="26"/>
                    <w:bidi w:val="0"/>
                    <w:jc w:val="center"/>
                    <w:rPr>
                      <w:rFonts w:hint="default"/>
                      <w:lang w:val="en-US" w:eastAsia="zh-CN"/>
                    </w:rPr>
                  </w:pPr>
                </w:p>
              </w:tc>
              <w:tc>
                <w:tcPr>
                  <w:tcW w:w="638" w:type="pct"/>
                  <w:vMerge w:val="continue"/>
                  <w:vAlign w:val="center"/>
                </w:tcPr>
                <w:p w14:paraId="43EA3822">
                  <w:pPr>
                    <w:pStyle w:val="26"/>
                    <w:bidi w:val="0"/>
                    <w:jc w:val="center"/>
                    <w:rPr>
                      <w:rFonts w:hint="default"/>
                      <w:lang w:val="en-US" w:eastAsia="zh-CN"/>
                    </w:rPr>
                  </w:pPr>
                </w:p>
              </w:tc>
              <w:tc>
                <w:tcPr>
                  <w:tcW w:w="1273" w:type="pct"/>
                  <w:vAlign w:val="center"/>
                </w:tcPr>
                <w:p w14:paraId="4AFFED06">
                  <w:pPr>
                    <w:pStyle w:val="26"/>
                    <w:bidi w:val="0"/>
                    <w:jc w:val="center"/>
                    <w:rPr>
                      <w:rFonts w:hint="default"/>
                      <w:lang w:val="en-US" w:eastAsia="zh-CN"/>
                    </w:rPr>
                  </w:pPr>
                  <w:r>
                    <w:rPr>
                      <w:rFonts w:hint="eastAsia"/>
                      <w:lang w:val="en-US" w:eastAsia="zh-CN"/>
                    </w:rPr>
                    <w:t>任意一次浓度值</w:t>
                  </w:r>
                </w:p>
              </w:tc>
              <w:tc>
                <w:tcPr>
                  <w:tcW w:w="1258" w:type="pct"/>
                  <w:vAlign w:val="center"/>
                </w:tcPr>
                <w:p w14:paraId="0C6FF80C">
                  <w:pPr>
                    <w:pStyle w:val="26"/>
                    <w:bidi w:val="0"/>
                    <w:jc w:val="center"/>
                    <w:rPr>
                      <w:rFonts w:hint="default"/>
                      <w:lang w:val="en-US" w:eastAsia="zh-CN"/>
                    </w:rPr>
                  </w:pPr>
                  <w:r>
                    <w:rPr>
                      <w:rFonts w:hint="eastAsia"/>
                      <w:lang w:val="en-US" w:eastAsia="zh-CN"/>
                    </w:rPr>
                    <w:t>30</w:t>
                  </w:r>
                </w:p>
              </w:tc>
              <w:tc>
                <w:tcPr>
                  <w:tcW w:w="1189" w:type="pct"/>
                  <w:vAlign w:val="center"/>
                </w:tcPr>
                <w:p w14:paraId="2D589988">
                  <w:pPr>
                    <w:pStyle w:val="26"/>
                    <w:bidi w:val="0"/>
                    <w:jc w:val="center"/>
                    <w:rPr>
                      <w:rFonts w:hint="default"/>
                      <w:lang w:val="en-US" w:eastAsia="zh-CN"/>
                    </w:rPr>
                  </w:pPr>
                  <w:r>
                    <w:rPr>
                      <w:rFonts w:hint="eastAsia"/>
                      <w:lang w:val="en-US" w:eastAsia="zh-CN"/>
                    </w:rPr>
                    <w:t>GB 37822-2019</w:t>
                  </w:r>
                </w:p>
              </w:tc>
            </w:tr>
          </w:tbl>
          <w:p w14:paraId="1557ECEE">
            <w:pPr>
              <w:pStyle w:val="25"/>
              <w:ind w:firstLine="480"/>
              <w:rPr>
                <w:rFonts w:hint="eastAsia"/>
                <w:lang w:val="en-US" w:eastAsia="zh-CN"/>
              </w:rPr>
            </w:pPr>
            <w:r>
              <w:rPr>
                <w:rFonts w:hint="eastAsia"/>
                <w:lang w:val="en-US" w:eastAsia="zh-CN"/>
              </w:rPr>
              <w:t>2、废水</w:t>
            </w:r>
          </w:p>
          <w:p w14:paraId="640F5A04">
            <w:pPr>
              <w:pStyle w:val="25"/>
              <w:ind w:firstLine="480"/>
              <w:rPr>
                <w:rFonts w:hint="default"/>
                <w:lang w:val="en-US" w:eastAsia="zh-CN"/>
              </w:rPr>
            </w:pPr>
            <w:r>
              <w:rPr>
                <w:rFonts w:hint="eastAsia"/>
                <w:lang w:val="en-US" w:eastAsia="zh-CN"/>
              </w:rPr>
              <w:t>本项目无生产废水排放，生活污水经化粪池处理后，定期清掏用于周边农田施肥。</w:t>
            </w:r>
          </w:p>
          <w:p w14:paraId="3EB345F1">
            <w:pPr>
              <w:pStyle w:val="25"/>
              <w:ind w:firstLine="480"/>
              <w:rPr>
                <w:rFonts w:hint="eastAsia"/>
                <w:lang w:val="en-US" w:eastAsia="zh-CN"/>
              </w:rPr>
            </w:pPr>
            <w:r>
              <w:rPr>
                <w:rFonts w:hint="eastAsia"/>
                <w:lang w:val="en-US" w:eastAsia="zh-CN"/>
              </w:rPr>
              <w:t>3、噪声</w:t>
            </w:r>
          </w:p>
          <w:p w14:paraId="2C919536">
            <w:pPr>
              <w:pStyle w:val="25"/>
              <w:ind w:firstLine="480"/>
              <w:rPr>
                <w:rFonts w:hint="eastAsia"/>
                <w:lang w:val="en-US" w:eastAsia="zh-CN"/>
              </w:rPr>
            </w:pPr>
            <w:r>
              <w:rPr>
                <w:rFonts w:hint="eastAsia"/>
                <w:lang w:val="en-US" w:eastAsia="zh-CN"/>
              </w:rPr>
              <w:t>项目运营期厂界噪声执行《工业企业厂界环境噪声排放标准》（GB12348-2008）中的2类、</w:t>
            </w:r>
            <w:r>
              <w:rPr>
                <w:rFonts w:hint="eastAsia"/>
                <w:color w:val="FF0000"/>
                <w:lang w:val="en-US" w:eastAsia="zh-CN"/>
              </w:rPr>
              <w:t>4类标准</w:t>
            </w:r>
            <w:r>
              <w:rPr>
                <w:rFonts w:hint="eastAsia"/>
                <w:lang w:val="en-US" w:eastAsia="zh-CN"/>
              </w:rPr>
              <w:t>，具体如下：</w:t>
            </w:r>
          </w:p>
          <w:p w14:paraId="337B80E4">
            <w:pPr>
              <w:pStyle w:val="24"/>
              <w:bidi w:val="0"/>
              <w:rPr>
                <w:rFonts w:hint="eastAsia"/>
                <w:lang w:val="en-US" w:eastAsia="zh-CN"/>
              </w:rPr>
            </w:pPr>
            <w:r>
              <w:rPr>
                <w:rFonts w:hint="eastAsia"/>
                <w:lang w:val="en-US" w:eastAsia="zh-CN"/>
              </w:rPr>
              <w:t>表3-8  运营期厂界噪声执行标准</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8"/>
              <w:gridCol w:w="1968"/>
              <w:gridCol w:w="1969"/>
              <w:gridCol w:w="1968"/>
            </w:tblGrid>
            <w:tr w14:paraId="0CB23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968" w:type="dxa"/>
                  <w:vMerge w:val="restart"/>
                  <w:vAlign w:val="center"/>
                </w:tcPr>
                <w:p w14:paraId="751A61B4">
                  <w:pPr>
                    <w:pStyle w:val="26"/>
                    <w:bidi w:val="0"/>
                    <w:jc w:val="center"/>
                    <w:rPr>
                      <w:rFonts w:hint="default"/>
                      <w:lang w:val="en-US" w:eastAsia="zh-CN"/>
                    </w:rPr>
                  </w:pPr>
                  <w:r>
                    <w:rPr>
                      <w:rFonts w:hint="eastAsia"/>
                      <w:lang w:val="en-US" w:eastAsia="zh-CN"/>
                    </w:rPr>
                    <w:t>监测点位</w:t>
                  </w:r>
                </w:p>
              </w:tc>
              <w:tc>
                <w:tcPr>
                  <w:tcW w:w="1968" w:type="dxa"/>
                  <w:vMerge w:val="restart"/>
                  <w:vAlign w:val="center"/>
                </w:tcPr>
                <w:p w14:paraId="614297DC">
                  <w:pPr>
                    <w:pStyle w:val="26"/>
                    <w:bidi w:val="0"/>
                    <w:jc w:val="center"/>
                    <w:rPr>
                      <w:rFonts w:hint="default"/>
                      <w:lang w:val="en-US" w:eastAsia="zh-CN"/>
                    </w:rPr>
                  </w:pPr>
                  <w:r>
                    <w:rPr>
                      <w:rFonts w:hint="eastAsia"/>
                      <w:lang w:val="en-US" w:eastAsia="zh-CN"/>
                    </w:rPr>
                    <w:t>类别</w:t>
                  </w:r>
                </w:p>
              </w:tc>
              <w:tc>
                <w:tcPr>
                  <w:tcW w:w="3937" w:type="dxa"/>
                  <w:gridSpan w:val="2"/>
                  <w:vAlign w:val="center"/>
                </w:tcPr>
                <w:p w14:paraId="1D70B601">
                  <w:pPr>
                    <w:pStyle w:val="26"/>
                    <w:bidi w:val="0"/>
                    <w:jc w:val="center"/>
                    <w:rPr>
                      <w:rFonts w:hint="default"/>
                      <w:lang w:val="en-US" w:eastAsia="zh-CN"/>
                    </w:rPr>
                  </w:pPr>
                  <w:r>
                    <w:rPr>
                      <w:rFonts w:hint="eastAsia"/>
                      <w:lang w:val="en-US" w:eastAsia="zh-CN"/>
                    </w:rPr>
                    <w:t>标准限值dB(A)</w:t>
                  </w:r>
                </w:p>
              </w:tc>
            </w:tr>
            <w:tr w14:paraId="512BC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8" w:type="dxa"/>
                  <w:vMerge w:val="continue"/>
                  <w:vAlign w:val="center"/>
                </w:tcPr>
                <w:p w14:paraId="54B2AA46">
                  <w:pPr>
                    <w:pStyle w:val="26"/>
                    <w:bidi w:val="0"/>
                    <w:jc w:val="center"/>
                    <w:rPr>
                      <w:rFonts w:hint="eastAsia"/>
                      <w:lang w:val="en-US" w:eastAsia="zh-CN"/>
                    </w:rPr>
                  </w:pPr>
                </w:p>
              </w:tc>
              <w:tc>
                <w:tcPr>
                  <w:tcW w:w="1968" w:type="dxa"/>
                  <w:vMerge w:val="continue"/>
                  <w:vAlign w:val="center"/>
                </w:tcPr>
                <w:p w14:paraId="7E0166DC">
                  <w:pPr>
                    <w:pStyle w:val="26"/>
                    <w:bidi w:val="0"/>
                    <w:jc w:val="center"/>
                    <w:rPr>
                      <w:rFonts w:hint="eastAsia"/>
                      <w:lang w:val="en-US" w:eastAsia="zh-CN"/>
                    </w:rPr>
                  </w:pPr>
                </w:p>
              </w:tc>
              <w:tc>
                <w:tcPr>
                  <w:tcW w:w="1969" w:type="dxa"/>
                  <w:vAlign w:val="center"/>
                </w:tcPr>
                <w:p w14:paraId="57CCFB6C">
                  <w:pPr>
                    <w:pStyle w:val="26"/>
                    <w:bidi w:val="0"/>
                    <w:jc w:val="center"/>
                    <w:rPr>
                      <w:rFonts w:hint="default"/>
                      <w:lang w:val="en-US" w:eastAsia="zh-CN"/>
                    </w:rPr>
                  </w:pPr>
                  <w:r>
                    <w:rPr>
                      <w:rFonts w:hint="eastAsia"/>
                      <w:lang w:val="en-US" w:eastAsia="zh-CN"/>
                    </w:rPr>
                    <w:t>昼间</w:t>
                  </w:r>
                </w:p>
              </w:tc>
              <w:tc>
                <w:tcPr>
                  <w:tcW w:w="1968" w:type="dxa"/>
                  <w:vAlign w:val="center"/>
                </w:tcPr>
                <w:p w14:paraId="233C3091">
                  <w:pPr>
                    <w:pStyle w:val="26"/>
                    <w:bidi w:val="0"/>
                    <w:jc w:val="center"/>
                    <w:rPr>
                      <w:rFonts w:hint="default"/>
                      <w:lang w:val="en-US" w:eastAsia="zh-CN"/>
                    </w:rPr>
                  </w:pPr>
                  <w:r>
                    <w:rPr>
                      <w:rFonts w:hint="eastAsia"/>
                      <w:lang w:val="en-US" w:eastAsia="zh-CN"/>
                    </w:rPr>
                    <w:t>夜间</w:t>
                  </w:r>
                </w:p>
              </w:tc>
            </w:tr>
            <w:tr w14:paraId="29053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8" w:type="dxa"/>
                  <w:vAlign w:val="center"/>
                </w:tcPr>
                <w:p w14:paraId="2C4EDF0F">
                  <w:pPr>
                    <w:pStyle w:val="26"/>
                    <w:bidi w:val="0"/>
                    <w:jc w:val="center"/>
                    <w:rPr>
                      <w:rFonts w:hint="default"/>
                      <w:lang w:val="en-US" w:eastAsia="zh-CN"/>
                    </w:rPr>
                  </w:pPr>
                  <w:r>
                    <w:rPr>
                      <w:rFonts w:hint="eastAsia"/>
                      <w:lang w:val="en-US" w:eastAsia="zh-CN"/>
                    </w:rPr>
                    <w:t>南、西、北厂界</w:t>
                  </w:r>
                </w:p>
              </w:tc>
              <w:tc>
                <w:tcPr>
                  <w:tcW w:w="1968" w:type="dxa"/>
                  <w:vAlign w:val="center"/>
                </w:tcPr>
                <w:p w14:paraId="22593AB3">
                  <w:pPr>
                    <w:pStyle w:val="26"/>
                    <w:bidi w:val="0"/>
                    <w:jc w:val="center"/>
                    <w:rPr>
                      <w:rFonts w:hint="default"/>
                      <w:lang w:val="en-US" w:eastAsia="zh-CN"/>
                    </w:rPr>
                  </w:pPr>
                  <w:r>
                    <w:rPr>
                      <w:rFonts w:hint="eastAsia"/>
                      <w:lang w:val="en-US" w:eastAsia="zh-CN"/>
                    </w:rPr>
                    <w:t>2类</w:t>
                  </w:r>
                </w:p>
              </w:tc>
              <w:tc>
                <w:tcPr>
                  <w:tcW w:w="1969" w:type="dxa"/>
                  <w:vAlign w:val="center"/>
                </w:tcPr>
                <w:p w14:paraId="1D45333F">
                  <w:pPr>
                    <w:pStyle w:val="26"/>
                    <w:bidi w:val="0"/>
                    <w:jc w:val="center"/>
                    <w:rPr>
                      <w:rFonts w:hint="default"/>
                      <w:lang w:val="en-US" w:eastAsia="zh-CN"/>
                    </w:rPr>
                  </w:pPr>
                  <w:r>
                    <w:rPr>
                      <w:rFonts w:hint="eastAsia"/>
                      <w:lang w:val="en-US" w:eastAsia="zh-CN"/>
                    </w:rPr>
                    <w:t>60</w:t>
                  </w:r>
                </w:p>
              </w:tc>
              <w:tc>
                <w:tcPr>
                  <w:tcW w:w="1968" w:type="dxa"/>
                  <w:vAlign w:val="center"/>
                </w:tcPr>
                <w:p w14:paraId="7FF9FA57">
                  <w:pPr>
                    <w:pStyle w:val="26"/>
                    <w:bidi w:val="0"/>
                    <w:jc w:val="center"/>
                    <w:rPr>
                      <w:rFonts w:hint="default"/>
                      <w:lang w:val="en-US" w:eastAsia="zh-CN"/>
                    </w:rPr>
                  </w:pPr>
                  <w:r>
                    <w:rPr>
                      <w:rFonts w:hint="eastAsia"/>
                      <w:lang w:val="en-US" w:eastAsia="zh-CN"/>
                    </w:rPr>
                    <w:t>50</w:t>
                  </w:r>
                </w:p>
              </w:tc>
            </w:tr>
            <w:tr w14:paraId="42508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8" w:type="dxa"/>
                  <w:vAlign w:val="center"/>
                </w:tcPr>
                <w:p w14:paraId="6BDEF162">
                  <w:pPr>
                    <w:pStyle w:val="26"/>
                    <w:bidi w:val="0"/>
                    <w:jc w:val="center"/>
                    <w:rPr>
                      <w:rFonts w:hint="default"/>
                      <w:lang w:val="en-US" w:eastAsia="zh-CN"/>
                    </w:rPr>
                  </w:pPr>
                  <w:r>
                    <w:rPr>
                      <w:rFonts w:hint="eastAsia"/>
                      <w:lang w:val="en-US" w:eastAsia="zh-CN"/>
                    </w:rPr>
                    <w:t>东侧厂界</w:t>
                  </w:r>
                </w:p>
              </w:tc>
              <w:tc>
                <w:tcPr>
                  <w:tcW w:w="1968" w:type="dxa"/>
                  <w:vAlign w:val="center"/>
                </w:tcPr>
                <w:p w14:paraId="372C83B1">
                  <w:pPr>
                    <w:pStyle w:val="26"/>
                    <w:bidi w:val="0"/>
                    <w:jc w:val="center"/>
                    <w:rPr>
                      <w:rFonts w:hint="default"/>
                      <w:lang w:val="en-US" w:eastAsia="zh-CN"/>
                    </w:rPr>
                  </w:pPr>
                  <w:r>
                    <w:rPr>
                      <w:rFonts w:hint="eastAsia"/>
                      <w:color w:val="FF0000"/>
                      <w:lang w:val="en-US" w:eastAsia="zh-CN"/>
                    </w:rPr>
                    <w:t>4类</w:t>
                  </w:r>
                </w:p>
              </w:tc>
              <w:tc>
                <w:tcPr>
                  <w:tcW w:w="1969" w:type="dxa"/>
                  <w:vAlign w:val="center"/>
                </w:tcPr>
                <w:p w14:paraId="5E38591F">
                  <w:pPr>
                    <w:pStyle w:val="26"/>
                    <w:bidi w:val="0"/>
                    <w:jc w:val="center"/>
                    <w:rPr>
                      <w:rFonts w:hint="default"/>
                      <w:lang w:val="en-US" w:eastAsia="zh-CN"/>
                    </w:rPr>
                  </w:pPr>
                  <w:r>
                    <w:rPr>
                      <w:rFonts w:hint="eastAsia"/>
                      <w:lang w:val="en-US" w:eastAsia="zh-CN"/>
                    </w:rPr>
                    <w:t>70</w:t>
                  </w:r>
                </w:p>
              </w:tc>
              <w:tc>
                <w:tcPr>
                  <w:tcW w:w="1968" w:type="dxa"/>
                  <w:vAlign w:val="center"/>
                </w:tcPr>
                <w:p w14:paraId="4081480E">
                  <w:pPr>
                    <w:pStyle w:val="26"/>
                    <w:bidi w:val="0"/>
                    <w:jc w:val="center"/>
                    <w:rPr>
                      <w:rFonts w:hint="default"/>
                      <w:lang w:val="en-US" w:eastAsia="zh-CN"/>
                    </w:rPr>
                  </w:pPr>
                  <w:r>
                    <w:rPr>
                      <w:rFonts w:hint="eastAsia"/>
                      <w:lang w:val="en-US" w:eastAsia="zh-CN"/>
                    </w:rPr>
                    <w:t>55</w:t>
                  </w:r>
                </w:p>
              </w:tc>
            </w:tr>
          </w:tbl>
          <w:p w14:paraId="15338574">
            <w:pPr>
              <w:pStyle w:val="25"/>
              <w:ind w:firstLine="480"/>
              <w:rPr>
                <w:rFonts w:hint="eastAsia"/>
                <w:lang w:val="en-US" w:eastAsia="zh-CN"/>
              </w:rPr>
            </w:pPr>
            <w:r>
              <w:rPr>
                <w:rFonts w:hint="eastAsia"/>
                <w:lang w:val="en-US" w:eastAsia="zh-CN"/>
              </w:rPr>
              <w:t>4、固废</w:t>
            </w:r>
          </w:p>
          <w:p w14:paraId="50129BDB">
            <w:pPr>
              <w:pStyle w:val="25"/>
              <w:ind w:firstLine="480"/>
              <w:rPr>
                <w:rFonts w:hint="default"/>
                <w:lang w:val="en-US" w:eastAsia="zh-CN"/>
              </w:rPr>
            </w:pPr>
            <w:r>
              <w:rPr>
                <w:rFonts w:hint="eastAsia"/>
                <w:lang w:val="en-US" w:eastAsia="zh-CN"/>
              </w:rPr>
              <w:t>本项目不产生一般工业固体废物，</w:t>
            </w:r>
            <w:r>
              <w:rPr>
                <w:rFonts w:hint="eastAsia"/>
              </w:rPr>
              <w:t>危险废物的收集、贮存、运输执行《危险废物收集、贮存、运输技术规范》（HJ2025-2012）、《危险废物贮存污染控制标准》（GB18597-2023）标准要求。</w:t>
            </w:r>
          </w:p>
        </w:tc>
      </w:tr>
      <w:tr w14:paraId="1C39F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Align w:val="center"/>
          </w:tcPr>
          <w:p w14:paraId="395109FF">
            <w:pPr>
              <w:pStyle w:val="26"/>
            </w:pPr>
            <w:r>
              <w:rPr>
                <w:rFonts w:hint="eastAsia"/>
              </w:rPr>
              <w:t xml:space="preserve">总量控制指标 </w:t>
            </w:r>
          </w:p>
        </w:tc>
        <w:tc>
          <w:tcPr>
            <w:tcW w:w="8130" w:type="dxa"/>
          </w:tcPr>
          <w:p w14:paraId="74F954E0">
            <w:pPr>
              <w:pStyle w:val="25"/>
              <w:ind w:firstLine="480"/>
              <w:rPr>
                <w:rFonts w:hint="eastAsia"/>
                <w:lang w:val="en-US" w:eastAsia="zh-CN"/>
              </w:rPr>
            </w:pPr>
            <w:r>
              <w:rPr>
                <w:rFonts w:hint="eastAsia"/>
                <w:lang w:val="en-US" w:eastAsia="zh-CN"/>
              </w:rPr>
              <w:t>本项目无生产废水产生，生活污水经化粪池处理后定期清掏用作周边农田施肥。</w:t>
            </w:r>
          </w:p>
          <w:p w14:paraId="70763D59">
            <w:pPr>
              <w:pStyle w:val="25"/>
              <w:ind w:firstLine="480"/>
              <w:rPr>
                <w:rFonts w:hint="default"/>
                <w:lang w:val="en-US" w:eastAsia="zh-CN"/>
              </w:rPr>
            </w:pPr>
            <w:r>
              <w:rPr>
                <w:rFonts w:hint="eastAsia"/>
                <w:lang w:val="en-US" w:eastAsia="zh-CN"/>
              </w:rPr>
              <w:t>项目涉及的大气污染物总量控制污染物为VOCs，根据污染源强核算，项目VOCs排放量为：0.14t/a，因此建议VOCs的总量控制指标为：0.14t/a。</w:t>
            </w:r>
          </w:p>
        </w:tc>
      </w:tr>
    </w:tbl>
    <w:p w14:paraId="3B0F2131">
      <w:pPr>
        <w:pStyle w:val="25"/>
        <w:ind w:firstLine="0" w:firstLineChars="0"/>
        <w:sectPr>
          <w:pgSz w:w="11906" w:h="16838"/>
          <w:pgMar w:top="1440" w:right="1800" w:bottom="1440" w:left="1800" w:header="851" w:footer="992" w:gutter="0"/>
          <w:cols w:space="425" w:num="1"/>
          <w:docGrid w:type="lines" w:linePitch="312" w:charSpace="0"/>
        </w:sectPr>
      </w:pPr>
    </w:p>
    <w:p w14:paraId="053E9859">
      <w:pPr>
        <w:pStyle w:val="29"/>
      </w:pPr>
      <w:bookmarkStart w:id="3" w:name="_Toc203"/>
      <w:r>
        <w:rPr>
          <w:rFonts w:hint="eastAsia"/>
        </w:rPr>
        <w:t>四、主要环境影响和保护措施</w:t>
      </w:r>
      <w:bookmarkEnd w:id="3"/>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4"/>
        <w:gridCol w:w="8098"/>
      </w:tblGrid>
      <w:tr w14:paraId="1A2B6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14:paraId="04040F2A">
            <w:pPr>
              <w:pStyle w:val="26"/>
            </w:pPr>
            <w:r>
              <w:rPr>
                <w:rFonts w:hint="eastAsia"/>
              </w:rPr>
              <w:t>施工期环境保护措施</w:t>
            </w:r>
          </w:p>
        </w:tc>
        <w:tc>
          <w:tcPr>
            <w:tcW w:w="7988" w:type="dxa"/>
          </w:tcPr>
          <w:p w14:paraId="2AC672B6">
            <w:pPr>
              <w:pStyle w:val="25"/>
              <w:ind w:firstLine="480"/>
              <w:rPr>
                <w:rFonts w:hint="eastAsia"/>
                <w:lang w:val="en-US" w:eastAsia="zh-CN"/>
              </w:rPr>
            </w:pPr>
            <w:r>
              <w:rPr>
                <w:rFonts w:hint="eastAsia"/>
                <w:lang w:val="en-US" w:eastAsia="zh-CN"/>
              </w:rPr>
              <w:t>本项目场地平整、主体建筑建设均已完成，剩余施工内容主要包括装修工程、地面硬化及绿化工程、设备安装及配套设施工程等。施工期环境保护措施如下：</w:t>
            </w:r>
          </w:p>
          <w:p w14:paraId="752A390C">
            <w:pPr>
              <w:pStyle w:val="25"/>
              <w:bidi w:val="0"/>
            </w:pPr>
            <w:r>
              <w:rPr>
                <w:rFonts w:hint="eastAsia"/>
              </w:rPr>
              <w:t xml:space="preserve">1、废水 </w:t>
            </w:r>
          </w:p>
          <w:p w14:paraId="6FDB8202">
            <w:pPr>
              <w:pStyle w:val="25"/>
              <w:bidi w:val="0"/>
            </w:pPr>
            <w:r>
              <w:rPr>
                <w:rFonts w:hint="eastAsia"/>
              </w:rPr>
              <w:t>施工废水主要处理措施如下：</w:t>
            </w:r>
          </w:p>
          <w:p w14:paraId="53178248">
            <w:pPr>
              <w:pStyle w:val="25"/>
              <w:bidi w:val="0"/>
            </w:pPr>
            <w:r>
              <w:rPr>
                <w:rFonts w:hint="eastAsia"/>
              </w:rPr>
              <w:t>（1）施工污水经初步隔油、沉淀处理，尽可能循环利用或作为场地抑尘洒水用水。</w:t>
            </w:r>
          </w:p>
          <w:p w14:paraId="47EDF23A">
            <w:pPr>
              <w:pStyle w:val="25"/>
              <w:bidi w:val="0"/>
            </w:pPr>
            <w:r>
              <w:rPr>
                <w:rFonts w:hint="eastAsia"/>
              </w:rPr>
              <w:t>（2）加强施工期废水管理，做好施工期废水的收集、处理、引流措施，严禁项目废水乱排。</w:t>
            </w:r>
          </w:p>
          <w:p w14:paraId="0E726E65">
            <w:pPr>
              <w:pStyle w:val="25"/>
              <w:bidi w:val="0"/>
            </w:pPr>
            <w:r>
              <w:rPr>
                <w:rFonts w:hint="eastAsia"/>
              </w:rPr>
              <w:t xml:space="preserve">2、废气 </w:t>
            </w:r>
          </w:p>
          <w:p w14:paraId="5701CB91">
            <w:pPr>
              <w:pStyle w:val="25"/>
              <w:bidi w:val="0"/>
            </w:pPr>
            <w:r>
              <w:rPr>
                <w:rFonts w:hint="eastAsia"/>
              </w:rPr>
              <w:t>施工场地落实8个100%扬尘防治要求，具体如下：</w:t>
            </w:r>
          </w:p>
          <w:p w14:paraId="7AEB6053">
            <w:pPr>
              <w:pStyle w:val="25"/>
              <w:bidi w:val="0"/>
            </w:pPr>
            <w:r>
              <w:rPr>
                <w:rFonts w:hint="eastAsia"/>
              </w:rPr>
              <w:t>（1）施工现场围挡和外架防护100%全封闭，围挡保持整洁美观，外架安全网无破损；</w:t>
            </w:r>
          </w:p>
          <w:p w14:paraId="32DB4A83">
            <w:pPr>
              <w:pStyle w:val="25"/>
              <w:bidi w:val="0"/>
            </w:pPr>
            <w:r>
              <w:rPr>
                <w:rFonts w:hint="eastAsia"/>
              </w:rPr>
              <w:t>（2）施工现场出入口及车行道路100%硬底化；</w:t>
            </w:r>
          </w:p>
          <w:p w14:paraId="21C64EE5">
            <w:pPr>
              <w:pStyle w:val="25"/>
              <w:bidi w:val="0"/>
            </w:pPr>
            <w:r>
              <w:rPr>
                <w:rFonts w:hint="eastAsia"/>
              </w:rPr>
              <w:t>（3）施工现场出入口100%设置车辆冲洗设施，保证车辆整洁上路；</w:t>
            </w:r>
          </w:p>
          <w:p w14:paraId="4FCD6FB9">
            <w:pPr>
              <w:pStyle w:val="25"/>
              <w:bidi w:val="0"/>
            </w:pPr>
            <w:r>
              <w:rPr>
                <w:rFonts w:hint="eastAsia"/>
              </w:rPr>
              <w:t>（4）易起尘作业面100%湿法施工；</w:t>
            </w:r>
          </w:p>
          <w:p w14:paraId="1743DF75">
            <w:pPr>
              <w:pStyle w:val="25"/>
              <w:bidi w:val="0"/>
            </w:pPr>
            <w:r>
              <w:rPr>
                <w:rFonts w:hint="eastAsia"/>
              </w:rPr>
              <w:t>（5）裸露黄土及易起尘物料100%覆盖；</w:t>
            </w:r>
          </w:p>
          <w:p w14:paraId="21E0376A">
            <w:pPr>
              <w:pStyle w:val="25"/>
              <w:bidi w:val="0"/>
            </w:pPr>
            <w:r>
              <w:rPr>
                <w:rFonts w:hint="eastAsia"/>
              </w:rPr>
              <w:t>（6）渣土实施100%密闭运输；</w:t>
            </w:r>
          </w:p>
          <w:p w14:paraId="31BAA1EB">
            <w:pPr>
              <w:pStyle w:val="25"/>
              <w:bidi w:val="0"/>
            </w:pPr>
            <w:r>
              <w:rPr>
                <w:rFonts w:hint="eastAsia"/>
              </w:rPr>
              <w:t>（7）建筑垃圾100%规范管理，必须集中堆放、及时清运，严禁高空抛洒和焚烧；</w:t>
            </w:r>
          </w:p>
          <w:p w14:paraId="5FE287FD">
            <w:pPr>
              <w:pStyle w:val="25"/>
              <w:bidi w:val="0"/>
            </w:pPr>
            <w:r>
              <w:rPr>
                <w:rFonts w:hint="eastAsia"/>
              </w:rPr>
              <w:t>（8）非道路移动工程机械尾气排放100%达标，严禁使用劣质油品，严禁冒黑烟作业。</w:t>
            </w:r>
          </w:p>
          <w:p w14:paraId="1087EA07">
            <w:pPr>
              <w:pStyle w:val="25"/>
              <w:bidi w:val="0"/>
            </w:pPr>
            <w:r>
              <w:rPr>
                <w:rFonts w:hint="eastAsia"/>
              </w:rPr>
              <w:t xml:space="preserve">3、噪声 </w:t>
            </w:r>
          </w:p>
          <w:p w14:paraId="4929BE59">
            <w:pPr>
              <w:pStyle w:val="25"/>
              <w:bidi w:val="0"/>
            </w:pPr>
            <w:r>
              <w:rPr>
                <w:rFonts w:hint="eastAsia"/>
              </w:rPr>
              <w:t>通过合理安排施工时间，建设施工围挡进行降噪，避免多台噪声设备同一地点同时施工，禁止夜间施工等方式控制施工噪声污染。</w:t>
            </w:r>
          </w:p>
          <w:p w14:paraId="617831D3">
            <w:pPr>
              <w:pStyle w:val="25"/>
              <w:bidi w:val="0"/>
            </w:pPr>
            <w:r>
              <w:rPr>
                <w:rFonts w:hint="eastAsia"/>
              </w:rPr>
              <w:t xml:space="preserve">4、固废 </w:t>
            </w:r>
          </w:p>
          <w:p w14:paraId="1103113E">
            <w:pPr>
              <w:pStyle w:val="25"/>
              <w:bidi w:val="0"/>
              <w:rPr>
                <w:rFonts w:hint="default"/>
                <w:lang w:val="en-US" w:eastAsia="zh-CN"/>
              </w:rPr>
            </w:pPr>
            <w:r>
              <w:rPr>
                <w:rFonts w:hint="eastAsia"/>
                <w:lang w:val="en-US" w:eastAsia="zh-CN"/>
              </w:rPr>
              <w:t>剩余工程无土石方工程，不涉及弃土弃方</w:t>
            </w:r>
            <w:r>
              <w:t>。</w:t>
            </w:r>
            <w:r>
              <w:rPr>
                <w:rFonts w:hint="eastAsia"/>
              </w:rPr>
              <w:t>主要固体废物为建筑垃圾和生活垃圾。拆除垃圾和建筑垃圾按照地方建设主管部门要求堆放至指定地点，生活垃圾集中收集后委托环卫部门处理。拆除设备暂存于厂区，后期进行外售。</w:t>
            </w:r>
          </w:p>
        </w:tc>
      </w:tr>
      <w:tr w14:paraId="6FC4B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14:paraId="0E730611">
            <w:pPr>
              <w:pStyle w:val="26"/>
            </w:pPr>
            <w:r>
              <w:rPr>
                <w:rFonts w:hint="eastAsia"/>
              </w:rPr>
              <w:t>运营期环境影响和保护措施</w:t>
            </w:r>
          </w:p>
        </w:tc>
        <w:tc>
          <w:tcPr>
            <w:tcW w:w="7988" w:type="dxa"/>
          </w:tcPr>
          <w:p w14:paraId="6DBC66E8">
            <w:pPr>
              <w:pStyle w:val="25"/>
              <w:ind w:firstLine="480"/>
              <w:rPr>
                <w:rFonts w:hint="eastAsia"/>
                <w:lang w:val="en-US" w:eastAsia="zh-CN"/>
              </w:rPr>
            </w:pPr>
            <w:r>
              <w:rPr>
                <w:rFonts w:hint="eastAsia"/>
                <w:lang w:val="en-US" w:eastAsia="zh-CN"/>
              </w:rPr>
              <w:t>1、废气</w:t>
            </w:r>
          </w:p>
          <w:p w14:paraId="42F1C67B">
            <w:pPr>
              <w:pStyle w:val="25"/>
              <w:ind w:firstLine="480"/>
              <w:rPr>
                <w:rFonts w:hint="eastAsia"/>
                <w:lang w:val="en-US" w:eastAsia="zh-CN"/>
              </w:rPr>
            </w:pPr>
            <w:r>
              <w:rPr>
                <w:rFonts w:hint="eastAsia"/>
                <w:lang w:val="en-US" w:eastAsia="zh-CN"/>
              </w:rPr>
              <w:t>（1）污染源强核算</w:t>
            </w:r>
          </w:p>
          <w:p w14:paraId="57E87078">
            <w:pPr>
              <w:pStyle w:val="62"/>
              <w:ind w:firstLine="480"/>
              <w:rPr>
                <w:rFonts w:hint="eastAsia"/>
                <w:lang w:val="en-US" w:eastAsia="zh-CN"/>
              </w:rPr>
            </w:pPr>
            <w:r>
              <w:rPr>
                <w:rFonts w:hint="eastAsia"/>
                <w:lang w:val="en-US" w:eastAsia="zh-CN"/>
              </w:rPr>
              <w:t>本项目液化石油气储罐及液化气钢瓶均为高压储罐（瓶），与常压储罐不同，无须设置呼吸阀，基本无大小呼吸废气排放，项目主要废气排放环节为设备动静密封点泄漏废气及倒残液工序废气。</w:t>
            </w:r>
          </w:p>
          <w:p w14:paraId="5564818B">
            <w:pPr>
              <w:pStyle w:val="62"/>
              <w:ind w:firstLine="480"/>
              <w:rPr>
                <w:rFonts w:hint="default"/>
                <w:lang w:val="en-US" w:eastAsia="zh-CN"/>
              </w:rPr>
            </w:pPr>
            <w:r>
              <w:rPr>
                <w:rFonts w:hint="eastAsia"/>
                <w:lang w:val="en-US" w:eastAsia="zh-CN"/>
              </w:rPr>
              <w:t>1）设备动静密封点泄漏废气</w:t>
            </w:r>
          </w:p>
          <w:p w14:paraId="65902DF6">
            <w:pPr>
              <w:pStyle w:val="62"/>
              <w:ind w:firstLine="480"/>
              <w:rPr>
                <w:u w:val="none"/>
              </w:rPr>
            </w:pPr>
            <w:r>
              <w:rPr>
                <w:rFonts w:hint="eastAsia"/>
                <w:u w:val="none"/>
              </w:rPr>
              <w:t>设备动静密封点泄漏源强参照《排污许可证申请与核发技术规范 石化工业》（HJ853-2017）中推荐的计算公式计算：</w:t>
            </w:r>
          </w:p>
          <w:p w14:paraId="67403106">
            <w:pPr>
              <w:pStyle w:val="62"/>
              <w:ind w:firstLine="480"/>
              <w:rPr>
                <w:u w:val="single"/>
              </w:rPr>
            </w:pPr>
            <w:r>
              <w:rPr>
                <w14:ligatures w14:val="none"/>
              </w:rPr>
              <w:drawing>
                <wp:inline distT="0" distB="0" distL="0" distR="0">
                  <wp:extent cx="3122295" cy="687070"/>
                  <wp:effectExtent l="0" t="0" r="1905" b="17780"/>
                  <wp:docPr id="8118627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862733" name="图片 1"/>
                          <pic:cNvPicPr>
                            <a:picLocks noChangeAspect="1"/>
                          </pic:cNvPicPr>
                        </pic:nvPicPr>
                        <pic:blipFill>
                          <a:blip r:embed="rId19"/>
                          <a:stretch>
                            <a:fillRect/>
                          </a:stretch>
                        </pic:blipFill>
                        <pic:spPr>
                          <a:xfrm>
                            <a:off x="0" y="0"/>
                            <a:ext cx="3129543" cy="688840"/>
                          </a:xfrm>
                          <a:prstGeom prst="rect">
                            <a:avLst/>
                          </a:prstGeom>
                        </pic:spPr>
                      </pic:pic>
                    </a:graphicData>
                  </a:graphic>
                </wp:inline>
              </w:drawing>
            </w:r>
          </w:p>
          <w:p w14:paraId="24A59A48">
            <w:pPr>
              <w:pStyle w:val="62"/>
              <w:ind w:firstLine="480"/>
              <w:rPr>
                <w:u w:val="none"/>
              </w:rPr>
            </w:pPr>
            <w:r>
              <w:rPr>
                <w:rFonts w:hint="eastAsia"/>
                <w:u w:val="none"/>
              </w:rPr>
              <w:t>式中： E</w:t>
            </w:r>
            <w:r>
              <w:rPr>
                <w:rFonts w:hint="eastAsia"/>
                <w:u w:val="none"/>
                <w:vertAlign w:val="subscript"/>
              </w:rPr>
              <w:t>设备</w:t>
            </w:r>
            <w:r>
              <w:rPr>
                <w:rFonts w:hint="eastAsia"/>
                <w:u w:val="none"/>
              </w:rPr>
              <w:t>—设备与管线组件密封点泄漏的挥发性有机物年许可排放量，kg/a；</w:t>
            </w:r>
          </w:p>
          <w:p w14:paraId="001C939A">
            <w:pPr>
              <w:pStyle w:val="62"/>
              <w:ind w:firstLine="480"/>
              <w:rPr>
                <w:u w:val="none"/>
              </w:rPr>
            </w:pPr>
            <w:r>
              <w:rPr>
                <w:rFonts w:hint="eastAsia"/>
                <w:u w:val="none"/>
              </w:rPr>
              <w:t>t</w:t>
            </w:r>
            <w:r>
              <w:rPr>
                <w:rFonts w:hint="eastAsia"/>
                <w:u w:val="none"/>
                <w:vertAlign w:val="subscript"/>
              </w:rPr>
              <w:t>i</w:t>
            </w:r>
            <w:r>
              <w:rPr>
                <w:rFonts w:hint="eastAsia"/>
                <w:u w:val="none"/>
              </w:rPr>
              <w:t>—密封点i 的年运行时间，h/a；</w:t>
            </w:r>
          </w:p>
          <w:p w14:paraId="63572D72">
            <w:pPr>
              <w:pStyle w:val="62"/>
              <w:ind w:firstLine="480"/>
              <w:rPr>
                <w:u w:val="none"/>
              </w:rPr>
            </w:pPr>
            <w:r>
              <w:rPr>
                <w:rFonts w:hint="eastAsia"/>
                <w:u w:val="none"/>
              </w:rPr>
              <w:t>e</w:t>
            </w:r>
            <w:r>
              <w:rPr>
                <w:rFonts w:hint="eastAsia"/>
                <w:u w:val="none"/>
                <w:vertAlign w:val="subscript"/>
              </w:rPr>
              <w:t>TOC,i</w:t>
            </w:r>
            <w:r>
              <w:rPr>
                <w:rFonts w:hint="eastAsia"/>
                <w:u w:val="none"/>
              </w:rPr>
              <w:t>—密封点i 的总有机碳（TOC）排放速率，kg/h；</w:t>
            </w:r>
          </w:p>
          <w:p w14:paraId="22775897">
            <w:pPr>
              <w:pStyle w:val="62"/>
              <w:ind w:firstLine="480"/>
              <w:rPr>
                <w:u w:val="none"/>
              </w:rPr>
            </w:pPr>
            <w:r>
              <w:rPr>
                <w:rFonts w:hint="eastAsia"/>
                <w:u w:val="none"/>
              </w:rPr>
              <w:t>WF</w:t>
            </w:r>
            <w:r>
              <w:rPr>
                <w:rFonts w:hint="eastAsia"/>
                <w:u w:val="none"/>
                <w:vertAlign w:val="subscript"/>
              </w:rPr>
              <w:t>VOCs,i</w:t>
            </w:r>
            <w:r>
              <w:rPr>
                <w:rFonts w:hint="eastAsia"/>
                <w:u w:val="none"/>
              </w:rPr>
              <w:t xml:space="preserve"> —流经密封点i 的物料中挥发性有机物平均质量分数，根据设计文件取值；</w:t>
            </w:r>
          </w:p>
          <w:p w14:paraId="578E697A">
            <w:pPr>
              <w:pStyle w:val="62"/>
              <w:ind w:firstLine="480"/>
              <w:rPr>
                <w:u w:val="none"/>
              </w:rPr>
            </w:pPr>
            <w:r>
              <w:rPr>
                <w:rFonts w:hint="eastAsia"/>
                <w:u w:val="none"/>
              </w:rPr>
              <w:t>WF</w:t>
            </w:r>
            <w:r>
              <w:rPr>
                <w:rFonts w:hint="eastAsia"/>
                <w:u w:val="none"/>
                <w:vertAlign w:val="subscript"/>
              </w:rPr>
              <w:t>TOC,i</w:t>
            </w:r>
            <w:r>
              <w:rPr>
                <w:rFonts w:hint="eastAsia"/>
                <w:u w:val="none"/>
              </w:rPr>
              <w:t xml:space="preserve"> —流经密封点i 的物料中总有机碳（TOC）平均质量分数，根据设计文件取值；</w:t>
            </w:r>
          </w:p>
          <w:p w14:paraId="0D71583F">
            <w:pPr>
              <w:pStyle w:val="62"/>
              <w:ind w:firstLine="480"/>
              <w:rPr>
                <w:u w:val="none"/>
              </w:rPr>
            </w:pPr>
            <w:r>
              <w:rPr>
                <w:rFonts w:hint="eastAsia"/>
                <w:u w:val="none"/>
              </w:rPr>
              <w:t>n—挥发性有机物流经的设备与管线组件密封点数。</w:t>
            </w:r>
          </w:p>
          <w:p w14:paraId="50532414">
            <w:pPr>
              <w:pStyle w:val="62"/>
              <w:ind w:firstLine="480"/>
              <w:rPr>
                <w:u w:val="none"/>
              </w:rPr>
            </w:pPr>
            <w:r>
              <w:rPr>
                <w:rFonts w:hint="eastAsia"/>
                <w:u w:val="none"/>
              </w:rPr>
              <w:t>密封点的年运行时间取项目运行时间，为</w:t>
            </w:r>
            <w:r>
              <w:rPr>
                <w:rFonts w:hint="eastAsia"/>
                <w:u w:val="none"/>
                <w:lang w:val="en-US" w:eastAsia="zh-CN"/>
              </w:rPr>
              <w:t>2400</w:t>
            </w:r>
            <w:r>
              <w:rPr>
                <w:rFonts w:hint="eastAsia"/>
                <w:u w:val="none"/>
              </w:rPr>
              <w:t>h；WF</w:t>
            </w:r>
            <w:r>
              <w:rPr>
                <w:rFonts w:hint="eastAsia"/>
                <w:u w:val="none"/>
                <w:vertAlign w:val="subscript"/>
              </w:rPr>
              <w:t>VOCs,i</w:t>
            </w:r>
            <w:r>
              <w:rPr>
                <w:rFonts w:hint="eastAsia"/>
                <w:u w:val="none"/>
              </w:rPr>
              <w:t>/ WF</w:t>
            </w:r>
            <w:r>
              <w:rPr>
                <w:rFonts w:hint="eastAsia"/>
                <w:u w:val="none"/>
                <w:vertAlign w:val="subscript"/>
              </w:rPr>
              <w:t>TOC,i</w:t>
            </w:r>
            <w:r>
              <w:rPr>
                <w:rFonts w:hint="eastAsia"/>
                <w:u w:val="none"/>
              </w:rPr>
              <w:t>为挥发性有机物的质量比，</w:t>
            </w:r>
            <w:r>
              <w:rPr>
                <w:rFonts w:hint="eastAsia"/>
                <w:u w:val="none"/>
                <w:lang w:val="en-US" w:eastAsia="zh-CN"/>
              </w:rPr>
              <w:t>液化石油气基本所有成分均属于挥发性有机物，质量比为1</w:t>
            </w:r>
            <w:r>
              <w:rPr>
                <w:rFonts w:hint="eastAsia"/>
                <w:u w:val="none"/>
              </w:rPr>
              <w:t>；e</w:t>
            </w:r>
            <w:r>
              <w:rPr>
                <w:rFonts w:hint="eastAsia"/>
                <w:u w:val="none"/>
                <w:vertAlign w:val="subscript"/>
              </w:rPr>
              <w:t>TOC,i</w:t>
            </w:r>
            <w:r>
              <w:rPr>
                <w:rFonts w:hint="eastAsia"/>
                <w:u w:val="none"/>
              </w:rPr>
              <w:t>参照《排污许可证申请与核发技术规范 石化工业》（HJ853-2017）取值如下：</w:t>
            </w:r>
          </w:p>
          <w:p w14:paraId="209C0024">
            <w:pPr>
              <w:pStyle w:val="63"/>
              <w:bidi w:val="0"/>
              <w:rPr>
                <w:u w:val="none"/>
              </w:rPr>
            </w:pPr>
            <w:r>
              <w:rPr>
                <w:rFonts w:hint="eastAsia"/>
                <w:u w:val="none"/>
              </w:rPr>
              <w:t>表</w:t>
            </w:r>
            <w:r>
              <w:rPr>
                <w:rFonts w:hint="eastAsia"/>
                <w:u w:val="none"/>
                <w:lang w:val="en-US" w:eastAsia="zh-CN"/>
              </w:rPr>
              <w:t>4-1</w:t>
            </w:r>
            <w:r>
              <w:rPr>
                <w:rFonts w:hint="eastAsia"/>
                <w:u w:val="none"/>
              </w:rPr>
              <w:t xml:space="preserve">  设备与管线组件e</w:t>
            </w:r>
            <w:r>
              <w:rPr>
                <w:rFonts w:hint="eastAsia"/>
                <w:u w:val="none"/>
                <w:vertAlign w:val="subscript"/>
              </w:rPr>
              <w:t>TOC,i</w:t>
            </w:r>
            <w:r>
              <w:rPr>
                <w:rFonts w:hint="eastAsia"/>
                <w:u w:val="none"/>
              </w:rPr>
              <w:t>取值参数及本项目密封点数量表</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8"/>
              <w:gridCol w:w="2376"/>
              <w:gridCol w:w="2127"/>
              <w:gridCol w:w="1521"/>
            </w:tblGrid>
            <w:tr w14:paraId="7EF38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4" w:type="pct"/>
                  <w:vAlign w:val="center"/>
                </w:tcPr>
                <w:p w14:paraId="1BBE15A2">
                  <w:pPr>
                    <w:pStyle w:val="64"/>
                    <w:jc w:val="center"/>
                    <w:rPr>
                      <w:rFonts w:cs="Times New Roman"/>
                      <w:u w:val="none"/>
                    </w:rPr>
                  </w:pPr>
                  <w:r>
                    <w:rPr>
                      <w:rFonts w:hint="eastAsia" w:cs="Times New Roman"/>
                      <w:u w:val="none"/>
                    </w:rPr>
                    <w:t>类型</w:t>
                  </w:r>
                </w:p>
              </w:tc>
              <w:tc>
                <w:tcPr>
                  <w:tcW w:w="1509" w:type="pct"/>
                  <w:vAlign w:val="center"/>
                </w:tcPr>
                <w:p w14:paraId="6650B64D">
                  <w:pPr>
                    <w:pStyle w:val="64"/>
                    <w:jc w:val="center"/>
                    <w:rPr>
                      <w:rFonts w:cs="Times New Roman"/>
                      <w:u w:val="none"/>
                    </w:rPr>
                  </w:pPr>
                  <w:r>
                    <w:rPr>
                      <w:rFonts w:hint="eastAsia" w:cs="Times New Roman"/>
                      <w:u w:val="none"/>
                    </w:rPr>
                    <w:t>设备类型</w:t>
                  </w:r>
                </w:p>
              </w:tc>
              <w:tc>
                <w:tcPr>
                  <w:tcW w:w="1351" w:type="pct"/>
                  <w:vAlign w:val="center"/>
                </w:tcPr>
                <w:p w14:paraId="416E88A1">
                  <w:pPr>
                    <w:pStyle w:val="64"/>
                    <w:jc w:val="center"/>
                    <w:rPr>
                      <w:rFonts w:cs="Times New Roman"/>
                      <w:u w:val="none"/>
                      <w:vertAlign w:val="subscript"/>
                    </w:rPr>
                  </w:pPr>
                  <w:r>
                    <w:rPr>
                      <w:rFonts w:hint="eastAsia" w:cs="Times New Roman"/>
                      <w:u w:val="none"/>
                    </w:rPr>
                    <w:t>e</w:t>
                  </w:r>
                  <w:r>
                    <w:rPr>
                      <w:rFonts w:hint="eastAsia" w:cs="Times New Roman"/>
                      <w:u w:val="none"/>
                      <w:vertAlign w:val="subscript"/>
                    </w:rPr>
                    <w:t>TOC,i</w:t>
                  </w:r>
                </w:p>
                <w:p w14:paraId="487C6E77">
                  <w:pPr>
                    <w:pStyle w:val="64"/>
                    <w:jc w:val="center"/>
                    <w:rPr>
                      <w:rFonts w:cs="Times New Roman"/>
                      <w:u w:val="none"/>
                    </w:rPr>
                  </w:pPr>
                  <w:r>
                    <w:rPr>
                      <w:rFonts w:hint="eastAsia" w:cs="Times New Roman"/>
                      <w:u w:val="none"/>
                    </w:rPr>
                    <w:t>（kg/h/排放源）</w:t>
                  </w:r>
                </w:p>
              </w:tc>
              <w:tc>
                <w:tcPr>
                  <w:tcW w:w="966" w:type="pct"/>
                  <w:vAlign w:val="center"/>
                </w:tcPr>
                <w:p w14:paraId="68A6AD3C">
                  <w:pPr>
                    <w:pStyle w:val="64"/>
                    <w:jc w:val="center"/>
                    <w:rPr>
                      <w:rFonts w:cs="Times New Roman"/>
                      <w:u w:val="none"/>
                    </w:rPr>
                  </w:pPr>
                  <w:r>
                    <w:rPr>
                      <w:rFonts w:hint="eastAsia" w:cs="Times New Roman"/>
                      <w:u w:val="none"/>
                    </w:rPr>
                    <w:t>本项目密</w:t>
                  </w:r>
                </w:p>
                <w:p w14:paraId="5D50C71D">
                  <w:pPr>
                    <w:pStyle w:val="64"/>
                    <w:jc w:val="center"/>
                    <w:rPr>
                      <w:rFonts w:cs="Times New Roman"/>
                      <w:u w:val="none"/>
                    </w:rPr>
                  </w:pPr>
                  <w:r>
                    <w:rPr>
                      <w:rFonts w:hint="eastAsia" w:cs="Times New Roman"/>
                      <w:u w:val="none"/>
                    </w:rPr>
                    <w:t>封点数量n</w:t>
                  </w:r>
                </w:p>
              </w:tc>
            </w:tr>
            <w:tr w14:paraId="40853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4" w:type="pct"/>
                  <w:vMerge w:val="restart"/>
                  <w:vAlign w:val="center"/>
                </w:tcPr>
                <w:p w14:paraId="5FB8AB0D">
                  <w:pPr>
                    <w:pStyle w:val="64"/>
                    <w:jc w:val="center"/>
                    <w:rPr>
                      <w:rFonts w:cs="Times New Roman"/>
                      <w:u w:val="none"/>
                    </w:rPr>
                  </w:pPr>
                  <w:r>
                    <w:rPr>
                      <w:rFonts w:hint="eastAsia" w:cs="Times New Roman"/>
                      <w:u w:val="none"/>
                    </w:rPr>
                    <w:t>石油化学工业</w:t>
                  </w:r>
                </w:p>
              </w:tc>
              <w:tc>
                <w:tcPr>
                  <w:tcW w:w="1509" w:type="pct"/>
                  <w:vAlign w:val="center"/>
                </w:tcPr>
                <w:p w14:paraId="4A8703B0">
                  <w:pPr>
                    <w:pStyle w:val="64"/>
                    <w:jc w:val="center"/>
                    <w:rPr>
                      <w:rFonts w:cs="Times New Roman"/>
                      <w:u w:val="none"/>
                    </w:rPr>
                  </w:pPr>
                  <w:r>
                    <w:rPr>
                      <w:rFonts w:hint="eastAsia" w:cs="Times New Roman"/>
                      <w:u w:val="none"/>
                    </w:rPr>
                    <w:t>气体阀门</w:t>
                  </w:r>
                </w:p>
              </w:tc>
              <w:tc>
                <w:tcPr>
                  <w:tcW w:w="1351" w:type="pct"/>
                  <w:vAlign w:val="center"/>
                </w:tcPr>
                <w:p w14:paraId="38A55B58">
                  <w:pPr>
                    <w:pStyle w:val="64"/>
                    <w:jc w:val="center"/>
                    <w:rPr>
                      <w:rFonts w:cs="Times New Roman"/>
                      <w:u w:val="none"/>
                    </w:rPr>
                  </w:pPr>
                  <w:r>
                    <w:rPr>
                      <w:rFonts w:hint="eastAsia" w:cs="Times New Roman"/>
                      <w:u w:val="none"/>
                    </w:rPr>
                    <w:t>0.024</w:t>
                  </w:r>
                </w:p>
              </w:tc>
              <w:tc>
                <w:tcPr>
                  <w:tcW w:w="966" w:type="pct"/>
                  <w:vAlign w:val="center"/>
                </w:tcPr>
                <w:p w14:paraId="3AAE01BB">
                  <w:pPr>
                    <w:pStyle w:val="64"/>
                    <w:jc w:val="center"/>
                    <w:rPr>
                      <w:rFonts w:cs="Times New Roman"/>
                      <w:u w:val="none"/>
                    </w:rPr>
                  </w:pPr>
                  <w:r>
                    <w:rPr>
                      <w:rFonts w:hint="eastAsia" w:cs="Times New Roman"/>
                      <w:u w:val="none"/>
                    </w:rPr>
                    <w:t>0</w:t>
                  </w:r>
                </w:p>
              </w:tc>
            </w:tr>
            <w:tr w14:paraId="1D8F7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4" w:type="pct"/>
                  <w:vMerge w:val="continue"/>
                  <w:vAlign w:val="center"/>
                </w:tcPr>
                <w:p w14:paraId="51907414">
                  <w:pPr>
                    <w:pStyle w:val="64"/>
                    <w:jc w:val="center"/>
                    <w:rPr>
                      <w:rFonts w:cs="Times New Roman"/>
                      <w:u w:val="none"/>
                    </w:rPr>
                  </w:pPr>
                </w:p>
              </w:tc>
              <w:tc>
                <w:tcPr>
                  <w:tcW w:w="1509" w:type="pct"/>
                  <w:vAlign w:val="center"/>
                </w:tcPr>
                <w:p w14:paraId="2DC1F131">
                  <w:pPr>
                    <w:pStyle w:val="64"/>
                    <w:jc w:val="center"/>
                    <w:rPr>
                      <w:rFonts w:cs="Times New Roman"/>
                      <w:u w:val="none"/>
                    </w:rPr>
                  </w:pPr>
                  <w:r>
                    <w:rPr>
                      <w:rFonts w:hint="eastAsia" w:cs="Times New Roman"/>
                      <w:u w:val="none"/>
                    </w:rPr>
                    <w:t>开口阀或开口管线</w:t>
                  </w:r>
                </w:p>
              </w:tc>
              <w:tc>
                <w:tcPr>
                  <w:tcW w:w="1351" w:type="pct"/>
                  <w:vAlign w:val="center"/>
                </w:tcPr>
                <w:p w14:paraId="044EBB0C">
                  <w:pPr>
                    <w:pStyle w:val="64"/>
                    <w:jc w:val="center"/>
                    <w:rPr>
                      <w:rFonts w:cs="Times New Roman"/>
                      <w:u w:val="none"/>
                    </w:rPr>
                  </w:pPr>
                  <w:r>
                    <w:rPr>
                      <w:rFonts w:hint="eastAsia" w:cs="Times New Roman"/>
                      <w:u w:val="none"/>
                    </w:rPr>
                    <w:t>0.03</w:t>
                  </w:r>
                </w:p>
              </w:tc>
              <w:tc>
                <w:tcPr>
                  <w:tcW w:w="966" w:type="pct"/>
                  <w:vAlign w:val="center"/>
                </w:tcPr>
                <w:p w14:paraId="5B6A7175">
                  <w:pPr>
                    <w:pStyle w:val="64"/>
                    <w:jc w:val="center"/>
                    <w:rPr>
                      <w:rFonts w:cs="Times New Roman"/>
                      <w:u w:val="none"/>
                    </w:rPr>
                  </w:pPr>
                  <w:r>
                    <w:rPr>
                      <w:rFonts w:hint="eastAsia" w:cs="Times New Roman"/>
                      <w:u w:val="none"/>
                    </w:rPr>
                    <w:t>0</w:t>
                  </w:r>
                </w:p>
              </w:tc>
            </w:tr>
            <w:tr w14:paraId="044A0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4" w:type="pct"/>
                  <w:vMerge w:val="continue"/>
                  <w:vAlign w:val="center"/>
                </w:tcPr>
                <w:p w14:paraId="23840B13">
                  <w:pPr>
                    <w:pStyle w:val="64"/>
                    <w:jc w:val="center"/>
                    <w:rPr>
                      <w:rFonts w:cs="Times New Roman"/>
                      <w:u w:val="none"/>
                    </w:rPr>
                  </w:pPr>
                </w:p>
              </w:tc>
              <w:tc>
                <w:tcPr>
                  <w:tcW w:w="1509" w:type="pct"/>
                  <w:vAlign w:val="center"/>
                </w:tcPr>
                <w:p w14:paraId="1BA98CE1">
                  <w:pPr>
                    <w:pStyle w:val="64"/>
                    <w:jc w:val="center"/>
                    <w:rPr>
                      <w:rFonts w:cs="Times New Roman"/>
                      <w:u w:val="none"/>
                    </w:rPr>
                  </w:pPr>
                  <w:r>
                    <w:rPr>
                      <w:rFonts w:hint="eastAsia" w:cs="Times New Roman"/>
                      <w:u w:val="none"/>
                    </w:rPr>
                    <w:t>有机液体阀门</w:t>
                  </w:r>
                </w:p>
              </w:tc>
              <w:tc>
                <w:tcPr>
                  <w:tcW w:w="1351" w:type="pct"/>
                  <w:vAlign w:val="center"/>
                </w:tcPr>
                <w:p w14:paraId="528E5753">
                  <w:pPr>
                    <w:pStyle w:val="64"/>
                    <w:jc w:val="center"/>
                    <w:rPr>
                      <w:rFonts w:cs="Times New Roman"/>
                      <w:u w:val="none"/>
                    </w:rPr>
                  </w:pPr>
                  <w:r>
                    <w:rPr>
                      <w:rFonts w:hint="eastAsia" w:cs="Times New Roman"/>
                      <w:u w:val="none"/>
                    </w:rPr>
                    <w:t>0.036</w:t>
                  </w:r>
                </w:p>
              </w:tc>
              <w:tc>
                <w:tcPr>
                  <w:tcW w:w="966" w:type="pct"/>
                  <w:vAlign w:val="center"/>
                </w:tcPr>
                <w:p w14:paraId="39B8DED9">
                  <w:pPr>
                    <w:pStyle w:val="64"/>
                    <w:jc w:val="center"/>
                    <w:rPr>
                      <w:rFonts w:hint="default" w:eastAsia="宋体" w:cs="Times New Roman"/>
                      <w:u w:val="none"/>
                      <w:lang w:val="en-US" w:eastAsia="zh-CN"/>
                    </w:rPr>
                  </w:pPr>
                  <w:r>
                    <w:rPr>
                      <w:rFonts w:hint="eastAsia" w:cs="Times New Roman"/>
                      <w:u w:val="none"/>
                      <w:lang w:val="en-US" w:eastAsia="zh-CN"/>
                    </w:rPr>
                    <w:t>177</w:t>
                  </w:r>
                </w:p>
              </w:tc>
            </w:tr>
            <w:tr w14:paraId="7C404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4" w:type="pct"/>
                  <w:vMerge w:val="continue"/>
                  <w:vAlign w:val="center"/>
                </w:tcPr>
                <w:p w14:paraId="2603F345">
                  <w:pPr>
                    <w:pStyle w:val="64"/>
                    <w:jc w:val="center"/>
                    <w:rPr>
                      <w:rFonts w:cs="Times New Roman"/>
                      <w:u w:val="none"/>
                    </w:rPr>
                  </w:pPr>
                </w:p>
              </w:tc>
              <w:tc>
                <w:tcPr>
                  <w:tcW w:w="1509" w:type="pct"/>
                  <w:vAlign w:val="center"/>
                </w:tcPr>
                <w:p w14:paraId="009873F0">
                  <w:pPr>
                    <w:pStyle w:val="64"/>
                    <w:jc w:val="center"/>
                    <w:rPr>
                      <w:rFonts w:cs="Times New Roman"/>
                      <w:u w:val="none"/>
                    </w:rPr>
                  </w:pPr>
                  <w:r>
                    <w:rPr>
                      <w:rFonts w:hint="eastAsia" w:cs="Times New Roman"/>
                      <w:u w:val="none"/>
                    </w:rPr>
                    <w:t>法兰或连接件</w:t>
                  </w:r>
                </w:p>
              </w:tc>
              <w:tc>
                <w:tcPr>
                  <w:tcW w:w="1351" w:type="pct"/>
                  <w:vAlign w:val="center"/>
                </w:tcPr>
                <w:p w14:paraId="73A477CE">
                  <w:pPr>
                    <w:pStyle w:val="64"/>
                    <w:jc w:val="center"/>
                    <w:rPr>
                      <w:rFonts w:cs="Times New Roman"/>
                      <w:u w:val="none"/>
                    </w:rPr>
                  </w:pPr>
                  <w:r>
                    <w:rPr>
                      <w:rFonts w:hint="eastAsia" w:cs="Times New Roman"/>
                      <w:u w:val="none"/>
                    </w:rPr>
                    <w:t>0.044</w:t>
                  </w:r>
                </w:p>
              </w:tc>
              <w:tc>
                <w:tcPr>
                  <w:tcW w:w="966" w:type="pct"/>
                  <w:vAlign w:val="center"/>
                </w:tcPr>
                <w:p w14:paraId="07950DD4">
                  <w:pPr>
                    <w:pStyle w:val="64"/>
                    <w:jc w:val="center"/>
                    <w:rPr>
                      <w:rFonts w:hint="default" w:eastAsia="宋体" w:cs="Times New Roman"/>
                      <w:u w:val="none"/>
                      <w:lang w:val="en-US" w:eastAsia="zh-CN"/>
                    </w:rPr>
                  </w:pPr>
                  <w:r>
                    <w:rPr>
                      <w:rFonts w:hint="eastAsia" w:cs="Times New Roman"/>
                      <w:u w:val="none"/>
                      <w:lang w:val="en-US" w:eastAsia="zh-CN"/>
                    </w:rPr>
                    <w:t>211</w:t>
                  </w:r>
                </w:p>
              </w:tc>
            </w:tr>
            <w:tr w14:paraId="5AB4E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4" w:type="pct"/>
                  <w:vMerge w:val="continue"/>
                  <w:vAlign w:val="center"/>
                </w:tcPr>
                <w:p w14:paraId="487AA0A2">
                  <w:pPr>
                    <w:pStyle w:val="64"/>
                    <w:jc w:val="center"/>
                    <w:rPr>
                      <w:rFonts w:cs="Times New Roman"/>
                      <w:u w:val="none"/>
                    </w:rPr>
                  </w:pPr>
                </w:p>
              </w:tc>
              <w:tc>
                <w:tcPr>
                  <w:tcW w:w="1509" w:type="pct"/>
                  <w:vAlign w:val="center"/>
                </w:tcPr>
                <w:p w14:paraId="23712FE9">
                  <w:pPr>
                    <w:pStyle w:val="64"/>
                    <w:jc w:val="center"/>
                    <w:rPr>
                      <w:rFonts w:cs="Times New Roman"/>
                      <w:u w:val="none"/>
                    </w:rPr>
                  </w:pPr>
                  <w:r>
                    <w:rPr>
                      <w:rFonts w:hint="eastAsia" w:cs="Times New Roman"/>
                      <w:u w:val="none"/>
                    </w:rPr>
                    <w:t>泵、压缩机、搅</w:t>
                  </w:r>
                </w:p>
                <w:p w14:paraId="4847B4F1">
                  <w:pPr>
                    <w:pStyle w:val="64"/>
                    <w:jc w:val="center"/>
                    <w:rPr>
                      <w:rFonts w:cs="Times New Roman"/>
                      <w:u w:val="none"/>
                    </w:rPr>
                  </w:pPr>
                  <w:r>
                    <w:rPr>
                      <w:rFonts w:hint="eastAsia" w:cs="Times New Roman"/>
                      <w:u w:val="none"/>
                    </w:rPr>
                    <w:t>拌器、泄压设备</w:t>
                  </w:r>
                </w:p>
              </w:tc>
              <w:tc>
                <w:tcPr>
                  <w:tcW w:w="1351" w:type="pct"/>
                  <w:vAlign w:val="center"/>
                </w:tcPr>
                <w:p w14:paraId="01F55D58">
                  <w:pPr>
                    <w:pStyle w:val="64"/>
                    <w:jc w:val="center"/>
                    <w:rPr>
                      <w:rFonts w:cs="Times New Roman"/>
                      <w:u w:val="none"/>
                    </w:rPr>
                  </w:pPr>
                  <w:r>
                    <w:rPr>
                      <w:rFonts w:hint="eastAsia" w:cs="Times New Roman"/>
                      <w:u w:val="none"/>
                    </w:rPr>
                    <w:t>0.14</w:t>
                  </w:r>
                </w:p>
              </w:tc>
              <w:tc>
                <w:tcPr>
                  <w:tcW w:w="966" w:type="pct"/>
                  <w:vAlign w:val="center"/>
                </w:tcPr>
                <w:p w14:paraId="3D0A99A3">
                  <w:pPr>
                    <w:pStyle w:val="64"/>
                    <w:jc w:val="center"/>
                    <w:rPr>
                      <w:rFonts w:hint="eastAsia" w:eastAsia="宋体" w:cs="Times New Roman"/>
                      <w:u w:val="none"/>
                      <w:lang w:eastAsia="zh-CN"/>
                    </w:rPr>
                  </w:pPr>
                  <w:r>
                    <w:rPr>
                      <w:rFonts w:hint="eastAsia" w:cs="Times New Roman"/>
                      <w:u w:val="none"/>
                      <w:lang w:val="en-US" w:eastAsia="zh-CN"/>
                    </w:rPr>
                    <w:t>6</w:t>
                  </w:r>
                </w:p>
              </w:tc>
            </w:tr>
            <w:tr w14:paraId="02BE5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4" w:type="pct"/>
                  <w:vMerge w:val="continue"/>
                  <w:vAlign w:val="center"/>
                </w:tcPr>
                <w:p w14:paraId="688A60D3">
                  <w:pPr>
                    <w:pStyle w:val="64"/>
                    <w:jc w:val="center"/>
                    <w:rPr>
                      <w:rFonts w:cs="Times New Roman"/>
                      <w:u w:val="none"/>
                    </w:rPr>
                  </w:pPr>
                </w:p>
              </w:tc>
              <w:tc>
                <w:tcPr>
                  <w:tcW w:w="1509" w:type="pct"/>
                  <w:vAlign w:val="center"/>
                </w:tcPr>
                <w:p w14:paraId="1FB17F3B">
                  <w:pPr>
                    <w:pStyle w:val="64"/>
                    <w:jc w:val="center"/>
                    <w:rPr>
                      <w:rFonts w:cs="Times New Roman"/>
                      <w:u w:val="none"/>
                    </w:rPr>
                  </w:pPr>
                  <w:r>
                    <w:rPr>
                      <w:rFonts w:hint="eastAsia" w:cs="Times New Roman"/>
                      <w:u w:val="none"/>
                    </w:rPr>
                    <w:t>其他</w:t>
                  </w:r>
                </w:p>
              </w:tc>
              <w:tc>
                <w:tcPr>
                  <w:tcW w:w="1351" w:type="pct"/>
                  <w:vAlign w:val="center"/>
                </w:tcPr>
                <w:p w14:paraId="776AC895">
                  <w:pPr>
                    <w:pStyle w:val="64"/>
                    <w:jc w:val="center"/>
                    <w:rPr>
                      <w:rFonts w:cs="Times New Roman"/>
                      <w:u w:val="none"/>
                    </w:rPr>
                  </w:pPr>
                  <w:r>
                    <w:rPr>
                      <w:rFonts w:hint="eastAsia" w:cs="Times New Roman"/>
                      <w:u w:val="none"/>
                    </w:rPr>
                    <w:t>0.073</w:t>
                  </w:r>
                </w:p>
              </w:tc>
              <w:tc>
                <w:tcPr>
                  <w:tcW w:w="966" w:type="pct"/>
                  <w:vAlign w:val="center"/>
                </w:tcPr>
                <w:p w14:paraId="569DE746">
                  <w:pPr>
                    <w:pStyle w:val="64"/>
                    <w:jc w:val="center"/>
                    <w:rPr>
                      <w:rFonts w:cs="Times New Roman"/>
                      <w:u w:val="none"/>
                    </w:rPr>
                  </w:pPr>
                  <w:r>
                    <w:rPr>
                      <w:rFonts w:hint="eastAsia" w:cs="Times New Roman"/>
                      <w:u w:val="none"/>
                    </w:rPr>
                    <w:t>0</w:t>
                  </w:r>
                </w:p>
              </w:tc>
            </w:tr>
          </w:tbl>
          <w:p w14:paraId="210ADBD0">
            <w:pPr>
              <w:pStyle w:val="25"/>
              <w:ind w:firstLine="480"/>
              <w:rPr>
                <w:rFonts w:hint="eastAsia"/>
                <w:u w:val="none"/>
                <w:lang w:val="en-US" w:eastAsia="zh-CN"/>
              </w:rPr>
            </w:pPr>
            <w:r>
              <w:rPr>
                <w:rFonts w:hint="eastAsia"/>
                <w:u w:val="none"/>
              </w:rPr>
              <w:t>根据上述参数及公式，计算出本项目设备动静密封点泄漏源强为</w:t>
            </w:r>
            <w:r>
              <w:rPr>
                <w:rFonts w:hint="eastAsia"/>
                <w:u w:val="none"/>
                <w:lang w:val="en-US" w:eastAsia="zh-CN"/>
              </w:rPr>
              <w:t>113.33kg/a，在厂区各个设备密封点处无组织排放。</w:t>
            </w:r>
          </w:p>
          <w:p w14:paraId="71286C89">
            <w:pPr>
              <w:pStyle w:val="25"/>
              <w:ind w:firstLine="480"/>
              <w:rPr>
                <w:rFonts w:hint="eastAsia"/>
                <w:u w:val="none"/>
                <w:lang w:val="en-US" w:eastAsia="zh-CN"/>
              </w:rPr>
            </w:pPr>
            <w:r>
              <w:rPr>
                <w:rFonts w:hint="eastAsia"/>
                <w:u w:val="none"/>
                <w:lang w:val="en-US" w:eastAsia="zh-CN"/>
              </w:rPr>
              <w:t>2）倒残液废气</w:t>
            </w:r>
          </w:p>
          <w:p w14:paraId="2FCFE237">
            <w:pPr>
              <w:pStyle w:val="25"/>
              <w:ind w:firstLine="480"/>
              <w:rPr>
                <w:rFonts w:hint="default"/>
                <w:vertAlign w:val="baseline"/>
                <w:lang w:val="en-US" w:eastAsia="zh-CN"/>
              </w:rPr>
            </w:pPr>
            <w:r>
              <w:rPr>
                <w:rFonts w:hint="eastAsia"/>
                <w:u w:val="none"/>
                <w:lang w:val="en-US" w:eastAsia="zh-CN"/>
              </w:rPr>
              <w:t>倒残液工序为工人将入场的空瓶置入</w:t>
            </w:r>
            <w:r>
              <w:rPr>
                <w:rFonts w:hint="eastAsia"/>
                <w:lang w:val="en-US" w:eastAsia="zh-CN"/>
              </w:rPr>
              <w:t>残液倒空架，灌装口连接残液收集装置，通过重力将瓶内残液倒入残液收集系统，连接口为密封状态，液化石油气残液属于轻污油，</w:t>
            </w:r>
            <w:r>
              <w:rPr>
                <w:rFonts w:hint="eastAsia"/>
              </w:rPr>
              <w:t>参考关于印发《石化行业</w:t>
            </w:r>
            <w:r>
              <w:t>VOCs污染源排查工作指南》及《石化企业泄漏检测与修复工作指南》的通知（环办〔2015〕104号）中轻污油喷溅装载系数1.118kg/m</w:t>
            </w:r>
            <w:r>
              <w:rPr>
                <w:vertAlign w:val="superscript"/>
              </w:rPr>
              <w:t>3</w:t>
            </w:r>
            <w:r>
              <w:t>，</w:t>
            </w:r>
            <w:r>
              <w:rPr>
                <w:rFonts w:hint="eastAsia"/>
              </w:rPr>
              <w:t>密度按0.895t/m</w:t>
            </w:r>
            <w:r>
              <w:rPr>
                <w:rFonts w:hint="eastAsia"/>
                <w:vertAlign w:val="superscript"/>
              </w:rPr>
              <w:t>3</w:t>
            </w:r>
            <w:r>
              <w:rPr>
                <w:rFonts w:hint="eastAsia"/>
              </w:rPr>
              <w:t>计算，</w:t>
            </w:r>
            <w:r>
              <w:rPr>
                <w:rFonts w:hint="eastAsia"/>
                <w:lang w:val="en-US" w:eastAsia="zh-CN"/>
              </w:rPr>
              <w:t>根据</w:t>
            </w:r>
            <w:r>
              <w:rPr>
                <w:rFonts w:hint="eastAsia"/>
              </w:rPr>
              <w:t>《液化石油气钢瓶》（GB 5842-2023）</w:t>
            </w:r>
            <w:r>
              <w:rPr>
                <w:rFonts w:hint="eastAsia"/>
                <w:lang w:val="en-US" w:eastAsia="zh-CN"/>
              </w:rPr>
              <w:t>要求，钢瓶残液量≤2.5%，本项目年充装液化天然气量为900t/a，则残液量约为22.5t，即约为20.14m</w:t>
            </w:r>
            <w:r>
              <w:rPr>
                <w:rFonts w:hint="eastAsia"/>
                <w:vertAlign w:val="superscript"/>
                <w:lang w:val="en-US" w:eastAsia="zh-CN"/>
              </w:rPr>
              <w:t>3</w:t>
            </w:r>
            <w:r>
              <w:rPr>
                <w:rFonts w:hint="eastAsia"/>
                <w:vertAlign w:val="baseline"/>
                <w:lang w:val="en-US" w:eastAsia="zh-CN"/>
              </w:rPr>
              <w:t>，则可计算出在倒残液过程NMHC产生量约为22.52kg/a，产生量很少，在车间内无组织排放。</w:t>
            </w:r>
          </w:p>
          <w:p w14:paraId="377C006F">
            <w:pPr>
              <w:pStyle w:val="25"/>
              <w:ind w:firstLine="480"/>
              <w:rPr>
                <w:rFonts w:hint="eastAsia"/>
                <w:vertAlign w:val="baseline"/>
                <w:lang w:val="en-US" w:eastAsia="zh-CN"/>
              </w:rPr>
            </w:pPr>
            <w:r>
              <w:rPr>
                <w:rFonts w:hint="eastAsia"/>
                <w:vertAlign w:val="baseline"/>
                <w:lang w:val="en-US" w:eastAsia="zh-CN"/>
              </w:rPr>
              <w:t>（2）废气无组织排放可行性分析</w:t>
            </w:r>
          </w:p>
          <w:p w14:paraId="314A2C63">
            <w:pPr>
              <w:pStyle w:val="25"/>
              <w:ind w:firstLine="480"/>
              <w:rPr>
                <w:rFonts w:hint="eastAsia"/>
                <w:u w:val="none"/>
                <w:lang w:val="en-US" w:eastAsia="zh-CN"/>
              </w:rPr>
            </w:pPr>
            <w:r>
              <w:rPr>
                <w:rFonts w:hint="eastAsia"/>
                <w:vertAlign w:val="baseline"/>
                <w:lang w:val="en-US" w:eastAsia="zh-CN"/>
              </w:rPr>
              <w:t>根据前文其他符合性分析中关于与《</w:t>
            </w:r>
            <w:r>
              <w:rPr>
                <w:rFonts w:hint="eastAsia"/>
                <w:lang w:val="en-US" w:eastAsia="zh-CN"/>
              </w:rPr>
              <w:t>挥发性有机物无组织排放控制标准》（GB 37822-2019）符合性分析可知，项目采取的挥发性有机物无组织控制符合标准要求，根据标准要求：</w:t>
            </w:r>
            <w:r>
              <w:rPr>
                <w:rFonts w:hint="eastAsia"/>
                <w:u w:val="none"/>
              </w:rPr>
              <w:t>收集的废气中 NMHC 初始排放速率&gt;3 kgh 时，应配置 VOCs 处理设施，处理效率不应低于80%;对于重点地区，收集的废气中 NMHC 初始排放速率&gt;2kgh 时，应配置 VOCs 处理设施，处理效率不应低于 80%:采用的原辅材料符合国家有关低 VOCs 含量产品规定的除外。</w:t>
            </w:r>
            <w:r>
              <w:rPr>
                <w:rFonts w:hint="eastAsia"/>
                <w:u w:val="none"/>
                <w:lang w:val="en-US" w:eastAsia="zh-CN"/>
              </w:rPr>
              <w:t>本项目NMHC总产生量约为</w:t>
            </w:r>
            <w:r>
              <w:rPr>
                <w:rFonts w:hint="eastAsia"/>
                <w:color w:val="FF0000"/>
                <w:u w:val="none"/>
                <w:lang w:val="en-US" w:eastAsia="zh-CN"/>
              </w:rPr>
              <w:t>22.52kg/a，平均0.0938kg/h</w:t>
            </w:r>
            <w:r>
              <w:rPr>
                <w:rFonts w:hint="eastAsia"/>
                <w:u w:val="none"/>
                <w:lang w:val="en-US" w:eastAsia="zh-CN"/>
              </w:rPr>
              <w:t>，产生速率远小于3kg/h，因此可不配置VOCs处理措施，无组织排放可行。</w:t>
            </w:r>
          </w:p>
          <w:p w14:paraId="239718C2">
            <w:pPr>
              <w:pStyle w:val="25"/>
              <w:ind w:firstLine="480"/>
              <w:rPr>
                <w:rFonts w:hint="eastAsia"/>
                <w:u w:val="none"/>
                <w:lang w:val="en-US" w:eastAsia="zh-CN"/>
              </w:rPr>
            </w:pPr>
            <w:r>
              <w:rPr>
                <w:rFonts w:hint="eastAsia"/>
                <w:u w:val="none"/>
                <w:lang w:val="en-US" w:eastAsia="zh-CN"/>
              </w:rPr>
              <w:t>（3）废气污染物排放量核算</w:t>
            </w:r>
          </w:p>
          <w:p w14:paraId="74F4394E">
            <w:pPr>
              <w:pStyle w:val="24"/>
              <w:bidi w:val="0"/>
            </w:pPr>
            <w:r>
              <w:rPr>
                <w:rFonts w:hint="eastAsia"/>
              </w:rPr>
              <w:t>表4-</w:t>
            </w:r>
            <w:r>
              <w:rPr>
                <w:rFonts w:hint="eastAsia"/>
                <w:lang w:val="en-US" w:eastAsia="zh-CN"/>
              </w:rPr>
              <w:t>2</w:t>
            </w:r>
            <w:r>
              <w:rPr>
                <w:rFonts w:hint="eastAsia"/>
              </w:rPr>
              <w:t>大气污染物无组织排放量核算表</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1"/>
              <w:gridCol w:w="775"/>
              <w:gridCol w:w="775"/>
              <w:gridCol w:w="866"/>
              <w:gridCol w:w="1045"/>
              <w:gridCol w:w="1907"/>
              <w:gridCol w:w="1209"/>
              <w:gridCol w:w="864"/>
            </w:tblGrid>
            <w:tr w14:paraId="2F4F2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 w:type="pct"/>
                  <w:vMerge w:val="restart"/>
                  <w:shd w:val="clear" w:color="auto" w:fill="auto"/>
                  <w:vAlign w:val="center"/>
                </w:tcPr>
                <w:p w14:paraId="58475DAB">
                  <w:pPr>
                    <w:pStyle w:val="26"/>
                    <w:bidi w:val="0"/>
                  </w:pPr>
                  <w:r>
                    <w:t>序号</w:t>
                  </w:r>
                </w:p>
              </w:tc>
              <w:tc>
                <w:tcPr>
                  <w:tcW w:w="492" w:type="pct"/>
                  <w:vMerge w:val="restart"/>
                  <w:shd w:val="clear" w:color="auto" w:fill="auto"/>
                  <w:vAlign w:val="center"/>
                </w:tcPr>
                <w:p w14:paraId="44E15E89">
                  <w:pPr>
                    <w:pStyle w:val="26"/>
                    <w:bidi w:val="0"/>
                  </w:pPr>
                  <w:r>
                    <w:t>排放口编号</w:t>
                  </w:r>
                </w:p>
              </w:tc>
              <w:tc>
                <w:tcPr>
                  <w:tcW w:w="492" w:type="pct"/>
                  <w:vMerge w:val="restart"/>
                  <w:shd w:val="clear" w:color="auto" w:fill="auto"/>
                  <w:vAlign w:val="center"/>
                </w:tcPr>
                <w:p w14:paraId="14F47973">
                  <w:pPr>
                    <w:pStyle w:val="26"/>
                    <w:bidi w:val="0"/>
                  </w:pPr>
                  <w:r>
                    <w:t>产污环节</w:t>
                  </w:r>
                </w:p>
              </w:tc>
              <w:tc>
                <w:tcPr>
                  <w:tcW w:w="548" w:type="pct"/>
                  <w:vMerge w:val="restart"/>
                  <w:shd w:val="clear" w:color="auto" w:fill="auto"/>
                  <w:vAlign w:val="center"/>
                </w:tcPr>
                <w:p w14:paraId="01E3F5CA">
                  <w:pPr>
                    <w:pStyle w:val="26"/>
                    <w:bidi w:val="0"/>
                  </w:pPr>
                  <w:r>
                    <w:t>污染物</w:t>
                  </w:r>
                </w:p>
              </w:tc>
              <w:tc>
                <w:tcPr>
                  <w:tcW w:w="664" w:type="pct"/>
                  <w:vMerge w:val="restart"/>
                  <w:shd w:val="clear" w:color="auto" w:fill="auto"/>
                  <w:vAlign w:val="center"/>
                </w:tcPr>
                <w:p w14:paraId="21590506">
                  <w:pPr>
                    <w:pStyle w:val="26"/>
                    <w:bidi w:val="0"/>
                  </w:pPr>
                  <w:r>
                    <w:t>主要污染防治措施</w:t>
                  </w:r>
                </w:p>
              </w:tc>
              <w:tc>
                <w:tcPr>
                  <w:tcW w:w="1978" w:type="pct"/>
                  <w:gridSpan w:val="2"/>
                  <w:shd w:val="clear" w:color="auto" w:fill="auto"/>
                  <w:vAlign w:val="center"/>
                </w:tcPr>
                <w:p w14:paraId="6F228B53">
                  <w:pPr>
                    <w:pStyle w:val="26"/>
                    <w:bidi w:val="0"/>
                  </w:pPr>
                  <w:r>
                    <w:t>国家或地方污染物排放标准</w:t>
                  </w:r>
                </w:p>
              </w:tc>
              <w:tc>
                <w:tcPr>
                  <w:tcW w:w="548" w:type="pct"/>
                  <w:vMerge w:val="restart"/>
                  <w:shd w:val="clear" w:color="auto" w:fill="auto"/>
                  <w:vAlign w:val="center"/>
                </w:tcPr>
                <w:p w14:paraId="1B47DF53">
                  <w:pPr>
                    <w:pStyle w:val="26"/>
                    <w:bidi w:val="0"/>
                  </w:pPr>
                  <w:r>
                    <w:t>年排放量（t/a）</w:t>
                  </w:r>
                </w:p>
              </w:tc>
            </w:tr>
            <w:tr w14:paraId="65F01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 w:type="pct"/>
                  <w:vMerge w:val="continue"/>
                  <w:shd w:val="clear" w:color="auto" w:fill="auto"/>
                  <w:vAlign w:val="center"/>
                </w:tcPr>
                <w:p w14:paraId="0A110598">
                  <w:pPr>
                    <w:pStyle w:val="26"/>
                    <w:bidi w:val="0"/>
                  </w:pPr>
                </w:p>
              </w:tc>
              <w:tc>
                <w:tcPr>
                  <w:tcW w:w="492" w:type="pct"/>
                  <w:vMerge w:val="continue"/>
                  <w:shd w:val="clear" w:color="auto" w:fill="auto"/>
                  <w:vAlign w:val="center"/>
                </w:tcPr>
                <w:p w14:paraId="4A105EE0">
                  <w:pPr>
                    <w:pStyle w:val="26"/>
                    <w:bidi w:val="0"/>
                  </w:pPr>
                </w:p>
              </w:tc>
              <w:tc>
                <w:tcPr>
                  <w:tcW w:w="492" w:type="pct"/>
                  <w:vMerge w:val="continue"/>
                  <w:shd w:val="clear" w:color="auto" w:fill="auto"/>
                  <w:vAlign w:val="center"/>
                </w:tcPr>
                <w:p w14:paraId="71149C3A">
                  <w:pPr>
                    <w:pStyle w:val="26"/>
                    <w:bidi w:val="0"/>
                  </w:pPr>
                </w:p>
              </w:tc>
              <w:tc>
                <w:tcPr>
                  <w:tcW w:w="548" w:type="pct"/>
                  <w:vMerge w:val="continue"/>
                  <w:shd w:val="clear" w:color="auto" w:fill="auto"/>
                  <w:vAlign w:val="center"/>
                </w:tcPr>
                <w:p w14:paraId="3EBA49A4">
                  <w:pPr>
                    <w:pStyle w:val="26"/>
                    <w:bidi w:val="0"/>
                  </w:pPr>
                </w:p>
              </w:tc>
              <w:tc>
                <w:tcPr>
                  <w:tcW w:w="664" w:type="pct"/>
                  <w:vMerge w:val="continue"/>
                  <w:shd w:val="clear" w:color="auto" w:fill="auto"/>
                  <w:vAlign w:val="center"/>
                </w:tcPr>
                <w:p w14:paraId="0BA7FA10">
                  <w:pPr>
                    <w:pStyle w:val="26"/>
                    <w:bidi w:val="0"/>
                  </w:pPr>
                </w:p>
              </w:tc>
              <w:tc>
                <w:tcPr>
                  <w:tcW w:w="1211" w:type="pct"/>
                  <w:shd w:val="clear" w:color="auto" w:fill="auto"/>
                  <w:vAlign w:val="center"/>
                </w:tcPr>
                <w:p w14:paraId="4630F75A">
                  <w:pPr>
                    <w:pStyle w:val="26"/>
                    <w:bidi w:val="0"/>
                  </w:pPr>
                  <w:r>
                    <w:t>标准名称</w:t>
                  </w:r>
                </w:p>
              </w:tc>
              <w:tc>
                <w:tcPr>
                  <w:tcW w:w="767" w:type="pct"/>
                  <w:shd w:val="clear" w:color="auto" w:fill="auto"/>
                  <w:vAlign w:val="center"/>
                </w:tcPr>
                <w:p w14:paraId="5F8E12BB">
                  <w:pPr>
                    <w:pStyle w:val="26"/>
                    <w:bidi w:val="0"/>
                  </w:pPr>
                  <w:r>
                    <w:t>浓度限值（µg/m</w:t>
                  </w:r>
                  <w:r>
                    <w:rPr>
                      <w:vertAlign w:val="superscript"/>
                    </w:rPr>
                    <w:t>3</w:t>
                  </w:r>
                  <w:r>
                    <w:t>）</w:t>
                  </w:r>
                </w:p>
              </w:tc>
              <w:tc>
                <w:tcPr>
                  <w:tcW w:w="548" w:type="pct"/>
                  <w:vMerge w:val="continue"/>
                  <w:shd w:val="clear" w:color="auto" w:fill="auto"/>
                  <w:vAlign w:val="center"/>
                </w:tcPr>
                <w:p w14:paraId="6871845F">
                  <w:pPr>
                    <w:pStyle w:val="26"/>
                    <w:bidi w:val="0"/>
                  </w:pPr>
                </w:p>
              </w:tc>
            </w:tr>
            <w:tr w14:paraId="7C997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4" w:type="pct"/>
                  <w:shd w:val="clear" w:color="auto" w:fill="auto"/>
                  <w:vAlign w:val="center"/>
                </w:tcPr>
                <w:p w14:paraId="46569E85">
                  <w:pPr>
                    <w:pStyle w:val="26"/>
                    <w:bidi w:val="0"/>
                  </w:pPr>
                  <w:r>
                    <w:t>1</w:t>
                  </w:r>
                </w:p>
              </w:tc>
              <w:tc>
                <w:tcPr>
                  <w:tcW w:w="492" w:type="pct"/>
                  <w:shd w:val="clear" w:color="auto" w:fill="auto"/>
                  <w:vAlign w:val="center"/>
                </w:tcPr>
                <w:p w14:paraId="040C3474">
                  <w:pPr>
                    <w:pStyle w:val="26"/>
                    <w:bidi w:val="0"/>
                  </w:pPr>
                  <w:r>
                    <w:rPr>
                      <w:rFonts w:hint="eastAsia"/>
                    </w:rPr>
                    <w:t>MY</w:t>
                  </w:r>
                  <w:r>
                    <w:t>01</w:t>
                  </w:r>
                </w:p>
              </w:tc>
              <w:tc>
                <w:tcPr>
                  <w:tcW w:w="492" w:type="pct"/>
                  <w:shd w:val="clear" w:color="auto" w:fill="auto"/>
                  <w:vAlign w:val="center"/>
                </w:tcPr>
                <w:p w14:paraId="6344FB56">
                  <w:pPr>
                    <w:pStyle w:val="26"/>
                    <w:bidi w:val="0"/>
                    <w:rPr>
                      <w:rFonts w:hint="default" w:eastAsia="宋体"/>
                      <w:lang w:val="en-US" w:eastAsia="zh-CN"/>
                    </w:rPr>
                  </w:pPr>
                  <w:r>
                    <w:rPr>
                      <w:rFonts w:hint="eastAsia"/>
                      <w:lang w:val="en-US" w:eastAsia="zh-CN"/>
                    </w:rPr>
                    <w:t>设备动静密封点</w:t>
                  </w:r>
                </w:p>
              </w:tc>
              <w:tc>
                <w:tcPr>
                  <w:tcW w:w="548" w:type="pct"/>
                  <w:shd w:val="clear" w:color="auto" w:fill="auto"/>
                  <w:vAlign w:val="center"/>
                </w:tcPr>
                <w:p w14:paraId="686B1118">
                  <w:pPr>
                    <w:pStyle w:val="26"/>
                    <w:bidi w:val="0"/>
                  </w:pPr>
                  <w:r>
                    <w:rPr>
                      <w:rFonts w:hint="eastAsia"/>
                    </w:rPr>
                    <w:t>NMHC</w:t>
                  </w:r>
                </w:p>
              </w:tc>
              <w:tc>
                <w:tcPr>
                  <w:tcW w:w="664" w:type="pct"/>
                  <w:shd w:val="clear" w:color="auto" w:fill="auto"/>
                  <w:vAlign w:val="center"/>
                </w:tcPr>
                <w:p w14:paraId="6E7BB369">
                  <w:pPr>
                    <w:pStyle w:val="26"/>
                    <w:bidi w:val="0"/>
                    <w:rPr>
                      <w:rFonts w:hint="default" w:eastAsia="宋体"/>
                      <w:lang w:val="en-US" w:eastAsia="zh-CN"/>
                    </w:rPr>
                  </w:pPr>
                  <w:r>
                    <w:rPr>
                      <w:rFonts w:hint="eastAsia"/>
                      <w:lang w:val="en-US" w:eastAsia="zh-CN"/>
                    </w:rPr>
                    <w:t>定期进行密封检测</w:t>
                  </w:r>
                </w:p>
              </w:tc>
              <w:tc>
                <w:tcPr>
                  <w:tcW w:w="1211" w:type="pct"/>
                  <w:vMerge w:val="restart"/>
                  <w:shd w:val="clear" w:color="auto" w:fill="auto"/>
                  <w:vAlign w:val="center"/>
                </w:tcPr>
                <w:p w14:paraId="1A9EC05A">
                  <w:pPr>
                    <w:pStyle w:val="26"/>
                    <w:bidi w:val="0"/>
                  </w:pPr>
                  <w:r>
                    <w:rPr>
                      <w:rFonts w:hint="eastAsia"/>
                    </w:rPr>
                    <w:t>《大气污染物综合排放标准》（GB16297-1996）</w:t>
                  </w:r>
                </w:p>
              </w:tc>
              <w:tc>
                <w:tcPr>
                  <w:tcW w:w="767" w:type="pct"/>
                  <w:vMerge w:val="restart"/>
                  <w:shd w:val="clear" w:color="auto" w:fill="auto"/>
                  <w:vAlign w:val="center"/>
                </w:tcPr>
                <w:p w14:paraId="57460440">
                  <w:pPr>
                    <w:pStyle w:val="26"/>
                    <w:bidi w:val="0"/>
                  </w:pPr>
                  <w:r>
                    <w:rPr>
                      <w:rFonts w:hint="eastAsia"/>
                    </w:rPr>
                    <w:t>4000</w:t>
                  </w:r>
                </w:p>
              </w:tc>
              <w:tc>
                <w:tcPr>
                  <w:tcW w:w="548" w:type="pct"/>
                  <w:shd w:val="clear" w:color="auto" w:fill="auto"/>
                  <w:vAlign w:val="center"/>
                </w:tcPr>
                <w:p w14:paraId="341DF6FF">
                  <w:pPr>
                    <w:pStyle w:val="26"/>
                    <w:bidi w:val="0"/>
                    <w:rPr>
                      <w:rFonts w:hint="default" w:eastAsia="宋体"/>
                      <w:lang w:val="en-US" w:eastAsia="zh-CN"/>
                    </w:rPr>
                  </w:pPr>
                  <w:r>
                    <w:rPr>
                      <w:rFonts w:hint="eastAsia"/>
                      <w:lang w:val="en-US" w:eastAsia="zh-CN"/>
                    </w:rPr>
                    <w:t>0.113</w:t>
                  </w:r>
                </w:p>
              </w:tc>
            </w:tr>
            <w:tr w14:paraId="3C7A5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4" w:type="pct"/>
                  <w:shd w:val="clear" w:color="auto" w:fill="auto"/>
                  <w:vAlign w:val="center"/>
                </w:tcPr>
                <w:p w14:paraId="35A9AEE8">
                  <w:pPr>
                    <w:pStyle w:val="26"/>
                    <w:bidi w:val="0"/>
                    <w:rPr>
                      <w:rFonts w:hint="eastAsia" w:eastAsia="宋体"/>
                      <w:lang w:val="en-US" w:eastAsia="zh-CN"/>
                    </w:rPr>
                  </w:pPr>
                  <w:r>
                    <w:rPr>
                      <w:rFonts w:hint="eastAsia"/>
                      <w:lang w:val="en-US" w:eastAsia="zh-CN"/>
                    </w:rPr>
                    <w:t>2</w:t>
                  </w:r>
                </w:p>
              </w:tc>
              <w:tc>
                <w:tcPr>
                  <w:tcW w:w="492" w:type="pct"/>
                  <w:shd w:val="clear" w:color="auto" w:fill="auto"/>
                  <w:vAlign w:val="center"/>
                </w:tcPr>
                <w:p w14:paraId="079D66EB">
                  <w:pPr>
                    <w:pStyle w:val="26"/>
                    <w:bidi w:val="0"/>
                    <w:rPr>
                      <w:rFonts w:hint="default" w:eastAsia="宋体"/>
                      <w:lang w:val="en-US" w:eastAsia="zh-CN"/>
                    </w:rPr>
                  </w:pPr>
                  <w:r>
                    <w:rPr>
                      <w:rFonts w:hint="eastAsia"/>
                      <w:lang w:val="en-US" w:eastAsia="zh-CN"/>
                    </w:rPr>
                    <w:t>MY02</w:t>
                  </w:r>
                </w:p>
              </w:tc>
              <w:tc>
                <w:tcPr>
                  <w:tcW w:w="492" w:type="pct"/>
                  <w:shd w:val="clear" w:color="auto" w:fill="auto"/>
                  <w:vAlign w:val="center"/>
                </w:tcPr>
                <w:p w14:paraId="4F95B79C">
                  <w:pPr>
                    <w:pStyle w:val="26"/>
                    <w:bidi w:val="0"/>
                    <w:rPr>
                      <w:rFonts w:hint="default"/>
                      <w:lang w:val="en-US" w:eastAsia="zh-CN"/>
                    </w:rPr>
                  </w:pPr>
                  <w:r>
                    <w:rPr>
                      <w:rFonts w:hint="eastAsia"/>
                      <w:lang w:val="en-US" w:eastAsia="zh-CN"/>
                    </w:rPr>
                    <w:t>倒残液</w:t>
                  </w:r>
                </w:p>
              </w:tc>
              <w:tc>
                <w:tcPr>
                  <w:tcW w:w="548" w:type="pct"/>
                  <w:shd w:val="clear" w:color="auto" w:fill="auto"/>
                  <w:vAlign w:val="center"/>
                </w:tcPr>
                <w:p w14:paraId="474E3374">
                  <w:pPr>
                    <w:pStyle w:val="26"/>
                    <w:bidi w:val="0"/>
                    <w:rPr>
                      <w:rFonts w:hint="eastAsia" w:eastAsia="宋体"/>
                      <w:lang w:val="en-US" w:eastAsia="zh-CN"/>
                    </w:rPr>
                  </w:pPr>
                  <w:r>
                    <w:rPr>
                      <w:rFonts w:hint="eastAsia"/>
                      <w:lang w:val="en-US" w:eastAsia="zh-CN"/>
                    </w:rPr>
                    <w:t>NMHC</w:t>
                  </w:r>
                </w:p>
              </w:tc>
              <w:tc>
                <w:tcPr>
                  <w:tcW w:w="664" w:type="pct"/>
                  <w:shd w:val="clear" w:color="auto" w:fill="auto"/>
                  <w:vAlign w:val="center"/>
                </w:tcPr>
                <w:p w14:paraId="1B0A3EE9">
                  <w:pPr>
                    <w:pStyle w:val="26"/>
                    <w:bidi w:val="0"/>
                    <w:rPr>
                      <w:rFonts w:hint="default" w:eastAsia="宋体"/>
                      <w:lang w:val="en-US" w:eastAsia="zh-CN"/>
                    </w:rPr>
                  </w:pPr>
                  <w:r>
                    <w:rPr>
                      <w:rFonts w:hint="eastAsia"/>
                      <w:lang w:val="en-US" w:eastAsia="zh-CN"/>
                    </w:rPr>
                    <w:t>全密封倒残液</w:t>
                  </w:r>
                </w:p>
              </w:tc>
              <w:tc>
                <w:tcPr>
                  <w:tcW w:w="1211" w:type="pct"/>
                  <w:vMerge w:val="continue"/>
                  <w:shd w:val="clear" w:color="auto" w:fill="auto"/>
                  <w:vAlign w:val="center"/>
                </w:tcPr>
                <w:p w14:paraId="37041315">
                  <w:pPr>
                    <w:pStyle w:val="26"/>
                    <w:bidi w:val="0"/>
                    <w:rPr>
                      <w:rFonts w:hint="eastAsia"/>
                    </w:rPr>
                  </w:pPr>
                </w:p>
              </w:tc>
              <w:tc>
                <w:tcPr>
                  <w:tcW w:w="767" w:type="pct"/>
                  <w:vMerge w:val="continue"/>
                  <w:shd w:val="clear" w:color="auto" w:fill="auto"/>
                  <w:vAlign w:val="center"/>
                </w:tcPr>
                <w:p w14:paraId="634C95FF">
                  <w:pPr>
                    <w:pStyle w:val="26"/>
                    <w:bidi w:val="0"/>
                    <w:rPr>
                      <w:rFonts w:hint="eastAsia"/>
                    </w:rPr>
                  </w:pPr>
                </w:p>
              </w:tc>
              <w:tc>
                <w:tcPr>
                  <w:tcW w:w="548" w:type="pct"/>
                  <w:shd w:val="clear" w:color="auto" w:fill="auto"/>
                  <w:vAlign w:val="center"/>
                </w:tcPr>
                <w:p w14:paraId="1B5C1166">
                  <w:pPr>
                    <w:pStyle w:val="26"/>
                    <w:bidi w:val="0"/>
                    <w:rPr>
                      <w:rFonts w:hint="default"/>
                      <w:lang w:val="en-US" w:eastAsia="zh-CN"/>
                    </w:rPr>
                  </w:pPr>
                  <w:r>
                    <w:rPr>
                      <w:rFonts w:hint="eastAsia"/>
                      <w:lang w:val="en-US" w:eastAsia="zh-CN"/>
                    </w:rPr>
                    <w:t>0.023</w:t>
                  </w:r>
                </w:p>
              </w:tc>
            </w:tr>
            <w:tr w14:paraId="3B0F1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shd w:val="clear" w:color="auto" w:fill="auto"/>
                  <w:vAlign w:val="center"/>
                </w:tcPr>
                <w:p w14:paraId="0854DF81">
                  <w:pPr>
                    <w:pStyle w:val="26"/>
                    <w:bidi w:val="0"/>
                  </w:pPr>
                  <w:r>
                    <w:t>无组织排放</w:t>
                  </w:r>
                </w:p>
              </w:tc>
            </w:tr>
            <w:tr w14:paraId="0D4D3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8" w:type="pct"/>
                  <w:gridSpan w:val="4"/>
                  <w:shd w:val="clear" w:color="auto" w:fill="auto"/>
                  <w:vAlign w:val="center"/>
                </w:tcPr>
                <w:p w14:paraId="4E3257BF">
                  <w:pPr>
                    <w:pStyle w:val="26"/>
                    <w:bidi w:val="0"/>
                  </w:pPr>
                  <w:r>
                    <w:t>无组织排放总计</w:t>
                  </w:r>
                </w:p>
              </w:tc>
              <w:tc>
                <w:tcPr>
                  <w:tcW w:w="2643" w:type="pct"/>
                  <w:gridSpan w:val="3"/>
                  <w:shd w:val="clear" w:color="auto" w:fill="auto"/>
                  <w:vAlign w:val="center"/>
                </w:tcPr>
                <w:p w14:paraId="7C5D1FFC">
                  <w:pPr>
                    <w:pStyle w:val="26"/>
                    <w:bidi w:val="0"/>
                  </w:pPr>
                  <w:r>
                    <w:rPr>
                      <w:rFonts w:hint="eastAsia"/>
                    </w:rPr>
                    <w:t>NMHC</w:t>
                  </w:r>
                </w:p>
              </w:tc>
              <w:tc>
                <w:tcPr>
                  <w:tcW w:w="548" w:type="pct"/>
                  <w:shd w:val="clear" w:color="auto" w:fill="auto"/>
                  <w:vAlign w:val="center"/>
                </w:tcPr>
                <w:p w14:paraId="1BA11271">
                  <w:pPr>
                    <w:pStyle w:val="26"/>
                    <w:bidi w:val="0"/>
                    <w:rPr>
                      <w:rFonts w:hint="default" w:eastAsia="宋体"/>
                      <w:lang w:val="en-US" w:eastAsia="zh-CN"/>
                    </w:rPr>
                  </w:pPr>
                  <w:r>
                    <w:rPr>
                      <w:rFonts w:hint="eastAsia"/>
                      <w:lang w:val="en-US" w:eastAsia="zh-CN"/>
                    </w:rPr>
                    <w:t>0.14</w:t>
                  </w:r>
                </w:p>
              </w:tc>
            </w:tr>
          </w:tbl>
          <w:p w14:paraId="7ED40BFE">
            <w:pPr>
              <w:pStyle w:val="24"/>
              <w:bidi w:val="0"/>
            </w:pPr>
            <w:r>
              <w:rPr>
                <w:rFonts w:hint="eastAsia"/>
              </w:rPr>
              <w:t>表4-</w:t>
            </w:r>
            <w:r>
              <w:rPr>
                <w:rFonts w:hint="eastAsia"/>
                <w:lang w:val="en-US" w:eastAsia="zh-CN"/>
              </w:rPr>
              <w:t>3</w:t>
            </w:r>
            <w:r>
              <w:rPr>
                <w:rFonts w:hint="eastAsia"/>
              </w:rPr>
              <w:t>大气污染物年排放量核算表</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14"/>
              <w:gridCol w:w="2611"/>
              <w:gridCol w:w="2647"/>
            </w:tblGrid>
            <w:tr w14:paraId="4283C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1660" w:type="pct"/>
                  <w:shd w:val="clear" w:color="auto" w:fill="auto"/>
                  <w:vAlign w:val="center"/>
                </w:tcPr>
                <w:p w14:paraId="27DD1B51">
                  <w:pPr>
                    <w:pStyle w:val="26"/>
                    <w:bidi w:val="0"/>
                  </w:pPr>
                  <w:r>
                    <w:t>序号</w:t>
                  </w:r>
                </w:p>
              </w:tc>
              <w:tc>
                <w:tcPr>
                  <w:tcW w:w="1658" w:type="pct"/>
                  <w:shd w:val="clear" w:color="auto" w:fill="auto"/>
                  <w:vAlign w:val="center"/>
                </w:tcPr>
                <w:p w14:paraId="686DB8A2">
                  <w:pPr>
                    <w:pStyle w:val="26"/>
                    <w:bidi w:val="0"/>
                  </w:pPr>
                  <w:r>
                    <w:t>污染物</w:t>
                  </w:r>
                </w:p>
              </w:tc>
              <w:tc>
                <w:tcPr>
                  <w:tcW w:w="1681" w:type="pct"/>
                  <w:shd w:val="clear" w:color="auto" w:fill="auto"/>
                  <w:vAlign w:val="center"/>
                </w:tcPr>
                <w:p w14:paraId="54510042">
                  <w:pPr>
                    <w:pStyle w:val="26"/>
                    <w:bidi w:val="0"/>
                  </w:pPr>
                  <w:r>
                    <w:t>年排放量（t/a）</w:t>
                  </w:r>
                </w:p>
              </w:tc>
            </w:tr>
            <w:tr w14:paraId="6C9A9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60" w:type="pct"/>
                  <w:shd w:val="clear" w:color="auto" w:fill="auto"/>
                  <w:vAlign w:val="center"/>
                </w:tcPr>
                <w:p w14:paraId="53D943CD">
                  <w:pPr>
                    <w:pStyle w:val="26"/>
                    <w:bidi w:val="0"/>
                  </w:pPr>
                  <w:r>
                    <w:t>1</w:t>
                  </w:r>
                </w:p>
              </w:tc>
              <w:tc>
                <w:tcPr>
                  <w:tcW w:w="1658" w:type="pct"/>
                  <w:shd w:val="clear" w:color="auto" w:fill="auto"/>
                  <w:vAlign w:val="center"/>
                </w:tcPr>
                <w:p w14:paraId="510B0389">
                  <w:pPr>
                    <w:pStyle w:val="26"/>
                    <w:bidi w:val="0"/>
                    <w:rPr>
                      <w:lang w:val="en-US" w:eastAsia="zh-CN"/>
                    </w:rPr>
                  </w:pPr>
                  <w:r>
                    <w:rPr>
                      <w:rFonts w:hint="eastAsia"/>
                    </w:rPr>
                    <w:t>NMHC</w:t>
                  </w:r>
                </w:p>
              </w:tc>
              <w:tc>
                <w:tcPr>
                  <w:tcW w:w="1681" w:type="pct"/>
                  <w:shd w:val="clear" w:color="auto" w:fill="auto"/>
                  <w:vAlign w:val="center"/>
                </w:tcPr>
                <w:p w14:paraId="2E938679">
                  <w:pPr>
                    <w:pStyle w:val="26"/>
                    <w:bidi w:val="0"/>
                    <w:rPr>
                      <w:rFonts w:hint="default"/>
                      <w:lang w:val="en-US" w:eastAsia="zh-CN"/>
                    </w:rPr>
                  </w:pPr>
                  <w:r>
                    <w:rPr>
                      <w:rFonts w:hint="eastAsia"/>
                    </w:rPr>
                    <w:t>0.</w:t>
                  </w:r>
                  <w:r>
                    <w:rPr>
                      <w:rFonts w:hint="eastAsia"/>
                      <w:lang w:val="en-US" w:eastAsia="zh-CN"/>
                    </w:rPr>
                    <w:t>14</w:t>
                  </w:r>
                </w:p>
              </w:tc>
            </w:tr>
          </w:tbl>
          <w:p w14:paraId="4FABB70A">
            <w:pPr>
              <w:pStyle w:val="25"/>
              <w:ind w:firstLine="480"/>
              <w:rPr>
                <w:rFonts w:hint="eastAsia"/>
                <w:u w:val="none"/>
                <w:lang w:val="en-US" w:eastAsia="zh-CN"/>
              </w:rPr>
            </w:pPr>
            <w:r>
              <w:rPr>
                <w:rFonts w:hint="eastAsia"/>
                <w:u w:val="none"/>
                <w:lang w:val="en-US" w:eastAsia="zh-CN"/>
              </w:rPr>
              <w:t>（4）废气监测计划</w:t>
            </w:r>
          </w:p>
          <w:p w14:paraId="19881DD7">
            <w:pPr>
              <w:pStyle w:val="25"/>
              <w:ind w:firstLine="480"/>
              <w:rPr>
                <w:rFonts w:hint="eastAsia"/>
                <w:u w:val="none"/>
                <w:lang w:val="en-US" w:eastAsia="zh-CN"/>
              </w:rPr>
            </w:pPr>
            <w:r>
              <w:rPr>
                <w:rFonts w:hint="eastAsia"/>
                <w:u w:val="none"/>
                <w:lang w:val="en-US" w:eastAsia="zh-CN"/>
              </w:rPr>
              <w:t>参照《排污单位自行监测技术指南 储油库、加油站》（HJ1249-2022）制定监测计划如下：</w:t>
            </w:r>
          </w:p>
          <w:p w14:paraId="0C4830FF">
            <w:pPr>
              <w:pStyle w:val="63"/>
              <w:bidi w:val="0"/>
              <w:rPr>
                <w:rFonts w:hint="default"/>
                <w:lang w:val="en-US" w:eastAsia="zh-CN"/>
              </w:rPr>
            </w:pPr>
            <w:r>
              <w:rPr>
                <w:rFonts w:hint="eastAsia"/>
                <w:lang w:val="en-US" w:eastAsia="zh-CN"/>
              </w:rPr>
              <w:t>表4-4  项目运营期废气监测计划</w:t>
            </w:r>
          </w:p>
          <w:tbl>
            <w:tblPr>
              <w:tblStyle w:val="1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6"/>
              <w:gridCol w:w="1383"/>
              <w:gridCol w:w="1290"/>
              <w:gridCol w:w="3230"/>
            </w:tblGrid>
            <w:tr w14:paraId="398A4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Align w:val="center"/>
                </w:tcPr>
                <w:p w14:paraId="3FADB313">
                  <w:pPr>
                    <w:pStyle w:val="48"/>
                  </w:pPr>
                  <w:r>
                    <w:rPr>
                      <w:rFonts w:hint="eastAsia"/>
                    </w:rPr>
                    <w:t>监测点位</w:t>
                  </w:r>
                </w:p>
              </w:tc>
              <w:tc>
                <w:tcPr>
                  <w:tcW w:w="878" w:type="pct"/>
                  <w:vAlign w:val="center"/>
                </w:tcPr>
                <w:p w14:paraId="6C7FE93E">
                  <w:pPr>
                    <w:pStyle w:val="48"/>
                  </w:pPr>
                  <w:r>
                    <w:rPr>
                      <w:rFonts w:hint="eastAsia"/>
                    </w:rPr>
                    <w:t>监测因子</w:t>
                  </w:r>
                </w:p>
              </w:tc>
              <w:tc>
                <w:tcPr>
                  <w:tcW w:w="819" w:type="pct"/>
                  <w:vAlign w:val="center"/>
                </w:tcPr>
                <w:p w14:paraId="73BE5B1E">
                  <w:pPr>
                    <w:pStyle w:val="48"/>
                  </w:pPr>
                  <w:r>
                    <w:rPr>
                      <w:rFonts w:hint="eastAsia"/>
                    </w:rPr>
                    <w:t>监测频次</w:t>
                  </w:r>
                </w:p>
              </w:tc>
              <w:tc>
                <w:tcPr>
                  <w:tcW w:w="2051" w:type="pct"/>
                  <w:vAlign w:val="center"/>
                </w:tcPr>
                <w:p w14:paraId="2F802E13">
                  <w:pPr>
                    <w:pStyle w:val="48"/>
                  </w:pPr>
                  <w:r>
                    <w:rPr>
                      <w:rFonts w:hint="eastAsia"/>
                    </w:rPr>
                    <w:t>执行标准</w:t>
                  </w:r>
                </w:p>
              </w:tc>
            </w:tr>
            <w:tr w14:paraId="19AC6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Align w:val="center"/>
                </w:tcPr>
                <w:p w14:paraId="5E64EE5A">
                  <w:pPr>
                    <w:pStyle w:val="48"/>
                  </w:pPr>
                  <w:r>
                    <w:rPr>
                      <w:rFonts w:hint="eastAsia"/>
                    </w:rPr>
                    <w:t>厂界</w:t>
                  </w:r>
                </w:p>
              </w:tc>
              <w:tc>
                <w:tcPr>
                  <w:tcW w:w="878" w:type="pct"/>
                  <w:vAlign w:val="center"/>
                </w:tcPr>
                <w:p w14:paraId="406C2D28">
                  <w:pPr>
                    <w:pStyle w:val="48"/>
                  </w:pPr>
                  <w:r>
                    <w:rPr>
                      <w:rFonts w:hint="eastAsia"/>
                    </w:rPr>
                    <w:t>NMHC</w:t>
                  </w:r>
                </w:p>
              </w:tc>
              <w:tc>
                <w:tcPr>
                  <w:tcW w:w="819" w:type="pct"/>
                  <w:vAlign w:val="center"/>
                </w:tcPr>
                <w:p w14:paraId="2FD250AB">
                  <w:pPr>
                    <w:pStyle w:val="48"/>
                  </w:pPr>
                  <w:r>
                    <w:rPr>
                      <w:rFonts w:hint="eastAsia"/>
                    </w:rPr>
                    <w:t>1次/年</w:t>
                  </w:r>
                </w:p>
              </w:tc>
              <w:tc>
                <w:tcPr>
                  <w:tcW w:w="2051" w:type="pct"/>
                  <w:vAlign w:val="center"/>
                </w:tcPr>
                <w:p w14:paraId="02CFF664">
                  <w:pPr>
                    <w:pStyle w:val="48"/>
                  </w:pPr>
                  <w:r>
                    <w:rPr>
                      <w:rFonts w:hint="eastAsia"/>
                    </w:rPr>
                    <w:t>《大气污染物综合排放标准》（GB16297-1996）</w:t>
                  </w:r>
                </w:p>
              </w:tc>
            </w:tr>
            <w:tr w14:paraId="1BF77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Align w:val="center"/>
                </w:tcPr>
                <w:p w14:paraId="66ADDE3B">
                  <w:pPr>
                    <w:pStyle w:val="48"/>
                  </w:pPr>
                  <w:r>
                    <w:rPr>
                      <w:rFonts w:hint="eastAsia"/>
                    </w:rPr>
                    <w:t>厂区内（厂房外）</w:t>
                  </w:r>
                </w:p>
              </w:tc>
              <w:tc>
                <w:tcPr>
                  <w:tcW w:w="878" w:type="pct"/>
                  <w:vAlign w:val="center"/>
                </w:tcPr>
                <w:p w14:paraId="2648F66F">
                  <w:pPr>
                    <w:pStyle w:val="48"/>
                  </w:pPr>
                  <w:r>
                    <w:rPr>
                      <w:rFonts w:hint="eastAsia"/>
                    </w:rPr>
                    <w:t>NMHC</w:t>
                  </w:r>
                </w:p>
              </w:tc>
              <w:tc>
                <w:tcPr>
                  <w:tcW w:w="819" w:type="pct"/>
                  <w:vAlign w:val="center"/>
                </w:tcPr>
                <w:p w14:paraId="45CF84A0">
                  <w:pPr>
                    <w:pStyle w:val="48"/>
                  </w:pPr>
                  <w:r>
                    <w:rPr>
                      <w:rFonts w:hint="eastAsia"/>
                    </w:rPr>
                    <w:t>1次/年</w:t>
                  </w:r>
                </w:p>
              </w:tc>
              <w:tc>
                <w:tcPr>
                  <w:tcW w:w="2051" w:type="pct"/>
                  <w:vAlign w:val="center"/>
                </w:tcPr>
                <w:p w14:paraId="1AE39DDC">
                  <w:pPr>
                    <w:pStyle w:val="48"/>
                  </w:pPr>
                  <w:r>
                    <w:rPr>
                      <w:rFonts w:hint="eastAsia"/>
                    </w:rPr>
                    <w:t>《挥发性有机物无组织排放控制标准》（</w:t>
                  </w:r>
                  <w:r>
                    <w:t>GB37822-2019）</w:t>
                  </w:r>
                </w:p>
              </w:tc>
            </w:tr>
          </w:tbl>
          <w:p w14:paraId="05B83568">
            <w:pPr>
              <w:pStyle w:val="25"/>
              <w:ind w:firstLine="480"/>
            </w:pPr>
            <w:r>
              <w:rPr>
                <w:rFonts w:hint="eastAsia"/>
              </w:rPr>
              <w:t>（5）废气环境影响小结</w:t>
            </w:r>
          </w:p>
          <w:p w14:paraId="5BA6C04E">
            <w:pPr>
              <w:pStyle w:val="25"/>
              <w:ind w:firstLine="480"/>
              <w:rPr>
                <w:rFonts w:hint="default"/>
                <w:u w:val="none"/>
                <w:lang w:val="en-US" w:eastAsia="zh-CN"/>
              </w:rPr>
            </w:pPr>
            <w:r>
              <w:rPr>
                <w:rFonts w:hint="eastAsia"/>
              </w:rPr>
              <w:t>综上所述，</w:t>
            </w:r>
            <w:r>
              <w:rPr>
                <w:rFonts w:hint="eastAsia"/>
                <w:lang w:val="en-US" w:eastAsia="zh-CN"/>
              </w:rPr>
              <w:t>本项目液化石油气装卸、贮存、充装等均采用全密封设备进行，倒残液工序也进行全密封操作，总体VOCs废气产生量较少，无组织排放可行，大气环境影响可接受</w:t>
            </w:r>
            <w:r>
              <w:rPr>
                <w:rFonts w:hint="eastAsia"/>
              </w:rPr>
              <w:t>。</w:t>
            </w:r>
          </w:p>
          <w:p w14:paraId="0F940105">
            <w:pPr>
              <w:pStyle w:val="25"/>
              <w:ind w:firstLine="480"/>
              <w:rPr>
                <w:rFonts w:hint="eastAsia"/>
                <w:u w:val="none"/>
                <w:lang w:val="en-US" w:eastAsia="zh-CN"/>
              </w:rPr>
            </w:pPr>
            <w:r>
              <w:rPr>
                <w:rFonts w:hint="eastAsia"/>
                <w:u w:val="none"/>
                <w:lang w:val="en-US" w:eastAsia="zh-CN"/>
              </w:rPr>
              <w:t>2、废水</w:t>
            </w:r>
          </w:p>
          <w:p w14:paraId="61AC12A6">
            <w:pPr>
              <w:pStyle w:val="25"/>
              <w:ind w:firstLine="480"/>
              <w:rPr>
                <w:rFonts w:hint="eastAsia"/>
                <w:u w:val="none"/>
                <w:lang w:val="en-US" w:eastAsia="zh-CN"/>
              </w:rPr>
            </w:pPr>
            <w:r>
              <w:rPr>
                <w:rFonts w:hint="eastAsia"/>
                <w:u w:val="none"/>
                <w:lang w:val="en-US" w:eastAsia="zh-CN"/>
              </w:rPr>
              <w:t>（1）污染源强核算</w:t>
            </w:r>
          </w:p>
          <w:p w14:paraId="69A7DCF1">
            <w:pPr>
              <w:pStyle w:val="25"/>
              <w:ind w:firstLine="480"/>
              <w:rPr>
                <w:rFonts w:hint="eastAsia"/>
                <w:u w:val="none"/>
                <w:lang w:val="en-US" w:eastAsia="zh-CN"/>
              </w:rPr>
            </w:pPr>
            <w:r>
              <w:rPr>
                <w:rFonts w:hint="eastAsia"/>
                <w:u w:val="none"/>
                <w:lang w:val="en-US" w:eastAsia="zh-CN"/>
              </w:rPr>
              <w:t>本项目无生产用水，也无生产废水产生，灌瓶车间地面采用干清洁方式，不适用水清洗地面，无清洁废水产生，项目产生的废水主要为生活污水。</w:t>
            </w:r>
          </w:p>
          <w:p w14:paraId="1702D672">
            <w:pPr>
              <w:pStyle w:val="25"/>
              <w:ind w:firstLine="480"/>
              <w:rPr>
                <w:rFonts w:hint="eastAsia"/>
                <w:lang w:val="en-US" w:eastAsia="zh-CN"/>
              </w:rPr>
            </w:pPr>
            <w:r>
              <w:rPr>
                <w:rFonts w:hint="eastAsia"/>
                <w:u w:val="none"/>
                <w:lang w:val="en-US" w:eastAsia="zh-CN"/>
              </w:rPr>
              <w:t>本项目劳动定员10人，生活污水产生量约为304m</w:t>
            </w:r>
            <w:r>
              <w:rPr>
                <w:rFonts w:hint="eastAsia"/>
                <w:u w:val="none"/>
                <w:vertAlign w:val="superscript"/>
                <w:lang w:val="en-US" w:eastAsia="zh-CN"/>
              </w:rPr>
              <w:t>3</w:t>
            </w:r>
            <w:r>
              <w:rPr>
                <w:rFonts w:hint="eastAsia"/>
                <w:u w:val="none"/>
                <w:vertAlign w:val="baseline"/>
                <w:lang w:val="en-US" w:eastAsia="zh-CN"/>
              </w:rPr>
              <w:t>/a（平均1.02m</w:t>
            </w:r>
            <w:r>
              <w:rPr>
                <w:rFonts w:hint="eastAsia"/>
                <w:u w:val="none"/>
                <w:vertAlign w:val="superscript"/>
                <w:lang w:val="en-US" w:eastAsia="zh-CN"/>
              </w:rPr>
              <w:t>3</w:t>
            </w:r>
            <w:r>
              <w:rPr>
                <w:rFonts w:hint="eastAsia"/>
                <w:u w:val="none"/>
                <w:vertAlign w:val="baseline"/>
                <w:lang w:val="en-US" w:eastAsia="zh-CN"/>
              </w:rPr>
              <w:t>/d），</w:t>
            </w:r>
            <w:r>
              <w:t>主要污染物产生浓度COD为300mg/L</w:t>
            </w:r>
            <w:r>
              <w:rPr>
                <w:rFonts w:hint="eastAsia"/>
                <w:lang w:eastAsia="zh-CN"/>
              </w:rPr>
              <w:t>、</w:t>
            </w:r>
            <w:r>
              <w:t>SS为250mg/L、氨氮为25mg/L</w:t>
            </w:r>
            <w:r>
              <w:rPr>
                <w:rFonts w:hint="eastAsia"/>
              </w:rPr>
              <w:t>、总磷为5m</w:t>
            </w:r>
            <w:r>
              <w:rPr>
                <w:rFonts w:hint="eastAsia"/>
                <w:lang w:val="en-US" w:eastAsia="zh-CN"/>
              </w:rPr>
              <w:t>g</w:t>
            </w:r>
            <w:r>
              <w:rPr>
                <w:rFonts w:hint="eastAsia"/>
              </w:rPr>
              <w:t>/L</w:t>
            </w:r>
            <w:r>
              <w:t>。</w:t>
            </w:r>
            <w:r>
              <w:rPr>
                <w:rFonts w:hint="eastAsia"/>
                <w:lang w:val="en-US" w:eastAsia="zh-CN"/>
              </w:rPr>
              <w:t>生活污水产生量较少，经化粪池处理后定期清掏用于周边农田施肥。</w:t>
            </w:r>
          </w:p>
          <w:p w14:paraId="5D76E9A5">
            <w:pPr>
              <w:pStyle w:val="25"/>
              <w:ind w:firstLine="480"/>
              <w:rPr>
                <w:rFonts w:hint="eastAsia"/>
                <w:lang w:val="en-US" w:eastAsia="zh-CN"/>
              </w:rPr>
            </w:pPr>
            <w:r>
              <w:rPr>
                <w:rFonts w:hint="eastAsia"/>
                <w:lang w:val="en-US" w:eastAsia="zh-CN"/>
              </w:rPr>
              <w:t>项目废水产排情况见下表：</w:t>
            </w:r>
          </w:p>
          <w:p w14:paraId="1DAF5D87">
            <w:pPr>
              <w:pStyle w:val="25"/>
              <w:ind w:firstLine="480"/>
              <w:rPr>
                <w:rFonts w:hint="eastAsia"/>
                <w:lang w:val="en-US" w:eastAsia="zh-CN"/>
              </w:rPr>
            </w:pPr>
          </w:p>
          <w:p w14:paraId="2B76B290">
            <w:pPr>
              <w:pStyle w:val="25"/>
              <w:ind w:firstLine="480"/>
              <w:rPr>
                <w:rFonts w:hint="eastAsia"/>
                <w:lang w:val="en-US" w:eastAsia="zh-CN"/>
              </w:rPr>
            </w:pPr>
          </w:p>
          <w:p w14:paraId="1C2EF86C">
            <w:pPr>
              <w:pStyle w:val="25"/>
              <w:ind w:firstLine="480"/>
              <w:rPr>
                <w:rFonts w:hint="eastAsia"/>
                <w:lang w:val="en-US" w:eastAsia="zh-CN"/>
              </w:rPr>
            </w:pPr>
          </w:p>
          <w:p w14:paraId="1209CAB2">
            <w:pPr>
              <w:pStyle w:val="25"/>
              <w:ind w:firstLine="480"/>
              <w:rPr>
                <w:rFonts w:hint="eastAsia"/>
                <w:lang w:val="en-US" w:eastAsia="zh-CN"/>
              </w:rPr>
            </w:pPr>
          </w:p>
          <w:p w14:paraId="66C25387">
            <w:pPr>
              <w:pStyle w:val="63"/>
              <w:bidi w:val="0"/>
            </w:pPr>
            <w:r>
              <w:rPr>
                <w:rFonts w:hint="eastAsia"/>
              </w:rPr>
              <w:t>表4-</w:t>
            </w:r>
            <w:r>
              <w:rPr>
                <w:rFonts w:hint="eastAsia"/>
                <w:lang w:val="en-US" w:eastAsia="zh-CN"/>
              </w:rPr>
              <w:t>5</w:t>
            </w:r>
            <w:r>
              <w:rPr>
                <w:rFonts w:hint="eastAsia"/>
              </w:rPr>
              <w:t>废水产排污情况表</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9"/>
              <w:gridCol w:w="1040"/>
              <w:gridCol w:w="1140"/>
              <w:gridCol w:w="860"/>
              <w:gridCol w:w="1060"/>
              <w:gridCol w:w="840"/>
              <w:gridCol w:w="920"/>
              <w:gridCol w:w="873"/>
            </w:tblGrid>
            <w:tr w14:paraId="5288A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40" w:type="dxa"/>
                  <w:vAlign w:val="center"/>
                </w:tcPr>
                <w:p w14:paraId="480B585B">
                  <w:pPr>
                    <w:pStyle w:val="26"/>
                    <w:bidi w:val="0"/>
                  </w:pPr>
                  <w:r>
                    <w:rPr>
                      <w:rFonts w:hint="eastAsia"/>
                    </w:rPr>
                    <w:t>废水类别及产生量</w:t>
                  </w:r>
                </w:p>
              </w:tc>
              <w:tc>
                <w:tcPr>
                  <w:tcW w:w="2180" w:type="dxa"/>
                  <w:gridSpan w:val="2"/>
                  <w:vAlign w:val="center"/>
                </w:tcPr>
                <w:p w14:paraId="76496DA0">
                  <w:pPr>
                    <w:pStyle w:val="26"/>
                    <w:bidi w:val="0"/>
                  </w:pPr>
                  <w:r>
                    <w:rPr>
                      <w:rFonts w:hint="eastAsia"/>
                    </w:rPr>
                    <w:t>指标</w:t>
                  </w:r>
                </w:p>
              </w:tc>
              <w:tc>
                <w:tcPr>
                  <w:tcW w:w="860" w:type="dxa"/>
                  <w:shd w:val="clear" w:color="auto" w:fill="auto"/>
                  <w:vAlign w:val="center"/>
                </w:tcPr>
                <w:p w14:paraId="79FF99C5">
                  <w:pPr>
                    <w:pStyle w:val="26"/>
                    <w:bidi w:val="0"/>
                  </w:pPr>
                  <w:r>
                    <w:rPr>
                      <w:rFonts w:hint="eastAsia"/>
                    </w:rPr>
                    <w:t>COD</w:t>
                  </w:r>
                </w:p>
              </w:tc>
              <w:tc>
                <w:tcPr>
                  <w:tcW w:w="1060" w:type="dxa"/>
                  <w:shd w:val="clear" w:color="auto" w:fill="auto"/>
                  <w:vAlign w:val="center"/>
                </w:tcPr>
                <w:p w14:paraId="5DBB0424">
                  <w:pPr>
                    <w:pStyle w:val="26"/>
                    <w:bidi w:val="0"/>
                  </w:pPr>
                  <w:r>
                    <w:rPr>
                      <w:rFonts w:hint="eastAsia"/>
                    </w:rPr>
                    <w:t>BOD</w:t>
                  </w:r>
                  <w:r>
                    <w:rPr>
                      <w:rFonts w:hint="eastAsia"/>
                      <w:vertAlign w:val="subscript"/>
                    </w:rPr>
                    <w:t>5</w:t>
                  </w:r>
                </w:p>
              </w:tc>
              <w:tc>
                <w:tcPr>
                  <w:tcW w:w="840" w:type="dxa"/>
                  <w:shd w:val="clear" w:color="auto" w:fill="auto"/>
                  <w:vAlign w:val="center"/>
                </w:tcPr>
                <w:p w14:paraId="6A9AB05E">
                  <w:pPr>
                    <w:pStyle w:val="26"/>
                    <w:bidi w:val="0"/>
                  </w:pPr>
                  <w:r>
                    <w:t>NH</w:t>
                  </w:r>
                  <w:r>
                    <w:rPr>
                      <w:vertAlign w:val="subscript"/>
                    </w:rPr>
                    <w:t>3</w:t>
                  </w:r>
                  <w:r>
                    <w:t>-N</w:t>
                  </w:r>
                </w:p>
              </w:tc>
              <w:tc>
                <w:tcPr>
                  <w:tcW w:w="920" w:type="dxa"/>
                  <w:vAlign w:val="center"/>
                </w:tcPr>
                <w:p w14:paraId="4B6CF771">
                  <w:pPr>
                    <w:pStyle w:val="26"/>
                    <w:bidi w:val="0"/>
                  </w:pPr>
                  <w:r>
                    <w:rPr>
                      <w:rFonts w:hint="eastAsia"/>
                    </w:rPr>
                    <w:t>SS</w:t>
                  </w:r>
                </w:p>
              </w:tc>
              <w:tc>
                <w:tcPr>
                  <w:tcW w:w="873" w:type="dxa"/>
                  <w:vAlign w:val="center"/>
                </w:tcPr>
                <w:p w14:paraId="2E5D761B">
                  <w:pPr>
                    <w:pStyle w:val="26"/>
                    <w:bidi w:val="0"/>
                  </w:pPr>
                  <w:r>
                    <w:rPr>
                      <w:rFonts w:hint="eastAsia"/>
                    </w:rPr>
                    <w:t>总磷</w:t>
                  </w:r>
                </w:p>
              </w:tc>
            </w:tr>
            <w:tr w14:paraId="22BF4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restart"/>
                  <w:vAlign w:val="center"/>
                </w:tcPr>
                <w:p w14:paraId="60205301">
                  <w:pPr>
                    <w:pStyle w:val="26"/>
                    <w:bidi w:val="0"/>
                  </w:pPr>
                  <w:r>
                    <w:rPr>
                      <w:rFonts w:hint="eastAsia"/>
                    </w:rPr>
                    <w:t>生活污水3</w:t>
                  </w:r>
                  <w:r>
                    <w:rPr>
                      <w:rFonts w:hint="eastAsia"/>
                      <w:lang w:val="en-US" w:eastAsia="zh-CN"/>
                    </w:rPr>
                    <w:t>0</w:t>
                  </w:r>
                  <w:r>
                    <w:rPr>
                      <w:rFonts w:hint="eastAsia"/>
                    </w:rPr>
                    <w:t>4m</w:t>
                  </w:r>
                  <w:r>
                    <w:rPr>
                      <w:rFonts w:hint="eastAsia"/>
                      <w:vertAlign w:val="superscript"/>
                    </w:rPr>
                    <w:t>3</w:t>
                  </w:r>
                </w:p>
              </w:tc>
              <w:tc>
                <w:tcPr>
                  <w:tcW w:w="1040" w:type="dxa"/>
                  <w:vMerge w:val="restart"/>
                  <w:vAlign w:val="center"/>
                </w:tcPr>
                <w:p w14:paraId="531D49BE">
                  <w:pPr>
                    <w:pStyle w:val="26"/>
                    <w:bidi w:val="0"/>
                  </w:pPr>
                  <w:r>
                    <w:rPr>
                      <w:rFonts w:hint="eastAsia"/>
                    </w:rPr>
                    <w:t>产生情况</w:t>
                  </w:r>
                </w:p>
              </w:tc>
              <w:tc>
                <w:tcPr>
                  <w:tcW w:w="1140" w:type="dxa"/>
                  <w:vAlign w:val="center"/>
                </w:tcPr>
                <w:p w14:paraId="25A2EBF2">
                  <w:pPr>
                    <w:pStyle w:val="26"/>
                    <w:bidi w:val="0"/>
                  </w:pPr>
                  <w:r>
                    <w:t>产生浓度</w:t>
                  </w:r>
                </w:p>
                <w:p w14:paraId="7642684B">
                  <w:pPr>
                    <w:pStyle w:val="26"/>
                    <w:bidi w:val="0"/>
                  </w:pPr>
                  <w:r>
                    <w:t>（mg/L）</w:t>
                  </w:r>
                </w:p>
              </w:tc>
              <w:tc>
                <w:tcPr>
                  <w:tcW w:w="860" w:type="dxa"/>
                  <w:vAlign w:val="center"/>
                </w:tcPr>
                <w:p w14:paraId="6CA80D17">
                  <w:pPr>
                    <w:pStyle w:val="26"/>
                    <w:bidi w:val="0"/>
                  </w:pPr>
                  <w:r>
                    <w:rPr>
                      <w:rFonts w:hint="eastAsia"/>
                    </w:rPr>
                    <w:t>300</w:t>
                  </w:r>
                </w:p>
              </w:tc>
              <w:tc>
                <w:tcPr>
                  <w:tcW w:w="1060" w:type="dxa"/>
                  <w:vAlign w:val="center"/>
                </w:tcPr>
                <w:p w14:paraId="060B1156">
                  <w:pPr>
                    <w:pStyle w:val="26"/>
                    <w:bidi w:val="0"/>
                  </w:pPr>
                  <w:r>
                    <w:rPr>
                      <w:rFonts w:hint="eastAsia"/>
                    </w:rPr>
                    <w:t>250</w:t>
                  </w:r>
                </w:p>
              </w:tc>
              <w:tc>
                <w:tcPr>
                  <w:tcW w:w="840" w:type="dxa"/>
                  <w:vAlign w:val="center"/>
                </w:tcPr>
                <w:p w14:paraId="71A4CBF5">
                  <w:pPr>
                    <w:pStyle w:val="26"/>
                    <w:bidi w:val="0"/>
                  </w:pPr>
                  <w:r>
                    <w:rPr>
                      <w:rFonts w:hint="eastAsia"/>
                    </w:rPr>
                    <w:t>25</w:t>
                  </w:r>
                </w:p>
              </w:tc>
              <w:tc>
                <w:tcPr>
                  <w:tcW w:w="920" w:type="dxa"/>
                  <w:vAlign w:val="center"/>
                </w:tcPr>
                <w:p w14:paraId="5A316D4A">
                  <w:pPr>
                    <w:pStyle w:val="26"/>
                    <w:bidi w:val="0"/>
                  </w:pPr>
                  <w:r>
                    <w:rPr>
                      <w:rFonts w:hint="eastAsia"/>
                    </w:rPr>
                    <w:t>250</w:t>
                  </w:r>
                </w:p>
              </w:tc>
              <w:tc>
                <w:tcPr>
                  <w:tcW w:w="873" w:type="dxa"/>
                  <w:vAlign w:val="center"/>
                </w:tcPr>
                <w:p w14:paraId="353A9051">
                  <w:pPr>
                    <w:pStyle w:val="26"/>
                    <w:bidi w:val="0"/>
                  </w:pPr>
                  <w:r>
                    <w:rPr>
                      <w:rFonts w:hint="eastAsia"/>
                    </w:rPr>
                    <w:t>5</w:t>
                  </w:r>
                </w:p>
              </w:tc>
            </w:tr>
            <w:tr w14:paraId="09454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continue"/>
                  <w:vAlign w:val="center"/>
                </w:tcPr>
                <w:p w14:paraId="1EB3AA82">
                  <w:pPr>
                    <w:pStyle w:val="26"/>
                    <w:bidi w:val="0"/>
                  </w:pPr>
                </w:p>
              </w:tc>
              <w:tc>
                <w:tcPr>
                  <w:tcW w:w="1040" w:type="dxa"/>
                  <w:vMerge w:val="continue"/>
                  <w:vAlign w:val="center"/>
                </w:tcPr>
                <w:p w14:paraId="6DA1060E">
                  <w:pPr>
                    <w:pStyle w:val="26"/>
                    <w:bidi w:val="0"/>
                  </w:pPr>
                </w:p>
              </w:tc>
              <w:tc>
                <w:tcPr>
                  <w:tcW w:w="1140" w:type="dxa"/>
                  <w:vAlign w:val="center"/>
                </w:tcPr>
                <w:p w14:paraId="55723634">
                  <w:pPr>
                    <w:pStyle w:val="26"/>
                    <w:bidi w:val="0"/>
                  </w:pPr>
                  <w:r>
                    <w:t>产生量（t/a）</w:t>
                  </w:r>
                </w:p>
              </w:tc>
              <w:tc>
                <w:tcPr>
                  <w:tcW w:w="860" w:type="dxa"/>
                  <w:vAlign w:val="center"/>
                </w:tcPr>
                <w:p w14:paraId="1996511E">
                  <w:pPr>
                    <w:pStyle w:val="26"/>
                    <w:bidi w:val="0"/>
                    <w:rPr>
                      <w:rFonts w:hint="default" w:eastAsia="宋体"/>
                      <w:lang w:val="en-US" w:eastAsia="zh-CN"/>
                    </w:rPr>
                  </w:pPr>
                  <w:r>
                    <w:rPr>
                      <w:rFonts w:hint="eastAsia"/>
                      <w:lang w:val="en-US" w:eastAsia="zh-CN"/>
                    </w:rPr>
                    <w:t>0.091</w:t>
                  </w:r>
                </w:p>
              </w:tc>
              <w:tc>
                <w:tcPr>
                  <w:tcW w:w="1060" w:type="dxa"/>
                  <w:vAlign w:val="center"/>
                </w:tcPr>
                <w:p w14:paraId="36B2B8C7">
                  <w:pPr>
                    <w:pStyle w:val="26"/>
                    <w:bidi w:val="0"/>
                    <w:rPr>
                      <w:rFonts w:hint="default" w:eastAsia="宋体"/>
                      <w:lang w:val="en-US" w:eastAsia="zh-CN"/>
                    </w:rPr>
                  </w:pPr>
                  <w:r>
                    <w:rPr>
                      <w:rFonts w:hint="eastAsia"/>
                      <w:lang w:val="en-US" w:eastAsia="zh-CN"/>
                    </w:rPr>
                    <w:t>0.076</w:t>
                  </w:r>
                </w:p>
              </w:tc>
              <w:tc>
                <w:tcPr>
                  <w:tcW w:w="840" w:type="dxa"/>
                  <w:vAlign w:val="center"/>
                </w:tcPr>
                <w:p w14:paraId="01676BB6">
                  <w:pPr>
                    <w:pStyle w:val="26"/>
                    <w:bidi w:val="0"/>
                    <w:rPr>
                      <w:rFonts w:hint="default" w:eastAsia="宋体"/>
                      <w:lang w:val="en-US" w:eastAsia="zh-CN"/>
                    </w:rPr>
                  </w:pPr>
                  <w:r>
                    <w:rPr>
                      <w:rFonts w:hint="eastAsia"/>
                      <w:lang w:val="en-US" w:eastAsia="zh-CN"/>
                    </w:rPr>
                    <w:t>0.008</w:t>
                  </w:r>
                </w:p>
              </w:tc>
              <w:tc>
                <w:tcPr>
                  <w:tcW w:w="920" w:type="dxa"/>
                  <w:vAlign w:val="center"/>
                </w:tcPr>
                <w:p w14:paraId="779BC82E">
                  <w:pPr>
                    <w:pStyle w:val="26"/>
                    <w:bidi w:val="0"/>
                    <w:rPr>
                      <w:rFonts w:hint="default" w:eastAsia="宋体"/>
                      <w:lang w:val="en-US" w:eastAsia="zh-CN"/>
                    </w:rPr>
                  </w:pPr>
                  <w:r>
                    <w:rPr>
                      <w:rFonts w:hint="eastAsia"/>
                      <w:lang w:val="en-US" w:eastAsia="zh-CN"/>
                    </w:rPr>
                    <w:t>0.076</w:t>
                  </w:r>
                </w:p>
              </w:tc>
              <w:tc>
                <w:tcPr>
                  <w:tcW w:w="873" w:type="dxa"/>
                  <w:vAlign w:val="center"/>
                </w:tcPr>
                <w:p w14:paraId="2E5B8D37">
                  <w:pPr>
                    <w:pStyle w:val="26"/>
                    <w:bidi w:val="0"/>
                    <w:rPr>
                      <w:rFonts w:hint="default" w:eastAsia="宋体"/>
                      <w:lang w:val="en-US" w:eastAsia="zh-CN"/>
                    </w:rPr>
                  </w:pPr>
                  <w:r>
                    <w:rPr>
                      <w:rFonts w:hint="eastAsia"/>
                      <w:lang w:val="en-US" w:eastAsia="zh-CN"/>
                    </w:rPr>
                    <w:t>0.002</w:t>
                  </w:r>
                </w:p>
              </w:tc>
            </w:tr>
            <w:tr w14:paraId="2BA0F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continue"/>
                  <w:vAlign w:val="center"/>
                </w:tcPr>
                <w:p w14:paraId="422C261E">
                  <w:pPr>
                    <w:pStyle w:val="26"/>
                    <w:bidi w:val="0"/>
                  </w:pPr>
                </w:p>
              </w:tc>
              <w:tc>
                <w:tcPr>
                  <w:tcW w:w="1040" w:type="dxa"/>
                  <w:vMerge w:val="restart"/>
                  <w:vAlign w:val="center"/>
                </w:tcPr>
                <w:p w14:paraId="32BF2A09">
                  <w:pPr>
                    <w:pStyle w:val="26"/>
                    <w:bidi w:val="0"/>
                  </w:pPr>
                  <w:r>
                    <w:t>拟经</w:t>
                  </w:r>
                  <w:r>
                    <w:rPr>
                      <w:rFonts w:hint="eastAsia"/>
                    </w:rPr>
                    <w:t>化</w:t>
                  </w:r>
                  <w:r>
                    <w:t>粪池处理后</w:t>
                  </w:r>
                </w:p>
              </w:tc>
              <w:tc>
                <w:tcPr>
                  <w:tcW w:w="1140" w:type="dxa"/>
                  <w:shd w:val="clear" w:color="auto" w:fill="auto"/>
                  <w:vAlign w:val="center"/>
                </w:tcPr>
                <w:p w14:paraId="6ABC6CA4">
                  <w:pPr>
                    <w:pStyle w:val="26"/>
                    <w:bidi w:val="0"/>
                  </w:pPr>
                  <w:r>
                    <w:rPr>
                      <w:rFonts w:hint="eastAsia"/>
                    </w:rPr>
                    <w:t>排放</w:t>
                  </w:r>
                  <w:r>
                    <w:t>浓度</w:t>
                  </w:r>
                </w:p>
                <w:p w14:paraId="59A0B375">
                  <w:pPr>
                    <w:pStyle w:val="26"/>
                    <w:bidi w:val="0"/>
                  </w:pPr>
                  <w:r>
                    <w:t>（mg/L）</w:t>
                  </w:r>
                </w:p>
              </w:tc>
              <w:tc>
                <w:tcPr>
                  <w:tcW w:w="860" w:type="dxa"/>
                  <w:vAlign w:val="center"/>
                </w:tcPr>
                <w:p w14:paraId="05116E38">
                  <w:pPr>
                    <w:pStyle w:val="26"/>
                    <w:bidi w:val="0"/>
                  </w:pPr>
                  <w:r>
                    <w:rPr>
                      <w:rFonts w:hint="eastAsia"/>
                    </w:rPr>
                    <w:t>250</w:t>
                  </w:r>
                </w:p>
              </w:tc>
              <w:tc>
                <w:tcPr>
                  <w:tcW w:w="1060" w:type="dxa"/>
                  <w:vAlign w:val="center"/>
                </w:tcPr>
                <w:p w14:paraId="08BDFE3D">
                  <w:pPr>
                    <w:pStyle w:val="26"/>
                    <w:bidi w:val="0"/>
                  </w:pPr>
                  <w:r>
                    <w:rPr>
                      <w:rFonts w:hint="eastAsia"/>
                    </w:rPr>
                    <w:t>200</w:t>
                  </w:r>
                </w:p>
              </w:tc>
              <w:tc>
                <w:tcPr>
                  <w:tcW w:w="840" w:type="dxa"/>
                  <w:vAlign w:val="center"/>
                </w:tcPr>
                <w:p w14:paraId="7BCF1DDB">
                  <w:pPr>
                    <w:pStyle w:val="26"/>
                    <w:bidi w:val="0"/>
                  </w:pPr>
                  <w:r>
                    <w:rPr>
                      <w:rFonts w:hint="eastAsia"/>
                    </w:rPr>
                    <w:t>25</w:t>
                  </w:r>
                </w:p>
              </w:tc>
              <w:tc>
                <w:tcPr>
                  <w:tcW w:w="920" w:type="dxa"/>
                  <w:vAlign w:val="center"/>
                </w:tcPr>
                <w:p w14:paraId="53B9677F">
                  <w:pPr>
                    <w:pStyle w:val="26"/>
                    <w:bidi w:val="0"/>
                  </w:pPr>
                  <w:r>
                    <w:rPr>
                      <w:rFonts w:hint="eastAsia"/>
                    </w:rPr>
                    <w:t>200</w:t>
                  </w:r>
                </w:p>
              </w:tc>
              <w:tc>
                <w:tcPr>
                  <w:tcW w:w="873" w:type="dxa"/>
                  <w:vAlign w:val="center"/>
                </w:tcPr>
                <w:p w14:paraId="0AC4669B">
                  <w:pPr>
                    <w:pStyle w:val="26"/>
                    <w:bidi w:val="0"/>
                  </w:pPr>
                  <w:r>
                    <w:rPr>
                      <w:rFonts w:hint="eastAsia"/>
                    </w:rPr>
                    <w:t>5</w:t>
                  </w:r>
                </w:p>
              </w:tc>
            </w:tr>
            <w:tr w14:paraId="6C185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continue"/>
                  <w:vAlign w:val="center"/>
                </w:tcPr>
                <w:p w14:paraId="596105C5">
                  <w:pPr>
                    <w:pStyle w:val="26"/>
                    <w:bidi w:val="0"/>
                  </w:pPr>
                </w:p>
              </w:tc>
              <w:tc>
                <w:tcPr>
                  <w:tcW w:w="1040" w:type="dxa"/>
                  <w:vMerge w:val="continue"/>
                  <w:vAlign w:val="center"/>
                </w:tcPr>
                <w:p w14:paraId="7A2731D3">
                  <w:pPr>
                    <w:pStyle w:val="26"/>
                    <w:bidi w:val="0"/>
                  </w:pPr>
                </w:p>
              </w:tc>
              <w:tc>
                <w:tcPr>
                  <w:tcW w:w="1140" w:type="dxa"/>
                  <w:shd w:val="clear" w:color="auto" w:fill="auto"/>
                  <w:vAlign w:val="center"/>
                </w:tcPr>
                <w:p w14:paraId="4CAF74FF">
                  <w:pPr>
                    <w:pStyle w:val="26"/>
                    <w:bidi w:val="0"/>
                  </w:pPr>
                  <w:r>
                    <w:rPr>
                      <w:rFonts w:hint="eastAsia"/>
                    </w:rPr>
                    <w:t>排放</w:t>
                  </w:r>
                  <w:r>
                    <w:t>量（t/a）</w:t>
                  </w:r>
                </w:p>
              </w:tc>
              <w:tc>
                <w:tcPr>
                  <w:tcW w:w="860" w:type="dxa"/>
                  <w:vAlign w:val="center"/>
                </w:tcPr>
                <w:p w14:paraId="02283288">
                  <w:pPr>
                    <w:pStyle w:val="26"/>
                    <w:bidi w:val="0"/>
                    <w:rPr>
                      <w:rFonts w:hint="default" w:eastAsia="宋体"/>
                      <w:lang w:val="en-US" w:eastAsia="zh-CN"/>
                    </w:rPr>
                  </w:pPr>
                  <w:r>
                    <w:rPr>
                      <w:rFonts w:hint="eastAsia"/>
                      <w:lang w:val="en-US" w:eastAsia="zh-CN"/>
                    </w:rPr>
                    <w:t>0.076</w:t>
                  </w:r>
                </w:p>
              </w:tc>
              <w:tc>
                <w:tcPr>
                  <w:tcW w:w="1060" w:type="dxa"/>
                  <w:vAlign w:val="center"/>
                </w:tcPr>
                <w:p w14:paraId="5B27415A">
                  <w:pPr>
                    <w:pStyle w:val="26"/>
                    <w:bidi w:val="0"/>
                    <w:rPr>
                      <w:rFonts w:hint="default" w:eastAsia="宋体"/>
                      <w:lang w:val="en-US" w:eastAsia="zh-CN"/>
                    </w:rPr>
                  </w:pPr>
                  <w:r>
                    <w:rPr>
                      <w:rFonts w:hint="eastAsia"/>
                      <w:lang w:val="en-US" w:eastAsia="zh-CN"/>
                    </w:rPr>
                    <w:t>0.061</w:t>
                  </w:r>
                </w:p>
              </w:tc>
              <w:tc>
                <w:tcPr>
                  <w:tcW w:w="840" w:type="dxa"/>
                  <w:vAlign w:val="center"/>
                </w:tcPr>
                <w:p w14:paraId="0C031183">
                  <w:pPr>
                    <w:pStyle w:val="26"/>
                    <w:bidi w:val="0"/>
                    <w:rPr>
                      <w:rFonts w:hint="default" w:eastAsia="宋体"/>
                      <w:lang w:val="en-US" w:eastAsia="zh-CN"/>
                    </w:rPr>
                  </w:pPr>
                  <w:r>
                    <w:rPr>
                      <w:rFonts w:hint="eastAsia"/>
                      <w:lang w:val="en-US" w:eastAsia="zh-CN"/>
                    </w:rPr>
                    <w:t>0.008</w:t>
                  </w:r>
                </w:p>
              </w:tc>
              <w:tc>
                <w:tcPr>
                  <w:tcW w:w="920" w:type="dxa"/>
                  <w:vAlign w:val="center"/>
                </w:tcPr>
                <w:p w14:paraId="6CC383B6">
                  <w:pPr>
                    <w:pStyle w:val="26"/>
                    <w:bidi w:val="0"/>
                    <w:rPr>
                      <w:rFonts w:hint="default" w:eastAsia="宋体"/>
                      <w:lang w:val="en-US" w:eastAsia="zh-CN"/>
                    </w:rPr>
                  </w:pPr>
                  <w:r>
                    <w:rPr>
                      <w:rFonts w:hint="eastAsia"/>
                      <w:lang w:val="en-US" w:eastAsia="zh-CN"/>
                    </w:rPr>
                    <w:t>0.061</w:t>
                  </w:r>
                </w:p>
              </w:tc>
              <w:tc>
                <w:tcPr>
                  <w:tcW w:w="873" w:type="dxa"/>
                  <w:vAlign w:val="center"/>
                </w:tcPr>
                <w:p w14:paraId="23A0D501">
                  <w:pPr>
                    <w:pStyle w:val="26"/>
                    <w:bidi w:val="0"/>
                    <w:rPr>
                      <w:rFonts w:hint="default" w:eastAsia="宋体"/>
                      <w:lang w:val="en-US" w:eastAsia="zh-CN"/>
                    </w:rPr>
                  </w:pPr>
                  <w:r>
                    <w:rPr>
                      <w:rFonts w:hint="eastAsia"/>
                      <w:lang w:val="en-US" w:eastAsia="zh-CN"/>
                    </w:rPr>
                    <w:t>0.002</w:t>
                  </w:r>
                </w:p>
              </w:tc>
            </w:tr>
          </w:tbl>
          <w:p w14:paraId="3E1FBD55">
            <w:pPr>
              <w:pStyle w:val="25"/>
              <w:ind w:firstLine="480"/>
              <w:rPr>
                <w:rFonts w:hint="eastAsia"/>
                <w:lang w:val="en-US" w:eastAsia="zh-CN"/>
              </w:rPr>
            </w:pPr>
            <w:r>
              <w:rPr>
                <w:rFonts w:hint="eastAsia"/>
                <w:lang w:val="en-US" w:eastAsia="zh-CN"/>
              </w:rPr>
              <w:t>（2）废水处理措施可行性分析</w:t>
            </w:r>
          </w:p>
          <w:p w14:paraId="6818A50B">
            <w:pPr>
              <w:pStyle w:val="25"/>
              <w:ind w:firstLine="480"/>
              <w:rPr>
                <w:rFonts w:hint="default"/>
                <w:lang w:val="en-US" w:eastAsia="zh-CN"/>
              </w:rPr>
            </w:pPr>
            <w:r>
              <w:rPr>
                <w:rFonts w:hint="eastAsia"/>
                <w:lang w:val="en-US" w:eastAsia="zh-CN"/>
              </w:rPr>
              <w:t>生活污水经化粪池处理后属于</w:t>
            </w:r>
            <w:r>
              <w:rPr>
                <w:rFonts w:hint="eastAsia"/>
                <w:u w:val="none"/>
                <w:vertAlign w:val="baseline"/>
                <w:lang w:val="en-US" w:eastAsia="zh-CN"/>
              </w:rPr>
              <w:t>腐熟农家肥，其中氮磷成分较多，可补充土壤营养，改善土壤结构，增加微生物活性，且含水率较高，可替代部分灌溉用水，经化粪池处理后用于农田施肥可行。</w:t>
            </w:r>
          </w:p>
          <w:p w14:paraId="6833E67A">
            <w:pPr>
              <w:pStyle w:val="25"/>
              <w:ind w:firstLine="480"/>
              <w:rPr>
                <w:rFonts w:hint="default"/>
                <w:lang w:val="en-US" w:eastAsia="zh-CN"/>
              </w:rPr>
            </w:pPr>
            <w:r>
              <w:rPr>
                <w:rFonts w:hint="eastAsia"/>
                <w:lang w:val="en-US" w:eastAsia="zh-CN"/>
              </w:rPr>
              <w:t>本项目生活污水产生量较少，仅</w:t>
            </w:r>
            <w:r>
              <w:rPr>
                <w:rFonts w:hint="eastAsia"/>
                <w:u w:val="none"/>
                <w:lang w:val="en-US" w:eastAsia="zh-CN"/>
              </w:rPr>
              <w:t>304m</w:t>
            </w:r>
            <w:r>
              <w:rPr>
                <w:rFonts w:hint="eastAsia"/>
                <w:u w:val="none"/>
                <w:vertAlign w:val="superscript"/>
                <w:lang w:val="en-US" w:eastAsia="zh-CN"/>
              </w:rPr>
              <w:t>3</w:t>
            </w:r>
            <w:r>
              <w:rPr>
                <w:rFonts w:hint="eastAsia"/>
                <w:u w:val="none"/>
                <w:vertAlign w:val="baseline"/>
                <w:lang w:val="en-US" w:eastAsia="zh-CN"/>
              </w:rPr>
              <w:t>/a（平均1.02m</w:t>
            </w:r>
            <w:r>
              <w:rPr>
                <w:rFonts w:hint="eastAsia"/>
                <w:u w:val="none"/>
                <w:vertAlign w:val="superscript"/>
                <w:lang w:val="en-US" w:eastAsia="zh-CN"/>
              </w:rPr>
              <w:t>3</w:t>
            </w:r>
            <w:r>
              <w:rPr>
                <w:rFonts w:hint="eastAsia"/>
                <w:u w:val="none"/>
                <w:vertAlign w:val="baseline"/>
                <w:lang w:val="en-US" w:eastAsia="zh-CN"/>
              </w:rPr>
              <w:t>/d），项目周边农田分布较为广泛，项目周边500m范围内农田面积就超过200亩，周边农田大多采用稻油轮作的种植方式，每年施肥次数约为6~7次（本次按施肥6次计算），按有机肥使用的话，每亩每次可消耗腐熟农家肥2000~3000kg（本次按最不利情况2000kg计算），则项目西侧30亩农田可消耗腐熟农家肥2400t，足够消纳本项目产生的生活污水。</w:t>
            </w:r>
          </w:p>
          <w:p w14:paraId="10D3E7E9">
            <w:pPr>
              <w:pStyle w:val="25"/>
              <w:ind w:firstLine="480"/>
              <w:rPr>
                <w:rFonts w:hint="eastAsia"/>
                <w:lang w:val="en-US" w:eastAsia="zh-CN"/>
              </w:rPr>
            </w:pPr>
            <w:r>
              <w:rPr>
                <w:rFonts w:hint="eastAsia"/>
                <w:lang w:val="en-US" w:eastAsia="zh-CN"/>
              </w:rPr>
              <w:t>综上所述，本项目生活污水经化粪池处理后用作农肥可行。</w:t>
            </w:r>
          </w:p>
          <w:p w14:paraId="1940D290">
            <w:pPr>
              <w:pStyle w:val="25"/>
              <w:ind w:firstLine="480"/>
              <w:rPr>
                <w:rFonts w:hint="eastAsia"/>
                <w:lang w:val="en-US" w:eastAsia="zh-CN"/>
              </w:rPr>
            </w:pPr>
            <w:r>
              <w:rPr>
                <w:rFonts w:hint="eastAsia"/>
                <w:lang w:val="en-US" w:eastAsia="zh-CN"/>
              </w:rPr>
              <w:t>（3）废水监测计划</w:t>
            </w:r>
          </w:p>
          <w:p w14:paraId="517F8765">
            <w:pPr>
              <w:pStyle w:val="25"/>
              <w:ind w:firstLine="480"/>
              <w:rPr>
                <w:rFonts w:hint="eastAsia"/>
                <w:lang w:val="en-US" w:eastAsia="zh-CN"/>
              </w:rPr>
            </w:pPr>
            <w:r>
              <w:rPr>
                <w:rFonts w:hint="eastAsia"/>
                <w:lang w:val="en-US" w:eastAsia="zh-CN"/>
              </w:rPr>
              <w:t>本项目不外排生产废水，生活污水经化粪池处理后用于农田施肥，运营期可不进行监测。</w:t>
            </w:r>
          </w:p>
          <w:p w14:paraId="650DE817">
            <w:pPr>
              <w:pStyle w:val="25"/>
              <w:ind w:firstLine="480"/>
              <w:rPr>
                <w:rFonts w:hint="eastAsia"/>
                <w:lang w:val="en-US" w:eastAsia="zh-CN"/>
              </w:rPr>
            </w:pPr>
            <w:r>
              <w:rPr>
                <w:rFonts w:hint="eastAsia"/>
                <w:lang w:val="en-US" w:eastAsia="zh-CN"/>
              </w:rPr>
              <w:t>（4）小结</w:t>
            </w:r>
          </w:p>
          <w:p w14:paraId="685EB59F">
            <w:pPr>
              <w:pStyle w:val="25"/>
              <w:ind w:firstLine="480"/>
              <w:rPr>
                <w:rFonts w:hint="eastAsia"/>
              </w:rPr>
            </w:pPr>
            <w:r>
              <w:rPr>
                <w:rFonts w:hint="eastAsia"/>
                <w:lang w:val="en-US" w:eastAsia="zh-CN"/>
              </w:rPr>
              <w:t>本项目无生产废水产生，经论证，生活污水经化粪池处理后用于农田施肥可行，</w:t>
            </w:r>
            <w:r>
              <w:rPr>
                <w:rFonts w:hint="eastAsia"/>
              </w:rPr>
              <w:t>因此项目地表水环境影响可以接受。</w:t>
            </w:r>
          </w:p>
          <w:p w14:paraId="3AA1173D">
            <w:pPr>
              <w:pStyle w:val="25"/>
              <w:ind w:firstLine="480"/>
              <w:rPr>
                <w:rFonts w:hint="eastAsia"/>
                <w:lang w:val="en-US" w:eastAsia="zh-CN"/>
              </w:rPr>
            </w:pPr>
            <w:r>
              <w:rPr>
                <w:rFonts w:hint="eastAsia"/>
                <w:lang w:val="en-US" w:eastAsia="zh-CN"/>
              </w:rPr>
              <w:t>3、噪声</w:t>
            </w:r>
          </w:p>
          <w:p w14:paraId="117B1AFC">
            <w:pPr>
              <w:pStyle w:val="25"/>
              <w:ind w:firstLine="480"/>
              <w:rPr>
                <w:rFonts w:hint="eastAsia"/>
                <w:lang w:val="en-US" w:eastAsia="zh-CN"/>
              </w:rPr>
            </w:pPr>
            <w:r>
              <w:rPr>
                <w:rFonts w:hint="eastAsia"/>
                <w:lang w:val="en-US" w:eastAsia="zh-CN"/>
              </w:rPr>
              <w:t>（1）污染源强分析</w:t>
            </w:r>
          </w:p>
          <w:p w14:paraId="63BBF6FD">
            <w:pPr>
              <w:pStyle w:val="63"/>
              <w:bidi w:val="0"/>
              <w:rPr>
                <w:rFonts w:hint="eastAsia"/>
                <w:lang w:val="en-US" w:eastAsia="zh-CN"/>
              </w:rPr>
            </w:pPr>
            <w:r>
              <w:rPr>
                <w:rFonts w:hint="eastAsia"/>
                <w:lang w:val="en-US" w:eastAsia="zh-CN"/>
              </w:rPr>
              <w:t>表4-6  室外噪声源源强表</w:t>
            </w:r>
          </w:p>
          <w:tbl>
            <w:tblPr>
              <w:tblStyle w:val="18"/>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701"/>
              <w:gridCol w:w="1338"/>
              <w:gridCol w:w="841"/>
              <w:gridCol w:w="647"/>
              <w:gridCol w:w="384"/>
              <w:gridCol w:w="1164"/>
              <w:gridCol w:w="1628"/>
              <w:gridCol w:w="1164"/>
            </w:tblGrid>
            <w:tr w14:paraId="1CA77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5" w:type="pct"/>
                  <w:vMerge w:val="restart"/>
                  <w:shd w:val="clear" w:color="auto" w:fill="auto"/>
                  <w:noWrap/>
                  <w:vAlign w:val="center"/>
                </w:tcPr>
                <w:p w14:paraId="68A8F246">
                  <w:pPr>
                    <w:pStyle w:val="26"/>
                    <w:bidi w:val="0"/>
                    <w:rPr>
                      <w:rFonts w:hint="eastAsia"/>
                    </w:rPr>
                  </w:pPr>
                  <w:r>
                    <w:rPr>
                      <w:rFonts w:hint="eastAsia"/>
                      <w:lang w:val="en-US" w:eastAsia="zh-CN"/>
                    </w:rPr>
                    <w:t>序号</w:t>
                  </w:r>
                </w:p>
              </w:tc>
              <w:tc>
                <w:tcPr>
                  <w:tcW w:w="850" w:type="pct"/>
                  <w:vMerge w:val="restart"/>
                  <w:shd w:val="clear" w:color="auto" w:fill="auto"/>
                  <w:noWrap/>
                  <w:vAlign w:val="center"/>
                </w:tcPr>
                <w:p w14:paraId="1CADA60F">
                  <w:pPr>
                    <w:pStyle w:val="26"/>
                    <w:bidi w:val="0"/>
                    <w:rPr>
                      <w:rFonts w:hint="eastAsia"/>
                    </w:rPr>
                  </w:pPr>
                  <w:r>
                    <w:rPr>
                      <w:rFonts w:hint="eastAsia"/>
                      <w:lang w:val="en-US" w:eastAsia="zh-CN"/>
                    </w:rPr>
                    <w:t>声源名称</w:t>
                  </w:r>
                </w:p>
              </w:tc>
              <w:tc>
                <w:tcPr>
                  <w:tcW w:w="1189" w:type="pct"/>
                  <w:gridSpan w:val="3"/>
                  <w:shd w:val="clear" w:color="auto" w:fill="auto"/>
                  <w:noWrap/>
                  <w:vAlign w:val="center"/>
                </w:tcPr>
                <w:p w14:paraId="5E65A4C7">
                  <w:pPr>
                    <w:pStyle w:val="26"/>
                    <w:bidi w:val="0"/>
                    <w:rPr>
                      <w:rFonts w:hint="eastAsia"/>
                    </w:rPr>
                  </w:pPr>
                  <w:r>
                    <w:rPr>
                      <w:rFonts w:hint="eastAsia"/>
                      <w:lang w:val="en-US" w:eastAsia="zh-CN"/>
                    </w:rPr>
                    <w:t>空间相对位置/m</w:t>
                  </w:r>
                </w:p>
              </w:tc>
              <w:tc>
                <w:tcPr>
                  <w:tcW w:w="739" w:type="pct"/>
                  <w:vMerge w:val="restart"/>
                  <w:shd w:val="clear" w:color="auto" w:fill="auto"/>
                  <w:noWrap/>
                  <w:vAlign w:val="center"/>
                </w:tcPr>
                <w:p w14:paraId="2B88CBE5">
                  <w:pPr>
                    <w:pStyle w:val="26"/>
                    <w:bidi w:val="0"/>
                    <w:rPr>
                      <w:rFonts w:hint="eastAsia"/>
                      <w:lang w:val="en-US" w:eastAsia="zh-CN"/>
                    </w:rPr>
                  </w:pPr>
                  <w:r>
                    <w:rPr>
                      <w:rFonts w:hint="eastAsia"/>
                      <w:lang w:val="en-US" w:eastAsia="zh-CN"/>
                    </w:rPr>
                    <w:t>声源源强</w:t>
                  </w:r>
                </w:p>
                <w:p w14:paraId="60FEC9E4">
                  <w:pPr>
                    <w:pStyle w:val="26"/>
                    <w:bidi w:val="0"/>
                    <w:rPr>
                      <w:rFonts w:hint="default"/>
                      <w:lang w:val="en-US"/>
                    </w:rPr>
                  </w:pPr>
                  <w:r>
                    <w:rPr>
                      <w:rFonts w:hint="eastAsia"/>
                      <w:lang w:val="en-US" w:eastAsia="zh-CN"/>
                    </w:rPr>
                    <w:t>dB(A)</w:t>
                  </w:r>
                </w:p>
              </w:tc>
              <w:tc>
                <w:tcPr>
                  <w:tcW w:w="1034" w:type="pct"/>
                  <w:vMerge w:val="restart"/>
                  <w:shd w:val="clear" w:color="auto" w:fill="auto"/>
                  <w:noWrap/>
                  <w:vAlign w:val="center"/>
                </w:tcPr>
                <w:p w14:paraId="1195D4E2">
                  <w:pPr>
                    <w:pStyle w:val="26"/>
                    <w:bidi w:val="0"/>
                    <w:rPr>
                      <w:rFonts w:hint="eastAsia"/>
                    </w:rPr>
                  </w:pPr>
                  <w:r>
                    <w:rPr>
                      <w:rFonts w:hint="eastAsia"/>
                      <w:lang w:val="en-US" w:eastAsia="zh-CN"/>
                    </w:rPr>
                    <w:t>声源控制措施</w:t>
                  </w:r>
                </w:p>
              </w:tc>
              <w:tc>
                <w:tcPr>
                  <w:tcW w:w="739" w:type="pct"/>
                  <w:vMerge w:val="restart"/>
                  <w:shd w:val="clear" w:color="auto" w:fill="auto"/>
                  <w:noWrap/>
                  <w:vAlign w:val="center"/>
                </w:tcPr>
                <w:p w14:paraId="3D929E8F">
                  <w:pPr>
                    <w:pStyle w:val="26"/>
                    <w:bidi w:val="0"/>
                    <w:rPr>
                      <w:rFonts w:hint="eastAsia"/>
                    </w:rPr>
                  </w:pPr>
                  <w:r>
                    <w:rPr>
                      <w:rFonts w:hint="eastAsia"/>
                      <w:lang w:val="en-US" w:eastAsia="zh-CN"/>
                    </w:rPr>
                    <w:t>运行时段</w:t>
                  </w:r>
                </w:p>
              </w:tc>
            </w:tr>
            <w:tr w14:paraId="0E4C0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5" w:type="pct"/>
                  <w:vMerge w:val="continue"/>
                  <w:shd w:val="clear" w:color="auto" w:fill="auto"/>
                  <w:noWrap/>
                  <w:vAlign w:val="center"/>
                </w:tcPr>
                <w:p w14:paraId="70A3BD28">
                  <w:pPr>
                    <w:pStyle w:val="26"/>
                    <w:bidi w:val="0"/>
                    <w:rPr>
                      <w:rFonts w:hint="eastAsia"/>
                    </w:rPr>
                  </w:pPr>
                </w:p>
              </w:tc>
              <w:tc>
                <w:tcPr>
                  <w:tcW w:w="850" w:type="pct"/>
                  <w:vMerge w:val="continue"/>
                  <w:shd w:val="clear" w:color="auto" w:fill="auto"/>
                  <w:noWrap/>
                  <w:vAlign w:val="center"/>
                </w:tcPr>
                <w:p w14:paraId="59D573A8">
                  <w:pPr>
                    <w:pStyle w:val="26"/>
                    <w:bidi w:val="0"/>
                    <w:rPr>
                      <w:rFonts w:hint="eastAsia"/>
                    </w:rPr>
                  </w:pPr>
                </w:p>
              </w:tc>
              <w:tc>
                <w:tcPr>
                  <w:tcW w:w="534" w:type="pct"/>
                  <w:shd w:val="clear" w:color="auto" w:fill="auto"/>
                  <w:noWrap/>
                  <w:vAlign w:val="center"/>
                </w:tcPr>
                <w:p w14:paraId="2F6F6CB5">
                  <w:pPr>
                    <w:pStyle w:val="26"/>
                    <w:bidi w:val="0"/>
                    <w:rPr>
                      <w:rFonts w:hint="eastAsia"/>
                    </w:rPr>
                  </w:pPr>
                  <w:r>
                    <w:rPr>
                      <w:rFonts w:hint="eastAsia"/>
                      <w:lang w:val="en-US" w:eastAsia="zh-CN"/>
                    </w:rPr>
                    <w:t>X</w:t>
                  </w:r>
                </w:p>
              </w:tc>
              <w:tc>
                <w:tcPr>
                  <w:tcW w:w="411" w:type="pct"/>
                  <w:shd w:val="clear" w:color="auto" w:fill="auto"/>
                  <w:noWrap/>
                  <w:vAlign w:val="center"/>
                </w:tcPr>
                <w:p w14:paraId="6462CD82">
                  <w:pPr>
                    <w:pStyle w:val="26"/>
                    <w:bidi w:val="0"/>
                    <w:rPr>
                      <w:rFonts w:hint="eastAsia"/>
                    </w:rPr>
                  </w:pPr>
                  <w:r>
                    <w:rPr>
                      <w:rFonts w:hint="eastAsia"/>
                      <w:lang w:val="en-US" w:eastAsia="zh-CN"/>
                    </w:rPr>
                    <w:t>Y</w:t>
                  </w:r>
                </w:p>
              </w:tc>
              <w:tc>
                <w:tcPr>
                  <w:tcW w:w="244" w:type="pct"/>
                  <w:shd w:val="clear" w:color="auto" w:fill="auto"/>
                  <w:noWrap/>
                  <w:vAlign w:val="center"/>
                </w:tcPr>
                <w:p w14:paraId="7BF5A960">
                  <w:pPr>
                    <w:pStyle w:val="26"/>
                    <w:bidi w:val="0"/>
                    <w:rPr>
                      <w:rFonts w:hint="eastAsia"/>
                    </w:rPr>
                  </w:pPr>
                  <w:r>
                    <w:rPr>
                      <w:rFonts w:hint="eastAsia"/>
                      <w:lang w:val="en-US" w:eastAsia="zh-CN"/>
                    </w:rPr>
                    <w:t>Z</w:t>
                  </w:r>
                </w:p>
              </w:tc>
              <w:tc>
                <w:tcPr>
                  <w:tcW w:w="739" w:type="pct"/>
                  <w:vMerge w:val="continue"/>
                  <w:shd w:val="clear" w:color="auto" w:fill="auto"/>
                  <w:noWrap/>
                  <w:vAlign w:val="center"/>
                </w:tcPr>
                <w:p w14:paraId="3A246015">
                  <w:pPr>
                    <w:pStyle w:val="26"/>
                    <w:bidi w:val="0"/>
                    <w:rPr>
                      <w:rFonts w:hint="eastAsia"/>
                    </w:rPr>
                  </w:pPr>
                </w:p>
              </w:tc>
              <w:tc>
                <w:tcPr>
                  <w:tcW w:w="1034" w:type="pct"/>
                  <w:vMerge w:val="continue"/>
                  <w:shd w:val="clear" w:color="auto" w:fill="auto"/>
                  <w:noWrap/>
                  <w:vAlign w:val="center"/>
                </w:tcPr>
                <w:p w14:paraId="44805172">
                  <w:pPr>
                    <w:pStyle w:val="26"/>
                    <w:bidi w:val="0"/>
                    <w:rPr>
                      <w:rFonts w:hint="eastAsia"/>
                    </w:rPr>
                  </w:pPr>
                </w:p>
              </w:tc>
              <w:tc>
                <w:tcPr>
                  <w:tcW w:w="739" w:type="pct"/>
                  <w:vMerge w:val="continue"/>
                  <w:shd w:val="clear" w:color="auto" w:fill="auto"/>
                  <w:noWrap/>
                  <w:vAlign w:val="center"/>
                </w:tcPr>
                <w:p w14:paraId="310880E9">
                  <w:pPr>
                    <w:pStyle w:val="26"/>
                    <w:bidi w:val="0"/>
                    <w:rPr>
                      <w:rFonts w:hint="eastAsia"/>
                    </w:rPr>
                  </w:pPr>
                </w:p>
              </w:tc>
            </w:tr>
            <w:tr w14:paraId="6EA66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5" w:type="pct"/>
                  <w:shd w:val="clear" w:color="auto" w:fill="auto"/>
                  <w:noWrap/>
                  <w:vAlign w:val="center"/>
                </w:tcPr>
                <w:p w14:paraId="66FD9C97">
                  <w:pPr>
                    <w:pStyle w:val="26"/>
                    <w:bidi w:val="0"/>
                    <w:rPr>
                      <w:rFonts w:hint="eastAsia"/>
                    </w:rPr>
                  </w:pPr>
                  <w:r>
                    <w:rPr>
                      <w:rFonts w:hint="eastAsia"/>
                      <w:lang w:val="en-US" w:eastAsia="zh-CN"/>
                    </w:rPr>
                    <w:t>1</w:t>
                  </w:r>
                </w:p>
              </w:tc>
              <w:tc>
                <w:tcPr>
                  <w:tcW w:w="850" w:type="pct"/>
                  <w:shd w:val="clear" w:color="auto" w:fill="auto"/>
                  <w:noWrap/>
                  <w:vAlign w:val="center"/>
                </w:tcPr>
                <w:p w14:paraId="19A09225">
                  <w:pPr>
                    <w:pStyle w:val="26"/>
                    <w:bidi w:val="0"/>
                    <w:rPr>
                      <w:rFonts w:hint="eastAsia"/>
                    </w:rPr>
                  </w:pPr>
                  <w:r>
                    <w:rPr>
                      <w:rFonts w:hint="eastAsia"/>
                      <w:lang w:val="en-US" w:eastAsia="zh-CN"/>
                    </w:rPr>
                    <w:t>液化气泵1</w:t>
                  </w:r>
                </w:p>
              </w:tc>
              <w:tc>
                <w:tcPr>
                  <w:tcW w:w="534" w:type="pct"/>
                  <w:shd w:val="clear" w:color="auto" w:fill="auto"/>
                  <w:noWrap/>
                  <w:vAlign w:val="center"/>
                </w:tcPr>
                <w:p w14:paraId="271E8BB0">
                  <w:pPr>
                    <w:pStyle w:val="26"/>
                    <w:bidi w:val="0"/>
                    <w:rPr>
                      <w:rFonts w:hint="eastAsia"/>
                    </w:rPr>
                  </w:pPr>
                  <w:r>
                    <w:rPr>
                      <w:rFonts w:hint="eastAsia"/>
                      <w:lang w:val="en-US" w:eastAsia="zh-CN"/>
                    </w:rPr>
                    <w:t>-56.87</w:t>
                  </w:r>
                </w:p>
              </w:tc>
              <w:tc>
                <w:tcPr>
                  <w:tcW w:w="411" w:type="pct"/>
                  <w:shd w:val="clear" w:color="auto" w:fill="auto"/>
                  <w:noWrap/>
                  <w:vAlign w:val="center"/>
                </w:tcPr>
                <w:p w14:paraId="597BAAB4">
                  <w:pPr>
                    <w:pStyle w:val="26"/>
                    <w:bidi w:val="0"/>
                    <w:rPr>
                      <w:rFonts w:hint="eastAsia"/>
                    </w:rPr>
                  </w:pPr>
                  <w:r>
                    <w:rPr>
                      <w:rFonts w:hint="eastAsia"/>
                      <w:lang w:val="en-US" w:eastAsia="zh-CN"/>
                    </w:rPr>
                    <w:t>8.79</w:t>
                  </w:r>
                </w:p>
              </w:tc>
              <w:tc>
                <w:tcPr>
                  <w:tcW w:w="244" w:type="pct"/>
                  <w:shd w:val="clear" w:color="auto" w:fill="auto"/>
                  <w:noWrap/>
                  <w:vAlign w:val="center"/>
                </w:tcPr>
                <w:p w14:paraId="679DE110">
                  <w:pPr>
                    <w:pStyle w:val="26"/>
                    <w:bidi w:val="0"/>
                    <w:rPr>
                      <w:rFonts w:hint="eastAsia"/>
                    </w:rPr>
                  </w:pPr>
                  <w:r>
                    <w:rPr>
                      <w:rFonts w:hint="eastAsia"/>
                      <w:lang w:val="en-US" w:eastAsia="zh-CN"/>
                    </w:rPr>
                    <w:t>1</w:t>
                  </w:r>
                </w:p>
              </w:tc>
              <w:tc>
                <w:tcPr>
                  <w:tcW w:w="739" w:type="pct"/>
                  <w:shd w:val="clear" w:color="auto" w:fill="auto"/>
                  <w:noWrap/>
                  <w:vAlign w:val="center"/>
                </w:tcPr>
                <w:p w14:paraId="73CF52D0">
                  <w:pPr>
                    <w:pStyle w:val="26"/>
                    <w:bidi w:val="0"/>
                    <w:rPr>
                      <w:rFonts w:hint="eastAsia"/>
                    </w:rPr>
                  </w:pPr>
                  <w:r>
                    <w:rPr>
                      <w:rFonts w:hint="eastAsia"/>
                      <w:lang w:val="en-US" w:eastAsia="zh-CN"/>
                    </w:rPr>
                    <w:t>80</w:t>
                  </w:r>
                </w:p>
              </w:tc>
              <w:tc>
                <w:tcPr>
                  <w:tcW w:w="1034" w:type="pct"/>
                  <w:shd w:val="clear" w:color="auto" w:fill="auto"/>
                  <w:noWrap/>
                  <w:vAlign w:val="center"/>
                </w:tcPr>
                <w:p w14:paraId="1B80A8A5">
                  <w:pPr>
                    <w:pStyle w:val="26"/>
                    <w:bidi w:val="0"/>
                    <w:rPr>
                      <w:rFonts w:hint="default" w:eastAsia="宋体"/>
                      <w:lang w:val="en-US" w:eastAsia="zh-CN"/>
                    </w:rPr>
                  </w:pPr>
                  <w:r>
                    <w:rPr>
                      <w:rFonts w:hint="eastAsia"/>
                      <w:lang w:val="en-US" w:eastAsia="zh-CN"/>
                    </w:rPr>
                    <w:t>基础减振</w:t>
                  </w:r>
                </w:p>
              </w:tc>
              <w:tc>
                <w:tcPr>
                  <w:tcW w:w="739" w:type="pct"/>
                  <w:shd w:val="clear" w:color="auto" w:fill="auto"/>
                  <w:noWrap/>
                  <w:vAlign w:val="center"/>
                </w:tcPr>
                <w:p w14:paraId="432A9EC7">
                  <w:pPr>
                    <w:pStyle w:val="26"/>
                    <w:bidi w:val="0"/>
                    <w:rPr>
                      <w:rFonts w:hint="eastAsia"/>
                    </w:rPr>
                  </w:pPr>
                  <w:r>
                    <w:rPr>
                      <w:rFonts w:hint="eastAsia"/>
                      <w:lang w:val="en-US" w:eastAsia="zh-CN"/>
                    </w:rPr>
                    <w:t>昼间</w:t>
                  </w:r>
                </w:p>
              </w:tc>
            </w:tr>
            <w:tr w14:paraId="76AC3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5" w:type="pct"/>
                  <w:shd w:val="clear" w:color="auto" w:fill="auto"/>
                  <w:noWrap/>
                  <w:vAlign w:val="center"/>
                </w:tcPr>
                <w:p w14:paraId="4F9EEEC3">
                  <w:pPr>
                    <w:pStyle w:val="26"/>
                    <w:bidi w:val="0"/>
                    <w:rPr>
                      <w:rFonts w:hint="eastAsia"/>
                    </w:rPr>
                  </w:pPr>
                  <w:r>
                    <w:rPr>
                      <w:rFonts w:hint="eastAsia"/>
                      <w:lang w:val="en-US" w:eastAsia="zh-CN"/>
                    </w:rPr>
                    <w:t>2</w:t>
                  </w:r>
                </w:p>
              </w:tc>
              <w:tc>
                <w:tcPr>
                  <w:tcW w:w="850" w:type="pct"/>
                  <w:shd w:val="clear" w:color="auto" w:fill="auto"/>
                  <w:noWrap/>
                  <w:vAlign w:val="center"/>
                </w:tcPr>
                <w:p w14:paraId="7453750C">
                  <w:pPr>
                    <w:pStyle w:val="26"/>
                    <w:bidi w:val="0"/>
                    <w:rPr>
                      <w:rFonts w:hint="eastAsia"/>
                    </w:rPr>
                  </w:pPr>
                  <w:r>
                    <w:rPr>
                      <w:rFonts w:hint="eastAsia"/>
                      <w:lang w:val="en-US" w:eastAsia="zh-CN"/>
                    </w:rPr>
                    <w:t>液化气泵2</w:t>
                  </w:r>
                </w:p>
              </w:tc>
              <w:tc>
                <w:tcPr>
                  <w:tcW w:w="534" w:type="pct"/>
                  <w:shd w:val="clear" w:color="auto" w:fill="auto"/>
                  <w:noWrap/>
                  <w:vAlign w:val="center"/>
                </w:tcPr>
                <w:p w14:paraId="0BDE7248">
                  <w:pPr>
                    <w:pStyle w:val="26"/>
                    <w:bidi w:val="0"/>
                    <w:rPr>
                      <w:rFonts w:hint="eastAsia"/>
                    </w:rPr>
                  </w:pPr>
                  <w:r>
                    <w:rPr>
                      <w:rFonts w:hint="eastAsia"/>
                      <w:lang w:val="en-US" w:eastAsia="zh-CN"/>
                    </w:rPr>
                    <w:t>-53.04</w:t>
                  </w:r>
                </w:p>
              </w:tc>
              <w:tc>
                <w:tcPr>
                  <w:tcW w:w="411" w:type="pct"/>
                  <w:shd w:val="clear" w:color="auto" w:fill="auto"/>
                  <w:noWrap/>
                  <w:vAlign w:val="center"/>
                </w:tcPr>
                <w:p w14:paraId="115BB21C">
                  <w:pPr>
                    <w:pStyle w:val="26"/>
                    <w:bidi w:val="0"/>
                    <w:rPr>
                      <w:rFonts w:hint="eastAsia"/>
                    </w:rPr>
                  </w:pPr>
                  <w:r>
                    <w:rPr>
                      <w:rFonts w:hint="eastAsia"/>
                      <w:lang w:val="en-US" w:eastAsia="zh-CN"/>
                    </w:rPr>
                    <w:t>7.36</w:t>
                  </w:r>
                </w:p>
              </w:tc>
              <w:tc>
                <w:tcPr>
                  <w:tcW w:w="244" w:type="pct"/>
                  <w:shd w:val="clear" w:color="auto" w:fill="auto"/>
                  <w:noWrap/>
                  <w:vAlign w:val="center"/>
                </w:tcPr>
                <w:p w14:paraId="245732C1">
                  <w:pPr>
                    <w:pStyle w:val="26"/>
                    <w:bidi w:val="0"/>
                    <w:rPr>
                      <w:rFonts w:hint="eastAsia"/>
                    </w:rPr>
                  </w:pPr>
                  <w:r>
                    <w:rPr>
                      <w:rFonts w:hint="eastAsia"/>
                      <w:lang w:val="en-US" w:eastAsia="zh-CN"/>
                    </w:rPr>
                    <w:t>1</w:t>
                  </w:r>
                </w:p>
              </w:tc>
              <w:tc>
                <w:tcPr>
                  <w:tcW w:w="739" w:type="pct"/>
                  <w:shd w:val="clear" w:color="auto" w:fill="auto"/>
                  <w:noWrap/>
                  <w:vAlign w:val="center"/>
                </w:tcPr>
                <w:p w14:paraId="50AD7AD5">
                  <w:pPr>
                    <w:pStyle w:val="26"/>
                    <w:bidi w:val="0"/>
                    <w:rPr>
                      <w:rFonts w:hint="eastAsia"/>
                    </w:rPr>
                  </w:pPr>
                  <w:r>
                    <w:rPr>
                      <w:rFonts w:hint="eastAsia"/>
                      <w:lang w:val="en-US" w:eastAsia="zh-CN"/>
                    </w:rPr>
                    <w:t>80</w:t>
                  </w:r>
                </w:p>
              </w:tc>
              <w:tc>
                <w:tcPr>
                  <w:tcW w:w="1034" w:type="pct"/>
                  <w:shd w:val="clear" w:color="auto" w:fill="auto"/>
                  <w:noWrap/>
                  <w:vAlign w:val="center"/>
                </w:tcPr>
                <w:p w14:paraId="038AB872">
                  <w:pPr>
                    <w:pStyle w:val="26"/>
                    <w:bidi w:val="0"/>
                    <w:rPr>
                      <w:rFonts w:hint="default" w:eastAsia="宋体"/>
                      <w:lang w:val="en-US" w:eastAsia="zh-CN"/>
                    </w:rPr>
                  </w:pPr>
                  <w:r>
                    <w:rPr>
                      <w:rFonts w:hint="eastAsia"/>
                      <w:lang w:val="en-US" w:eastAsia="zh-CN"/>
                    </w:rPr>
                    <w:t>基础减振</w:t>
                  </w:r>
                </w:p>
              </w:tc>
              <w:tc>
                <w:tcPr>
                  <w:tcW w:w="739" w:type="pct"/>
                  <w:shd w:val="clear" w:color="auto" w:fill="auto"/>
                  <w:noWrap/>
                  <w:vAlign w:val="center"/>
                </w:tcPr>
                <w:p w14:paraId="05477F68">
                  <w:pPr>
                    <w:pStyle w:val="26"/>
                    <w:bidi w:val="0"/>
                    <w:rPr>
                      <w:rFonts w:hint="eastAsia"/>
                    </w:rPr>
                  </w:pPr>
                  <w:r>
                    <w:rPr>
                      <w:rFonts w:hint="eastAsia"/>
                      <w:lang w:val="en-US" w:eastAsia="zh-CN"/>
                    </w:rPr>
                    <w:t>昼间</w:t>
                  </w:r>
                </w:p>
              </w:tc>
            </w:tr>
          </w:tbl>
          <w:p w14:paraId="59EBDA0F">
            <w:pPr>
              <w:pStyle w:val="24"/>
              <w:bidi w:val="0"/>
              <w:rPr>
                <w:rFonts w:hint="eastAsia"/>
                <w:lang w:val="en-US" w:eastAsia="zh-CN"/>
              </w:rPr>
            </w:pPr>
            <w:r>
              <w:rPr>
                <w:rFonts w:hint="eastAsia"/>
                <w:lang w:val="en-US" w:eastAsia="zh-CN"/>
              </w:rPr>
              <w:t>表4-7  室内噪声源源强表</w:t>
            </w:r>
          </w:p>
          <w:tbl>
            <w:tblPr>
              <w:tblStyle w:val="18"/>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1133"/>
              <w:gridCol w:w="576"/>
              <w:gridCol w:w="850"/>
              <w:gridCol w:w="583"/>
              <w:gridCol w:w="509"/>
              <w:gridCol w:w="140"/>
              <w:gridCol w:w="677"/>
              <w:gridCol w:w="679"/>
              <w:gridCol w:w="450"/>
              <w:gridCol w:w="907"/>
              <w:gridCol w:w="679"/>
              <w:gridCol w:w="683"/>
            </w:tblGrid>
            <w:tr w14:paraId="43FD8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restart"/>
                  <w:shd w:val="clear" w:color="auto" w:fill="auto"/>
                  <w:noWrap/>
                  <w:vAlign w:val="center"/>
                </w:tcPr>
                <w:p w14:paraId="6D06E628">
                  <w:pPr>
                    <w:pStyle w:val="26"/>
                    <w:bidi w:val="0"/>
                    <w:rPr>
                      <w:rFonts w:hint="eastAsia"/>
                    </w:rPr>
                  </w:pPr>
                  <w:r>
                    <w:rPr>
                      <w:rFonts w:hint="eastAsia"/>
                      <w:lang w:val="en-US" w:eastAsia="zh-CN"/>
                    </w:rPr>
                    <w:t>声源名称</w:t>
                  </w:r>
                </w:p>
              </w:tc>
              <w:tc>
                <w:tcPr>
                  <w:tcW w:w="366" w:type="pct"/>
                  <w:vMerge w:val="restart"/>
                  <w:shd w:val="clear" w:color="auto" w:fill="auto"/>
                  <w:noWrap/>
                  <w:vAlign w:val="center"/>
                </w:tcPr>
                <w:p w14:paraId="62B32EF0">
                  <w:pPr>
                    <w:pStyle w:val="26"/>
                    <w:bidi w:val="0"/>
                    <w:rPr>
                      <w:rFonts w:hint="eastAsia"/>
                      <w:lang w:val="en-US" w:eastAsia="zh-CN"/>
                    </w:rPr>
                  </w:pPr>
                  <w:r>
                    <w:rPr>
                      <w:rFonts w:hint="eastAsia"/>
                      <w:lang w:val="en-US" w:eastAsia="zh-CN"/>
                    </w:rPr>
                    <w:t>声源</w:t>
                  </w:r>
                </w:p>
                <w:p w14:paraId="71DF3BF1">
                  <w:pPr>
                    <w:pStyle w:val="26"/>
                    <w:bidi w:val="0"/>
                    <w:rPr>
                      <w:rFonts w:hint="eastAsia"/>
                      <w:lang w:val="en-US" w:eastAsia="zh-CN"/>
                    </w:rPr>
                  </w:pPr>
                  <w:r>
                    <w:rPr>
                      <w:rFonts w:hint="eastAsia"/>
                      <w:lang w:val="en-US" w:eastAsia="zh-CN"/>
                    </w:rPr>
                    <w:t>源强</w:t>
                  </w:r>
                </w:p>
                <w:p w14:paraId="0BA3EB0F">
                  <w:pPr>
                    <w:pStyle w:val="26"/>
                    <w:bidi w:val="0"/>
                    <w:rPr>
                      <w:rFonts w:hint="eastAsia"/>
                    </w:rPr>
                  </w:pPr>
                  <w:r>
                    <w:rPr>
                      <w:rFonts w:hint="eastAsia"/>
                      <w:lang w:val="en-US" w:eastAsia="zh-CN"/>
                    </w:rPr>
                    <w:t>dB(A)</w:t>
                  </w:r>
                </w:p>
              </w:tc>
              <w:tc>
                <w:tcPr>
                  <w:tcW w:w="540" w:type="pct"/>
                  <w:vMerge w:val="restart"/>
                  <w:shd w:val="clear" w:color="auto" w:fill="auto"/>
                  <w:noWrap/>
                  <w:vAlign w:val="center"/>
                </w:tcPr>
                <w:p w14:paraId="7D060EBF">
                  <w:pPr>
                    <w:pStyle w:val="26"/>
                    <w:bidi w:val="0"/>
                    <w:rPr>
                      <w:rFonts w:hint="eastAsia"/>
                      <w:lang w:val="en-US" w:eastAsia="zh-CN"/>
                    </w:rPr>
                  </w:pPr>
                  <w:r>
                    <w:rPr>
                      <w:rFonts w:hint="eastAsia"/>
                      <w:lang w:val="en-US" w:eastAsia="zh-CN"/>
                    </w:rPr>
                    <w:t>声源控</w:t>
                  </w:r>
                </w:p>
                <w:p w14:paraId="64E01263">
                  <w:pPr>
                    <w:pStyle w:val="26"/>
                    <w:bidi w:val="0"/>
                    <w:rPr>
                      <w:rFonts w:hint="eastAsia"/>
                    </w:rPr>
                  </w:pPr>
                  <w:r>
                    <w:rPr>
                      <w:rFonts w:hint="eastAsia"/>
                      <w:lang w:val="en-US" w:eastAsia="zh-CN"/>
                    </w:rPr>
                    <w:t>制措施</w:t>
                  </w:r>
                </w:p>
              </w:tc>
              <w:tc>
                <w:tcPr>
                  <w:tcW w:w="782" w:type="pct"/>
                  <w:gridSpan w:val="3"/>
                  <w:shd w:val="clear" w:color="auto" w:fill="auto"/>
                  <w:noWrap/>
                  <w:vAlign w:val="center"/>
                </w:tcPr>
                <w:p w14:paraId="7DEAC202">
                  <w:pPr>
                    <w:pStyle w:val="26"/>
                    <w:bidi w:val="0"/>
                    <w:rPr>
                      <w:rFonts w:hint="eastAsia"/>
                      <w:lang w:val="en-US" w:eastAsia="zh-CN"/>
                    </w:rPr>
                  </w:pPr>
                  <w:r>
                    <w:rPr>
                      <w:rFonts w:hint="eastAsia"/>
                      <w:lang w:val="en-US" w:eastAsia="zh-CN"/>
                    </w:rPr>
                    <w:t>空间相</w:t>
                  </w:r>
                </w:p>
                <w:p w14:paraId="73A191BC">
                  <w:pPr>
                    <w:pStyle w:val="26"/>
                    <w:bidi w:val="0"/>
                    <w:rPr>
                      <w:rFonts w:hint="eastAsia"/>
                    </w:rPr>
                  </w:pPr>
                  <w:r>
                    <w:rPr>
                      <w:rFonts w:hint="eastAsia"/>
                      <w:lang w:val="en-US" w:eastAsia="zh-CN"/>
                    </w:rPr>
                    <w:t>对位置/m</w:t>
                  </w:r>
                </w:p>
              </w:tc>
              <w:tc>
                <w:tcPr>
                  <w:tcW w:w="430" w:type="pct"/>
                  <w:vMerge w:val="restart"/>
                  <w:shd w:val="clear" w:color="auto" w:fill="auto"/>
                  <w:noWrap/>
                  <w:vAlign w:val="center"/>
                </w:tcPr>
                <w:p w14:paraId="147FAF28">
                  <w:pPr>
                    <w:pStyle w:val="26"/>
                    <w:bidi w:val="0"/>
                    <w:rPr>
                      <w:rFonts w:hint="eastAsia"/>
                      <w:lang w:val="en-US" w:eastAsia="zh-CN"/>
                    </w:rPr>
                  </w:pPr>
                  <w:r>
                    <w:rPr>
                      <w:rFonts w:hint="eastAsia"/>
                      <w:lang w:val="en-US" w:eastAsia="zh-CN"/>
                    </w:rPr>
                    <w:t>距室内</w:t>
                  </w:r>
                </w:p>
                <w:p w14:paraId="256B1AA2">
                  <w:pPr>
                    <w:pStyle w:val="26"/>
                    <w:bidi w:val="0"/>
                    <w:rPr>
                      <w:rFonts w:hint="eastAsia"/>
                      <w:lang w:val="en-US" w:eastAsia="zh-CN"/>
                    </w:rPr>
                  </w:pPr>
                  <w:r>
                    <w:rPr>
                      <w:rFonts w:hint="eastAsia"/>
                      <w:lang w:val="en-US" w:eastAsia="zh-CN"/>
                    </w:rPr>
                    <w:t>边界距</w:t>
                  </w:r>
                </w:p>
                <w:p w14:paraId="19A44499">
                  <w:pPr>
                    <w:pStyle w:val="26"/>
                    <w:bidi w:val="0"/>
                    <w:rPr>
                      <w:rFonts w:hint="eastAsia"/>
                    </w:rPr>
                  </w:pPr>
                  <w:r>
                    <w:rPr>
                      <w:rFonts w:hint="eastAsia"/>
                      <w:lang w:val="en-US" w:eastAsia="zh-CN"/>
                    </w:rPr>
                    <w:t>离/m</w:t>
                  </w:r>
                </w:p>
              </w:tc>
              <w:tc>
                <w:tcPr>
                  <w:tcW w:w="431" w:type="pct"/>
                  <w:vMerge w:val="restart"/>
                  <w:shd w:val="clear" w:color="auto" w:fill="auto"/>
                  <w:noWrap/>
                  <w:vAlign w:val="center"/>
                </w:tcPr>
                <w:p w14:paraId="73B5CBFA">
                  <w:pPr>
                    <w:pStyle w:val="26"/>
                    <w:bidi w:val="0"/>
                    <w:rPr>
                      <w:rFonts w:hint="eastAsia"/>
                      <w:lang w:val="en-US" w:eastAsia="zh-CN"/>
                    </w:rPr>
                  </w:pPr>
                  <w:r>
                    <w:rPr>
                      <w:rFonts w:hint="eastAsia"/>
                      <w:lang w:val="en-US" w:eastAsia="zh-CN"/>
                    </w:rPr>
                    <w:t>室内边</w:t>
                  </w:r>
                </w:p>
                <w:p w14:paraId="57B2827B">
                  <w:pPr>
                    <w:pStyle w:val="26"/>
                    <w:bidi w:val="0"/>
                    <w:rPr>
                      <w:rFonts w:hint="eastAsia"/>
                      <w:lang w:val="en-US" w:eastAsia="zh-CN"/>
                    </w:rPr>
                  </w:pPr>
                  <w:r>
                    <w:rPr>
                      <w:rFonts w:hint="eastAsia"/>
                      <w:lang w:val="en-US" w:eastAsia="zh-CN"/>
                    </w:rPr>
                    <w:t>界声级</w:t>
                  </w:r>
                </w:p>
                <w:p w14:paraId="1272E990">
                  <w:pPr>
                    <w:pStyle w:val="26"/>
                    <w:bidi w:val="0"/>
                    <w:rPr>
                      <w:rFonts w:hint="eastAsia"/>
                    </w:rPr>
                  </w:pPr>
                  <w:r>
                    <w:rPr>
                      <w:rFonts w:hint="eastAsia"/>
                      <w:lang w:val="en-US" w:eastAsia="zh-CN"/>
                    </w:rPr>
                    <w:t>/dB(A)</w:t>
                  </w:r>
                </w:p>
              </w:tc>
              <w:tc>
                <w:tcPr>
                  <w:tcW w:w="286" w:type="pct"/>
                  <w:vMerge w:val="restart"/>
                  <w:shd w:val="clear" w:color="auto" w:fill="auto"/>
                  <w:noWrap/>
                  <w:vAlign w:val="center"/>
                </w:tcPr>
                <w:p w14:paraId="26D73C00">
                  <w:pPr>
                    <w:pStyle w:val="26"/>
                    <w:bidi w:val="0"/>
                    <w:rPr>
                      <w:rFonts w:hint="eastAsia"/>
                      <w:lang w:val="en-US" w:eastAsia="zh-CN"/>
                    </w:rPr>
                  </w:pPr>
                  <w:r>
                    <w:rPr>
                      <w:rFonts w:hint="eastAsia"/>
                      <w:lang w:val="en-US" w:eastAsia="zh-CN"/>
                    </w:rPr>
                    <w:t>运行</w:t>
                  </w:r>
                </w:p>
                <w:p w14:paraId="796C177B">
                  <w:pPr>
                    <w:pStyle w:val="26"/>
                    <w:bidi w:val="0"/>
                    <w:rPr>
                      <w:rFonts w:hint="eastAsia"/>
                    </w:rPr>
                  </w:pPr>
                  <w:r>
                    <w:rPr>
                      <w:rFonts w:hint="eastAsia"/>
                      <w:lang w:val="en-US" w:eastAsia="zh-CN"/>
                    </w:rPr>
                    <w:t>时段</w:t>
                  </w:r>
                </w:p>
              </w:tc>
              <w:tc>
                <w:tcPr>
                  <w:tcW w:w="576" w:type="pct"/>
                  <w:vMerge w:val="restart"/>
                  <w:shd w:val="clear" w:color="auto" w:fill="auto"/>
                  <w:noWrap/>
                  <w:vAlign w:val="center"/>
                </w:tcPr>
                <w:p w14:paraId="422D679B">
                  <w:pPr>
                    <w:pStyle w:val="26"/>
                    <w:bidi w:val="0"/>
                    <w:rPr>
                      <w:rFonts w:hint="eastAsia"/>
                      <w:lang w:val="en-US" w:eastAsia="zh-CN"/>
                    </w:rPr>
                  </w:pPr>
                  <w:r>
                    <w:rPr>
                      <w:rFonts w:hint="eastAsia"/>
                      <w:lang w:val="en-US" w:eastAsia="zh-CN"/>
                    </w:rPr>
                    <w:t>建筑物</w:t>
                  </w:r>
                </w:p>
                <w:p w14:paraId="30C462BD">
                  <w:pPr>
                    <w:pStyle w:val="26"/>
                    <w:bidi w:val="0"/>
                    <w:rPr>
                      <w:rFonts w:hint="eastAsia"/>
                      <w:lang w:val="en-US" w:eastAsia="zh-CN"/>
                    </w:rPr>
                  </w:pPr>
                  <w:r>
                    <w:rPr>
                      <w:rFonts w:hint="eastAsia"/>
                      <w:lang w:val="en-US" w:eastAsia="zh-CN"/>
                    </w:rPr>
                    <w:t>插入损失</w:t>
                  </w:r>
                </w:p>
                <w:p w14:paraId="2087DD09">
                  <w:pPr>
                    <w:pStyle w:val="26"/>
                    <w:bidi w:val="0"/>
                    <w:rPr>
                      <w:rFonts w:hint="eastAsia"/>
                    </w:rPr>
                  </w:pPr>
                  <w:r>
                    <w:rPr>
                      <w:rFonts w:hint="eastAsia"/>
                      <w:lang w:val="en-US" w:eastAsia="zh-CN"/>
                    </w:rPr>
                    <w:t>/dB(A)</w:t>
                  </w:r>
                </w:p>
              </w:tc>
              <w:tc>
                <w:tcPr>
                  <w:tcW w:w="865" w:type="pct"/>
                  <w:gridSpan w:val="2"/>
                  <w:shd w:val="clear" w:color="auto" w:fill="auto"/>
                  <w:noWrap/>
                  <w:vAlign w:val="center"/>
                </w:tcPr>
                <w:p w14:paraId="19A2C6DC">
                  <w:pPr>
                    <w:pStyle w:val="26"/>
                    <w:bidi w:val="0"/>
                    <w:rPr>
                      <w:rFonts w:hint="eastAsia"/>
                    </w:rPr>
                  </w:pPr>
                  <w:r>
                    <w:rPr>
                      <w:rFonts w:hint="eastAsia"/>
                      <w:lang w:val="en-US" w:eastAsia="zh-CN"/>
                    </w:rPr>
                    <w:t>建筑物外噪声</w:t>
                  </w:r>
                </w:p>
              </w:tc>
            </w:tr>
            <w:tr w14:paraId="672A4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continue"/>
                  <w:shd w:val="clear" w:color="auto" w:fill="auto"/>
                  <w:noWrap/>
                  <w:vAlign w:val="center"/>
                </w:tcPr>
                <w:p w14:paraId="050DF057">
                  <w:pPr>
                    <w:pStyle w:val="26"/>
                    <w:bidi w:val="0"/>
                    <w:rPr>
                      <w:rFonts w:hint="eastAsia"/>
                    </w:rPr>
                  </w:pPr>
                </w:p>
              </w:tc>
              <w:tc>
                <w:tcPr>
                  <w:tcW w:w="366" w:type="pct"/>
                  <w:vMerge w:val="continue"/>
                  <w:shd w:val="clear" w:color="auto" w:fill="auto"/>
                  <w:noWrap/>
                  <w:vAlign w:val="center"/>
                </w:tcPr>
                <w:p w14:paraId="18F5E385">
                  <w:pPr>
                    <w:pStyle w:val="26"/>
                    <w:bidi w:val="0"/>
                    <w:rPr>
                      <w:rFonts w:hint="eastAsia"/>
                    </w:rPr>
                  </w:pPr>
                </w:p>
              </w:tc>
              <w:tc>
                <w:tcPr>
                  <w:tcW w:w="540" w:type="pct"/>
                  <w:vMerge w:val="continue"/>
                  <w:shd w:val="clear" w:color="auto" w:fill="auto"/>
                  <w:noWrap/>
                  <w:vAlign w:val="center"/>
                </w:tcPr>
                <w:p w14:paraId="68EE677A">
                  <w:pPr>
                    <w:pStyle w:val="26"/>
                    <w:bidi w:val="0"/>
                    <w:rPr>
                      <w:rFonts w:hint="eastAsia"/>
                    </w:rPr>
                  </w:pPr>
                </w:p>
              </w:tc>
              <w:tc>
                <w:tcPr>
                  <w:tcW w:w="370" w:type="pct"/>
                  <w:shd w:val="clear" w:color="auto" w:fill="auto"/>
                  <w:noWrap/>
                  <w:vAlign w:val="center"/>
                </w:tcPr>
                <w:p w14:paraId="7906294C">
                  <w:pPr>
                    <w:pStyle w:val="26"/>
                    <w:bidi w:val="0"/>
                    <w:rPr>
                      <w:rFonts w:hint="eastAsia"/>
                    </w:rPr>
                  </w:pPr>
                  <w:r>
                    <w:rPr>
                      <w:rFonts w:hint="eastAsia"/>
                      <w:lang w:val="en-US" w:eastAsia="zh-CN"/>
                    </w:rPr>
                    <w:t>X</w:t>
                  </w:r>
                </w:p>
              </w:tc>
              <w:tc>
                <w:tcPr>
                  <w:tcW w:w="323" w:type="pct"/>
                  <w:shd w:val="clear" w:color="auto" w:fill="auto"/>
                  <w:noWrap/>
                  <w:vAlign w:val="center"/>
                </w:tcPr>
                <w:p w14:paraId="7627DBE1">
                  <w:pPr>
                    <w:pStyle w:val="26"/>
                    <w:bidi w:val="0"/>
                    <w:rPr>
                      <w:rFonts w:hint="eastAsia"/>
                    </w:rPr>
                  </w:pPr>
                  <w:r>
                    <w:rPr>
                      <w:rFonts w:hint="eastAsia"/>
                      <w:lang w:val="en-US" w:eastAsia="zh-CN"/>
                    </w:rPr>
                    <w:t>Y</w:t>
                  </w:r>
                </w:p>
              </w:tc>
              <w:tc>
                <w:tcPr>
                  <w:tcW w:w="88" w:type="pct"/>
                  <w:shd w:val="clear" w:color="auto" w:fill="auto"/>
                  <w:noWrap/>
                  <w:vAlign w:val="center"/>
                </w:tcPr>
                <w:p w14:paraId="583890BE">
                  <w:pPr>
                    <w:pStyle w:val="26"/>
                    <w:bidi w:val="0"/>
                    <w:rPr>
                      <w:rFonts w:hint="eastAsia"/>
                    </w:rPr>
                  </w:pPr>
                  <w:r>
                    <w:rPr>
                      <w:rFonts w:hint="eastAsia"/>
                      <w:lang w:val="en-US" w:eastAsia="zh-CN"/>
                    </w:rPr>
                    <w:t>Z</w:t>
                  </w:r>
                </w:p>
              </w:tc>
              <w:tc>
                <w:tcPr>
                  <w:tcW w:w="430" w:type="pct"/>
                  <w:vMerge w:val="continue"/>
                  <w:shd w:val="clear" w:color="auto" w:fill="auto"/>
                  <w:noWrap/>
                  <w:vAlign w:val="center"/>
                </w:tcPr>
                <w:p w14:paraId="785D4FDA">
                  <w:pPr>
                    <w:pStyle w:val="26"/>
                    <w:bidi w:val="0"/>
                    <w:rPr>
                      <w:rFonts w:hint="eastAsia"/>
                    </w:rPr>
                  </w:pPr>
                </w:p>
              </w:tc>
              <w:tc>
                <w:tcPr>
                  <w:tcW w:w="431" w:type="pct"/>
                  <w:vMerge w:val="continue"/>
                  <w:shd w:val="clear" w:color="auto" w:fill="auto"/>
                  <w:noWrap/>
                  <w:vAlign w:val="center"/>
                </w:tcPr>
                <w:p w14:paraId="15D49B73">
                  <w:pPr>
                    <w:pStyle w:val="26"/>
                    <w:bidi w:val="0"/>
                    <w:rPr>
                      <w:rFonts w:hint="eastAsia"/>
                    </w:rPr>
                  </w:pPr>
                </w:p>
              </w:tc>
              <w:tc>
                <w:tcPr>
                  <w:tcW w:w="286" w:type="pct"/>
                  <w:vMerge w:val="continue"/>
                  <w:shd w:val="clear" w:color="auto" w:fill="auto"/>
                  <w:noWrap/>
                  <w:vAlign w:val="center"/>
                </w:tcPr>
                <w:p w14:paraId="73B5D629">
                  <w:pPr>
                    <w:pStyle w:val="26"/>
                    <w:bidi w:val="0"/>
                    <w:rPr>
                      <w:rFonts w:hint="eastAsia"/>
                    </w:rPr>
                  </w:pPr>
                </w:p>
              </w:tc>
              <w:tc>
                <w:tcPr>
                  <w:tcW w:w="576" w:type="pct"/>
                  <w:vMerge w:val="continue"/>
                  <w:shd w:val="clear" w:color="auto" w:fill="auto"/>
                  <w:noWrap/>
                  <w:vAlign w:val="center"/>
                </w:tcPr>
                <w:p w14:paraId="4BA73AA5">
                  <w:pPr>
                    <w:pStyle w:val="26"/>
                    <w:bidi w:val="0"/>
                    <w:rPr>
                      <w:rFonts w:hint="eastAsia"/>
                    </w:rPr>
                  </w:pPr>
                </w:p>
              </w:tc>
              <w:tc>
                <w:tcPr>
                  <w:tcW w:w="431" w:type="pct"/>
                  <w:shd w:val="clear" w:color="auto" w:fill="auto"/>
                  <w:noWrap/>
                  <w:vAlign w:val="center"/>
                </w:tcPr>
                <w:p w14:paraId="5F67FDEE">
                  <w:pPr>
                    <w:pStyle w:val="26"/>
                    <w:bidi w:val="0"/>
                    <w:rPr>
                      <w:rFonts w:hint="eastAsia"/>
                      <w:lang w:val="en-US" w:eastAsia="zh-CN"/>
                    </w:rPr>
                  </w:pPr>
                  <w:r>
                    <w:rPr>
                      <w:rFonts w:hint="eastAsia"/>
                      <w:lang w:val="en-US" w:eastAsia="zh-CN"/>
                    </w:rPr>
                    <w:t>声压级</w:t>
                  </w:r>
                </w:p>
                <w:p w14:paraId="7C9582DE">
                  <w:pPr>
                    <w:pStyle w:val="26"/>
                    <w:bidi w:val="0"/>
                    <w:rPr>
                      <w:rFonts w:hint="eastAsia"/>
                    </w:rPr>
                  </w:pPr>
                  <w:r>
                    <w:rPr>
                      <w:rFonts w:hint="eastAsia"/>
                      <w:lang w:val="en-US" w:eastAsia="zh-CN"/>
                    </w:rPr>
                    <w:t>/dB(A)</w:t>
                  </w:r>
                </w:p>
              </w:tc>
              <w:tc>
                <w:tcPr>
                  <w:tcW w:w="434" w:type="pct"/>
                  <w:shd w:val="clear" w:color="auto" w:fill="auto"/>
                  <w:noWrap/>
                  <w:vAlign w:val="center"/>
                </w:tcPr>
                <w:p w14:paraId="12DFD75D">
                  <w:pPr>
                    <w:pStyle w:val="26"/>
                    <w:bidi w:val="0"/>
                    <w:rPr>
                      <w:rFonts w:hint="eastAsia"/>
                      <w:lang w:val="en-US" w:eastAsia="zh-CN"/>
                    </w:rPr>
                  </w:pPr>
                  <w:r>
                    <w:rPr>
                      <w:rFonts w:hint="eastAsia"/>
                      <w:lang w:val="en-US" w:eastAsia="zh-CN"/>
                    </w:rPr>
                    <w:t>建筑物</w:t>
                  </w:r>
                </w:p>
                <w:p w14:paraId="0499C9C9">
                  <w:pPr>
                    <w:pStyle w:val="26"/>
                    <w:bidi w:val="0"/>
                    <w:rPr>
                      <w:rFonts w:hint="eastAsia"/>
                    </w:rPr>
                  </w:pPr>
                  <w:r>
                    <w:rPr>
                      <w:rFonts w:hint="eastAsia"/>
                      <w:lang w:val="en-US" w:eastAsia="zh-CN"/>
                    </w:rPr>
                    <w:t>外距离</w:t>
                  </w:r>
                </w:p>
              </w:tc>
            </w:tr>
            <w:tr w14:paraId="35784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restart"/>
                  <w:shd w:val="clear" w:color="auto" w:fill="auto"/>
                  <w:noWrap/>
                  <w:vAlign w:val="center"/>
                </w:tcPr>
                <w:p w14:paraId="40B15BE6">
                  <w:pPr>
                    <w:pStyle w:val="26"/>
                    <w:bidi w:val="0"/>
                    <w:rPr>
                      <w:rFonts w:hint="default"/>
                      <w:lang w:val="en-US"/>
                    </w:rPr>
                  </w:pPr>
                  <w:r>
                    <w:rPr>
                      <w:rFonts w:hint="eastAsia"/>
                      <w:lang w:val="en-US" w:eastAsia="zh-CN"/>
                    </w:rPr>
                    <w:t>手摇油泵1</w:t>
                  </w:r>
                </w:p>
              </w:tc>
              <w:tc>
                <w:tcPr>
                  <w:tcW w:w="366" w:type="pct"/>
                  <w:vMerge w:val="restart"/>
                  <w:shd w:val="clear" w:color="auto" w:fill="auto"/>
                  <w:noWrap/>
                  <w:vAlign w:val="center"/>
                </w:tcPr>
                <w:p w14:paraId="23815321">
                  <w:pPr>
                    <w:pStyle w:val="26"/>
                    <w:bidi w:val="0"/>
                    <w:rPr>
                      <w:rFonts w:hint="eastAsia"/>
                    </w:rPr>
                  </w:pPr>
                  <w:r>
                    <w:rPr>
                      <w:rFonts w:hint="eastAsia"/>
                      <w:lang w:val="en-US" w:eastAsia="zh-CN"/>
                    </w:rPr>
                    <w:t>65</w:t>
                  </w:r>
                </w:p>
              </w:tc>
              <w:tc>
                <w:tcPr>
                  <w:tcW w:w="540" w:type="pct"/>
                  <w:vMerge w:val="restart"/>
                  <w:shd w:val="clear" w:color="auto" w:fill="auto"/>
                  <w:noWrap/>
                  <w:vAlign w:val="center"/>
                </w:tcPr>
                <w:p w14:paraId="5344516E">
                  <w:pPr>
                    <w:pStyle w:val="26"/>
                    <w:bidi w:val="0"/>
                    <w:rPr>
                      <w:rFonts w:hint="eastAsia"/>
                      <w:lang w:val="en-US" w:eastAsia="zh-CN"/>
                    </w:rPr>
                  </w:pPr>
                  <w:r>
                    <w:rPr>
                      <w:rFonts w:hint="eastAsia"/>
                      <w:lang w:val="en-US" w:eastAsia="zh-CN"/>
                    </w:rPr>
                    <w:t>基础减振</w:t>
                  </w:r>
                </w:p>
                <w:p w14:paraId="1C2D006B">
                  <w:pPr>
                    <w:pStyle w:val="26"/>
                    <w:bidi w:val="0"/>
                    <w:rPr>
                      <w:rFonts w:hint="default"/>
                      <w:lang w:val="en-US" w:eastAsia="zh-CN"/>
                    </w:rPr>
                  </w:pPr>
                  <w:r>
                    <w:rPr>
                      <w:rFonts w:hint="eastAsia"/>
                      <w:lang w:val="en-US" w:eastAsia="zh-CN"/>
                    </w:rPr>
                    <w:t>建筑降噪</w:t>
                  </w:r>
                </w:p>
              </w:tc>
              <w:tc>
                <w:tcPr>
                  <w:tcW w:w="370" w:type="pct"/>
                  <w:vMerge w:val="restart"/>
                  <w:shd w:val="clear" w:color="auto" w:fill="auto"/>
                  <w:noWrap/>
                  <w:vAlign w:val="center"/>
                </w:tcPr>
                <w:p w14:paraId="5A59838E">
                  <w:pPr>
                    <w:pStyle w:val="26"/>
                    <w:bidi w:val="0"/>
                    <w:rPr>
                      <w:rFonts w:hint="eastAsia"/>
                    </w:rPr>
                  </w:pPr>
                  <w:r>
                    <w:rPr>
                      <w:rFonts w:hint="eastAsia"/>
                      <w:lang w:val="en-US" w:eastAsia="zh-CN"/>
                    </w:rPr>
                    <w:t>-38.52</w:t>
                  </w:r>
                </w:p>
              </w:tc>
              <w:tc>
                <w:tcPr>
                  <w:tcW w:w="323" w:type="pct"/>
                  <w:vMerge w:val="restart"/>
                  <w:shd w:val="clear" w:color="auto" w:fill="auto"/>
                  <w:noWrap/>
                  <w:vAlign w:val="center"/>
                </w:tcPr>
                <w:p w14:paraId="473DC47D">
                  <w:pPr>
                    <w:pStyle w:val="26"/>
                    <w:bidi w:val="0"/>
                    <w:rPr>
                      <w:rFonts w:hint="eastAsia"/>
                    </w:rPr>
                  </w:pPr>
                  <w:r>
                    <w:rPr>
                      <w:rFonts w:hint="eastAsia"/>
                      <w:lang w:val="en-US" w:eastAsia="zh-CN"/>
                    </w:rPr>
                    <w:t>20.52</w:t>
                  </w:r>
                </w:p>
              </w:tc>
              <w:tc>
                <w:tcPr>
                  <w:tcW w:w="88" w:type="pct"/>
                  <w:vMerge w:val="restart"/>
                  <w:shd w:val="clear" w:color="auto" w:fill="auto"/>
                  <w:noWrap/>
                  <w:vAlign w:val="center"/>
                </w:tcPr>
                <w:p w14:paraId="339EA1C6">
                  <w:pPr>
                    <w:pStyle w:val="26"/>
                    <w:bidi w:val="0"/>
                    <w:rPr>
                      <w:rFonts w:hint="eastAsia"/>
                    </w:rPr>
                  </w:pPr>
                  <w:r>
                    <w:rPr>
                      <w:rFonts w:hint="eastAsia"/>
                      <w:lang w:val="en-US" w:eastAsia="zh-CN"/>
                    </w:rPr>
                    <w:t>1</w:t>
                  </w:r>
                </w:p>
              </w:tc>
              <w:tc>
                <w:tcPr>
                  <w:tcW w:w="430" w:type="pct"/>
                  <w:shd w:val="clear" w:color="auto" w:fill="auto"/>
                  <w:noWrap/>
                  <w:vAlign w:val="center"/>
                </w:tcPr>
                <w:p w14:paraId="464AA2CB">
                  <w:pPr>
                    <w:pStyle w:val="26"/>
                    <w:bidi w:val="0"/>
                    <w:rPr>
                      <w:rFonts w:hint="eastAsia"/>
                    </w:rPr>
                  </w:pPr>
                  <w:r>
                    <w:rPr>
                      <w:rFonts w:hint="eastAsia"/>
                      <w:lang w:val="en-US" w:eastAsia="zh-CN"/>
                    </w:rPr>
                    <w:t>18.98</w:t>
                  </w:r>
                </w:p>
              </w:tc>
              <w:tc>
                <w:tcPr>
                  <w:tcW w:w="431" w:type="pct"/>
                  <w:shd w:val="clear" w:color="auto" w:fill="auto"/>
                  <w:noWrap/>
                  <w:vAlign w:val="center"/>
                </w:tcPr>
                <w:p w14:paraId="1461889E">
                  <w:pPr>
                    <w:pStyle w:val="26"/>
                    <w:bidi w:val="0"/>
                    <w:rPr>
                      <w:rFonts w:hint="eastAsia"/>
                    </w:rPr>
                  </w:pPr>
                  <w:r>
                    <w:rPr>
                      <w:rFonts w:hint="eastAsia"/>
                      <w:lang w:val="en-US" w:eastAsia="zh-CN"/>
                    </w:rPr>
                    <w:t>60.58</w:t>
                  </w:r>
                </w:p>
              </w:tc>
              <w:tc>
                <w:tcPr>
                  <w:tcW w:w="286" w:type="pct"/>
                  <w:vMerge w:val="restart"/>
                  <w:shd w:val="clear" w:color="auto" w:fill="auto"/>
                  <w:noWrap/>
                  <w:vAlign w:val="center"/>
                </w:tcPr>
                <w:p w14:paraId="78261109">
                  <w:pPr>
                    <w:pStyle w:val="26"/>
                    <w:bidi w:val="0"/>
                    <w:rPr>
                      <w:rFonts w:hint="eastAsia"/>
                    </w:rPr>
                  </w:pPr>
                  <w:r>
                    <w:rPr>
                      <w:rFonts w:hint="eastAsia"/>
                      <w:lang w:val="en-US" w:eastAsia="zh-CN"/>
                    </w:rPr>
                    <w:t>昼间</w:t>
                  </w:r>
                </w:p>
              </w:tc>
              <w:tc>
                <w:tcPr>
                  <w:tcW w:w="576" w:type="pct"/>
                  <w:vMerge w:val="restart"/>
                  <w:shd w:val="clear" w:color="auto" w:fill="auto"/>
                  <w:noWrap/>
                  <w:vAlign w:val="center"/>
                </w:tcPr>
                <w:p w14:paraId="46D73E34">
                  <w:pPr>
                    <w:pStyle w:val="26"/>
                    <w:bidi w:val="0"/>
                    <w:rPr>
                      <w:rFonts w:hint="eastAsia"/>
                    </w:rPr>
                  </w:pPr>
                  <w:r>
                    <w:rPr>
                      <w:rFonts w:hint="eastAsia"/>
                      <w:lang w:val="en-US" w:eastAsia="zh-CN"/>
                    </w:rPr>
                    <w:t>26</w:t>
                  </w:r>
                </w:p>
              </w:tc>
              <w:tc>
                <w:tcPr>
                  <w:tcW w:w="431" w:type="pct"/>
                  <w:shd w:val="clear" w:color="auto" w:fill="auto"/>
                  <w:noWrap/>
                  <w:vAlign w:val="center"/>
                </w:tcPr>
                <w:p w14:paraId="5C070F1E">
                  <w:pPr>
                    <w:pStyle w:val="26"/>
                    <w:bidi w:val="0"/>
                    <w:rPr>
                      <w:rFonts w:hint="eastAsia"/>
                    </w:rPr>
                  </w:pPr>
                  <w:r>
                    <w:rPr>
                      <w:rFonts w:hint="eastAsia"/>
                      <w:lang w:val="en-US" w:eastAsia="zh-CN"/>
                    </w:rPr>
                    <w:t>34.58</w:t>
                  </w:r>
                </w:p>
              </w:tc>
              <w:tc>
                <w:tcPr>
                  <w:tcW w:w="434" w:type="pct"/>
                  <w:shd w:val="clear" w:color="auto" w:fill="auto"/>
                  <w:noWrap/>
                  <w:vAlign w:val="center"/>
                </w:tcPr>
                <w:p w14:paraId="15B7F701">
                  <w:pPr>
                    <w:pStyle w:val="26"/>
                    <w:bidi w:val="0"/>
                    <w:rPr>
                      <w:rFonts w:hint="eastAsia"/>
                    </w:rPr>
                  </w:pPr>
                  <w:r>
                    <w:rPr>
                      <w:rFonts w:hint="eastAsia"/>
                      <w:lang w:val="en-US" w:eastAsia="zh-CN"/>
                    </w:rPr>
                    <w:t>1</w:t>
                  </w:r>
                </w:p>
              </w:tc>
            </w:tr>
            <w:tr w14:paraId="26A5A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continue"/>
                  <w:shd w:val="clear" w:color="auto" w:fill="auto"/>
                  <w:noWrap/>
                  <w:vAlign w:val="center"/>
                </w:tcPr>
                <w:p w14:paraId="1BC520AC">
                  <w:pPr>
                    <w:pStyle w:val="26"/>
                    <w:bidi w:val="0"/>
                    <w:rPr>
                      <w:rFonts w:hint="eastAsia"/>
                    </w:rPr>
                  </w:pPr>
                </w:p>
              </w:tc>
              <w:tc>
                <w:tcPr>
                  <w:tcW w:w="366" w:type="pct"/>
                  <w:vMerge w:val="continue"/>
                  <w:shd w:val="clear" w:color="auto" w:fill="auto"/>
                  <w:noWrap/>
                  <w:vAlign w:val="center"/>
                </w:tcPr>
                <w:p w14:paraId="2F98CB97">
                  <w:pPr>
                    <w:pStyle w:val="26"/>
                    <w:bidi w:val="0"/>
                    <w:rPr>
                      <w:rFonts w:hint="eastAsia"/>
                    </w:rPr>
                  </w:pPr>
                </w:p>
              </w:tc>
              <w:tc>
                <w:tcPr>
                  <w:tcW w:w="540" w:type="pct"/>
                  <w:vMerge w:val="continue"/>
                  <w:shd w:val="clear" w:color="auto" w:fill="auto"/>
                  <w:noWrap/>
                  <w:vAlign w:val="center"/>
                </w:tcPr>
                <w:p w14:paraId="2DF430C2">
                  <w:pPr>
                    <w:pStyle w:val="26"/>
                    <w:bidi w:val="0"/>
                    <w:rPr>
                      <w:rFonts w:hint="eastAsia"/>
                    </w:rPr>
                  </w:pPr>
                </w:p>
              </w:tc>
              <w:tc>
                <w:tcPr>
                  <w:tcW w:w="370" w:type="pct"/>
                  <w:vMerge w:val="continue"/>
                  <w:shd w:val="clear" w:color="auto" w:fill="auto"/>
                  <w:noWrap/>
                  <w:vAlign w:val="center"/>
                </w:tcPr>
                <w:p w14:paraId="5FAA7874">
                  <w:pPr>
                    <w:pStyle w:val="26"/>
                    <w:bidi w:val="0"/>
                    <w:rPr>
                      <w:rFonts w:hint="eastAsia"/>
                    </w:rPr>
                  </w:pPr>
                </w:p>
              </w:tc>
              <w:tc>
                <w:tcPr>
                  <w:tcW w:w="323" w:type="pct"/>
                  <w:vMerge w:val="continue"/>
                  <w:shd w:val="clear" w:color="auto" w:fill="auto"/>
                  <w:noWrap/>
                  <w:vAlign w:val="center"/>
                </w:tcPr>
                <w:p w14:paraId="4E967985">
                  <w:pPr>
                    <w:pStyle w:val="26"/>
                    <w:bidi w:val="0"/>
                    <w:rPr>
                      <w:rFonts w:hint="eastAsia"/>
                    </w:rPr>
                  </w:pPr>
                </w:p>
              </w:tc>
              <w:tc>
                <w:tcPr>
                  <w:tcW w:w="88" w:type="pct"/>
                  <w:vMerge w:val="continue"/>
                  <w:shd w:val="clear" w:color="auto" w:fill="auto"/>
                  <w:noWrap/>
                  <w:vAlign w:val="center"/>
                </w:tcPr>
                <w:p w14:paraId="738E1E14">
                  <w:pPr>
                    <w:pStyle w:val="26"/>
                    <w:bidi w:val="0"/>
                    <w:rPr>
                      <w:rFonts w:hint="eastAsia"/>
                    </w:rPr>
                  </w:pPr>
                </w:p>
              </w:tc>
              <w:tc>
                <w:tcPr>
                  <w:tcW w:w="430" w:type="pct"/>
                  <w:shd w:val="clear" w:color="auto" w:fill="auto"/>
                  <w:noWrap/>
                  <w:vAlign w:val="center"/>
                </w:tcPr>
                <w:p w14:paraId="1ED74673">
                  <w:pPr>
                    <w:pStyle w:val="26"/>
                    <w:bidi w:val="0"/>
                    <w:rPr>
                      <w:rFonts w:hint="eastAsia"/>
                    </w:rPr>
                  </w:pPr>
                  <w:r>
                    <w:rPr>
                      <w:rFonts w:hint="eastAsia"/>
                      <w:lang w:val="en-US" w:eastAsia="zh-CN"/>
                    </w:rPr>
                    <w:t>11.08</w:t>
                  </w:r>
                </w:p>
              </w:tc>
              <w:tc>
                <w:tcPr>
                  <w:tcW w:w="431" w:type="pct"/>
                  <w:shd w:val="clear" w:color="auto" w:fill="auto"/>
                  <w:noWrap/>
                  <w:vAlign w:val="center"/>
                </w:tcPr>
                <w:p w14:paraId="5161FE49">
                  <w:pPr>
                    <w:pStyle w:val="26"/>
                    <w:bidi w:val="0"/>
                    <w:rPr>
                      <w:rFonts w:hint="eastAsia"/>
                    </w:rPr>
                  </w:pPr>
                  <w:r>
                    <w:rPr>
                      <w:rFonts w:hint="eastAsia"/>
                      <w:lang w:val="en-US" w:eastAsia="zh-CN"/>
                    </w:rPr>
                    <w:t>60.59</w:t>
                  </w:r>
                </w:p>
              </w:tc>
              <w:tc>
                <w:tcPr>
                  <w:tcW w:w="286" w:type="pct"/>
                  <w:vMerge w:val="continue"/>
                  <w:shd w:val="clear" w:color="auto" w:fill="auto"/>
                  <w:noWrap/>
                  <w:vAlign w:val="center"/>
                </w:tcPr>
                <w:p w14:paraId="6A0B62D1">
                  <w:pPr>
                    <w:pStyle w:val="26"/>
                    <w:bidi w:val="0"/>
                    <w:rPr>
                      <w:rFonts w:hint="eastAsia"/>
                    </w:rPr>
                  </w:pPr>
                </w:p>
              </w:tc>
              <w:tc>
                <w:tcPr>
                  <w:tcW w:w="576" w:type="pct"/>
                  <w:vMerge w:val="continue"/>
                  <w:shd w:val="clear" w:color="auto" w:fill="auto"/>
                  <w:noWrap/>
                  <w:vAlign w:val="center"/>
                </w:tcPr>
                <w:p w14:paraId="737022AC">
                  <w:pPr>
                    <w:pStyle w:val="26"/>
                    <w:bidi w:val="0"/>
                    <w:rPr>
                      <w:rFonts w:hint="eastAsia"/>
                    </w:rPr>
                  </w:pPr>
                </w:p>
              </w:tc>
              <w:tc>
                <w:tcPr>
                  <w:tcW w:w="431" w:type="pct"/>
                  <w:shd w:val="clear" w:color="auto" w:fill="auto"/>
                  <w:noWrap/>
                  <w:vAlign w:val="center"/>
                </w:tcPr>
                <w:p w14:paraId="4D170053">
                  <w:pPr>
                    <w:pStyle w:val="26"/>
                    <w:bidi w:val="0"/>
                    <w:rPr>
                      <w:rFonts w:hint="eastAsia"/>
                    </w:rPr>
                  </w:pPr>
                  <w:r>
                    <w:rPr>
                      <w:rFonts w:hint="eastAsia"/>
                      <w:lang w:val="en-US" w:eastAsia="zh-CN"/>
                    </w:rPr>
                    <w:t>34.59</w:t>
                  </w:r>
                </w:p>
              </w:tc>
              <w:tc>
                <w:tcPr>
                  <w:tcW w:w="434" w:type="pct"/>
                  <w:shd w:val="clear" w:color="auto" w:fill="auto"/>
                  <w:noWrap/>
                  <w:vAlign w:val="center"/>
                </w:tcPr>
                <w:p w14:paraId="376135E6">
                  <w:pPr>
                    <w:pStyle w:val="26"/>
                    <w:bidi w:val="0"/>
                    <w:rPr>
                      <w:rFonts w:hint="eastAsia"/>
                    </w:rPr>
                  </w:pPr>
                  <w:r>
                    <w:rPr>
                      <w:rFonts w:hint="eastAsia"/>
                      <w:lang w:val="en-US" w:eastAsia="zh-CN"/>
                    </w:rPr>
                    <w:t>1</w:t>
                  </w:r>
                </w:p>
              </w:tc>
            </w:tr>
            <w:tr w14:paraId="513D9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continue"/>
                  <w:shd w:val="clear" w:color="auto" w:fill="auto"/>
                  <w:noWrap/>
                  <w:vAlign w:val="center"/>
                </w:tcPr>
                <w:p w14:paraId="62E40309">
                  <w:pPr>
                    <w:pStyle w:val="26"/>
                    <w:bidi w:val="0"/>
                    <w:rPr>
                      <w:rFonts w:hint="eastAsia"/>
                    </w:rPr>
                  </w:pPr>
                </w:p>
              </w:tc>
              <w:tc>
                <w:tcPr>
                  <w:tcW w:w="366" w:type="pct"/>
                  <w:vMerge w:val="continue"/>
                  <w:shd w:val="clear" w:color="auto" w:fill="auto"/>
                  <w:noWrap/>
                  <w:vAlign w:val="center"/>
                </w:tcPr>
                <w:p w14:paraId="6ED2914C">
                  <w:pPr>
                    <w:pStyle w:val="26"/>
                    <w:bidi w:val="0"/>
                    <w:rPr>
                      <w:rFonts w:hint="eastAsia"/>
                    </w:rPr>
                  </w:pPr>
                </w:p>
              </w:tc>
              <w:tc>
                <w:tcPr>
                  <w:tcW w:w="540" w:type="pct"/>
                  <w:vMerge w:val="continue"/>
                  <w:shd w:val="clear" w:color="auto" w:fill="auto"/>
                  <w:noWrap/>
                  <w:vAlign w:val="center"/>
                </w:tcPr>
                <w:p w14:paraId="75E90879">
                  <w:pPr>
                    <w:pStyle w:val="26"/>
                    <w:bidi w:val="0"/>
                    <w:rPr>
                      <w:rFonts w:hint="eastAsia"/>
                    </w:rPr>
                  </w:pPr>
                </w:p>
              </w:tc>
              <w:tc>
                <w:tcPr>
                  <w:tcW w:w="370" w:type="pct"/>
                  <w:vMerge w:val="continue"/>
                  <w:shd w:val="clear" w:color="auto" w:fill="auto"/>
                  <w:noWrap/>
                  <w:vAlign w:val="center"/>
                </w:tcPr>
                <w:p w14:paraId="030222F2">
                  <w:pPr>
                    <w:pStyle w:val="26"/>
                    <w:bidi w:val="0"/>
                    <w:rPr>
                      <w:rFonts w:hint="eastAsia"/>
                    </w:rPr>
                  </w:pPr>
                </w:p>
              </w:tc>
              <w:tc>
                <w:tcPr>
                  <w:tcW w:w="323" w:type="pct"/>
                  <w:vMerge w:val="continue"/>
                  <w:shd w:val="clear" w:color="auto" w:fill="auto"/>
                  <w:noWrap/>
                  <w:vAlign w:val="center"/>
                </w:tcPr>
                <w:p w14:paraId="6FA89436">
                  <w:pPr>
                    <w:pStyle w:val="26"/>
                    <w:bidi w:val="0"/>
                    <w:rPr>
                      <w:rFonts w:hint="eastAsia"/>
                    </w:rPr>
                  </w:pPr>
                </w:p>
              </w:tc>
              <w:tc>
                <w:tcPr>
                  <w:tcW w:w="88" w:type="pct"/>
                  <w:vMerge w:val="continue"/>
                  <w:shd w:val="clear" w:color="auto" w:fill="auto"/>
                  <w:noWrap/>
                  <w:vAlign w:val="center"/>
                </w:tcPr>
                <w:p w14:paraId="56026797">
                  <w:pPr>
                    <w:pStyle w:val="26"/>
                    <w:bidi w:val="0"/>
                    <w:rPr>
                      <w:rFonts w:hint="eastAsia"/>
                    </w:rPr>
                  </w:pPr>
                </w:p>
              </w:tc>
              <w:tc>
                <w:tcPr>
                  <w:tcW w:w="430" w:type="pct"/>
                  <w:shd w:val="clear" w:color="auto" w:fill="auto"/>
                  <w:noWrap/>
                  <w:vAlign w:val="center"/>
                </w:tcPr>
                <w:p w14:paraId="4F9E87DF">
                  <w:pPr>
                    <w:pStyle w:val="26"/>
                    <w:bidi w:val="0"/>
                    <w:rPr>
                      <w:rFonts w:hint="eastAsia"/>
                    </w:rPr>
                  </w:pPr>
                  <w:r>
                    <w:rPr>
                      <w:rFonts w:hint="eastAsia"/>
                      <w:lang w:val="en-US" w:eastAsia="zh-CN"/>
                    </w:rPr>
                    <w:t>14.43</w:t>
                  </w:r>
                </w:p>
              </w:tc>
              <w:tc>
                <w:tcPr>
                  <w:tcW w:w="431" w:type="pct"/>
                  <w:shd w:val="clear" w:color="auto" w:fill="auto"/>
                  <w:noWrap/>
                  <w:vAlign w:val="center"/>
                </w:tcPr>
                <w:p w14:paraId="2133097A">
                  <w:pPr>
                    <w:pStyle w:val="26"/>
                    <w:bidi w:val="0"/>
                    <w:rPr>
                      <w:rFonts w:hint="eastAsia"/>
                    </w:rPr>
                  </w:pPr>
                  <w:r>
                    <w:rPr>
                      <w:rFonts w:hint="eastAsia"/>
                      <w:lang w:val="en-US" w:eastAsia="zh-CN"/>
                    </w:rPr>
                    <w:t>60.59</w:t>
                  </w:r>
                </w:p>
              </w:tc>
              <w:tc>
                <w:tcPr>
                  <w:tcW w:w="286" w:type="pct"/>
                  <w:vMerge w:val="continue"/>
                  <w:shd w:val="clear" w:color="auto" w:fill="auto"/>
                  <w:noWrap/>
                  <w:vAlign w:val="center"/>
                </w:tcPr>
                <w:p w14:paraId="0AA4BF6B">
                  <w:pPr>
                    <w:pStyle w:val="26"/>
                    <w:bidi w:val="0"/>
                    <w:rPr>
                      <w:rFonts w:hint="eastAsia"/>
                    </w:rPr>
                  </w:pPr>
                </w:p>
              </w:tc>
              <w:tc>
                <w:tcPr>
                  <w:tcW w:w="576" w:type="pct"/>
                  <w:vMerge w:val="continue"/>
                  <w:shd w:val="clear" w:color="auto" w:fill="auto"/>
                  <w:noWrap/>
                  <w:vAlign w:val="center"/>
                </w:tcPr>
                <w:p w14:paraId="08BAB5B9">
                  <w:pPr>
                    <w:pStyle w:val="26"/>
                    <w:bidi w:val="0"/>
                    <w:rPr>
                      <w:rFonts w:hint="eastAsia"/>
                    </w:rPr>
                  </w:pPr>
                </w:p>
              </w:tc>
              <w:tc>
                <w:tcPr>
                  <w:tcW w:w="431" w:type="pct"/>
                  <w:shd w:val="clear" w:color="auto" w:fill="auto"/>
                  <w:noWrap/>
                  <w:vAlign w:val="center"/>
                </w:tcPr>
                <w:p w14:paraId="11C064CD">
                  <w:pPr>
                    <w:pStyle w:val="26"/>
                    <w:bidi w:val="0"/>
                    <w:rPr>
                      <w:rFonts w:hint="eastAsia"/>
                    </w:rPr>
                  </w:pPr>
                  <w:r>
                    <w:rPr>
                      <w:rFonts w:hint="eastAsia"/>
                      <w:lang w:val="en-US" w:eastAsia="zh-CN"/>
                    </w:rPr>
                    <w:t>34.59</w:t>
                  </w:r>
                </w:p>
              </w:tc>
              <w:tc>
                <w:tcPr>
                  <w:tcW w:w="434" w:type="pct"/>
                  <w:shd w:val="clear" w:color="auto" w:fill="auto"/>
                  <w:noWrap/>
                  <w:vAlign w:val="center"/>
                </w:tcPr>
                <w:p w14:paraId="43B4BBDA">
                  <w:pPr>
                    <w:pStyle w:val="26"/>
                    <w:bidi w:val="0"/>
                    <w:rPr>
                      <w:rFonts w:hint="eastAsia"/>
                    </w:rPr>
                  </w:pPr>
                  <w:r>
                    <w:rPr>
                      <w:rFonts w:hint="eastAsia"/>
                      <w:lang w:val="en-US" w:eastAsia="zh-CN"/>
                    </w:rPr>
                    <w:t>1</w:t>
                  </w:r>
                </w:p>
              </w:tc>
            </w:tr>
            <w:tr w14:paraId="6A377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continue"/>
                  <w:shd w:val="clear" w:color="auto" w:fill="auto"/>
                  <w:noWrap/>
                  <w:vAlign w:val="center"/>
                </w:tcPr>
                <w:p w14:paraId="27A5496B">
                  <w:pPr>
                    <w:pStyle w:val="26"/>
                    <w:bidi w:val="0"/>
                    <w:rPr>
                      <w:rFonts w:hint="eastAsia"/>
                    </w:rPr>
                  </w:pPr>
                </w:p>
              </w:tc>
              <w:tc>
                <w:tcPr>
                  <w:tcW w:w="366" w:type="pct"/>
                  <w:vMerge w:val="continue"/>
                  <w:shd w:val="clear" w:color="auto" w:fill="auto"/>
                  <w:noWrap/>
                  <w:vAlign w:val="center"/>
                </w:tcPr>
                <w:p w14:paraId="1DDB662D">
                  <w:pPr>
                    <w:pStyle w:val="26"/>
                    <w:bidi w:val="0"/>
                    <w:rPr>
                      <w:rFonts w:hint="eastAsia"/>
                    </w:rPr>
                  </w:pPr>
                </w:p>
              </w:tc>
              <w:tc>
                <w:tcPr>
                  <w:tcW w:w="540" w:type="pct"/>
                  <w:vMerge w:val="continue"/>
                  <w:shd w:val="clear" w:color="auto" w:fill="auto"/>
                  <w:noWrap/>
                  <w:vAlign w:val="center"/>
                </w:tcPr>
                <w:p w14:paraId="112BC50F">
                  <w:pPr>
                    <w:pStyle w:val="26"/>
                    <w:bidi w:val="0"/>
                    <w:rPr>
                      <w:rFonts w:hint="eastAsia"/>
                    </w:rPr>
                  </w:pPr>
                </w:p>
              </w:tc>
              <w:tc>
                <w:tcPr>
                  <w:tcW w:w="370" w:type="pct"/>
                  <w:vMerge w:val="continue"/>
                  <w:shd w:val="clear" w:color="auto" w:fill="auto"/>
                  <w:noWrap/>
                  <w:vAlign w:val="center"/>
                </w:tcPr>
                <w:p w14:paraId="574FD8B6">
                  <w:pPr>
                    <w:pStyle w:val="26"/>
                    <w:bidi w:val="0"/>
                    <w:rPr>
                      <w:rFonts w:hint="eastAsia"/>
                    </w:rPr>
                  </w:pPr>
                </w:p>
              </w:tc>
              <w:tc>
                <w:tcPr>
                  <w:tcW w:w="323" w:type="pct"/>
                  <w:vMerge w:val="continue"/>
                  <w:shd w:val="clear" w:color="auto" w:fill="auto"/>
                  <w:noWrap/>
                  <w:vAlign w:val="center"/>
                </w:tcPr>
                <w:p w14:paraId="5AE848B4">
                  <w:pPr>
                    <w:pStyle w:val="26"/>
                    <w:bidi w:val="0"/>
                    <w:rPr>
                      <w:rFonts w:hint="eastAsia"/>
                    </w:rPr>
                  </w:pPr>
                </w:p>
              </w:tc>
              <w:tc>
                <w:tcPr>
                  <w:tcW w:w="88" w:type="pct"/>
                  <w:vMerge w:val="continue"/>
                  <w:shd w:val="clear" w:color="auto" w:fill="auto"/>
                  <w:noWrap/>
                  <w:vAlign w:val="center"/>
                </w:tcPr>
                <w:p w14:paraId="3393F6D4">
                  <w:pPr>
                    <w:pStyle w:val="26"/>
                    <w:bidi w:val="0"/>
                    <w:rPr>
                      <w:rFonts w:hint="eastAsia"/>
                    </w:rPr>
                  </w:pPr>
                </w:p>
              </w:tc>
              <w:tc>
                <w:tcPr>
                  <w:tcW w:w="430" w:type="pct"/>
                  <w:shd w:val="clear" w:color="auto" w:fill="auto"/>
                  <w:noWrap/>
                  <w:vAlign w:val="center"/>
                </w:tcPr>
                <w:p w14:paraId="2EC5A20A">
                  <w:pPr>
                    <w:pStyle w:val="26"/>
                    <w:bidi w:val="0"/>
                    <w:rPr>
                      <w:rFonts w:hint="eastAsia"/>
                    </w:rPr>
                  </w:pPr>
                  <w:r>
                    <w:rPr>
                      <w:rFonts w:hint="eastAsia"/>
                      <w:lang w:val="en-US" w:eastAsia="zh-CN"/>
                    </w:rPr>
                    <w:t>5.96</w:t>
                  </w:r>
                </w:p>
              </w:tc>
              <w:tc>
                <w:tcPr>
                  <w:tcW w:w="431" w:type="pct"/>
                  <w:shd w:val="clear" w:color="auto" w:fill="auto"/>
                  <w:noWrap/>
                  <w:vAlign w:val="center"/>
                </w:tcPr>
                <w:p w14:paraId="637DAAD4">
                  <w:pPr>
                    <w:pStyle w:val="26"/>
                    <w:bidi w:val="0"/>
                    <w:rPr>
                      <w:rFonts w:hint="eastAsia"/>
                    </w:rPr>
                  </w:pPr>
                  <w:r>
                    <w:rPr>
                      <w:rFonts w:hint="eastAsia"/>
                      <w:lang w:val="en-US" w:eastAsia="zh-CN"/>
                    </w:rPr>
                    <w:t>60.61</w:t>
                  </w:r>
                </w:p>
              </w:tc>
              <w:tc>
                <w:tcPr>
                  <w:tcW w:w="286" w:type="pct"/>
                  <w:vMerge w:val="continue"/>
                  <w:shd w:val="clear" w:color="auto" w:fill="auto"/>
                  <w:noWrap/>
                  <w:vAlign w:val="center"/>
                </w:tcPr>
                <w:p w14:paraId="642B6EC1">
                  <w:pPr>
                    <w:pStyle w:val="26"/>
                    <w:bidi w:val="0"/>
                    <w:rPr>
                      <w:rFonts w:hint="eastAsia"/>
                    </w:rPr>
                  </w:pPr>
                </w:p>
              </w:tc>
              <w:tc>
                <w:tcPr>
                  <w:tcW w:w="576" w:type="pct"/>
                  <w:vMerge w:val="continue"/>
                  <w:shd w:val="clear" w:color="auto" w:fill="auto"/>
                  <w:noWrap/>
                  <w:vAlign w:val="center"/>
                </w:tcPr>
                <w:p w14:paraId="54EFFB3A">
                  <w:pPr>
                    <w:pStyle w:val="26"/>
                    <w:bidi w:val="0"/>
                    <w:rPr>
                      <w:rFonts w:hint="eastAsia"/>
                    </w:rPr>
                  </w:pPr>
                </w:p>
              </w:tc>
              <w:tc>
                <w:tcPr>
                  <w:tcW w:w="431" w:type="pct"/>
                  <w:shd w:val="clear" w:color="auto" w:fill="auto"/>
                  <w:noWrap/>
                  <w:vAlign w:val="center"/>
                </w:tcPr>
                <w:p w14:paraId="5C12D5B4">
                  <w:pPr>
                    <w:pStyle w:val="26"/>
                    <w:bidi w:val="0"/>
                    <w:rPr>
                      <w:rFonts w:hint="eastAsia"/>
                    </w:rPr>
                  </w:pPr>
                  <w:r>
                    <w:rPr>
                      <w:rFonts w:hint="eastAsia"/>
                      <w:lang w:val="en-US" w:eastAsia="zh-CN"/>
                    </w:rPr>
                    <w:t>34.61</w:t>
                  </w:r>
                </w:p>
              </w:tc>
              <w:tc>
                <w:tcPr>
                  <w:tcW w:w="434" w:type="pct"/>
                  <w:shd w:val="clear" w:color="auto" w:fill="auto"/>
                  <w:noWrap/>
                  <w:vAlign w:val="center"/>
                </w:tcPr>
                <w:p w14:paraId="225829CE">
                  <w:pPr>
                    <w:pStyle w:val="26"/>
                    <w:bidi w:val="0"/>
                    <w:rPr>
                      <w:rFonts w:hint="eastAsia"/>
                    </w:rPr>
                  </w:pPr>
                  <w:r>
                    <w:rPr>
                      <w:rFonts w:hint="eastAsia"/>
                      <w:lang w:val="en-US" w:eastAsia="zh-CN"/>
                    </w:rPr>
                    <w:t>1</w:t>
                  </w:r>
                </w:p>
              </w:tc>
            </w:tr>
            <w:tr w14:paraId="2E47A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restart"/>
                  <w:shd w:val="clear" w:color="auto" w:fill="auto"/>
                  <w:noWrap/>
                  <w:vAlign w:val="center"/>
                </w:tcPr>
                <w:p w14:paraId="1FFF22B8">
                  <w:pPr>
                    <w:pStyle w:val="26"/>
                    <w:bidi w:val="0"/>
                    <w:rPr>
                      <w:rFonts w:hint="eastAsia"/>
                    </w:rPr>
                  </w:pPr>
                  <w:r>
                    <w:rPr>
                      <w:rFonts w:hint="eastAsia"/>
                      <w:lang w:val="en-US" w:eastAsia="zh-CN"/>
                    </w:rPr>
                    <w:t>手摇油泵2</w:t>
                  </w:r>
                </w:p>
              </w:tc>
              <w:tc>
                <w:tcPr>
                  <w:tcW w:w="366" w:type="pct"/>
                  <w:vMerge w:val="restart"/>
                  <w:shd w:val="clear" w:color="auto" w:fill="auto"/>
                  <w:noWrap/>
                  <w:vAlign w:val="center"/>
                </w:tcPr>
                <w:p w14:paraId="78A49F62">
                  <w:pPr>
                    <w:pStyle w:val="26"/>
                    <w:bidi w:val="0"/>
                    <w:rPr>
                      <w:rFonts w:hint="eastAsia"/>
                    </w:rPr>
                  </w:pPr>
                  <w:r>
                    <w:rPr>
                      <w:rFonts w:hint="eastAsia"/>
                      <w:lang w:val="en-US" w:eastAsia="zh-CN"/>
                    </w:rPr>
                    <w:t>65</w:t>
                  </w:r>
                </w:p>
              </w:tc>
              <w:tc>
                <w:tcPr>
                  <w:tcW w:w="540" w:type="pct"/>
                  <w:vMerge w:val="restart"/>
                  <w:shd w:val="clear" w:color="auto" w:fill="auto"/>
                  <w:noWrap/>
                  <w:vAlign w:val="center"/>
                </w:tcPr>
                <w:p w14:paraId="6F89F4D5">
                  <w:pPr>
                    <w:pStyle w:val="26"/>
                    <w:bidi w:val="0"/>
                    <w:rPr>
                      <w:rFonts w:hint="eastAsia"/>
                      <w:lang w:val="en-US" w:eastAsia="zh-CN"/>
                    </w:rPr>
                  </w:pPr>
                  <w:r>
                    <w:rPr>
                      <w:rFonts w:hint="eastAsia"/>
                      <w:lang w:val="en-US" w:eastAsia="zh-CN"/>
                    </w:rPr>
                    <w:t>基础减振</w:t>
                  </w:r>
                </w:p>
                <w:p w14:paraId="7E27E67A">
                  <w:pPr>
                    <w:pStyle w:val="26"/>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建筑降噪</w:t>
                  </w:r>
                </w:p>
              </w:tc>
              <w:tc>
                <w:tcPr>
                  <w:tcW w:w="370" w:type="pct"/>
                  <w:vMerge w:val="restart"/>
                  <w:shd w:val="clear" w:color="auto" w:fill="auto"/>
                  <w:noWrap/>
                  <w:vAlign w:val="center"/>
                </w:tcPr>
                <w:p w14:paraId="314F89EE">
                  <w:pPr>
                    <w:pStyle w:val="26"/>
                    <w:bidi w:val="0"/>
                    <w:rPr>
                      <w:rFonts w:hint="eastAsia"/>
                    </w:rPr>
                  </w:pPr>
                  <w:r>
                    <w:rPr>
                      <w:rFonts w:hint="eastAsia"/>
                      <w:lang w:val="en-US" w:eastAsia="zh-CN"/>
                    </w:rPr>
                    <w:t>-36.9</w:t>
                  </w:r>
                </w:p>
              </w:tc>
              <w:tc>
                <w:tcPr>
                  <w:tcW w:w="323" w:type="pct"/>
                  <w:vMerge w:val="restart"/>
                  <w:shd w:val="clear" w:color="auto" w:fill="auto"/>
                  <w:noWrap/>
                  <w:vAlign w:val="center"/>
                </w:tcPr>
                <w:p w14:paraId="3E9F9C7A">
                  <w:pPr>
                    <w:pStyle w:val="26"/>
                    <w:bidi w:val="0"/>
                    <w:rPr>
                      <w:rFonts w:hint="eastAsia"/>
                    </w:rPr>
                  </w:pPr>
                  <w:r>
                    <w:rPr>
                      <w:rFonts w:hint="eastAsia"/>
                      <w:lang w:val="en-US" w:eastAsia="zh-CN"/>
                    </w:rPr>
                    <w:t>19.54</w:t>
                  </w:r>
                </w:p>
              </w:tc>
              <w:tc>
                <w:tcPr>
                  <w:tcW w:w="88" w:type="pct"/>
                  <w:vMerge w:val="restart"/>
                  <w:shd w:val="clear" w:color="auto" w:fill="auto"/>
                  <w:noWrap/>
                  <w:vAlign w:val="center"/>
                </w:tcPr>
                <w:p w14:paraId="36F116CA">
                  <w:pPr>
                    <w:pStyle w:val="26"/>
                    <w:bidi w:val="0"/>
                    <w:rPr>
                      <w:rFonts w:hint="eastAsia"/>
                    </w:rPr>
                  </w:pPr>
                  <w:r>
                    <w:rPr>
                      <w:rFonts w:hint="eastAsia"/>
                      <w:lang w:val="en-US" w:eastAsia="zh-CN"/>
                    </w:rPr>
                    <w:t>1</w:t>
                  </w:r>
                </w:p>
              </w:tc>
              <w:tc>
                <w:tcPr>
                  <w:tcW w:w="430" w:type="pct"/>
                  <w:shd w:val="clear" w:color="auto" w:fill="auto"/>
                  <w:noWrap/>
                  <w:vAlign w:val="center"/>
                </w:tcPr>
                <w:p w14:paraId="6E39A5E8">
                  <w:pPr>
                    <w:pStyle w:val="26"/>
                    <w:bidi w:val="0"/>
                    <w:rPr>
                      <w:rFonts w:hint="eastAsia"/>
                    </w:rPr>
                  </w:pPr>
                  <w:r>
                    <w:rPr>
                      <w:rFonts w:hint="eastAsia"/>
                      <w:lang w:val="en-US" w:eastAsia="zh-CN"/>
                    </w:rPr>
                    <w:t>20.86</w:t>
                  </w:r>
                </w:p>
              </w:tc>
              <w:tc>
                <w:tcPr>
                  <w:tcW w:w="431" w:type="pct"/>
                  <w:shd w:val="clear" w:color="auto" w:fill="auto"/>
                  <w:noWrap/>
                  <w:vAlign w:val="center"/>
                </w:tcPr>
                <w:p w14:paraId="45DB6DE3">
                  <w:pPr>
                    <w:pStyle w:val="26"/>
                    <w:bidi w:val="0"/>
                    <w:rPr>
                      <w:rFonts w:hint="eastAsia"/>
                    </w:rPr>
                  </w:pPr>
                  <w:r>
                    <w:rPr>
                      <w:rFonts w:hint="eastAsia"/>
                      <w:lang w:val="en-US" w:eastAsia="zh-CN"/>
                    </w:rPr>
                    <w:t>60.58</w:t>
                  </w:r>
                </w:p>
              </w:tc>
              <w:tc>
                <w:tcPr>
                  <w:tcW w:w="286" w:type="pct"/>
                  <w:vMerge w:val="restart"/>
                  <w:shd w:val="clear" w:color="auto" w:fill="auto"/>
                  <w:noWrap/>
                  <w:vAlign w:val="center"/>
                </w:tcPr>
                <w:p w14:paraId="28A61954">
                  <w:pPr>
                    <w:pStyle w:val="26"/>
                    <w:bidi w:val="0"/>
                    <w:rPr>
                      <w:rFonts w:hint="eastAsia"/>
                    </w:rPr>
                  </w:pPr>
                  <w:r>
                    <w:rPr>
                      <w:rFonts w:hint="eastAsia"/>
                      <w:lang w:val="en-US" w:eastAsia="zh-CN"/>
                    </w:rPr>
                    <w:t>昼间</w:t>
                  </w:r>
                </w:p>
              </w:tc>
              <w:tc>
                <w:tcPr>
                  <w:tcW w:w="576" w:type="pct"/>
                  <w:vMerge w:val="restart"/>
                  <w:shd w:val="clear" w:color="auto" w:fill="auto"/>
                  <w:noWrap/>
                  <w:vAlign w:val="center"/>
                </w:tcPr>
                <w:p w14:paraId="1DDC23FA">
                  <w:pPr>
                    <w:pStyle w:val="26"/>
                    <w:bidi w:val="0"/>
                    <w:rPr>
                      <w:rFonts w:hint="eastAsia"/>
                    </w:rPr>
                  </w:pPr>
                  <w:r>
                    <w:rPr>
                      <w:rFonts w:hint="eastAsia"/>
                      <w:lang w:val="en-US" w:eastAsia="zh-CN"/>
                    </w:rPr>
                    <w:t>26</w:t>
                  </w:r>
                </w:p>
              </w:tc>
              <w:tc>
                <w:tcPr>
                  <w:tcW w:w="431" w:type="pct"/>
                  <w:shd w:val="clear" w:color="auto" w:fill="auto"/>
                  <w:noWrap/>
                  <w:vAlign w:val="center"/>
                </w:tcPr>
                <w:p w14:paraId="1AABEF43">
                  <w:pPr>
                    <w:pStyle w:val="26"/>
                    <w:bidi w:val="0"/>
                    <w:rPr>
                      <w:rFonts w:hint="eastAsia"/>
                    </w:rPr>
                  </w:pPr>
                  <w:r>
                    <w:rPr>
                      <w:rFonts w:hint="eastAsia"/>
                      <w:lang w:val="en-US" w:eastAsia="zh-CN"/>
                    </w:rPr>
                    <w:t>34.58</w:t>
                  </w:r>
                </w:p>
              </w:tc>
              <w:tc>
                <w:tcPr>
                  <w:tcW w:w="434" w:type="pct"/>
                  <w:shd w:val="clear" w:color="auto" w:fill="auto"/>
                  <w:noWrap/>
                  <w:vAlign w:val="center"/>
                </w:tcPr>
                <w:p w14:paraId="417F5086">
                  <w:pPr>
                    <w:pStyle w:val="26"/>
                    <w:bidi w:val="0"/>
                    <w:rPr>
                      <w:rFonts w:hint="eastAsia"/>
                    </w:rPr>
                  </w:pPr>
                  <w:r>
                    <w:rPr>
                      <w:rFonts w:hint="eastAsia"/>
                      <w:lang w:val="en-US" w:eastAsia="zh-CN"/>
                    </w:rPr>
                    <w:t>1</w:t>
                  </w:r>
                </w:p>
              </w:tc>
            </w:tr>
            <w:tr w14:paraId="120AA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continue"/>
                  <w:shd w:val="clear" w:color="auto" w:fill="auto"/>
                  <w:noWrap/>
                  <w:vAlign w:val="center"/>
                </w:tcPr>
                <w:p w14:paraId="5C2201EA">
                  <w:pPr>
                    <w:pStyle w:val="26"/>
                    <w:bidi w:val="0"/>
                    <w:rPr>
                      <w:rFonts w:hint="eastAsia"/>
                    </w:rPr>
                  </w:pPr>
                </w:p>
              </w:tc>
              <w:tc>
                <w:tcPr>
                  <w:tcW w:w="366" w:type="pct"/>
                  <w:vMerge w:val="continue"/>
                  <w:shd w:val="clear" w:color="auto" w:fill="auto"/>
                  <w:noWrap/>
                  <w:vAlign w:val="center"/>
                </w:tcPr>
                <w:p w14:paraId="361A7FF5">
                  <w:pPr>
                    <w:pStyle w:val="26"/>
                    <w:bidi w:val="0"/>
                    <w:rPr>
                      <w:rFonts w:hint="eastAsia"/>
                    </w:rPr>
                  </w:pPr>
                </w:p>
              </w:tc>
              <w:tc>
                <w:tcPr>
                  <w:tcW w:w="540" w:type="pct"/>
                  <w:vMerge w:val="continue"/>
                  <w:shd w:val="clear" w:color="auto" w:fill="auto"/>
                  <w:noWrap/>
                  <w:vAlign w:val="center"/>
                </w:tcPr>
                <w:p w14:paraId="059A9177">
                  <w:pPr>
                    <w:pStyle w:val="26"/>
                    <w:bidi w:val="0"/>
                    <w:rPr>
                      <w:rFonts w:hint="eastAsia"/>
                    </w:rPr>
                  </w:pPr>
                </w:p>
              </w:tc>
              <w:tc>
                <w:tcPr>
                  <w:tcW w:w="370" w:type="pct"/>
                  <w:vMerge w:val="continue"/>
                  <w:shd w:val="clear" w:color="auto" w:fill="auto"/>
                  <w:noWrap/>
                  <w:vAlign w:val="center"/>
                </w:tcPr>
                <w:p w14:paraId="0089804C">
                  <w:pPr>
                    <w:pStyle w:val="26"/>
                    <w:bidi w:val="0"/>
                    <w:rPr>
                      <w:rFonts w:hint="eastAsia"/>
                    </w:rPr>
                  </w:pPr>
                </w:p>
              </w:tc>
              <w:tc>
                <w:tcPr>
                  <w:tcW w:w="323" w:type="pct"/>
                  <w:vMerge w:val="continue"/>
                  <w:shd w:val="clear" w:color="auto" w:fill="auto"/>
                  <w:noWrap/>
                  <w:vAlign w:val="center"/>
                </w:tcPr>
                <w:p w14:paraId="025686EE">
                  <w:pPr>
                    <w:pStyle w:val="26"/>
                    <w:bidi w:val="0"/>
                    <w:rPr>
                      <w:rFonts w:hint="eastAsia"/>
                    </w:rPr>
                  </w:pPr>
                </w:p>
              </w:tc>
              <w:tc>
                <w:tcPr>
                  <w:tcW w:w="88" w:type="pct"/>
                  <w:vMerge w:val="continue"/>
                  <w:shd w:val="clear" w:color="auto" w:fill="auto"/>
                  <w:noWrap/>
                  <w:vAlign w:val="center"/>
                </w:tcPr>
                <w:p w14:paraId="5554EF10">
                  <w:pPr>
                    <w:pStyle w:val="26"/>
                    <w:bidi w:val="0"/>
                    <w:rPr>
                      <w:rFonts w:hint="eastAsia"/>
                    </w:rPr>
                  </w:pPr>
                </w:p>
              </w:tc>
              <w:tc>
                <w:tcPr>
                  <w:tcW w:w="430" w:type="pct"/>
                  <w:shd w:val="clear" w:color="auto" w:fill="auto"/>
                  <w:noWrap/>
                  <w:vAlign w:val="center"/>
                </w:tcPr>
                <w:p w14:paraId="55EA9889">
                  <w:pPr>
                    <w:pStyle w:val="26"/>
                    <w:bidi w:val="0"/>
                    <w:rPr>
                      <w:rFonts w:hint="eastAsia"/>
                    </w:rPr>
                  </w:pPr>
                  <w:r>
                    <w:rPr>
                      <w:rFonts w:hint="eastAsia"/>
                      <w:lang w:val="en-US" w:eastAsia="zh-CN"/>
                    </w:rPr>
                    <w:t>11.32</w:t>
                  </w:r>
                </w:p>
              </w:tc>
              <w:tc>
                <w:tcPr>
                  <w:tcW w:w="431" w:type="pct"/>
                  <w:shd w:val="clear" w:color="auto" w:fill="auto"/>
                  <w:noWrap/>
                  <w:vAlign w:val="center"/>
                </w:tcPr>
                <w:p w14:paraId="0CDDF53C">
                  <w:pPr>
                    <w:pStyle w:val="26"/>
                    <w:bidi w:val="0"/>
                    <w:rPr>
                      <w:rFonts w:hint="eastAsia"/>
                    </w:rPr>
                  </w:pPr>
                  <w:r>
                    <w:rPr>
                      <w:rFonts w:hint="eastAsia"/>
                      <w:lang w:val="en-US" w:eastAsia="zh-CN"/>
                    </w:rPr>
                    <w:t>60.59</w:t>
                  </w:r>
                </w:p>
              </w:tc>
              <w:tc>
                <w:tcPr>
                  <w:tcW w:w="286" w:type="pct"/>
                  <w:vMerge w:val="continue"/>
                  <w:shd w:val="clear" w:color="auto" w:fill="auto"/>
                  <w:noWrap/>
                  <w:vAlign w:val="center"/>
                </w:tcPr>
                <w:p w14:paraId="6259FADC">
                  <w:pPr>
                    <w:pStyle w:val="26"/>
                    <w:bidi w:val="0"/>
                    <w:rPr>
                      <w:rFonts w:hint="eastAsia"/>
                    </w:rPr>
                  </w:pPr>
                </w:p>
              </w:tc>
              <w:tc>
                <w:tcPr>
                  <w:tcW w:w="576" w:type="pct"/>
                  <w:vMerge w:val="continue"/>
                  <w:shd w:val="clear" w:color="auto" w:fill="auto"/>
                  <w:noWrap/>
                  <w:vAlign w:val="center"/>
                </w:tcPr>
                <w:p w14:paraId="29AD87B9">
                  <w:pPr>
                    <w:pStyle w:val="26"/>
                    <w:bidi w:val="0"/>
                    <w:rPr>
                      <w:rFonts w:hint="eastAsia"/>
                    </w:rPr>
                  </w:pPr>
                </w:p>
              </w:tc>
              <w:tc>
                <w:tcPr>
                  <w:tcW w:w="431" w:type="pct"/>
                  <w:shd w:val="clear" w:color="auto" w:fill="auto"/>
                  <w:noWrap/>
                  <w:vAlign w:val="center"/>
                </w:tcPr>
                <w:p w14:paraId="23EA8AA6">
                  <w:pPr>
                    <w:pStyle w:val="26"/>
                    <w:bidi w:val="0"/>
                    <w:rPr>
                      <w:rFonts w:hint="eastAsia"/>
                    </w:rPr>
                  </w:pPr>
                  <w:r>
                    <w:rPr>
                      <w:rFonts w:hint="eastAsia"/>
                      <w:lang w:val="en-US" w:eastAsia="zh-CN"/>
                    </w:rPr>
                    <w:t>34.59</w:t>
                  </w:r>
                </w:p>
              </w:tc>
              <w:tc>
                <w:tcPr>
                  <w:tcW w:w="434" w:type="pct"/>
                  <w:shd w:val="clear" w:color="auto" w:fill="auto"/>
                  <w:noWrap/>
                  <w:vAlign w:val="center"/>
                </w:tcPr>
                <w:p w14:paraId="7A2D71FB">
                  <w:pPr>
                    <w:pStyle w:val="26"/>
                    <w:bidi w:val="0"/>
                    <w:rPr>
                      <w:rFonts w:hint="eastAsia"/>
                    </w:rPr>
                  </w:pPr>
                  <w:r>
                    <w:rPr>
                      <w:rFonts w:hint="eastAsia"/>
                      <w:lang w:val="en-US" w:eastAsia="zh-CN"/>
                    </w:rPr>
                    <w:t>1</w:t>
                  </w:r>
                </w:p>
              </w:tc>
            </w:tr>
            <w:tr w14:paraId="6A8A0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continue"/>
                  <w:shd w:val="clear" w:color="auto" w:fill="auto"/>
                  <w:noWrap/>
                  <w:vAlign w:val="center"/>
                </w:tcPr>
                <w:p w14:paraId="2327EFCA">
                  <w:pPr>
                    <w:pStyle w:val="26"/>
                    <w:bidi w:val="0"/>
                    <w:rPr>
                      <w:rFonts w:hint="eastAsia"/>
                    </w:rPr>
                  </w:pPr>
                </w:p>
              </w:tc>
              <w:tc>
                <w:tcPr>
                  <w:tcW w:w="366" w:type="pct"/>
                  <w:vMerge w:val="continue"/>
                  <w:shd w:val="clear" w:color="auto" w:fill="auto"/>
                  <w:noWrap/>
                  <w:vAlign w:val="center"/>
                </w:tcPr>
                <w:p w14:paraId="53A4D76F">
                  <w:pPr>
                    <w:pStyle w:val="26"/>
                    <w:bidi w:val="0"/>
                    <w:rPr>
                      <w:rFonts w:hint="eastAsia"/>
                    </w:rPr>
                  </w:pPr>
                </w:p>
              </w:tc>
              <w:tc>
                <w:tcPr>
                  <w:tcW w:w="540" w:type="pct"/>
                  <w:vMerge w:val="continue"/>
                  <w:shd w:val="clear" w:color="auto" w:fill="auto"/>
                  <w:noWrap/>
                  <w:vAlign w:val="center"/>
                </w:tcPr>
                <w:p w14:paraId="2D0B15C9">
                  <w:pPr>
                    <w:pStyle w:val="26"/>
                    <w:bidi w:val="0"/>
                    <w:rPr>
                      <w:rFonts w:hint="eastAsia"/>
                    </w:rPr>
                  </w:pPr>
                </w:p>
              </w:tc>
              <w:tc>
                <w:tcPr>
                  <w:tcW w:w="370" w:type="pct"/>
                  <w:vMerge w:val="continue"/>
                  <w:shd w:val="clear" w:color="auto" w:fill="auto"/>
                  <w:noWrap/>
                  <w:vAlign w:val="center"/>
                </w:tcPr>
                <w:p w14:paraId="20428B77">
                  <w:pPr>
                    <w:pStyle w:val="26"/>
                    <w:bidi w:val="0"/>
                    <w:rPr>
                      <w:rFonts w:hint="eastAsia"/>
                    </w:rPr>
                  </w:pPr>
                </w:p>
              </w:tc>
              <w:tc>
                <w:tcPr>
                  <w:tcW w:w="323" w:type="pct"/>
                  <w:vMerge w:val="continue"/>
                  <w:shd w:val="clear" w:color="auto" w:fill="auto"/>
                  <w:noWrap/>
                  <w:vAlign w:val="center"/>
                </w:tcPr>
                <w:p w14:paraId="2FB94C91">
                  <w:pPr>
                    <w:pStyle w:val="26"/>
                    <w:bidi w:val="0"/>
                    <w:rPr>
                      <w:rFonts w:hint="eastAsia"/>
                    </w:rPr>
                  </w:pPr>
                </w:p>
              </w:tc>
              <w:tc>
                <w:tcPr>
                  <w:tcW w:w="88" w:type="pct"/>
                  <w:vMerge w:val="continue"/>
                  <w:shd w:val="clear" w:color="auto" w:fill="auto"/>
                  <w:noWrap/>
                  <w:vAlign w:val="center"/>
                </w:tcPr>
                <w:p w14:paraId="15C13477">
                  <w:pPr>
                    <w:pStyle w:val="26"/>
                    <w:bidi w:val="0"/>
                    <w:rPr>
                      <w:rFonts w:hint="eastAsia"/>
                    </w:rPr>
                  </w:pPr>
                </w:p>
              </w:tc>
              <w:tc>
                <w:tcPr>
                  <w:tcW w:w="430" w:type="pct"/>
                  <w:shd w:val="clear" w:color="auto" w:fill="auto"/>
                  <w:noWrap/>
                  <w:vAlign w:val="center"/>
                </w:tcPr>
                <w:p w14:paraId="0B98FC4B">
                  <w:pPr>
                    <w:pStyle w:val="26"/>
                    <w:bidi w:val="0"/>
                    <w:rPr>
                      <w:rFonts w:hint="eastAsia"/>
                    </w:rPr>
                  </w:pPr>
                  <w:r>
                    <w:rPr>
                      <w:rFonts w:hint="eastAsia"/>
                      <w:lang w:val="en-US" w:eastAsia="zh-CN"/>
                    </w:rPr>
                    <w:t>12.55</w:t>
                  </w:r>
                </w:p>
              </w:tc>
              <w:tc>
                <w:tcPr>
                  <w:tcW w:w="431" w:type="pct"/>
                  <w:shd w:val="clear" w:color="auto" w:fill="auto"/>
                  <w:noWrap/>
                  <w:vAlign w:val="center"/>
                </w:tcPr>
                <w:p w14:paraId="003D4669">
                  <w:pPr>
                    <w:pStyle w:val="26"/>
                    <w:bidi w:val="0"/>
                    <w:rPr>
                      <w:rFonts w:hint="eastAsia"/>
                    </w:rPr>
                  </w:pPr>
                  <w:r>
                    <w:rPr>
                      <w:rFonts w:hint="eastAsia"/>
                      <w:lang w:val="en-US" w:eastAsia="zh-CN"/>
                    </w:rPr>
                    <w:t>60.59</w:t>
                  </w:r>
                </w:p>
              </w:tc>
              <w:tc>
                <w:tcPr>
                  <w:tcW w:w="286" w:type="pct"/>
                  <w:vMerge w:val="continue"/>
                  <w:shd w:val="clear" w:color="auto" w:fill="auto"/>
                  <w:noWrap/>
                  <w:vAlign w:val="center"/>
                </w:tcPr>
                <w:p w14:paraId="5E68EAF5">
                  <w:pPr>
                    <w:pStyle w:val="26"/>
                    <w:bidi w:val="0"/>
                    <w:rPr>
                      <w:rFonts w:hint="eastAsia"/>
                    </w:rPr>
                  </w:pPr>
                </w:p>
              </w:tc>
              <w:tc>
                <w:tcPr>
                  <w:tcW w:w="576" w:type="pct"/>
                  <w:vMerge w:val="continue"/>
                  <w:shd w:val="clear" w:color="auto" w:fill="auto"/>
                  <w:noWrap/>
                  <w:vAlign w:val="center"/>
                </w:tcPr>
                <w:p w14:paraId="0158A7C6">
                  <w:pPr>
                    <w:pStyle w:val="26"/>
                    <w:bidi w:val="0"/>
                    <w:rPr>
                      <w:rFonts w:hint="eastAsia"/>
                    </w:rPr>
                  </w:pPr>
                </w:p>
              </w:tc>
              <w:tc>
                <w:tcPr>
                  <w:tcW w:w="431" w:type="pct"/>
                  <w:shd w:val="clear" w:color="auto" w:fill="auto"/>
                  <w:noWrap/>
                  <w:vAlign w:val="center"/>
                </w:tcPr>
                <w:p w14:paraId="457ED599">
                  <w:pPr>
                    <w:pStyle w:val="26"/>
                    <w:bidi w:val="0"/>
                    <w:rPr>
                      <w:rFonts w:hint="eastAsia"/>
                    </w:rPr>
                  </w:pPr>
                  <w:r>
                    <w:rPr>
                      <w:rFonts w:hint="eastAsia"/>
                      <w:lang w:val="en-US" w:eastAsia="zh-CN"/>
                    </w:rPr>
                    <w:t>34.59</w:t>
                  </w:r>
                </w:p>
              </w:tc>
              <w:tc>
                <w:tcPr>
                  <w:tcW w:w="434" w:type="pct"/>
                  <w:shd w:val="clear" w:color="auto" w:fill="auto"/>
                  <w:noWrap/>
                  <w:vAlign w:val="center"/>
                </w:tcPr>
                <w:p w14:paraId="0019307A">
                  <w:pPr>
                    <w:pStyle w:val="26"/>
                    <w:bidi w:val="0"/>
                    <w:rPr>
                      <w:rFonts w:hint="eastAsia"/>
                    </w:rPr>
                  </w:pPr>
                  <w:r>
                    <w:rPr>
                      <w:rFonts w:hint="eastAsia"/>
                      <w:lang w:val="en-US" w:eastAsia="zh-CN"/>
                    </w:rPr>
                    <w:t>1</w:t>
                  </w:r>
                </w:p>
              </w:tc>
            </w:tr>
            <w:tr w14:paraId="2B683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continue"/>
                  <w:shd w:val="clear" w:color="auto" w:fill="auto"/>
                  <w:noWrap/>
                  <w:vAlign w:val="center"/>
                </w:tcPr>
                <w:p w14:paraId="45F6E08D">
                  <w:pPr>
                    <w:pStyle w:val="26"/>
                    <w:bidi w:val="0"/>
                    <w:rPr>
                      <w:rFonts w:hint="eastAsia"/>
                    </w:rPr>
                  </w:pPr>
                </w:p>
              </w:tc>
              <w:tc>
                <w:tcPr>
                  <w:tcW w:w="366" w:type="pct"/>
                  <w:vMerge w:val="continue"/>
                  <w:shd w:val="clear" w:color="auto" w:fill="auto"/>
                  <w:noWrap/>
                  <w:vAlign w:val="center"/>
                </w:tcPr>
                <w:p w14:paraId="1C51628A">
                  <w:pPr>
                    <w:pStyle w:val="26"/>
                    <w:bidi w:val="0"/>
                    <w:rPr>
                      <w:rFonts w:hint="eastAsia"/>
                    </w:rPr>
                  </w:pPr>
                </w:p>
              </w:tc>
              <w:tc>
                <w:tcPr>
                  <w:tcW w:w="540" w:type="pct"/>
                  <w:vMerge w:val="continue"/>
                  <w:shd w:val="clear" w:color="auto" w:fill="auto"/>
                  <w:noWrap/>
                  <w:vAlign w:val="center"/>
                </w:tcPr>
                <w:p w14:paraId="41AFFAC8">
                  <w:pPr>
                    <w:pStyle w:val="26"/>
                    <w:bidi w:val="0"/>
                    <w:rPr>
                      <w:rFonts w:hint="eastAsia"/>
                    </w:rPr>
                  </w:pPr>
                </w:p>
              </w:tc>
              <w:tc>
                <w:tcPr>
                  <w:tcW w:w="370" w:type="pct"/>
                  <w:vMerge w:val="continue"/>
                  <w:shd w:val="clear" w:color="auto" w:fill="auto"/>
                  <w:noWrap/>
                  <w:vAlign w:val="center"/>
                </w:tcPr>
                <w:p w14:paraId="404A1808">
                  <w:pPr>
                    <w:pStyle w:val="26"/>
                    <w:bidi w:val="0"/>
                    <w:rPr>
                      <w:rFonts w:hint="eastAsia"/>
                    </w:rPr>
                  </w:pPr>
                </w:p>
              </w:tc>
              <w:tc>
                <w:tcPr>
                  <w:tcW w:w="323" w:type="pct"/>
                  <w:vMerge w:val="continue"/>
                  <w:shd w:val="clear" w:color="auto" w:fill="auto"/>
                  <w:noWrap/>
                  <w:vAlign w:val="center"/>
                </w:tcPr>
                <w:p w14:paraId="4026F963">
                  <w:pPr>
                    <w:pStyle w:val="26"/>
                    <w:bidi w:val="0"/>
                    <w:rPr>
                      <w:rFonts w:hint="eastAsia"/>
                    </w:rPr>
                  </w:pPr>
                </w:p>
              </w:tc>
              <w:tc>
                <w:tcPr>
                  <w:tcW w:w="88" w:type="pct"/>
                  <w:vMerge w:val="continue"/>
                  <w:shd w:val="clear" w:color="auto" w:fill="auto"/>
                  <w:noWrap/>
                  <w:vAlign w:val="center"/>
                </w:tcPr>
                <w:p w14:paraId="783D9DFF">
                  <w:pPr>
                    <w:pStyle w:val="26"/>
                    <w:bidi w:val="0"/>
                    <w:rPr>
                      <w:rFonts w:hint="eastAsia"/>
                    </w:rPr>
                  </w:pPr>
                </w:p>
              </w:tc>
              <w:tc>
                <w:tcPr>
                  <w:tcW w:w="430" w:type="pct"/>
                  <w:shd w:val="clear" w:color="auto" w:fill="auto"/>
                  <w:noWrap/>
                  <w:vAlign w:val="center"/>
                </w:tcPr>
                <w:p w14:paraId="4CFD67DE">
                  <w:pPr>
                    <w:pStyle w:val="26"/>
                    <w:bidi w:val="0"/>
                    <w:rPr>
                      <w:rFonts w:hint="eastAsia"/>
                    </w:rPr>
                  </w:pPr>
                  <w:r>
                    <w:rPr>
                      <w:rFonts w:hint="eastAsia"/>
                      <w:lang w:val="en-US" w:eastAsia="zh-CN"/>
                    </w:rPr>
                    <w:t>5.71</w:t>
                  </w:r>
                </w:p>
              </w:tc>
              <w:tc>
                <w:tcPr>
                  <w:tcW w:w="431" w:type="pct"/>
                  <w:shd w:val="clear" w:color="auto" w:fill="auto"/>
                  <w:noWrap/>
                  <w:vAlign w:val="center"/>
                </w:tcPr>
                <w:p w14:paraId="4F41AA28">
                  <w:pPr>
                    <w:pStyle w:val="26"/>
                    <w:bidi w:val="0"/>
                    <w:rPr>
                      <w:rFonts w:hint="eastAsia"/>
                    </w:rPr>
                  </w:pPr>
                  <w:r>
                    <w:rPr>
                      <w:rFonts w:hint="eastAsia"/>
                      <w:lang w:val="en-US" w:eastAsia="zh-CN"/>
                    </w:rPr>
                    <w:t>60.61</w:t>
                  </w:r>
                </w:p>
              </w:tc>
              <w:tc>
                <w:tcPr>
                  <w:tcW w:w="286" w:type="pct"/>
                  <w:vMerge w:val="continue"/>
                  <w:shd w:val="clear" w:color="auto" w:fill="auto"/>
                  <w:noWrap/>
                  <w:vAlign w:val="center"/>
                </w:tcPr>
                <w:p w14:paraId="46859323">
                  <w:pPr>
                    <w:pStyle w:val="26"/>
                    <w:bidi w:val="0"/>
                    <w:rPr>
                      <w:rFonts w:hint="eastAsia"/>
                    </w:rPr>
                  </w:pPr>
                </w:p>
              </w:tc>
              <w:tc>
                <w:tcPr>
                  <w:tcW w:w="576" w:type="pct"/>
                  <w:vMerge w:val="continue"/>
                  <w:shd w:val="clear" w:color="auto" w:fill="auto"/>
                  <w:noWrap/>
                  <w:vAlign w:val="center"/>
                </w:tcPr>
                <w:p w14:paraId="7022344F">
                  <w:pPr>
                    <w:pStyle w:val="26"/>
                    <w:bidi w:val="0"/>
                    <w:rPr>
                      <w:rFonts w:hint="eastAsia"/>
                    </w:rPr>
                  </w:pPr>
                </w:p>
              </w:tc>
              <w:tc>
                <w:tcPr>
                  <w:tcW w:w="431" w:type="pct"/>
                  <w:shd w:val="clear" w:color="auto" w:fill="auto"/>
                  <w:noWrap/>
                  <w:vAlign w:val="center"/>
                </w:tcPr>
                <w:p w14:paraId="78DF5A12">
                  <w:pPr>
                    <w:pStyle w:val="26"/>
                    <w:bidi w:val="0"/>
                    <w:rPr>
                      <w:rFonts w:hint="eastAsia"/>
                    </w:rPr>
                  </w:pPr>
                  <w:r>
                    <w:rPr>
                      <w:rFonts w:hint="eastAsia"/>
                      <w:lang w:val="en-US" w:eastAsia="zh-CN"/>
                    </w:rPr>
                    <w:t>34.61</w:t>
                  </w:r>
                </w:p>
              </w:tc>
              <w:tc>
                <w:tcPr>
                  <w:tcW w:w="434" w:type="pct"/>
                  <w:shd w:val="clear" w:color="auto" w:fill="auto"/>
                  <w:noWrap/>
                  <w:vAlign w:val="center"/>
                </w:tcPr>
                <w:p w14:paraId="0FABEEC3">
                  <w:pPr>
                    <w:pStyle w:val="26"/>
                    <w:bidi w:val="0"/>
                    <w:rPr>
                      <w:rFonts w:hint="eastAsia"/>
                    </w:rPr>
                  </w:pPr>
                  <w:r>
                    <w:rPr>
                      <w:rFonts w:hint="eastAsia"/>
                      <w:lang w:val="en-US" w:eastAsia="zh-CN"/>
                    </w:rPr>
                    <w:t>1</w:t>
                  </w:r>
                </w:p>
              </w:tc>
            </w:tr>
            <w:tr w14:paraId="60BA7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restart"/>
                  <w:shd w:val="clear" w:color="auto" w:fill="auto"/>
                  <w:noWrap/>
                  <w:vAlign w:val="center"/>
                </w:tcPr>
                <w:p w14:paraId="6A304612">
                  <w:pPr>
                    <w:pStyle w:val="26"/>
                    <w:bidi w:val="0"/>
                    <w:rPr>
                      <w:rFonts w:hint="eastAsia"/>
                    </w:rPr>
                  </w:pPr>
                  <w:r>
                    <w:rPr>
                      <w:rFonts w:hint="eastAsia"/>
                      <w:lang w:val="en-US" w:eastAsia="zh-CN"/>
                    </w:rPr>
                    <w:t>压缩机1</w:t>
                  </w:r>
                </w:p>
              </w:tc>
              <w:tc>
                <w:tcPr>
                  <w:tcW w:w="366" w:type="pct"/>
                  <w:vMerge w:val="restart"/>
                  <w:shd w:val="clear" w:color="auto" w:fill="auto"/>
                  <w:noWrap/>
                  <w:vAlign w:val="center"/>
                </w:tcPr>
                <w:p w14:paraId="03707006">
                  <w:pPr>
                    <w:pStyle w:val="26"/>
                    <w:bidi w:val="0"/>
                    <w:rPr>
                      <w:rFonts w:hint="eastAsia"/>
                    </w:rPr>
                  </w:pPr>
                  <w:r>
                    <w:rPr>
                      <w:rFonts w:hint="eastAsia"/>
                      <w:lang w:val="en-US" w:eastAsia="zh-CN"/>
                    </w:rPr>
                    <w:t>90</w:t>
                  </w:r>
                </w:p>
              </w:tc>
              <w:tc>
                <w:tcPr>
                  <w:tcW w:w="540" w:type="pct"/>
                  <w:vMerge w:val="restart"/>
                  <w:shd w:val="clear" w:color="auto" w:fill="auto"/>
                  <w:noWrap/>
                  <w:vAlign w:val="center"/>
                </w:tcPr>
                <w:p w14:paraId="1BF90F0E">
                  <w:pPr>
                    <w:pStyle w:val="26"/>
                    <w:bidi w:val="0"/>
                    <w:rPr>
                      <w:rFonts w:hint="eastAsia"/>
                      <w:lang w:val="en-US" w:eastAsia="zh-CN"/>
                    </w:rPr>
                  </w:pPr>
                  <w:r>
                    <w:rPr>
                      <w:rFonts w:hint="eastAsia"/>
                      <w:lang w:val="en-US" w:eastAsia="zh-CN"/>
                    </w:rPr>
                    <w:t>基础减振</w:t>
                  </w:r>
                </w:p>
                <w:p w14:paraId="60B61F7A">
                  <w:pPr>
                    <w:pStyle w:val="26"/>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建筑降噪</w:t>
                  </w:r>
                </w:p>
              </w:tc>
              <w:tc>
                <w:tcPr>
                  <w:tcW w:w="370" w:type="pct"/>
                  <w:vMerge w:val="restart"/>
                  <w:shd w:val="clear" w:color="auto" w:fill="auto"/>
                  <w:noWrap/>
                  <w:vAlign w:val="center"/>
                </w:tcPr>
                <w:p w14:paraId="7DDF1806">
                  <w:pPr>
                    <w:pStyle w:val="26"/>
                    <w:bidi w:val="0"/>
                    <w:rPr>
                      <w:rFonts w:hint="eastAsia"/>
                    </w:rPr>
                  </w:pPr>
                  <w:r>
                    <w:rPr>
                      <w:rFonts w:hint="eastAsia"/>
                      <w:lang w:val="en-US" w:eastAsia="zh-CN"/>
                    </w:rPr>
                    <w:t>-51</w:t>
                  </w:r>
                </w:p>
              </w:tc>
              <w:tc>
                <w:tcPr>
                  <w:tcW w:w="323" w:type="pct"/>
                  <w:vMerge w:val="restart"/>
                  <w:shd w:val="clear" w:color="auto" w:fill="auto"/>
                  <w:noWrap/>
                  <w:vAlign w:val="center"/>
                </w:tcPr>
                <w:p w14:paraId="0478FBB0">
                  <w:pPr>
                    <w:pStyle w:val="26"/>
                    <w:bidi w:val="0"/>
                    <w:rPr>
                      <w:rFonts w:hint="eastAsia"/>
                    </w:rPr>
                  </w:pPr>
                  <w:r>
                    <w:rPr>
                      <w:rFonts w:hint="eastAsia"/>
                      <w:lang w:val="en-US" w:eastAsia="zh-CN"/>
                    </w:rPr>
                    <w:t>25.22</w:t>
                  </w:r>
                </w:p>
              </w:tc>
              <w:tc>
                <w:tcPr>
                  <w:tcW w:w="88" w:type="pct"/>
                  <w:vMerge w:val="restart"/>
                  <w:shd w:val="clear" w:color="auto" w:fill="auto"/>
                  <w:noWrap/>
                  <w:vAlign w:val="center"/>
                </w:tcPr>
                <w:p w14:paraId="63768CBB">
                  <w:pPr>
                    <w:pStyle w:val="26"/>
                    <w:bidi w:val="0"/>
                    <w:rPr>
                      <w:rFonts w:hint="eastAsia"/>
                    </w:rPr>
                  </w:pPr>
                  <w:r>
                    <w:rPr>
                      <w:rFonts w:hint="eastAsia"/>
                      <w:lang w:val="en-US" w:eastAsia="zh-CN"/>
                    </w:rPr>
                    <w:t>1</w:t>
                  </w:r>
                </w:p>
              </w:tc>
              <w:tc>
                <w:tcPr>
                  <w:tcW w:w="430" w:type="pct"/>
                  <w:shd w:val="clear" w:color="auto" w:fill="auto"/>
                  <w:noWrap/>
                  <w:vAlign w:val="center"/>
                </w:tcPr>
                <w:p w14:paraId="48AB88F9">
                  <w:pPr>
                    <w:pStyle w:val="26"/>
                    <w:bidi w:val="0"/>
                    <w:rPr>
                      <w:rFonts w:hint="eastAsia"/>
                    </w:rPr>
                  </w:pPr>
                  <w:r>
                    <w:rPr>
                      <w:rFonts w:hint="eastAsia"/>
                      <w:lang w:val="en-US" w:eastAsia="zh-CN"/>
                    </w:rPr>
                    <w:t>5.67</w:t>
                  </w:r>
                </w:p>
              </w:tc>
              <w:tc>
                <w:tcPr>
                  <w:tcW w:w="431" w:type="pct"/>
                  <w:shd w:val="clear" w:color="auto" w:fill="auto"/>
                  <w:noWrap/>
                  <w:vAlign w:val="center"/>
                </w:tcPr>
                <w:p w14:paraId="0AF3A0FB">
                  <w:pPr>
                    <w:pStyle w:val="26"/>
                    <w:bidi w:val="0"/>
                    <w:rPr>
                      <w:rFonts w:hint="eastAsia"/>
                    </w:rPr>
                  </w:pPr>
                  <w:r>
                    <w:rPr>
                      <w:rFonts w:hint="eastAsia"/>
                      <w:lang w:val="en-US" w:eastAsia="zh-CN"/>
                    </w:rPr>
                    <w:t>85.61</w:t>
                  </w:r>
                </w:p>
              </w:tc>
              <w:tc>
                <w:tcPr>
                  <w:tcW w:w="286" w:type="pct"/>
                  <w:vMerge w:val="restart"/>
                  <w:shd w:val="clear" w:color="auto" w:fill="auto"/>
                  <w:noWrap/>
                  <w:vAlign w:val="center"/>
                </w:tcPr>
                <w:p w14:paraId="5E33602D">
                  <w:pPr>
                    <w:pStyle w:val="26"/>
                    <w:bidi w:val="0"/>
                    <w:rPr>
                      <w:rFonts w:hint="eastAsia"/>
                    </w:rPr>
                  </w:pPr>
                  <w:r>
                    <w:rPr>
                      <w:rFonts w:hint="eastAsia"/>
                      <w:lang w:val="en-US" w:eastAsia="zh-CN"/>
                    </w:rPr>
                    <w:t>昼间</w:t>
                  </w:r>
                </w:p>
              </w:tc>
              <w:tc>
                <w:tcPr>
                  <w:tcW w:w="576" w:type="pct"/>
                  <w:vMerge w:val="restart"/>
                  <w:shd w:val="clear" w:color="auto" w:fill="auto"/>
                  <w:noWrap/>
                  <w:vAlign w:val="center"/>
                </w:tcPr>
                <w:p w14:paraId="27A6E874">
                  <w:pPr>
                    <w:pStyle w:val="26"/>
                    <w:bidi w:val="0"/>
                    <w:rPr>
                      <w:rFonts w:hint="eastAsia"/>
                    </w:rPr>
                  </w:pPr>
                  <w:r>
                    <w:rPr>
                      <w:rFonts w:hint="eastAsia"/>
                      <w:lang w:val="en-US" w:eastAsia="zh-CN"/>
                    </w:rPr>
                    <w:t>26</w:t>
                  </w:r>
                </w:p>
              </w:tc>
              <w:tc>
                <w:tcPr>
                  <w:tcW w:w="431" w:type="pct"/>
                  <w:shd w:val="clear" w:color="auto" w:fill="auto"/>
                  <w:noWrap/>
                  <w:vAlign w:val="center"/>
                </w:tcPr>
                <w:p w14:paraId="2E75E21D">
                  <w:pPr>
                    <w:pStyle w:val="26"/>
                    <w:bidi w:val="0"/>
                    <w:rPr>
                      <w:rFonts w:hint="eastAsia"/>
                    </w:rPr>
                  </w:pPr>
                  <w:r>
                    <w:rPr>
                      <w:rFonts w:hint="eastAsia"/>
                      <w:lang w:val="en-US" w:eastAsia="zh-CN"/>
                    </w:rPr>
                    <w:t>59.61</w:t>
                  </w:r>
                </w:p>
              </w:tc>
              <w:tc>
                <w:tcPr>
                  <w:tcW w:w="434" w:type="pct"/>
                  <w:shd w:val="clear" w:color="auto" w:fill="auto"/>
                  <w:noWrap/>
                  <w:vAlign w:val="center"/>
                </w:tcPr>
                <w:p w14:paraId="60C2C1DC">
                  <w:pPr>
                    <w:pStyle w:val="26"/>
                    <w:bidi w:val="0"/>
                    <w:rPr>
                      <w:rFonts w:hint="eastAsia"/>
                    </w:rPr>
                  </w:pPr>
                  <w:r>
                    <w:rPr>
                      <w:rFonts w:hint="eastAsia"/>
                      <w:lang w:val="en-US" w:eastAsia="zh-CN"/>
                    </w:rPr>
                    <w:t>1</w:t>
                  </w:r>
                </w:p>
              </w:tc>
            </w:tr>
            <w:tr w14:paraId="2D6CD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continue"/>
                  <w:shd w:val="clear" w:color="auto" w:fill="auto"/>
                  <w:noWrap/>
                  <w:vAlign w:val="center"/>
                </w:tcPr>
                <w:p w14:paraId="5CBA022D">
                  <w:pPr>
                    <w:pStyle w:val="26"/>
                    <w:bidi w:val="0"/>
                    <w:rPr>
                      <w:rFonts w:hint="eastAsia"/>
                    </w:rPr>
                  </w:pPr>
                </w:p>
              </w:tc>
              <w:tc>
                <w:tcPr>
                  <w:tcW w:w="366" w:type="pct"/>
                  <w:vMerge w:val="continue"/>
                  <w:shd w:val="clear" w:color="auto" w:fill="auto"/>
                  <w:noWrap/>
                  <w:vAlign w:val="center"/>
                </w:tcPr>
                <w:p w14:paraId="6C10C3E8">
                  <w:pPr>
                    <w:pStyle w:val="26"/>
                    <w:bidi w:val="0"/>
                    <w:rPr>
                      <w:rFonts w:hint="eastAsia"/>
                    </w:rPr>
                  </w:pPr>
                </w:p>
              </w:tc>
              <w:tc>
                <w:tcPr>
                  <w:tcW w:w="540" w:type="pct"/>
                  <w:vMerge w:val="continue"/>
                  <w:shd w:val="clear" w:color="auto" w:fill="auto"/>
                  <w:noWrap/>
                  <w:vAlign w:val="center"/>
                </w:tcPr>
                <w:p w14:paraId="1B766123">
                  <w:pPr>
                    <w:pStyle w:val="26"/>
                    <w:bidi w:val="0"/>
                    <w:rPr>
                      <w:rFonts w:hint="eastAsia"/>
                    </w:rPr>
                  </w:pPr>
                </w:p>
              </w:tc>
              <w:tc>
                <w:tcPr>
                  <w:tcW w:w="370" w:type="pct"/>
                  <w:vMerge w:val="continue"/>
                  <w:shd w:val="clear" w:color="auto" w:fill="auto"/>
                  <w:noWrap/>
                  <w:vAlign w:val="center"/>
                </w:tcPr>
                <w:p w14:paraId="3065DEAF">
                  <w:pPr>
                    <w:pStyle w:val="26"/>
                    <w:bidi w:val="0"/>
                    <w:rPr>
                      <w:rFonts w:hint="eastAsia"/>
                    </w:rPr>
                  </w:pPr>
                </w:p>
              </w:tc>
              <w:tc>
                <w:tcPr>
                  <w:tcW w:w="323" w:type="pct"/>
                  <w:vMerge w:val="continue"/>
                  <w:shd w:val="clear" w:color="auto" w:fill="auto"/>
                  <w:noWrap/>
                  <w:vAlign w:val="center"/>
                </w:tcPr>
                <w:p w14:paraId="3A1E0A2A">
                  <w:pPr>
                    <w:pStyle w:val="26"/>
                    <w:bidi w:val="0"/>
                    <w:rPr>
                      <w:rFonts w:hint="eastAsia"/>
                    </w:rPr>
                  </w:pPr>
                </w:p>
              </w:tc>
              <w:tc>
                <w:tcPr>
                  <w:tcW w:w="88" w:type="pct"/>
                  <w:vMerge w:val="continue"/>
                  <w:shd w:val="clear" w:color="auto" w:fill="auto"/>
                  <w:noWrap/>
                  <w:vAlign w:val="center"/>
                </w:tcPr>
                <w:p w14:paraId="25FE5CD1">
                  <w:pPr>
                    <w:pStyle w:val="26"/>
                    <w:bidi w:val="0"/>
                    <w:rPr>
                      <w:rFonts w:hint="eastAsia"/>
                    </w:rPr>
                  </w:pPr>
                </w:p>
              </w:tc>
              <w:tc>
                <w:tcPr>
                  <w:tcW w:w="430" w:type="pct"/>
                  <w:shd w:val="clear" w:color="auto" w:fill="auto"/>
                  <w:noWrap/>
                  <w:vAlign w:val="center"/>
                </w:tcPr>
                <w:p w14:paraId="4EF3AE13">
                  <w:pPr>
                    <w:pStyle w:val="26"/>
                    <w:bidi w:val="0"/>
                    <w:rPr>
                      <w:rFonts w:hint="eastAsia"/>
                    </w:rPr>
                  </w:pPr>
                  <w:r>
                    <w:rPr>
                      <w:rFonts w:hint="eastAsia"/>
                      <w:lang w:val="en-US" w:eastAsia="zh-CN"/>
                    </w:rPr>
                    <w:t>11.78</w:t>
                  </w:r>
                </w:p>
              </w:tc>
              <w:tc>
                <w:tcPr>
                  <w:tcW w:w="431" w:type="pct"/>
                  <w:shd w:val="clear" w:color="auto" w:fill="auto"/>
                  <w:noWrap/>
                  <w:vAlign w:val="center"/>
                </w:tcPr>
                <w:p w14:paraId="4E9B5541">
                  <w:pPr>
                    <w:pStyle w:val="26"/>
                    <w:bidi w:val="0"/>
                    <w:rPr>
                      <w:rFonts w:hint="eastAsia"/>
                    </w:rPr>
                  </w:pPr>
                  <w:r>
                    <w:rPr>
                      <w:rFonts w:hint="eastAsia"/>
                      <w:lang w:val="en-US" w:eastAsia="zh-CN"/>
                    </w:rPr>
                    <w:t>85.59</w:t>
                  </w:r>
                </w:p>
              </w:tc>
              <w:tc>
                <w:tcPr>
                  <w:tcW w:w="286" w:type="pct"/>
                  <w:vMerge w:val="continue"/>
                  <w:shd w:val="clear" w:color="auto" w:fill="auto"/>
                  <w:noWrap/>
                  <w:vAlign w:val="center"/>
                </w:tcPr>
                <w:p w14:paraId="0ECDD723">
                  <w:pPr>
                    <w:pStyle w:val="26"/>
                    <w:bidi w:val="0"/>
                    <w:rPr>
                      <w:rFonts w:hint="eastAsia"/>
                    </w:rPr>
                  </w:pPr>
                </w:p>
              </w:tc>
              <w:tc>
                <w:tcPr>
                  <w:tcW w:w="576" w:type="pct"/>
                  <w:vMerge w:val="continue"/>
                  <w:shd w:val="clear" w:color="auto" w:fill="auto"/>
                  <w:noWrap/>
                  <w:vAlign w:val="center"/>
                </w:tcPr>
                <w:p w14:paraId="5291F080">
                  <w:pPr>
                    <w:pStyle w:val="26"/>
                    <w:bidi w:val="0"/>
                    <w:rPr>
                      <w:rFonts w:hint="eastAsia"/>
                    </w:rPr>
                  </w:pPr>
                </w:p>
              </w:tc>
              <w:tc>
                <w:tcPr>
                  <w:tcW w:w="431" w:type="pct"/>
                  <w:shd w:val="clear" w:color="auto" w:fill="auto"/>
                  <w:noWrap/>
                  <w:vAlign w:val="center"/>
                </w:tcPr>
                <w:p w14:paraId="37B20E3C">
                  <w:pPr>
                    <w:pStyle w:val="26"/>
                    <w:bidi w:val="0"/>
                    <w:rPr>
                      <w:rFonts w:hint="eastAsia"/>
                    </w:rPr>
                  </w:pPr>
                  <w:r>
                    <w:rPr>
                      <w:rFonts w:hint="eastAsia"/>
                      <w:lang w:val="en-US" w:eastAsia="zh-CN"/>
                    </w:rPr>
                    <w:t>59.59</w:t>
                  </w:r>
                </w:p>
              </w:tc>
              <w:tc>
                <w:tcPr>
                  <w:tcW w:w="434" w:type="pct"/>
                  <w:shd w:val="clear" w:color="auto" w:fill="auto"/>
                  <w:noWrap/>
                  <w:vAlign w:val="center"/>
                </w:tcPr>
                <w:p w14:paraId="3618B817">
                  <w:pPr>
                    <w:pStyle w:val="26"/>
                    <w:bidi w:val="0"/>
                    <w:rPr>
                      <w:rFonts w:hint="eastAsia"/>
                    </w:rPr>
                  </w:pPr>
                  <w:r>
                    <w:rPr>
                      <w:rFonts w:hint="eastAsia"/>
                      <w:lang w:val="en-US" w:eastAsia="zh-CN"/>
                    </w:rPr>
                    <w:t>1</w:t>
                  </w:r>
                </w:p>
              </w:tc>
            </w:tr>
            <w:tr w14:paraId="74643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continue"/>
                  <w:shd w:val="clear" w:color="auto" w:fill="auto"/>
                  <w:noWrap/>
                  <w:vAlign w:val="center"/>
                </w:tcPr>
                <w:p w14:paraId="7132355A">
                  <w:pPr>
                    <w:pStyle w:val="26"/>
                    <w:bidi w:val="0"/>
                    <w:rPr>
                      <w:rFonts w:hint="eastAsia"/>
                    </w:rPr>
                  </w:pPr>
                </w:p>
              </w:tc>
              <w:tc>
                <w:tcPr>
                  <w:tcW w:w="366" w:type="pct"/>
                  <w:vMerge w:val="continue"/>
                  <w:shd w:val="clear" w:color="auto" w:fill="auto"/>
                  <w:noWrap/>
                  <w:vAlign w:val="center"/>
                </w:tcPr>
                <w:p w14:paraId="1D5ECAEB">
                  <w:pPr>
                    <w:pStyle w:val="26"/>
                    <w:bidi w:val="0"/>
                    <w:rPr>
                      <w:rFonts w:hint="eastAsia"/>
                    </w:rPr>
                  </w:pPr>
                </w:p>
              </w:tc>
              <w:tc>
                <w:tcPr>
                  <w:tcW w:w="540" w:type="pct"/>
                  <w:vMerge w:val="continue"/>
                  <w:shd w:val="clear" w:color="auto" w:fill="auto"/>
                  <w:noWrap/>
                  <w:vAlign w:val="center"/>
                </w:tcPr>
                <w:p w14:paraId="40ECF560">
                  <w:pPr>
                    <w:pStyle w:val="26"/>
                    <w:bidi w:val="0"/>
                    <w:rPr>
                      <w:rFonts w:hint="eastAsia"/>
                    </w:rPr>
                  </w:pPr>
                </w:p>
              </w:tc>
              <w:tc>
                <w:tcPr>
                  <w:tcW w:w="370" w:type="pct"/>
                  <w:vMerge w:val="continue"/>
                  <w:shd w:val="clear" w:color="auto" w:fill="auto"/>
                  <w:noWrap/>
                  <w:vAlign w:val="center"/>
                </w:tcPr>
                <w:p w14:paraId="376864EF">
                  <w:pPr>
                    <w:pStyle w:val="26"/>
                    <w:bidi w:val="0"/>
                    <w:rPr>
                      <w:rFonts w:hint="eastAsia"/>
                    </w:rPr>
                  </w:pPr>
                </w:p>
              </w:tc>
              <w:tc>
                <w:tcPr>
                  <w:tcW w:w="323" w:type="pct"/>
                  <w:vMerge w:val="continue"/>
                  <w:shd w:val="clear" w:color="auto" w:fill="auto"/>
                  <w:noWrap/>
                  <w:vAlign w:val="center"/>
                </w:tcPr>
                <w:p w14:paraId="4C8D5CE7">
                  <w:pPr>
                    <w:pStyle w:val="26"/>
                    <w:bidi w:val="0"/>
                    <w:rPr>
                      <w:rFonts w:hint="eastAsia"/>
                    </w:rPr>
                  </w:pPr>
                </w:p>
              </w:tc>
              <w:tc>
                <w:tcPr>
                  <w:tcW w:w="88" w:type="pct"/>
                  <w:vMerge w:val="continue"/>
                  <w:shd w:val="clear" w:color="auto" w:fill="auto"/>
                  <w:noWrap/>
                  <w:vAlign w:val="center"/>
                </w:tcPr>
                <w:p w14:paraId="78299E1D">
                  <w:pPr>
                    <w:pStyle w:val="26"/>
                    <w:bidi w:val="0"/>
                    <w:rPr>
                      <w:rFonts w:hint="eastAsia"/>
                    </w:rPr>
                  </w:pPr>
                </w:p>
              </w:tc>
              <w:tc>
                <w:tcPr>
                  <w:tcW w:w="430" w:type="pct"/>
                  <w:shd w:val="clear" w:color="auto" w:fill="auto"/>
                  <w:noWrap/>
                  <w:vAlign w:val="center"/>
                </w:tcPr>
                <w:p w14:paraId="04EC4EA7">
                  <w:pPr>
                    <w:pStyle w:val="26"/>
                    <w:bidi w:val="0"/>
                    <w:rPr>
                      <w:rFonts w:hint="eastAsia"/>
                    </w:rPr>
                  </w:pPr>
                  <w:r>
                    <w:rPr>
                      <w:rFonts w:hint="eastAsia"/>
                      <w:lang w:val="en-US" w:eastAsia="zh-CN"/>
                    </w:rPr>
                    <w:t>27.75</w:t>
                  </w:r>
                </w:p>
              </w:tc>
              <w:tc>
                <w:tcPr>
                  <w:tcW w:w="431" w:type="pct"/>
                  <w:shd w:val="clear" w:color="auto" w:fill="auto"/>
                  <w:noWrap/>
                  <w:vAlign w:val="center"/>
                </w:tcPr>
                <w:p w14:paraId="2FE8C631">
                  <w:pPr>
                    <w:pStyle w:val="26"/>
                    <w:bidi w:val="0"/>
                    <w:rPr>
                      <w:rFonts w:hint="eastAsia"/>
                    </w:rPr>
                  </w:pPr>
                  <w:r>
                    <w:rPr>
                      <w:rFonts w:hint="eastAsia"/>
                      <w:lang w:val="en-US" w:eastAsia="zh-CN"/>
                    </w:rPr>
                    <w:t>85.58</w:t>
                  </w:r>
                </w:p>
              </w:tc>
              <w:tc>
                <w:tcPr>
                  <w:tcW w:w="286" w:type="pct"/>
                  <w:vMerge w:val="continue"/>
                  <w:shd w:val="clear" w:color="auto" w:fill="auto"/>
                  <w:noWrap/>
                  <w:vAlign w:val="center"/>
                </w:tcPr>
                <w:p w14:paraId="781E9499">
                  <w:pPr>
                    <w:pStyle w:val="26"/>
                    <w:bidi w:val="0"/>
                    <w:rPr>
                      <w:rFonts w:hint="eastAsia"/>
                    </w:rPr>
                  </w:pPr>
                </w:p>
              </w:tc>
              <w:tc>
                <w:tcPr>
                  <w:tcW w:w="576" w:type="pct"/>
                  <w:vMerge w:val="continue"/>
                  <w:shd w:val="clear" w:color="auto" w:fill="auto"/>
                  <w:noWrap/>
                  <w:vAlign w:val="center"/>
                </w:tcPr>
                <w:p w14:paraId="62EB8A45">
                  <w:pPr>
                    <w:pStyle w:val="26"/>
                    <w:bidi w:val="0"/>
                    <w:rPr>
                      <w:rFonts w:hint="eastAsia"/>
                    </w:rPr>
                  </w:pPr>
                </w:p>
              </w:tc>
              <w:tc>
                <w:tcPr>
                  <w:tcW w:w="431" w:type="pct"/>
                  <w:shd w:val="clear" w:color="auto" w:fill="auto"/>
                  <w:noWrap/>
                  <w:vAlign w:val="center"/>
                </w:tcPr>
                <w:p w14:paraId="0A501E32">
                  <w:pPr>
                    <w:pStyle w:val="26"/>
                    <w:bidi w:val="0"/>
                    <w:rPr>
                      <w:rFonts w:hint="eastAsia"/>
                    </w:rPr>
                  </w:pPr>
                  <w:r>
                    <w:rPr>
                      <w:rFonts w:hint="eastAsia"/>
                      <w:lang w:val="en-US" w:eastAsia="zh-CN"/>
                    </w:rPr>
                    <w:t>59.58</w:t>
                  </w:r>
                </w:p>
              </w:tc>
              <w:tc>
                <w:tcPr>
                  <w:tcW w:w="434" w:type="pct"/>
                  <w:shd w:val="clear" w:color="auto" w:fill="auto"/>
                  <w:noWrap/>
                  <w:vAlign w:val="center"/>
                </w:tcPr>
                <w:p w14:paraId="43FE346A">
                  <w:pPr>
                    <w:pStyle w:val="26"/>
                    <w:bidi w:val="0"/>
                    <w:rPr>
                      <w:rFonts w:hint="eastAsia"/>
                    </w:rPr>
                  </w:pPr>
                  <w:r>
                    <w:rPr>
                      <w:rFonts w:hint="eastAsia"/>
                      <w:lang w:val="en-US" w:eastAsia="zh-CN"/>
                    </w:rPr>
                    <w:t>1</w:t>
                  </w:r>
                </w:p>
              </w:tc>
            </w:tr>
            <w:tr w14:paraId="67569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continue"/>
                  <w:shd w:val="clear" w:color="auto" w:fill="auto"/>
                  <w:noWrap/>
                  <w:vAlign w:val="center"/>
                </w:tcPr>
                <w:p w14:paraId="488B485E">
                  <w:pPr>
                    <w:pStyle w:val="26"/>
                    <w:bidi w:val="0"/>
                    <w:rPr>
                      <w:rFonts w:hint="eastAsia"/>
                    </w:rPr>
                  </w:pPr>
                </w:p>
              </w:tc>
              <w:tc>
                <w:tcPr>
                  <w:tcW w:w="366" w:type="pct"/>
                  <w:vMerge w:val="continue"/>
                  <w:shd w:val="clear" w:color="auto" w:fill="auto"/>
                  <w:noWrap/>
                  <w:vAlign w:val="center"/>
                </w:tcPr>
                <w:p w14:paraId="466285F2">
                  <w:pPr>
                    <w:pStyle w:val="26"/>
                    <w:bidi w:val="0"/>
                    <w:rPr>
                      <w:rFonts w:hint="eastAsia"/>
                    </w:rPr>
                  </w:pPr>
                </w:p>
              </w:tc>
              <w:tc>
                <w:tcPr>
                  <w:tcW w:w="540" w:type="pct"/>
                  <w:vMerge w:val="continue"/>
                  <w:shd w:val="clear" w:color="auto" w:fill="auto"/>
                  <w:noWrap/>
                  <w:vAlign w:val="center"/>
                </w:tcPr>
                <w:p w14:paraId="1644B545">
                  <w:pPr>
                    <w:pStyle w:val="26"/>
                    <w:bidi w:val="0"/>
                    <w:rPr>
                      <w:rFonts w:hint="eastAsia"/>
                    </w:rPr>
                  </w:pPr>
                </w:p>
              </w:tc>
              <w:tc>
                <w:tcPr>
                  <w:tcW w:w="370" w:type="pct"/>
                  <w:vMerge w:val="continue"/>
                  <w:shd w:val="clear" w:color="auto" w:fill="auto"/>
                  <w:noWrap/>
                  <w:vAlign w:val="center"/>
                </w:tcPr>
                <w:p w14:paraId="1362287D">
                  <w:pPr>
                    <w:pStyle w:val="26"/>
                    <w:bidi w:val="0"/>
                    <w:rPr>
                      <w:rFonts w:hint="eastAsia"/>
                    </w:rPr>
                  </w:pPr>
                </w:p>
              </w:tc>
              <w:tc>
                <w:tcPr>
                  <w:tcW w:w="323" w:type="pct"/>
                  <w:vMerge w:val="continue"/>
                  <w:shd w:val="clear" w:color="auto" w:fill="auto"/>
                  <w:noWrap/>
                  <w:vAlign w:val="center"/>
                </w:tcPr>
                <w:p w14:paraId="78FB36E7">
                  <w:pPr>
                    <w:pStyle w:val="26"/>
                    <w:bidi w:val="0"/>
                    <w:rPr>
                      <w:rFonts w:hint="eastAsia"/>
                    </w:rPr>
                  </w:pPr>
                </w:p>
              </w:tc>
              <w:tc>
                <w:tcPr>
                  <w:tcW w:w="88" w:type="pct"/>
                  <w:vMerge w:val="continue"/>
                  <w:shd w:val="clear" w:color="auto" w:fill="auto"/>
                  <w:noWrap/>
                  <w:vAlign w:val="center"/>
                </w:tcPr>
                <w:p w14:paraId="5D4A0B61">
                  <w:pPr>
                    <w:pStyle w:val="26"/>
                    <w:bidi w:val="0"/>
                    <w:rPr>
                      <w:rFonts w:hint="eastAsia"/>
                    </w:rPr>
                  </w:pPr>
                </w:p>
              </w:tc>
              <w:tc>
                <w:tcPr>
                  <w:tcW w:w="430" w:type="pct"/>
                  <w:shd w:val="clear" w:color="auto" w:fill="auto"/>
                  <w:noWrap/>
                  <w:vAlign w:val="center"/>
                </w:tcPr>
                <w:p w14:paraId="1B9CB433">
                  <w:pPr>
                    <w:pStyle w:val="26"/>
                    <w:bidi w:val="0"/>
                    <w:rPr>
                      <w:rFonts w:hint="eastAsia"/>
                    </w:rPr>
                  </w:pPr>
                  <w:r>
                    <w:rPr>
                      <w:rFonts w:hint="eastAsia"/>
                      <w:lang w:val="en-US" w:eastAsia="zh-CN"/>
                    </w:rPr>
                    <w:t>5.26</w:t>
                  </w:r>
                </w:p>
              </w:tc>
              <w:tc>
                <w:tcPr>
                  <w:tcW w:w="431" w:type="pct"/>
                  <w:shd w:val="clear" w:color="auto" w:fill="auto"/>
                  <w:noWrap/>
                  <w:vAlign w:val="center"/>
                </w:tcPr>
                <w:p w14:paraId="76F37BBD">
                  <w:pPr>
                    <w:pStyle w:val="26"/>
                    <w:bidi w:val="0"/>
                    <w:rPr>
                      <w:rFonts w:hint="eastAsia"/>
                    </w:rPr>
                  </w:pPr>
                  <w:r>
                    <w:rPr>
                      <w:rFonts w:hint="eastAsia"/>
                      <w:lang w:val="en-US" w:eastAsia="zh-CN"/>
                    </w:rPr>
                    <w:t>85.62</w:t>
                  </w:r>
                </w:p>
              </w:tc>
              <w:tc>
                <w:tcPr>
                  <w:tcW w:w="286" w:type="pct"/>
                  <w:vMerge w:val="continue"/>
                  <w:shd w:val="clear" w:color="auto" w:fill="auto"/>
                  <w:noWrap/>
                  <w:vAlign w:val="center"/>
                </w:tcPr>
                <w:p w14:paraId="5A703D3A">
                  <w:pPr>
                    <w:pStyle w:val="26"/>
                    <w:bidi w:val="0"/>
                    <w:rPr>
                      <w:rFonts w:hint="eastAsia"/>
                    </w:rPr>
                  </w:pPr>
                </w:p>
              </w:tc>
              <w:tc>
                <w:tcPr>
                  <w:tcW w:w="576" w:type="pct"/>
                  <w:vMerge w:val="continue"/>
                  <w:shd w:val="clear" w:color="auto" w:fill="auto"/>
                  <w:noWrap/>
                  <w:vAlign w:val="center"/>
                </w:tcPr>
                <w:p w14:paraId="676ADD04">
                  <w:pPr>
                    <w:pStyle w:val="26"/>
                    <w:bidi w:val="0"/>
                    <w:rPr>
                      <w:rFonts w:hint="eastAsia"/>
                    </w:rPr>
                  </w:pPr>
                </w:p>
              </w:tc>
              <w:tc>
                <w:tcPr>
                  <w:tcW w:w="431" w:type="pct"/>
                  <w:shd w:val="clear" w:color="auto" w:fill="auto"/>
                  <w:noWrap/>
                  <w:vAlign w:val="center"/>
                </w:tcPr>
                <w:p w14:paraId="28A0FE1E">
                  <w:pPr>
                    <w:pStyle w:val="26"/>
                    <w:bidi w:val="0"/>
                    <w:rPr>
                      <w:rFonts w:hint="eastAsia"/>
                    </w:rPr>
                  </w:pPr>
                  <w:r>
                    <w:rPr>
                      <w:rFonts w:hint="eastAsia"/>
                      <w:lang w:val="en-US" w:eastAsia="zh-CN"/>
                    </w:rPr>
                    <w:t>59.62</w:t>
                  </w:r>
                </w:p>
              </w:tc>
              <w:tc>
                <w:tcPr>
                  <w:tcW w:w="434" w:type="pct"/>
                  <w:shd w:val="clear" w:color="auto" w:fill="auto"/>
                  <w:noWrap/>
                  <w:vAlign w:val="center"/>
                </w:tcPr>
                <w:p w14:paraId="58DCE598">
                  <w:pPr>
                    <w:pStyle w:val="26"/>
                    <w:bidi w:val="0"/>
                    <w:rPr>
                      <w:rFonts w:hint="eastAsia"/>
                    </w:rPr>
                  </w:pPr>
                  <w:r>
                    <w:rPr>
                      <w:rFonts w:hint="eastAsia"/>
                      <w:lang w:val="en-US" w:eastAsia="zh-CN"/>
                    </w:rPr>
                    <w:t>1</w:t>
                  </w:r>
                </w:p>
              </w:tc>
            </w:tr>
            <w:tr w14:paraId="114CC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restart"/>
                  <w:shd w:val="clear" w:color="auto" w:fill="auto"/>
                  <w:noWrap/>
                  <w:vAlign w:val="center"/>
                </w:tcPr>
                <w:p w14:paraId="41AC36C2">
                  <w:pPr>
                    <w:pStyle w:val="26"/>
                    <w:bidi w:val="0"/>
                    <w:rPr>
                      <w:rFonts w:hint="eastAsia"/>
                    </w:rPr>
                  </w:pPr>
                  <w:r>
                    <w:rPr>
                      <w:rFonts w:hint="eastAsia"/>
                      <w:lang w:val="en-US" w:eastAsia="zh-CN"/>
                    </w:rPr>
                    <w:t>压缩机2</w:t>
                  </w:r>
                </w:p>
              </w:tc>
              <w:tc>
                <w:tcPr>
                  <w:tcW w:w="366" w:type="pct"/>
                  <w:vMerge w:val="restart"/>
                  <w:shd w:val="clear" w:color="auto" w:fill="auto"/>
                  <w:noWrap/>
                  <w:vAlign w:val="center"/>
                </w:tcPr>
                <w:p w14:paraId="6D68648B">
                  <w:pPr>
                    <w:pStyle w:val="26"/>
                    <w:bidi w:val="0"/>
                    <w:rPr>
                      <w:rFonts w:hint="eastAsia"/>
                    </w:rPr>
                  </w:pPr>
                  <w:r>
                    <w:rPr>
                      <w:rFonts w:hint="eastAsia"/>
                      <w:lang w:val="en-US" w:eastAsia="zh-CN"/>
                    </w:rPr>
                    <w:t>90</w:t>
                  </w:r>
                </w:p>
              </w:tc>
              <w:tc>
                <w:tcPr>
                  <w:tcW w:w="540" w:type="pct"/>
                  <w:vMerge w:val="restart"/>
                  <w:shd w:val="clear" w:color="auto" w:fill="auto"/>
                  <w:noWrap/>
                  <w:vAlign w:val="center"/>
                </w:tcPr>
                <w:p w14:paraId="322FC2C6">
                  <w:pPr>
                    <w:pStyle w:val="26"/>
                    <w:bidi w:val="0"/>
                    <w:rPr>
                      <w:rFonts w:hint="eastAsia"/>
                      <w:lang w:val="en-US" w:eastAsia="zh-CN"/>
                    </w:rPr>
                  </w:pPr>
                  <w:r>
                    <w:rPr>
                      <w:rFonts w:hint="eastAsia"/>
                      <w:lang w:val="en-US" w:eastAsia="zh-CN"/>
                    </w:rPr>
                    <w:t>基础减振</w:t>
                  </w:r>
                </w:p>
                <w:p w14:paraId="583EE26E">
                  <w:pPr>
                    <w:pStyle w:val="26"/>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建筑降噪</w:t>
                  </w:r>
                </w:p>
              </w:tc>
              <w:tc>
                <w:tcPr>
                  <w:tcW w:w="370" w:type="pct"/>
                  <w:vMerge w:val="restart"/>
                  <w:shd w:val="clear" w:color="auto" w:fill="auto"/>
                  <w:noWrap/>
                  <w:vAlign w:val="center"/>
                </w:tcPr>
                <w:p w14:paraId="790DC4FF">
                  <w:pPr>
                    <w:pStyle w:val="26"/>
                    <w:bidi w:val="0"/>
                    <w:rPr>
                      <w:rFonts w:hint="eastAsia"/>
                    </w:rPr>
                  </w:pPr>
                  <w:r>
                    <w:rPr>
                      <w:rFonts w:hint="eastAsia"/>
                      <w:lang w:val="en-US" w:eastAsia="zh-CN"/>
                    </w:rPr>
                    <w:t>-49.54</w:t>
                  </w:r>
                </w:p>
              </w:tc>
              <w:tc>
                <w:tcPr>
                  <w:tcW w:w="323" w:type="pct"/>
                  <w:vMerge w:val="restart"/>
                  <w:shd w:val="clear" w:color="auto" w:fill="auto"/>
                  <w:noWrap/>
                  <w:vAlign w:val="center"/>
                </w:tcPr>
                <w:p w14:paraId="453C4004">
                  <w:pPr>
                    <w:pStyle w:val="26"/>
                    <w:bidi w:val="0"/>
                    <w:rPr>
                      <w:rFonts w:hint="eastAsia"/>
                    </w:rPr>
                  </w:pPr>
                  <w:r>
                    <w:rPr>
                      <w:rFonts w:hint="eastAsia"/>
                      <w:lang w:val="en-US" w:eastAsia="zh-CN"/>
                    </w:rPr>
                    <w:t>29.1</w:t>
                  </w:r>
                </w:p>
              </w:tc>
              <w:tc>
                <w:tcPr>
                  <w:tcW w:w="88" w:type="pct"/>
                  <w:vMerge w:val="restart"/>
                  <w:shd w:val="clear" w:color="auto" w:fill="auto"/>
                  <w:noWrap/>
                  <w:vAlign w:val="center"/>
                </w:tcPr>
                <w:p w14:paraId="3A097EA0">
                  <w:pPr>
                    <w:pStyle w:val="26"/>
                    <w:bidi w:val="0"/>
                    <w:rPr>
                      <w:rFonts w:hint="eastAsia"/>
                    </w:rPr>
                  </w:pPr>
                  <w:r>
                    <w:rPr>
                      <w:rFonts w:hint="eastAsia"/>
                      <w:lang w:val="en-US" w:eastAsia="zh-CN"/>
                    </w:rPr>
                    <w:t>1</w:t>
                  </w:r>
                </w:p>
              </w:tc>
              <w:tc>
                <w:tcPr>
                  <w:tcW w:w="430" w:type="pct"/>
                  <w:shd w:val="clear" w:color="auto" w:fill="auto"/>
                  <w:noWrap/>
                  <w:vAlign w:val="center"/>
                </w:tcPr>
                <w:p w14:paraId="2D523EBC">
                  <w:pPr>
                    <w:pStyle w:val="26"/>
                    <w:bidi w:val="0"/>
                    <w:rPr>
                      <w:rFonts w:hint="eastAsia"/>
                    </w:rPr>
                  </w:pPr>
                  <w:r>
                    <w:rPr>
                      <w:rFonts w:hint="eastAsia"/>
                      <w:lang w:val="en-US" w:eastAsia="zh-CN"/>
                    </w:rPr>
                    <w:t>5.45</w:t>
                  </w:r>
                </w:p>
              </w:tc>
              <w:tc>
                <w:tcPr>
                  <w:tcW w:w="431" w:type="pct"/>
                  <w:shd w:val="clear" w:color="auto" w:fill="auto"/>
                  <w:noWrap/>
                  <w:vAlign w:val="center"/>
                </w:tcPr>
                <w:p w14:paraId="68DD7F52">
                  <w:pPr>
                    <w:pStyle w:val="26"/>
                    <w:bidi w:val="0"/>
                    <w:rPr>
                      <w:rFonts w:hint="eastAsia"/>
                    </w:rPr>
                  </w:pPr>
                  <w:r>
                    <w:rPr>
                      <w:rFonts w:hint="eastAsia"/>
                      <w:lang w:val="en-US" w:eastAsia="zh-CN"/>
                    </w:rPr>
                    <w:t>85.61</w:t>
                  </w:r>
                </w:p>
              </w:tc>
              <w:tc>
                <w:tcPr>
                  <w:tcW w:w="286" w:type="pct"/>
                  <w:vMerge w:val="restart"/>
                  <w:shd w:val="clear" w:color="auto" w:fill="auto"/>
                  <w:noWrap/>
                  <w:vAlign w:val="center"/>
                </w:tcPr>
                <w:p w14:paraId="01DE9759">
                  <w:pPr>
                    <w:pStyle w:val="26"/>
                    <w:bidi w:val="0"/>
                    <w:rPr>
                      <w:rFonts w:hint="eastAsia"/>
                    </w:rPr>
                  </w:pPr>
                  <w:r>
                    <w:rPr>
                      <w:rFonts w:hint="eastAsia"/>
                      <w:lang w:val="en-US" w:eastAsia="zh-CN"/>
                    </w:rPr>
                    <w:t>昼间</w:t>
                  </w:r>
                </w:p>
              </w:tc>
              <w:tc>
                <w:tcPr>
                  <w:tcW w:w="576" w:type="pct"/>
                  <w:vMerge w:val="restart"/>
                  <w:shd w:val="clear" w:color="auto" w:fill="auto"/>
                  <w:noWrap/>
                  <w:vAlign w:val="center"/>
                </w:tcPr>
                <w:p w14:paraId="59E1F6AB">
                  <w:pPr>
                    <w:pStyle w:val="26"/>
                    <w:bidi w:val="0"/>
                    <w:rPr>
                      <w:rFonts w:hint="eastAsia"/>
                    </w:rPr>
                  </w:pPr>
                  <w:r>
                    <w:rPr>
                      <w:rFonts w:hint="eastAsia"/>
                      <w:lang w:val="en-US" w:eastAsia="zh-CN"/>
                    </w:rPr>
                    <w:t>26</w:t>
                  </w:r>
                </w:p>
              </w:tc>
              <w:tc>
                <w:tcPr>
                  <w:tcW w:w="431" w:type="pct"/>
                  <w:shd w:val="clear" w:color="auto" w:fill="auto"/>
                  <w:noWrap/>
                  <w:vAlign w:val="center"/>
                </w:tcPr>
                <w:p w14:paraId="71CD89AB">
                  <w:pPr>
                    <w:pStyle w:val="26"/>
                    <w:bidi w:val="0"/>
                    <w:rPr>
                      <w:rFonts w:hint="eastAsia"/>
                    </w:rPr>
                  </w:pPr>
                  <w:r>
                    <w:rPr>
                      <w:rFonts w:hint="eastAsia"/>
                      <w:lang w:val="en-US" w:eastAsia="zh-CN"/>
                    </w:rPr>
                    <w:t>59.61</w:t>
                  </w:r>
                </w:p>
              </w:tc>
              <w:tc>
                <w:tcPr>
                  <w:tcW w:w="434" w:type="pct"/>
                  <w:shd w:val="clear" w:color="auto" w:fill="auto"/>
                  <w:noWrap/>
                  <w:vAlign w:val="center"/>
                </w:tcPr>
                <w:p w14:paraId="43C3325A">
                  <w:pPr>
                    <w:pStyle w:val="26"/>
                    <w:bidi w:val="0"/>
                    <w:rPr>
                      <w:rFonts w:hint="eastAsia"/>
                    </w:rPr>
                  </w:pPr>
                  <w:r>
                    <w:rPr>
                      <w:rFonts w:hint="eastAsia"/>
                      <w:lang w:val="en-US" w:eastAsia="zh-CN"/>
                    </w:rPr>
                    <w:t>1</w:t>
                  </w:r>
                </w:p>
              </w:tc>
            </w:tr>
            <w:tr w14:paraId="76D94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continue"/>
                  <w:shd w:val="clear" w:color="auto" w:fill="auto"/>
                  <w:noWrap/>
                  <w:vAlign w:val="center"/>
                </w:tcPr>
                <w:p w14:paraId="63A19E0C">
                  <w:pPr>
                    <w:pStyle w:val="26"/>
                    <w:bidi w:val="0"/>
                    <w:rPr>
                      <w:rFonts w:hint="eastAsia"/>
                    </w:rPr>
                  </w:pPr>
                </w:p>
              </w:tc>
              <w:tc>
                <w:tcPr>
                  <w:tcW w:w="366" w:type="pct"/>
                  <w:vMerge w:val="continue"/>
                  <w:shd w:val="clear" w:color="auto" w:fill="auto"/>
                  <w:noWrap/>
                  <w:vAlign w:val="center"/>
                </w:tcPr>
                <w:p w14:paraId="33206932">
                  <w:pPr>
                    <w:pStyle w:val="26"/>
                    <w:bidi w:val="0"/>
                    <w:rPr>
                      <w:rFonts w:hint="eastAsia"/>
                    </w:rPr>
                  </w:pPr>
                </w:p>
              </w:tc>
              <w:tc>
                <w:tcPr>
                  <w:tcW w:w="540" w:type="pct"/>
                  <w:vMerge w:val="continue"/>
                  <w:shd w:val="clear" w:color="auto" w:fill="auto"/>
                  <w:noWrap/>
                  <w:vAlign w:val="center"/>
                </w:tcPr>
                <w:p w14:paraId="064B2458">
                  <w:pPr>
                    <w:pStyle w:val="26"/>
                    <w:bidi w:val="0"/>
                    <w:rPr>
                      <w:rFonts w:hint="eastAsia"/>
                    </w:rPr>
                  </w:pPr>
                </w:p>
              </w:tc>
              <w:tc>
                <w:tcPr>
                  <w:tcW w:w="370" w:type="pct"/>
                  <w:vMerge w:val="continue"/>
                  <w:shd w:val="clear" w:color="auto" w:fill="auto"/>
                  <w:noWrap/>
                  <w:vAlign w:val="center"/>
                </w:tcPr>
                <w:p w14:paraId="5306A5A3">
                  <w:pPr>
                    <w:pStyle w:val="26"/>
                    <w:bidi w:val="0"/>
                    <w:rPr>
                      <w:rFonts w:hint="eastAsia"/>
                    </w:rPr>
                  </w:pPr>
                </w:p>
              </w:tc>
              <w:tc>
                <w:tcPr>
                  <w:tcW w:w="323" w:type="pct"/>
                  <w:vMerge w:val="continue"/>
                  <w:shd w:val="clear" w:color="auto" w:fill="auto"/>
                  <w:noWrap/>
                  <w:vAlign w:val="center"/>
                </w:tcPr>
                <w:p w14:paraId="67ACC8A4">
                  <w:pPr>
                    <w:pStyle w:val="26"/>
                    <w:bidi w:val="0"/>
                    <w:rPr>
                      <w:rFonts w:hint="eastAsia"/>
                    </w:rPr>
                  </w:pPr>
                </w:p>
              </w:tc>
              <w:tc>
                <w:tcPr>
                  <w:tcW w:w="88" w:type="pct"/>
                  <w:vMerge w:val="continue"/>
                  <w:shd w:val="clear" w:color="auto" w:fill="auto"/>
                  <w:noWrap/>
                  <w:vAlign w:val="center"/>
                </w:tcPr>
                <w:p w14:paraId="3FFE2CE3">
                  <w:pPr>
                    <w:pStyle w:val="26"/>
                    <w:bidi w:val="0"/>
                    <w:rPr>
                      <w:rFonts w:hint="eastAsia"/>
                    </w:rPr>
                  </w:pPr>
                </w:p>
              </w:tc>
              <w:tc>
                <w:tcPr>
                  <w:tcW w:w="430" w:type="pct"/>
                  <w:shd w:val="clear" w:color="auto" w:fill="auto"/>
                  <w:noWrap/>
                  <w:vAlign w:val="center"/>
                </w:tcPr>
                <w:p w14:paraId="649DF49D">
                  <w:pPr>
                    <w:pStyle w:val="26"/>
                    <w:bidi w:val="0"/>
                    <w:rPr>
                      <w:rFonts w:hint="eastAsia"/>
                    </w:rPr>
                  </w:pPr>
                  <w:r>
                    <w:rPr>
                      <w:rFonts w:hint="eastAsia"/>
                      <w:lang w:val="en-US" w:eastAsia="zh-CN"/>
                    </w:rPr>
                    <w:t>7.64</w:t>
                  </w:r>
                </w:p>
              </w:tc>
              <w:tc>
                <w:tcPr>
                  <w:tcW w:w="431" w:type="pct"/>
                  <w:shd w:val="clear" w:color="auto" w:fill="auto"/>
                  <w:noWrap/>
                  <w:vAlign w:val="center"/>
                </w:tcPr>
                <w:p w14:paraId="47ABB8D5">
                  <w:pPr>
                    <w:pStyle w:val="26"/>
                    <w:bidi w:val="0"/>
                    <w:rPr>
                      <w:rFonts w:hint="eastAsia"/>
                    </w:rPr>
                  </w:pPr>
                  <w:r>
                    <w:rPr>
                      <w:rFonts w:hint="eastAsia"/>
                      <w:lang w:val="en-US" w:eastAsia="zh-CN"/>
                    </w:rPr>
                    <w:t>85.6</w:t>
                  </w:r>
                </w:p>
              </w:tc>
              <w:tc>
                <w:tcPr>
                  <w:tcW w:w="286" w:type="pct"/>
                  <w:vMerge w:val="continue"/>
                  <w:shd w:val="clear" w:color="auto" w:fill="auto"/>
                  <w:noWrap/>
                  <w:vAlign w:val="center"/>
                </w:tcPr>
                <w:p w14:paraId="1F2719A4">
                  <w:pPr>
                    <w:pStyle w:val="26"/>
                    <w:bidi w:val="0"/>
                    <w:rPr>
                      <w:rFonts w:hint="eastAsia"/>
                    </w:rPr>
                  </w:pPr>
                </w:p>
              </w:tc>
              <w:tc>
                <w:tcPr>
                  <w:tcW w:w="576" w:type="pct"/>
                  <w:vMerge w:val="continue"/>
                  <w:shd w:val="clear" w:color="auto" w:fill="auto"/>
                  <w:noWrap/>
                  <w:vAlign w:val="center"/>
                </w:tcPr>
                <w:p w14:paraId="27129877">
                  <w:pPr>
                    <w:pStyle w:val="26"/>
                    <w:bidi w:val="0"/>
                    <w:rPr>
                      <w:rFonts w:hint="eastAsia"/>
                    </w:rPr>
                  </w:pPr>
                </w:p>
              </w:tc>
              <w:tc>
                <w:tcPr>
                  <w:tcW w:w="431" w:type="pct"/>
                  <w:shd w:val="clear" w:color="auto" w:fill="auto"/>
                  <w:noWrap/>
                  <w:vAlign w:val="center"/>
                </w:tcPr>
                <w:p w14:paraId="66CA2FCA">
                  <w:pPr>
                    <w:pStyle w:val="26"/>
                    <w:bidi w:val="0"/>
                    <w:rPr>
                      <w:rFonts w:hint="eastAsia"/>
                    </w:rPr>
                  </w:pPr>
                  <w:r>
                    <w:rPr>
                      <w:rFonts w:hint="eastAsia"/>
                      <w:lang w:val="en-US" w:eastAsia="zh-CN"/>
                    </w:rPr>
                    <w:t>59.6</w:t>
                  </w:r>
                </w:p>
              </w:tc>
              <w:tc>
                <w:tcPr>
                  <w:tcW w:w="434" w:type="pct"/>
                  <w:shd w:val="clear" w:color="auto" w:fill="auto"/>
                  <w:noWrap/>
                  <w:vAlign w:val="center"/>
                </w:tcPr>
                <w:p w14:paraId="0179E1CD">
                  <w:pPr>
                    <w:pStyle w:val="26"/>
                    <w:bidi w:val="0"/>
                    <w:rPr>
                      <w:rFonts w:hint="eastAsia"/>
                    </w:rPr>
                  </w:pPr>
                  <w:r>
                    <w:rPr>
                      <w:rFonts w:hint="eastAsia"/>
                      <w:lang w:val="en-US" w:eastAsia="zh-CN"/>
                    </w:rPr>
                    <w:t>1</w:t>
                  </w:r>
                </w:p>
              </w:tc>
            </w:tr>
            <w:tr w14:paraId="4B7E2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continue"/>
                  <w:shd w:val="clear" w:color="auto" w:fill="auto"/>
                  <w:noWrap/>
                  <w:vAlign w:val="center"/>
                </w:tcPr>
                <w:p w14:paraId="74BE118C">
                  <w:pPr>
                    <w:pStyle w:val="26"/>
                    <w:bidi w:val="0"/>
                    <w:rPr>
                      <w:rFonts w:hint="eastAsia"/>
                    </w:rPr>
                  </w:pPr>
                </w:p>
              </w:tc>
              <w:tc>
                <w:tcPr>
                  <w:tcW w:w="366" w:type="pct"/>
                  <w:vMerge w:val="continue"/>
                  <w:shd w:val="clear" w:color="auto" w:fill="auto"/>
                  <w:noWrap/>
                  <w:vAlign w:val="center"/>
                </w:tcPr>
                <w:p w14:paraId="7F3285FC">
                  <w:pPr>
                    <w:pStyle w:val="26"/>
                    <w:bidi w:val="0"/>
                    <w:rPr>
                      <w:rFonts w:hint="eastAsia"/>
                    </w:rPr>
                  </w:pPr>
                </w:p>
              </w:tc>
              <w:tc>
                <w:tcPr>
                  <w:tcW w:w="540" w:type="pct"/>
                  <w:vMerge w:val="continue"/>
                  <w:shd w:val="clear" w:color="auto" w:fill="auto"/>
                  <w:noWrap/>
                  <w:vAlign w:val="center"/>
                </w:tcPr>
                <w:p w14:paraId="6E272630">
                  <w:pPr>
                    <w:pStyle w:val="26"/>
                    <w:bidi w:val="0"/>
                    <w:rPr>
                      <w:rFonts w:hint="eastAsia"/>
                    </w:rPr>
                  </w:pPr>
                </w:p>
              </w:tc>
              <w:tc>
                <w:tcPr>
                  <w:tcW w:w="370" w:type="pct"/>
                  <w:vMerge w:val="continue"/>
                  <w:shd w:val="clear" w:color="auto" w:fill="auto"/>
                  <w:noWrap/>
                  <w:vAlign w:val="center"/>
                </w:tcPr>
                <w:p w14:paraId="5BF45A49">
                  <w:pPr>
                    <w:pStyle w:val="26"/>
                    <w:bidi w:val="0"/>
                    <w:rPr>
                      <w:rFonts w:hint="eastAsia"/>
                    </w:rPr>
                  </w:pPr>
                </w:p>
              </w:tc>
              <w:tc>
                <w:tcPr>
                  <w:tcW w:w="323" w:type="pct"/>
                  <w:vMerge w:val="continue"/>
                  <w:shd w:val="clear" w:color="auto" w:fill="auto"/>
                  <w:noWrap/>
                  <w:vAlign w:val="center"/>
                </w:tcPr>
                <w:p w14:paraId="0008F458">
                  <w:pPr>
                    <w:pStyle w:val="26"/>
                    <w:bidi w:val="0"/>
                    <w:rPr>
                      <w:rFonts w:hint="eastAsia"/>
                    </w:rPr>
                  </w:pPr>
                </w:p>
              </w:tc>
              <w:tc>
                <w:tcPr>
                  <w:tcW w:w="88" w:type="pct"/>
                  <w:vMerge w:val="continue"/>
                  <w:shd w:val="clear" w:color="auto" w:fill="auto"/>
                  <w:noWrap/>
                  <w:vAlign w:val="center"/>
                </w:tcPr>
                <w:p w14:paraId="38A2609C">
                  <w:pPr>
                    <w:pStyle w:val="26"/>
                    <w:bidi w:val="0"/>
                    <w:rPr>
                      <w:rFonts w:hint="eastAsia"/>
                    </w:rPr>
                  </w:pPr>
                </w:p>
              </w:tc>
              <w:tc>
                <w:tcPr>
                  <w:tcW w:w="430" w:type="pct"/>
                  <w:shd w:val="clear" w:color="auto" w:fill="auto"/>
                  <w:noWrap/>
                  <w:vAlign w:val="center"/>
                </w:tcPr>
                <w:p w14:paraId="0FE3F1BB">
                  <w:pPr>
                    <w:pStyle w:val="26"/>
                    <w:bidi w:val="0"/>
                    <w:rPr>
                      <w:rFonts w:hint="eastAsia"/>
                    </w:rPr>
                  </w:pPr>
                  <w:r>
                    <w:rPr>
                      <w:rFonts w:hint="eastAsia"/>
                      <w:lang w:val="en-US" w:eastAsia="zh-CN"/>
                    </w:rPr>
                    <w:t>27.97</w:t>
                  </w:r>
                </w:p>
              </w:tc>
              <w:tc>
                <w:tcPr>
                  <w:tcW w:w="431" w:type="pct"/>
                  <w:shd w:val="clear" w:color="auto" w:fill="auto"/>
                  <w:noWrap/>
                  <w:vAlign w:val="center"/>
                </w:tcPr>
                <w:p w14:paraId="5F0B02F8">
                  <w:pPr>
                    <w:pStyle w:val="26"/>
                    <w:bidi w:val="0"/>
                    <w:rPr>
                      <w:rFonts w:hint="eastAsia"/>
                    </w:rPr>
                  </w:pPr>
                  <w:r>
                    <w:rPr>
                      <w:rFonts w:hint="eastAsia"/>
                      <w:lang w:val="en-US" w:eastAsia="zh-CN"/>
                    </w:rPr>
                    <w:t>85.58</w:t>
                  </w:r>
                </w:p>
              </w:tc>
              <w:tc>
                <w:tcPr>
                  <w:tcW w:w="286" w:type="pct"/>
                  <w:vMerge w:val="continue"/>
                  <w:shd w:val="clear" w:color="auto" w:fill="auto"/>
                  <w:noWrap/>
                  <w:vAlign w:val="center"/>
                </w:tcPr>
                <w:p w14:paraId="5CDE3EC3">
                  <w:pPr>
                    <w:pStyle w:val="26"/>
                    <w:bidi w:val="0"/>
                    <w:rPr>
                      <w:rFonts w:hint="eastAsia"/>
                    </w:rPr>
                  </w:pPr>
                </w:p>
              </w:tc>
              <w:tc>
                <w:tcPr>
                  <w:tcW w:w="576" w:type="pct"/>
                  <w:vMerge w:val="continue"/>
                  <w:shd w:val="clear" w:color="auto" w:fill="auto"/>
                  <w:noWrap/>
                  <w:vAlign w:val="center"/>
                </w:tcPr>
                <w:p w14:paraId="727D920D">
                  <w:pPr>
                    <w:pStyle w:val="26"/>
                    <w:bidi w:val="0"/>
                    <w:rPr>
                      <w:rFonts w:hint="eastAsia"/>
                    </w:rPr>
                  </w:pPr>
                </w:p>
              </w:tc>
              <w:tc>
                <w:tcPr>
                  <w:tcW w:w="431" w:type="pct"/>
                  <w:shd w:val="clear" w:color="auto" w:fill="auto"/>
                  <w:noWrap/>
                  <w:vAlign w:val="center"/>
                </w:tcPr>
                <w:p w14:paraId="0C0755E3">
                  <w:pPr>
                    <w:pStyle w:val="26"/>
                    <w:bidi w:val="0"/>
                    <w:rPr>
                      <w:rFonts w:hint="eastAsia"/>
                    </w:rPr>
                  </w:pPr>
                  <w:r>
                    <w:rPr>
                      <w:rFonts w:hint="eastAsia"/>
                      <w:lang w:val="en-US" w:eastAsia="zh-CN"/>
                    </w:rPr>
                    <w:t>59.58</w:t>
                  </w:r>
                </w:p>
              </w:tc>
              <w:tc>
                <w:tcPr>
                  <w:tcW w:w="434" w:type="pct"/>
                  <w:shd w:val="clear" w:color="auto" w:fill="auto"/>
                  <w:noWrap/>
                  <w:vAlign w:val="center"/>
                </w:tcPr>
                <w:p w14:paraId="5CBB0355">
                  <w:pPr>
                    <w:pStyle w:val="26"/>
                    <w:bidi w:val="0"/>
                    <w:rPr>
                      <w:rFonts w:hint="eastAsia"/>
                    </w:rPr>
                  </w:pPr>
                  <w:r>
                    <w:rPr>
                      <w:rFonts w:hint="eastAsia"/>
                      <w:lang w:val="en-US" w:eastAsia="zh-CN"/>
                    </w:rPr>
                    <w:t>1</w:t>
                  </w:r>
                </w:p>
              </w:tc>
            </w:tr>
            <w:tr w14:paraId="5CD0D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continue"/>
                  <w:shd w:val="clear" w:color="auto" w:fill="auto"/>
                  <w:noWrap/>
                  <w:vAlign w:val="center"/>
                </w:tcPr>
                <w:p w14:paraId="6520CEAE">
                  <w:pPr>
                    <w:pStyle w:val="26"/>
                    <w:bidi w:val="0"/>
                    <w:rPr>
                      <w:rFonts w:hint="eastAsia"/>
                    </w:rPr>
                  </w:pPr>
                </w:p>
              </w:tc>
              <w:tc>
                <w:tcPr>
                  <w:tcW w:w="366" w:type="pct"/>
                  <w:vMerge w:val="continue"/>
                  <w:shd w:val="clear" w:color="auto" w:fill="auto"/>
                  <w:noWrap/>
                  <w:vAlign w:val="center"/>
                </w:tcPr>
                <w:p w14:paraId="27B76D08">
                  <w:pPr>
                    <w:pStyle w:val="26"/>
                    <w:bidi w:val="0"/>
                    <w:rPr>
                      <w:rFonts w:hint="eastAsia"/>
                    </w:rPr>
                  </w:pPr>
                </w:p>
              </w:tc>
              <w:tc>
                <w:tcPr>
                  <w:tcW w:w="540" w:type="pct"/>
                  <w:vMerge w:val="continue"/>
                  <w:shd w:val="clear" w:color="auto" w:fill="auto"/>
                  <w:noWrap/>
                  <w:vAlign w:val="center"/>
                </w:tcPr>
                <w:p w14:paraId="1BE702B6">
                  <w:pPr>
                    <w:pStyle w:val="26"/>
                    <w:bidi w:val="0"/>
                    <w:rPr>
                      <w:rFonts w:hint="eastAsia"/>
                    </w:rPr>
                  </w:pPr>
                </w:p>
              </w:tc>
              <w:tc>
                <w:tcPr>
                  <w:tcW w:w="370" w:type="pct"/>
                  <w:vMerge w:val="continue"/>
                  <w:shd w:val="clear" w:color="auto" w:fill="auto"/>
                  <w:noWrap/>
                  <w:vAlign w:val="center"/>
                </w:tcPr>
                <w:p w14:paraId="1C054A09">
                  <w:pPr>
                    <w:pStyle w:val="26"/>
                    <w:bidi w:val="0"/>
                    <w:rPr>
                      <w:rFonts w:hint="eastAsia"/>
                    </w:rPr>
                  </w:pPr>
                </w:p>
              </w:tc>
              <w:tc>
                <w:tcPr>
                  <w:tcW w:w="323" w:type="pct"/>
                  <w:vMerge w:val="continue"/>
                  <w:shd w:val="clear" w:color="auto" w:fill="auto"/>
                  <w:noWrap/>
                  <w:vAlign w:val="center"/>
                </w:tcPr>
                <w:p w14:paraId="4D04028E">
                  <w:pPr>
                    <w:pStyle w:val="26"/>
                    <w:bidi w:val="0"/>
                    <w:rPr>
                      <w:rFonts w:hint="eastAsia"/>
                    </w:rPr>
                  </w:pPr>
                </w:p>
              </w:tc>
              <w:tc>
                <w:tcPr>
                  <w:tcW w:w="88" w:type="pct"/>
                  <w:vMerge w:val="continue"/>
                  <w:shd w:val="clear" w:color="auto" w:fill="auto"/>
                  <w:noWrap/>
                  <w:vAlign w:val="center"/>
                </w:tcPr>
                <w:p w14:paraId="68DFD793">
                  <w:pPr>
                    <w:pStyle w:val="26"/>
                    <w:bidi w:val="0"/>
                    <w:rPr>
                      <w:rFonts w:hint="eastAsia"/>
                    </w:rPr>
                  </w:pPr>
                </w:p>
              </w:tc>
              <w:tc>
                <w:tcPr>
                  <w:tcW w:w="430" w:type="pct"/>
                  <w:shd w:val="clear" w:color="auto" w:fill="auto"/>
                  <w:noWrap/>
                  <w:vAlign w:val="center"/>
                </w:tcPr>
                <w:p w14:paraId="391F08E7">
                  <w:pPr>
                    <w:pStyle w:val="26"/>
                    <w:bidi w:val="0"/>
                    <w:rPr>
                      <w:rFonts w:hint="eastAsia"/>
                    </w:rPr>
                  </w:pPr>
                  <w:r>
                    <w:rPr>
                      <w:rFonts w:hint="eastAsia"/>
                      <w:lang w:val="en-US" w:eastAsia="zh-CN"/>
                    </w:rPr>
                    <w:t>9.4</w:t>
                  </w:r>
                </w:p>
              </w:tc>
              <w:tc>
                <w:tcPr>
                  <w:tcW w:w="431" w:type="pct"/>
                  <w:shd w:val="clear" w:color="auto" w:fill="auto"/>
                  <w:noWrap/>
                  <w:vAlign w:val="center"/>
                </w:tcPr>
                <w:p w14:paraId="05DEA3B2">
                  <w:pPr>
                    <w:pStyle w:val="26"/>
                    <w:bidi w:val="0"/>
                    <w:rPr>
                      <w:rFonts w:hint="eastAsia"/>
                    </w:rPr>
                  </w:pPr>
                  <w:r>
                    <w:rPr>
                      <w:rFonts w:hint="eastAsia"/>
                      <w:lang w:val="en-US" w:eastAsia="zh-CN"/>
                    </w:rPr>
                    <w:t>85.59</w:t>
                  </w:r>
                </w:p>
              </w:tc>
              <w:tc>
                <w:tcPr>
                  <w:tcW w:w="286" w:type="pct"/>
                  <w:vMerge w:val="continue"/>
                  <w:shd w:val="clear" w:color="auto" w:fill="auto"/>
                  <w:noWrap/>
                  <w:vAlign w:val="center"/>
                </w:tcPr>
                <w:p w14:paraId="732F0EA9">
                  <w:pPr>
                    <w:pStyle w:val="26"/>
                    <w:bidi w:val="0"/>
                    <w:rPr>
                      <w:rFonts w:hint="eastAsia"/>
                    </w:rPr>
                  </w:pPr>
                </w:p>
              </w:tc>
              <w:tc>
                <w:tcPr>
                  <w:tcW w:w="576" w:type="pct"/>
                  <w:vMerge w:val="continue"/>
                  <w:shd w:val="clear" w:color="auto" w:fill="auto"/>
                  <w:noWrap/>
                  <w:vAlign w:val="center"/>
                </w:tcPr>
                <w:p w14:paraId="723037AF">
                  <w:pPr>
                    <w:pStyle w:val="26"/>
                    <w:bidi w:val="0"/>
                    <w:rPr>
                      <w:rFonts w:hint="eastAsia"/>
                    </w:rPr>
                  </w:pPr>
                </w:p>
              </w:tc>
              <w:tc>
                <w:tcPr>
                  <w:tcW w:w="431" w:type="pct"/>
                  <w:shd w:val="clear" w:color="auto" w:fill="auto"/>
                  <w:noWrap/>
                  <w:vAlign w:val="center"/>
                </w:tcPr>
                <w:p w14:paraId="0A757522">
                  <w:pPr>
                    <w:pStyle w:val="26"/>
                    <w:bidi w:val="0"/>
                    <w:rPr>
                      <w:rFonts w:hint="eastAsia"/>
                    </w:rPr>
                  </w:pPr>
                  <w:r>
                    <w:rPr>
                      <w:rFonts w:hint="eastAsia"/>
                      <w:lang w:val="en-US" w:eastAsia="zh-CN"/>
                    </w:rPr>
                    <w:t>59.59</w:t>
                  </w:r>
                </w:p>
              </w:tc>
              <w:tc>
                <w:tcPr>
                  <w:tcW w:w="434" w:type="pct"/>
                  <w:shd w:val="clear" w:color="auto" w:fill="auto"/>
                  <w:noWrap/>
                  <w:vAlign w:val="center"/>
                </w:tcPr>
                <w:p w14:paraId="24DCE275">
                  <w:pPr>
                    <w:pStyle w:val="26"/>
                    <w:bidi w:val="0"/>
                    <w:rPr>
                      <w:rFonts w:hint="eastAsia"/>
                    </w:rPr>
                  </w:pPr>
                  <w:r>
                    <w:rPr>
                      <w:rFonts w:hint="eastAsia"/>
                      <w:lang w:val="en-US" w:eastAsia="zh-CN"/>
                    </w:rPr>
                    <w:t>1</w:t>
                  </w:r>
                </w:p>
              </w:tc>
            </w:tr>
            <w:tr w14:paraId="4609A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restart"/>
                  <w:shd w:val="clear" w:color="auto" w:fill="auto"/>
                  <w:noWrap/>
                  <w:vAlign w:val="center"/>
                </w:tcPr>
                <w:p w14:paraId="6B6FB329">
                  <w:pPr>
                    <w:pStyle w:val="26"/>
                    <w:bidi w:val="0"/>
                    <w:rPr>
                      <w:rFonts w:hint="eastAsia"/>
                    </w:rPr>
                  </w:pPr>
                  <w:r>
                    <w:rPr>
                      <w:rFonts w:hint="eastAsia"/>
                      <w:lang w:val="en-US" w:eastAsia="zh-CN"/>
                    </w:rPr>
                    <w:t>钢瓶封口机</w:t>
                  </w:r>
                </w:p>
              </w:tc>
              <w:tc>
                <w:tcPr>
                  <w:tcW w:w="366" w:type="pct"/>
                  <w:vMerge w:val="restart"/>
                  <w:shd w:val="clear" w:color="auto" w:fill="auto"/>
                  <w:noWrap/>
                  <w:vAlign w:val="center"/>
                </w:tcPr>
                <w:p w14:paraId="7BC77DFA">
                  <w:pPr>
                    <w:pStyle w:val="26"/>
                    <w:bidi w:val="0"/>
                    <w:rPr>
                      <w:rFonts w:hint="eastAsia"/>
                    </w:rPr>
                  </w:pPr>
                  <w:r>
                    <w:rPr>
                      <w:rFonts w:hint="eastAsia"/>
                      <w:lang w:val="en-US" w:eastAsia="zh-CN"/>
                    </w:rPr>
                    <w:t>70</w:t>
                  </w:r>
                </w:p>
              </w:tc>
              <w:tc>
                <w:tcPr>
                  <w:tcW w:w="540" w:type="pct"/>
                  <w:vMerge w:val="restart"/>
                  <w:shd w:val="clear" w:color="auto" w:fill="auto"/>
                  <w:noWrap/>
                  <w:vAlign w:val="center"/>
                </w:tcPr>
                <w:p w14:paraId="250CBA65">
                  <w:pPr>
                    <w:pStyle w:val="26"/>
                    <w:bidi w:val="0"/>
                    <w:rPr>
                      <w:rFonts w:hint="eastAsia"/>
                      <w:lang w:val="en-US" w:eastAsia="zh-CN"/>
                    </w:rPr>
                  </w:pPr>
                  <w:r>
                    <w:rPr>
                      <w:rFonts w:hint="eastAsia"/>
                      <w:lang w:val="en-US" w:eastAsia="zh-CN"/>
                    </w:rPr>
                    <w:t>基础减振</w:t>
                  </w:r>
                </w:p>
                <w:p w14:paraId="014EDD73">
                  <w:pPr>
                    <w:pStyle w:val="26"/>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建筑降噪</w:t>
                  </w:r>
                </w:p>
              </w:tc>
              <w:tc>
                <w:tcPr>
                  <w:tcW w:w="370" w:type="pct"/>
                  <w:vMerge w:val="restart"/>
                  <w:shd w:val="clear" w:color="auto" w:fill="auto"/>
                  <w:noWrap/>
                  <w:vAlign w:val="center"/>
                </w:tcPr>
                <w:p w14:paraId="1570E9A1">
                  <w:pPr>
                    <w:pStyle w:val="26"/>
                    <w:bidi w:val="0"/>
                    <w:rPr>
                      <w:rFonts w:hint="eastAsia"/>
                    </w:rPr>
                  </w:pPr>
                  <w:r>
                    <w:rPr>
                      <w:rFonts w:hint="eastAsia"/>
                      <w:lang w:val="en-US" w:eastAsia="zh-CN"/>
                    </w:rPr>
                    <w:t>-33.17</w:t>
                  </w:r>
                </w:p>
              </w:tc>
              <w:tc>
                <w:tcPr>
                  <w:tcW w:w="323" w:type="pct"/>
                  <w:vMerge w:val="restart"/>
                  <w:shd w:val="clear" w:color="auto" w:fill="auto"/>
                  <w:noWrap/>
                  <w:vAlign w:val="center"/>
                </w:tcPr>
                <w:p w14:paraId="2B4BFE91">
                  <w:pPr>
                    <w:pStyle w:val="26"/>
                    <w:bidi w:val="0"/>
                    <w:rPr>
                      <w:rFonts w:hint="eastAsia"/>
                    </w:rPr>
                  </w:pPr>
                  <w:r>
                    <w:rPr>
                      <w:rFonts w:hint="eastAsia"/>
                      <w:lang w:val="en-US" w:eastAsia="zh-CN"/>
                    </w:rPr>
                    <w:t>21.98</w:t>
                  </w:r>
                </w:p>
              </w:tc>
              <w:tc>
                <w:tcPr>
                  <w:tcW w:w="88" w:type="pct"/>
                  <w:vMerge w:val="restart"/>
                  <w:shd w:val="clear" w:color="auto" w:fill="auto"/>
                  <w:noWrap/>
                  <w:vAlign w:val="center"/>
                </w:tcPr>
                <w:p w14:paraId="41D6E31A">
                  <w:pPr>
                    <w:pStyle w:val="26"/>
                    <w:bidi w:val="0"/>
                    <w:rPr>
                      <w:rFonts w:hint="eastAsia"/>
                    </w:rPr>
                  </w:pPr>
                  <w:r>
                    <w:rPr>
                      <w:rFonts w:hint="eastAsia"/>
                      <w:lang w:val="en-US" w:eastAsia="zh-CN"/>
                    </w:rPr>
                    <w:t>1</w:t>
                  </w:r>
                </w:p>
              </w:tc>
              <w:tc>
                <w:tcPr>
                  <w:tcW w:w="430" w:type="pct"/>
                  <w:shd w:val="clear" w:color="auto" w:fill="auto"/>
                  <w:noWrap/>
                  <w:vAlign w:val="center"/>
                </w:tcPr>
                <w:p w14:paraId="63A76A6C">
                  <w:pPr>
                    <w:pStyle w:val="26"/>
                    <w:bidi w:val="0"/>
                    <w:rPr>
                      <w:rFonts w:hint="eastAsia"/>
                    </w:rPr>
                  </w:pPr>
                  <w:r>
                    <w:rPr>
                      <w:rFonts w:hint="eastAsia"/>
                      <w:lang w:val="en-US" w:eastAsia="zh-CN"/>
                    </w:rPr>
                    <w:t>23.3</w:t>
                  </w:r>
                </w:p>
              </w:tc>
              <w:tc>
                <w:tcPr>
                  <w:tcW w:w="431" w:type="pct"/>
                  <w:shd w:val="clear" w:color="auto" w:fill="auto"/>
                  <w:noWrap/>
                  <w:vAlign w:val="center"/>
                </w:tcPr>
                <w:p w14:paraId="2E26F91C">
                  <w:pPr>
                    <w:pStyle w:val="26"/>
                    <w:bidi w:val="0"/>
                    <w:rPr>
                      <w:rFonts w:hint="eastAsia"/>
                    </w:rPr>
                  </w:pPr>
                  <w:r>
                    <w:rPr>
                      <w:rFonts w:hint="eastAsia"/>
                      <w:lang w:val="en-US" w:eastAsia="zh-CN"/>
                    </w:rPr>
                    <w:t>65.58</w:t>
                  </w:r>
                </w:p>
              </w:tc>
              <w:tc>
                <w:tcPr>
                  <w:tcW w:w="286" w:type="pct"/>
                  <w:vMerge w:val="restart"/>
                  <w:shd w:val="clear" w:color="auto" w:fill="auto"/>
                  <w:noWrap/>
                  <w:vAlign w:val="center"/>
                </w:tcPr>
                <w:p w14:paraId="2ED60948">
                  <w:pPr>
                    <w:pStyle w:val="26"/>
                    <w:bidi w:val="0"/>
                    <w:rPr>
                      <w:rFonts w:hint="eastAsia"/>
                    </w:rPr>
                  </w:pPr>
                  <w:r>
                    <w:rPr>
                      <w:rFonts w:hint="eastAsia"/>
                      <w:lang w:val="en-US" w:eastAsia="zh-CN"/>
                    </w:rPr>
                    <w:t>昼间</w:t>
                  </w:r>
                </w:p>
              </w:tc>
              <w:tc>
                <w:tcPr>
                  <w:tcW w:w="576" w:type="pct"/>
                  <w:vMerge w:val="restart"/>
                  <w:shd w:val="clear" w:color="auto" w:fill="auto"/>
                  <w:noWrap/>
                  <w:vAlign w:val="center"/>
                </w:tcPr>
                <w:p w14:paraId="48147243">
                  <w:pPr>
                    <w:pStyle w:val="26"/>
                    <w:bidi w:val="0"/>
                    <w:rPr>
                      <w:rFonts w:hint="eastAsia"/>
                    </w:rPr>
                  </w:pPr>
                  <w:r>
                    <w:rPr>
                      <w:rFonts w:hint="eastAsia"/>
                      <w:lang w:val="en-US" w:eastAsia="zh-CN"/>
                    </w:rPr>
                    <w:t>26</w:t>
                  </w:r>
                </w:p>
              </w:tc>
              <w:tc>
                <w:tcPr>
                  <w:tcW w:w="431" w:type="pct"/>
                  <w:shd w:val="clear" w:color="auto" w:fill="auto"/>
                  <w:noWrap/>
                  <w:vAlign w:val="center"/>
                </w:tcPr>
                <w:p w14:paraId="07D52ED7">
                  <w:pPr>
                    <w:pStyle w:val="26"/>
                    <w:bidi w:val="0"/>
                    <w:rPr>
                      <w:rFonts w:hint="eastAsia"/>
                    </w:rPr>
                  </w:pPr>
                  <w:r>
                    <w:rPr>
                      <w:rFonts w:hint="eastAsia"/>
                      <w:lang w:val="en-US" w:eastAsia="zh-CN"/>
                    </w:rPr>
                    <w:t>39.58</w:t>
                  </w:r>
                </w:p>
              </w:tc>
              <w:tc>
                <w:tcPr>
                  <w:tcW w:w="434" w:type="pct"/>
                  <w:shd w:val="clear" w:color="auto" w:fill="auto"/>
                  <w:noWrap/>
                  <w:vAlign w:val="center"/>
                </w:tcPr>
                <w:p w14:paraId="5FF94E0B">
                  <w:pPr>
                    <w:pStyle w:val="26"/>
                    <w:bidi w:val="0"/>
                    <w:rPr>
                      <w:rFonts w:hint="eastAsia"/>
                    </w:rPr>
                  </w:pPr>
                  <w:r>
                    <w:rPr>
                      <w:rFonts w:hint="eastAsia"/>
                      <w:lang w:val="en-US" w:eastAsia="zh-CN"/>
                    </w:rPr>
                    <w:t>1</w:t>
                  </w:r>
                </w:p>
              </w:tc>
            </w:tr>
            <w:tr w14:paraId="4889B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continue"/>
                  <w:shd w:val="clear" w:color="auto" w:fill="auto"/>
                  <w:noWrap/>
                  <w:vAlign w:val="center"/>
                </w:tcPr>
                <w:p w14:paraId="5CEC5B99">
                  <w:pPr>
                    <w:pStyle w:val="26"/>
                    <w:bidi w:val="0"/>
                    <w:rPr>
                      <w:rFonts w:hint="eastAsia"/>
                    </w:rPr>
                  </w:pPr>
                </w:p>
              </w:tc>
              <w:tc>
                <w:tcPr>
                  <w:tcW w:w="366" w:type="pct"/>
                  <w:vMerge w:val="continue"/>
                  <w:shd w:val="clear" w:color="auto" w:fill="auto"/>
                  <w:noWrap/>
                  <w:vAlign w:val="center"/>
                </w:tcPr>
                <w:p w14:paraId="7C9AB8AA">
                  <w:pPr>
                    <w:pStyle w:val="26"/>
                    <w:bidi w:val="0"/>
                    <w:rPr>
                      <w:rFonts w:hint="eastAsia"/>
                    </w:rPr>
                  </w:pPr>
                </w:p>
              </w:tc>
              <w:tc>
                <w:tcPr>
                  <w:tcW w:w="540" w:type="pct"/>
                  <w:vMerge w:val="continue"/>
                  <w:shd w:val="clear" w:color="auto" w:fill="auto"/>
                  <w:noWrap/>
                  <w:vAlign w:val="center"/>
                </w:tcPr>
                <w:p w14:paraId="0B430EBE">
                  <w:pPr>
                    <w:pStyle w:val="26"/>
                    <w:bidi w:val="0"/>
                    <w:rPr>
                      <w:rFonts w:hint="eastAsia"/>
                    </w:rPr>
                  </w:pPr>
                </w:p>
              </w:tc>
              <w:tc>
                <w:tcPr>
                  <w:tcW w:w="370" w:type="pct"/>
                  <w:vMerge w:val="continue"/>
                  <w:shd w:val="clear" w:color="auto" w:fill="auto"/>
                  <w:noWrap/>
                  <w:vAlign w:val="center"/>
                </w:tcPr>
                <w:p w14:paraId="61046522">
                  <w:pPr>
                    <w:pStyle w:val="26"/>
                    <w:bidi w:val="0"/>
                    <w:rPr>
                      <w:rFonts w:hint="eastAsia"/>
                    </w:rPr>
                  </w:pPr>
                </w:p>
              </w:tc>
              <w:tc>
                <w:tcPr>
                  <w:tcW w:w="323" w:type="pct"/>
                  <w:vMerge w:val="continue"/>
                  <w:shd w:val="clear" w:color="auto" w:fill="auto"/>
                  <w:noWrap/>
                  <w:vAlign w:val="center"/>
                </w:tcPr>
                <w:p w14:paraId="195FA3F6">
                  <w:pPr>
                    <w:pStyle w:val="26"/>
                    <w:bidi w:val="0"/>
                    <w:rPr>
                      <w:rFonts w:hint="eastAsia"/>
                    </w:rPr>
                  </w:pPr>
                </w:p>
              </w:tc>
              <w:tc>
                <w:tcPr>
                  <w:tcW w:w="88" w:type="pct"/>
                  <w:vMerge w:val="continue"/>
                  <w:shd w:val="clear" w:color="auto" w:fill="auto"/>
                  <w:noWrap/>
                  <w:vAlign w:val="center"/>
                </w:tcPr>
                <w:p w14:paraId="60BA08B6">
                  <w:pPr>
                    <w:pStyle w:val="26"/>
                    <w:bidi w:val="0"/>
                    <w:rPr>
                      <w:rFonts w:hint="eastAsia"/>
                    </w:rPr>
                  </w:pPr>
                </w:p>
              </w:tc>
              <w:tc>
                <w:tcPr>
                  <w:tcW w:w="430" w:type="pct"/>
                  <w:shd w:val="clear" w:color="auto" w:fill="auto"/>
                  <w:noWrap/>
                  <w:vAlign w:val="center"/>
                </w:tcPr>
                <w:p w14:paraId="5785C9F9">
                  <w:pPr>
                    <w:pStyle w:val="26"/>
                    <w:bidi w:val="0"/>
                    <w:rPr>
                      <w:rFonts w:hint="eastAsia"/>
                    </w:rPr>
                  </w:pPr>
                  <w:r>
                    <w:rPr>
                      <w:rFonts w:hint="eastAsia"/>
                      <w:lang w:val="en-US" w:eastAsia="zh-CN"/>
                    </w:rPr>
                    <w:t>7.59</w:t>
                  </w:r>
                </w:p>
              </w:tc>
              <w:tc>
                <w:tcPr>
                  <w:tcW w:w="431" w:type="pct"/>
                  <w:shd w:val="clear" w:color="auto" w:fill="auto"/>
                  <w:noWrap/>
                  <w:vAlign w:val="center"/>
                </w:tcPr>
                <w:p w14:paraId="55342E65">
                  <w:pPr>
                    <w:pStyle w:val="26"/>
                    <w:bidi w:val="0"/>
                    <w:rPr>
                      <w:rFonts w:hint="eastAsia"/>
                    </w:rPr>
                  </w:pPr>
                  <w:r>
                    <w:rPr>
                      <w:rFonts w:hint="eastAsia"/>
                      <w:lang w:val="en-US" w:eastAsia="zh-CN"/>
                    </w:rPr>
                    <w:t>65.6</w:t>
                  </w:r>
                </w:p>
              </w:tc>
              <w:tc>
                <w:tcPr>
                  <w:tcW w:w="286" w:type="pct"/>
                  <w:vMerge w:val="continue"/>
                  <w:shd w:val="clear" w:color="auto" w:fill="auto"/>
                  <w:noWrap/>
                  <w:vAlign w:val="center"/>
                </w:tcPr>
                <w:p w14:paraId="36B0702F">
                  <w:pPr>
                    <w:pStyle w:val="26"/>
                    <w:bidi w:val="0"/>
                    <w:rPr>
                      <w:rFonts w:hint="eastAsia"/>
                    </w:rPr>
                  </w:pPr>
                </w:p>
              </w:tc>
              <w:tc>
                <w:tcPr>
                  <w:tcW w:w="576" w:type="pct"/>
                  <w:vMerge w:val="continue"/>
                  <w:shd w:val="clear" w:color="auto" w:fill="auto"/>
                  <w:noWrap/>
                  <w:vAlign w:val="center"/>
                </w:tcPr>
                <w:p w14:paraId="57252872">
                  <w:pPr>
                    <w:pStyle w:val="26"/>
                    <w:bidi w:val="0"/>
                    <w:rPr>
                      <w:rFonts w:hint="eastAsia"/>
                    </w:rPr>
                  </w:pPr>
                </w:p>
              </w:tc>
              <w:tc>
                <w:tcPr>
                  <w:tcW w:w="431" w:type="pct"/>
                  <w:shd w:val="clear" w:color="auto" w:fill="auto"/>
                  <w:noWrap/>
                  <w:vAlign w:val="center"/>
                </w:tcPr>
                <w:p w14:paraId="7A28474C">
                  <w:pPr>
                    <w:pStyle w:val="26"/>
                    <w:bidi w:val="0"/>
                    <w:rPr>
                      <w:rFonts w:hint="eastAsia"/>
                    </w:rPr>
                  </w:pPr>
                  <w:r>
                    <w:rPr>
                      <w:rFonts w:hint="eastAsia"/>
                      <w:lang w:val="en-US" w:eastAsia="zh-CN"/>
                    </w:rPr>
                    <w:t>39.6</w:t>
                  </w:r>
                </w:p>
              </w:tc>
              <w:tc>
                <w:tcPr>
                  <w:tcW w:w="434" w:type="pct"/>
                  <w:shd w:val="clear" w:color="auto" w:fill="auto"/>
                  <w:noWrap/>
                  <w:vAlign w:val="center"/>
                </w:tcPr>
                <w:p w14:paraId="59946AB5">
                  <w:pPr>
                    <w:pStyle w:val="26"/>
                    <w:bidi w:val="0"/>
                    <w:rPr>
                      <w:rFonts w:hint="eastAsia"/>
                    </w:rPr>
                  </w:pPr>
                  <w:r>
                    <w:rPr>
                      <w:rFonts w:hint="eastAsia"/>
                      <w:lang w:val="en-US" w:eastAsia="zh-CN"/>
                    </w:rPr>
                    <w:t>1</w:t>
                  </w:r>
                </w:p>
              </w:tc>
            </w:tr>
            <w:tr w14:paraId="7541C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continue"/>
                  <w:shd w:val="clear" w:color="auto" w:fill="auto"/>
                  <w:noWrap/>
                  <w:vAlign w:val="center"/>
                </w:tcPr>
                <w:p w14:paraId="6E442BBB">
                  <w:pPr>
                    <w:pStyle w:val="26"/>
                    <w:bidi w:val="0"/>
                    <w:rPr>
                      <w:rFonts w:hint="eastAsia"/>
                    </w:rPr>
                  </w:pPr>
                </w:p>
              </w:tc>
              <w:tc>
                <w:tcPr>
                  <w:tcW w:w="366" w:type="pct"/>
                  <w:vMerge w:val="continue"/>
                  <w:shd w:val="clear" w:color="auto" w:fill="auto"/>
                  <w:noWrap/>
                  <w:vAlign w:val="center"/>
                </w:tcPr>
                <w:p w14:paraId="4DBC699F">
                  <w:pPr>
                    <w:pStyle w:val="26"/>
                    <w:bidi w:val="0"/>
                    <w:rPr>
                      <w:rFonts w:hint="eastAsia"/>
                    </w:rPr>
                  </w:pPr>
                </w:p>
              </w:tc>
              <w:tc>
                <w:tcPr>
                  <w:tcW w:w="540" w:type="pct"/>
                  <w:vMerge w:val="continue"/>
                  <w:shd w:val="clear" w:color="auto" w:fill="auto"/>
                  <w:noWrap/>
                  <w:vAlign w:val="center"/>
                </w:tcPr>
                <w:p w14:paraId="1DC349B7">
                  <w:pPr>
                    <w:pStyle w:val="26"/>
                    <w:bidi w:val="0"/>
                    <w:rPr>
                      <w:rFonts w:hint="eastAsia"/>
                    </w:rPr>
                  </w:pPr>
                </w:p>
              </w:tc>
              <w:tc>
                <w:tcPr>
                  <w:tcW w:w="370" w:type="pct"/>
                  <w:vMerge w:val="continue"/>
                  <w:shd w:val="clear" w:color="auto" w:fill="auto"/>
                  <w:noWrap/>
                  <w:vAlign w:val="center"/>
                </w:tcPr>
                <w:p w14:paraId="221756C7">
                  <w:pPr>
                    <w:pStyle w:val="26"/>
                    <w:bidi w:val="0"/>
                    <w:rPr>
                      <w:rFonts w:hint="eastAsia"/>
                    </w:rPr>
                  </w:pPr>
                </w:p>
              </w:tc>
              <w:tc>
                <w:tcPr>
                  <w:tcW w:w="323" w:type="pct"/>
                  <w:vMerge w:val="continue"/>
                  <w:shd w:val="clear" w:color="auto" w:fill="auto"/>
                  <w:noWrap/>
                  <w:vAlign w:val="center"/>
                </w:tcPr>
                <w:p w14:paraId="35F308AB">
                  <w:pPr>
                    <w:pStyle w:val="26"/>
                    <w:bidi w:val="0"/>
                    <w:rPr>
                      <w:rFonts w:hint="eastAsia"/>
                    </w:rPr>
                  </w:pPr>
                </w:p>
              </w:tc>
              <w:tc>
                <w:tcPr>
                  <w:tcW w:w="88" w:type="pct"/>
                  <w:vMerge w:val="continue"/>
                  <w:shd w:val="clear" w:color="auto" w:fill="auto"/>
                  <w:noWrap/>
                  <w:vAlign w:val="center"/>
                </w:tcPr>
                <w:p w14:paraId="520C26C9">
                  <w:pPr>
                    <w:pStyle w:val="26"/>
                    <w:bidi w:val="0"/>
                    <w:rPr>
                      <w:rFonts w:hint="eastAsia"/>
                    </w:rPr>
                  </w:pPr>
                </w:p>
              </w:tc>
              <w:tc>
                <w:tcPr>
                  <w:tcW w:w="430" w:type="pct"/>
                  <w:shd w:val="clear" w:color="auto" w:fill="auto"/>
                  <w:noWrap/>
                  <w:vAlign w:val="center"/>
                </w:tcPr>
                <w:p w14:paraId="28E36952">
                  <w:pPr>
                    <w:pStyle w:val="26"/>
                    <w:bidi w:val="0"/>
                    <w:rPr>
                      <w:rFonts w:hint="eastAsia"/>
                    </w:rPr>
                  </w:pPr>
                  <w:r>
                    <w:rPr>
                      <w:rFonts w:hint="eastAsia"/>
                      <w:lang w:val="en-US" w:eastAsia="zh-CN"/>
                    </w:rPr>
                    <w:t>10.12</w:t>
                  </w:r>
                </w:p>
              </w:tc>
              <w:tc>
                <w:tcPr>
                  <w:tcW w:w="431" w:type="pct"/>
                  <w:shd w:val="clear" w:color="auto" w:fill="auto"/>
                  <w:noWrap/>
                  <w:vAlign w:val="center"/>
                </w:tcPr>
                <w:p w14:paraId="19485556">
                  <w:pPr>
                    <w:pStyle w:val="26"/>
                    <w:bidi w:val="0"/>
                    <w:rPr>
                      <w:rFonts w:hint="eastAsia"/>
                    </w:rPr>
                  </w:pPr>
                  <w:r>
                    <w:rPr>
                      <w:rFonts w:hint="eastAsia"/>
                      <w:lang w:val="en-US" w:eastAsia="zh-CN"/>
                    </w:rPr>
                    <w:t>65.59</w:t>
                  </w:r>
                </w:p>
              </w:tc>
              <w:tc>
                <w:tcPr>
                  <w:tcW w:w="286" w:type="pct"/>
                  <w:vMerge w:val="continue"/>
                  <w:shd w:val="clear" w:color="auto" w:fill="auto"/>
                  <w:noWrap/>
                  <w:vAlign w:val="center"/>
                </w:tcPr>
                <w:p w14:paraId="100B93C7">
                  <w:pPr>
                    <w:pStyle w:val="26"/>
                    <w:bidi w:val="0"/>
                    <w:rPr>
                      <w:rFonts w:hint="eastAsia"/>
                    </w:rPr>
                  </w:pPr>
                </w:p>
              </w:tc>
              <w:tc>
                <w:tcPr>
                  <w:tcW w:w="576" w:type="pct"/>
                  <w:vMerge w:val="continue"/>
                  <w:shd w:val="clear" w:color="auto" w:fill="auto"/>
                  <w:noWrap/>
                  <w:vAlign w:val="center"/>
                </w:tcPr>
                <w:p w14:paraId="24977BE4">
                  <w:pPr>
                    <w:pStyle w:val="26"/>
                    <w:bidi w:val="0"/>
                    <w:rPr>
                      <w:rFonts w:hint="eastAsia"/>
                    </w:rPr>
                  </w:pPr>
                </w:p>
              </w:tc>
              <w:tc>
                <w:tcPr>
                  <w:tcW w:w="431" w:type="pct"/>
                  <w:shd w:val="clear" w:color="auto" w:fill="auto"/>
                  <w:noWrap/>
                  <w:vAlign w:val="center"/>
                </w:tcPr>
                <w:p w14:paraId="133A658D">
                  <w:pPr>
                    <w:pStyle w:val="26"/>
                    <w:bidi w:val="0"/>
                    <w:rPr>
                      <w:rFonts w:hint="eastAsia"/>
                    </w:rPr>
                  </w:pPr>
                  <w:r>
                    <w:rPr>
                      <w:rFonts w:hint="eastAsia"/>
                      <w:lang w:val="en-US" w:eastAsia="zh-CN"/>
                    </w:rPr>
                    <w:t>39.59</w:t>
                  </w:r>
                </w:p>
              </w:tc>
              <w:tc>
                <w:tcPr>
                  <w:tcW w:w="434" w:type="pct"/>
                  <w:shd w:val="clear" w:color="auto" w:fill="auto"/>
                  <w:noWrap/>
                  <w:vAlign w:val="center"/>
                </w:tcPr>
                <w:p w14:paraId="34FFD0E0">
                  <w:pPr>
                    <w:pStyle w:val="26"/>
                    <w:bidi w:val="0"/>
                    <w:rPr>
                      <w:rFonts w:hint="eastAsia"/>
                    </w:rPr>
                  </w:pPr>
                  <w:r>
                    <w:rPr>
                      <w:rFonts w:hint="eastAsia"/>
                      <w:lang w:val="en-US" w:eastAsia="zh-CN"/>
                    </w:rPr>
                    <w:t>1</w:t>
                  </w:r>
                </w:p>
              </w:tc>
            </w:tr>
            <w:tr w14:paraId="6906C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trPr>
              <w:tc>
                <w:tcPr>
                  <w:tcW w:w="720" w:type="pct"/>
                  <w:vMerge w:val="continue"/>
                  <w:shd w:val="clear" w:color="auto" w:fill="auto"/>
                  <w:noWrap/>
                  <w:vAlign w:val="center"/>
                </w:tcPr>
                <w:p w14:paraId="0B539A24">
                  <w:pPr>
                    <w:pStyle w:val="26"/>
                    <w:bidi w:val="0"/>
                    <w:rPr>
                      <w:rFonts w:hint="eastAsia"/>
                    </w:rPr>
                  </w:pPr>
                </w:p>
              </w:tc>
              <w:tc>
                <w:tcPr>
                  <w:tcW w:w="366" w:type="pct"/>
                  <w:vMerge w:val="continue"/>
                  <w:shd w:val="clear" w:color="auto" w:fill="auto"/>
                  <w:noWrap/>
                  <w:vAlign w:val="center"/>
                </w:tcPr>
                <w:p w14:paraId="220F78EE">
                  <w:pPr>
                    <w:pStyle w:val="26"/>
                    <w:bidi w:val="0"/>
                    <w:rPr>
                      <w:rFonts w:hint="eastAsia"/>
                    </w:rPr>
                  </w:pPr>
                </w:p>
              </w:tc>
              <w:tc>
                <w:tcPr>
                  <w:tcW w:w="540" w:type="pct"/>
                  <w:vMerge w:val="continue"/>
                  <w:shd w:val="clear" w:color="auto" w:fill="auto"/>
                  <w:noWrap/>
                  <w:vAlign w:val="center"/>
                </w:tcPr>
                <w:p w14:paraId="79AF7F3D">
                  <w:pPr>
                    <w:pStyle w:val="26"/>
                    <w:bidi w:val="0"/>
                    <w:rPr>
                      <w:rFonts w:hint="eastAsia"/>
                    </w:rPr>
                  </w:pPr>
                </w:p>
              </w:tc>
              <w:tc>
                <w:tcPr>
                  <w:tcW w:w="370" w:type="pct"/>
                  <w:vMerge w:val="continue"/>
                  <w:shd w:val="clear" w:color="auto" w:fill="auto"/>
                  <w:noWrap/>
                  <w:vAlign w:val="center"/>
                </w:tcPr>
                <w:p w14:paraId="076AA6B8">
                  <w:pPr>
                    <w:pStyle w:val="26"/>
                    <w:bidi w:val="0"/>
                    <w:rPr>
                      <w:rFonts w:hint="eastAsia"/>
                    </w:rPr>
                  </w:pPr>
                </w:p>
              </w:tc>
              <w:tc>
                <w:tcPr>
                  <w:tcW w:w="323" w:type="pct"/>
                  <w:vMerge w:val="continue"/>
                  <w:shd w:val="clear" w:color="auto" w:fill="auto"/>
                  <w:noWrap/>
                  <w:vAlign w:val="center"/>
                </w:tcPr>
                <w:p w14:paraId="7EC7A096">
                  <w:pPr>
                    <w:pStyle w:val="26"/>
                    <w:bidi w:val="0"/>
                    <w:rPr>
                      <w:rFonts w:hint="eastAsia"/>
                    </w:rPr>
                  </w:pPr>
                </w:p>
              </w:tc>
              <w:tc>
                <w:tcPr>
                  <w:tcW w:w="88" w:type="pct"/>
                  <w:vMerge w:val="continue"/>
                  <w:shd w:val="clear" w:color="auto" w:fill="auto"/>
                  <w:noWrap/>
                  <w:vAlign w:val="center"/>
                </w:tcPr>
                <w:p w14:paraId="6296E8F0">
                  <w:pPr>
                    <w:pStyle w:val="26"/>
                    <w:bidi w:val="0"/>
                    <w:rPr>
                      <w:rFonts w:hint="eastAsia"/>
                    </w:rPr>
                  </w:pPr>
                </w:p>
              </w:tc>
              <w:tc>
                <w:tcPr>
                  <w:tcW w:w="430" w:type="pct"/>
                  <w:shd w:val="clear" w:color="auto" w:fill="auto"/>
                  <w:noWrap/>
                  <w:vAlign w:val="center"/>
                </w:tcPr>
                <w:p w14:paraId="61B5ADF4">
                  <w:pPr>
                    <w:pStyle w:val="26"/>
                    <w:bidi w:val="0"/>
                    <w:rPr>
                      <w:rFonts w:hint="eastAsia"/>
                    </w:rPr>
                  </w:pPr>
                  <w:r>
                    <w:rPr>
                      <w:rFonts w:hint="eastAsia"/>
                      <w:lang w:val="en-US" w:eastAsia="zh-CN"/>
                    </w:rPr>
                    <w:t>9.45</w:t>
                  </w:r>
                </w:p>
              </w:tc>
              <w:tc>
                <w:tcPr>
                  <w:tcW w:w="431" w:type="pct"/>
                  <w:shd w:val="clear" w:color="auto" w:fill="auto"/>
                  <w:noWrap/>
                  <w:vAlign w:val="center"/>
                </w:tcPr>
                <w:p w14:paraId="215E7863">
                  <w:pPr>
                    <w:pStyle w:val="26"/>
                    <w:bidi w:val="0"/>
                    <w:rPr>
                      <w:rFonts w:hint="eastAsia"/>
                    </w:rPr>
                  </w:pPr>
                  <w:r>
                    <w:rPr>
                      <w:rFonts w:hint="eastAsia"/>
                      <w:lang w:val="en-US" w:eastAsia="zh-CN"/>
                    </w:rPr>
                    <w:t>65.59</w:t>
                  </w:r>
                </w:p>
              </w:tc>
              <w:tc>
                <w:tcPr>
                  <w:tcW w:w="286" w:type="pct"/>
                  <w:vMerge w:val="continue"/>
                  <w:shd w:val="clear" w:color="auto" w:fill="auto"/>
                  <w:noWrap/>
                  <w:vAlign w:val="center"/>
                </w:tcPr>
                <w:p w14:paraId="388C4F83">
                  <w:pPr>
                    <w:pStyle w:val="26"/>
                    <w:bidi w:val="0"/>
                    <w:rPr>
                      <w:rFonts w:hint="eastAsia"/>
                    </w:rPr>
                  </w:pPr>
                </w:p>
              </w:tc>
              <w:tc>
                <w:tcPr>
                  <w:tcW w:w="576" w:type="pct"/>
                  <w:vMerge w:val="continue"/>
                  <w:shd w:val="clear" w:color="auto" w:fill="auto"/>
                  <w:noWrap/>
                  <w:vAlign w:val="center"/>
                </w:tcPr>
                <w:p w14:paraId="7A2725F6">
                  <w:pPr>
                    <w:pStyle w:val="26"/>
                    <w:bidi w:val="0"/>
                    <w:rPr>
                      <w:rFonts w:hint="eastAsia"/>
                    </w:rPr>
                  </w:pPr>
                </w:p>
              </w:tc>
              <w:tc>
                <w:tcPr>
                  <w:tcW w:w="431" w:type="pct"/>
                  <w:shd w:val="clear" w:color="auto" w:fill="auto"/>
                  <w:noWrap/>
                  <w:vAlign w:val="center"/>
                </w:tcPr>
                <w:p w14:paraId="7B8B982C">
                  <w:pPr>
                    <w:pStyle w:val="26"/>
                    <w:bidi w:val="0"/>
                    <w:rPr>
                      <w:rFonts w:hint="eastAsia"/>
                    </w:rPr>
                  </w:pPr>
                  <w:r>
                    <w:rPr>
                      <w:rFonts w:hint="eastAsia"/>
                      <w:lang w:val="en-US" w:eastAsia="zh-CN"/>
                    </w:rPr>
                    <w:t>39.59</w:t>
                  </w:r>
                </w:p>
              </w:tc>
              <w:tc>
                <w:tcPr>
                  <w:tcW w:w="434" w:type="pct"/>
                  <w:shd w:val="clear" w:color="auto" w:fill="auto"/>
                  <w:noWrap/>
                  <w:vAlign w:val="center"/>
                </w:tcPr>
                <w:p w14:paraId="593A9737">
                  <w:pPr>
                    <w:pStyle w:val="26"/>
                    <w:bidi w:val="0"/>
                    <w:rPr>
                      <w:rFonts w:hint="eastAsia"/>
                    </w:rPr>
                  </w:pPr>
                  <w:r>
                    <w:rPr>
                      <w:rFonts w:hint="eastAsia"/>
                      <w:lang w:val="en-US" w:eastAsia="zh-CN"/>
                    </w:rPr>
                    <w:t>1</w:t>
                  </w:r>
                </w:p>
              </w:tc>
            </w:tr>
          </w:tbl>
          <w:p w14:paraId="2349C2C3">
            <w:pPr>
              <w:pStyle w:val="25"/>
              <w:ind w:firstLine="480"/>
              <w:rPr>
                <w:rFonts w:hint="eastAsia"/>
                <w:lang w:val="en-US" w:eastAsia="zh-CN"/>
              </w:rPr>
            </w:pPr>
            <w:r>
              <w:rPr>
                <w:rFonts w:hint="eastAsia"/>
                <w:lang w:val="en-US" w:eastAsia="zh-CN"/>
              </w:rPr>
              <w:t>（2）声环境影响预测</w:t>
            </w:r>
          </w:p>
          <w:p w14:paraId="5FC64759">
            <w:pPr>
              <w:pStyle w:val="62"/>
              <w:ind w:firstLine="480"/>
            </w:pPr>
            <w:r>
              <w:rPr>
                <w:rFonts w:hint="eastAsia"/>
              </w:rPr>
              <w:t>采用《环境影响评价技术导则 声环境》（HJ2.4-2021）附录A级附录B推荐计算公式进行计算：</w:t>
            </w:r>
          </w:p>
          <w:p w14:paraId="54AC0237">
            <w:pPr>
              <w:pStyle w:val="62"/>
              <w:ind w:firstLine="480"/>
            </w:pPr>
            <w:r>
              <w:rPr>
                <w:rFonts w:hint="eastAsia"/>
                <w:lang w:val="en-US" w:eastAsia="zh-CN"/>
              </w:rPr>
              <w:t>1）</w:t>
            </w:r>
            <w:r>
              <w:rPr>
                <w:rFonts w:hint="eastAsia"/>
              </w:rPr>
              <w:t>室外噪声污染源计算公式</w:t>
            </w:r>
          </w:p>
          <w:p w14:paraId="08FB2026">
            <w:pPr>
              <w:pStyle w:val="62"/>
              <w:ind w:firstLine="480"/>
            </w:pPr>
            <w:r>
              <w:rPr>
                <w:rFonts w:hint="eastAsia"/>
              </w:rPr>
              <w:t>户外声传播衰减包括几何发散（</w:t>
            </w:r>
            <w:r>
              <w:t>Adiv）、大气吸收（Aatm）、地面效应（Agr）、障碍物屏蔽（Abar）、其</w:t>
            </w:r>
            <w:r>
              <w:rPr>
                <w:rFonts w:hint="eastAsia"/>
              </w:rPr>
              <w:t>他多方面效应（</w:t>
            </w:r>
            <w:r>
              <w:t>Amisc）引起的衰减。</w:t>
            </w:r>
          </w:p>
          <w:p w14:paraId="250CF686">
            <w:pPr>
              <w:pStyle w:val="62"/>
              <w:ind w:firstLine="480"/>
            </w:pPr>
            <w:r>
              <w:t>a） 在环境影响评价中，应根据声源声功率级或参考位置处的声压级、户外声传播衰减，计算预</w:t>
            </w:r>
            <w:r>
              <w:rPr>
                <w:rFonts w:hint="eastAsia"/>
              </w:rPr>
              <w:t>测点的声级，分别按式（</w:t>
            </w:r>
            <w:r>
              <w:t>A.1）或式（A.2）计算。</w:t>
            </w:r>
          </w:p>
          <w:p w14:paraId="7D5A264D">
            <w:pPr>
              <w:pStyle w:val="62"/>
              <w:ind w:firstLine="480"/>
            </w:pPr>
            <w:r>
              <w:drawing>
                <wp:inline distT="0" distB="0" distL="0" distR="0">
                  <wp:extent cx="3599815" cy="219710"/>
                  <wp:effectExtent l="0" t="0" r="635" b="8890"/>
                  <wp:docPr id="278655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5562" name="图片 1"/>
                          <pic:cNvPicPr>
                            <a:picLocks noChangeAspect="1"/>
                          </pic:cNvPicPr>
                        </pic:nvPicPr>
                        <pic:blipFill>
                          <a:blip r:embed="rId20"/>
                          <a:stretch>
                            <a:fillRect/>
                          </a:stretch>
                        </pic:blipFill>
                        <pic:spPr>
                          <a:xfrm>
                            <a:off x="0" y="0"/>
                            <a:ext cx="3600000" cy="220171"/>
                          </a:xfrm>
                          <a:prstGeom prst="rect">
                            <a:avLst/>
                          </a:prstGeom>
                        </pic:spPr>
                      </pic:pic>
                    </a:graphicData>
                  </a:graphic>
                </wp:inline>
              </w:drawing>
            </w:r>
            <w:r>
              <w:rPr>
                <w:rFonts w:hint="eastAsia"/>
              </w:rPr>
              <w:t xml:space="preserve">   （A.1）</w:t>
            </w:r>
          </w:p>
          <w:p w14:paraId="067C5DF3">
            <w:pPr>
              <w:pStyle w:val="62"/>
              <w:ind w:firstLine="480"/>
            </w:pPr>
            <w:r>
              <w:rPr>
                <w:rFonts w:hint="eastAsia"/>
              </w:rPr>
              <w:t>式中：</w:t>
            </w:r>
            <w:r>
              <w:rPr>
                <w:rFonts w:cs="Times New Roman"/>
                <w:i/>
                <w:iCs/>
              </w:rPr>
              <w:t>L</w:t>
            </w:r>
            <w:r>
              <w:rPr>
                <w:rFonts w:cs="Times New Roman"/>
                <w:i/>
                <w:iCs/>
                <w:sz w:val="14"/>
                <w:szCs w:val="14"/>
              </w:rPr>
              <w:t>p</w:t>
            </w:r>
            <w:r>
              <w:rPr>
                <w:rFonts w:cs="Times New Roman"/>
              </w:rPr>
              <w:t>(</w:t>
            </w:r>
            <w:r>
              <w:rPr>
                <w:rFonts w:cs="Times New Roman"/>
                <w:i/>
                <w:iCs/>
              </w:rPr>
              <w:t>r</w:t>
            </w:r>
            <w:r>
              <w:rPr>
                <w:rFonts w:cs="Times New Roman"/>
              </w:rPr>
              <w:t>) ——</w:t>
            </w:r>
            <w:r>
              <w:rPr>
                <w:rFonts w:hint="eastAsia"/>
              </w:rPr>
              <w:t>预测点处声压级，</w:t>
            </w:r>
            <w:r>
              <w:rPr>
                <w:rFonts w:cs="Times New Roman"/>
              </w:rPr>
              <w:t>dB</w:t>
            </w:r>
            <w:r>
              <w:rPr>
                <w:rFonts w:hint="eastAsia"/>
              </w:rPr>
              <w:t>；</w:t>
            </w:r>
          </w:p>
          <w:p w14:paraId="6C2CDE0F">
            <w:pPr>
              <w:pStyle w:val="62"/>
              <w:ind w:firstLine="480"/>
              <w:rPr>
                <w:szCs w:val="24"/>
              </w:rPr>
            </w:pPr>
            <w:r>
              <w:rPr>
                <w:rFonts w:cs="Times New Roman"/>
                <w:i/>
                <w:iCs/>
              </w:rPr>
              <w:t>L</w:t>
            </w:r>
            <w:r>
              <w:rPr>
                <w:rFonts w:cs="Times New Roman"/>
                <w:i/>
                <w:iCs/>
                <w:sz w:val="14"/>
                <w:szCs w:val="14"/>
              </w:rPr>
              <w:t xml:space="preserve">w </w:t>
            </w:r>
            <w:r>
              <w:rPr>
                <w:rFonts w:cs="Times New Roman"/>
              </w:rPr>
              <w:t>——</w:t>
            </w:r>
            <w:r>
              <w:rPr>
                <w:rFonts w:hint="eastAsia"/>
              </w:rPr>
              <w:t>由点声源产生的声功率级（</w:t>
            </w:r>
            <w:r>
              <w:rPr>
                <w:rFonts w:cs="Times New Roman"/>
              </w:rPr>
              <w:t>A</w:t>
            </w:r>
            <w:r>
              <w:rPr>
                <w:rFonts w:hint="eastAsia"/>
              </w:rPr>
              <w:t>计权或倍频带），</w:t>
            </w:r>
            <w:r>
              <w:rPr>
                <w:rFonts w:cs="Times New Roman"/>
              </w:rPr>
              <w:t>dB</w:t>
            </w:r>
            <w:r>
              <w:rPr>
                <w:rFonts w:hint="eastAsia"/>
              </w:rPr>
              <w:t xml:space="preserve">； </w:t>
            </w:r>
          </w:p>
          <w:p w14:paraId="104FDACA">
            <w:pPr>
              <w:pStyle w:val="62"/>
              <w:ind w:firstLine="480"/>
              <w:rPr>
                <w:szCs w:val="24"/>
              </w:rPr>
            </w:pPr>
            <w:r>
              <w:rPr>
                <w:rFonts w:cs="Times New Roman"/>
                <w:i/>
                <w:iCs/>
              </w:rPr>
              <w:t>D</w:t>
            </w:r>
            <w:r>
              <w:rPr>
                <w:rFonts w:cs="Times New Roman"/>
                <w:sz w:val="14"/>
                <w:szCs w:val="14"/>
              </w:rPr>
              <w:t xml:space="preserve">C </w:t>
            </w:r>
            <w:r>
              <w:rPr>
                <w:rFonts w:cs="Times New Roman"/>
              </w:rPr>
              <w:t>——</w:t>
            </w:r>
            <w:r>
              <w:rPr>
                <w:rFonts w:hint="eastAsia"/>
              </w:rPr>
              <w:t>指向性校正，它描述点声源的等效连续声压级与产生声功率级</w:t>
            </w:r>
            <w:r>
              <w:rPr>
                <w:rFonts w:cs="Times New Roman"/>
                <w:i/>
                <w:iCs/>
              </w:rPr>
              <w:t>L</w:t>
            </w:r>
            <w:r>
              <w:rPr>
                <w:rFonts w:cs="Times New Roman"/>
                <w:i/>
                <w:iCs/>
                <w:sz w:val="14"/>
                <w:szCs w:val="14"/>
              </w:rPr>
              <w:t>w</w:t>
            </w:r>
            <w:r>
              <w:rPr>
                <w:rFonts w:hint="eastAsia"/>
              </w:rPr>
              <w:t>的全向点声源在规定方向的声级的偏差程度，</w:t>
            </w:r>
            <w:r>
              <w:rPr>
                <w:rFonts w:cs="Times New Roman"/>
              </w:rPr>
              <w:t>dB</w:t>
            </w:r>
            <w:r>
              <w:rPr>
                <w:rFonts w:hint="eastAsia"/>
              </w:rPr>
              <w:t xml:space="preserve">； </w:t>
            </w:r>
          </w:p>
          <w:p w14:paraId="62893C3D">
            <w:pPr>
              <w:pStyle w:val="62"/>
              <w:ind w:firstLine="480"/>
            </w:pPr>
            <w:r>
              <w:rPr>
                <w:i/>
                <w:iCs/>
              </w:rPr>
              <w:t>A</w:t>
            </w:r>
            <w:r>
              <w:rPr>
                <w:i/>
                <w:iCs/>
                <w:vertAlign w:val="subscript"/>
              </w:rPr>
              <w:t>div</w:t>
            </w:r>
            <w:r>
              <w:rPr>
                <w:i/>
                <w:iCs/>
              </w:rPr>
              <w:t xml:space="preserve"> </w:t>
            </w:r>
            <w:r>
              <w:t>——</w:t>
            </w:r>
            <w:r>
              <w:rPr>
                <w:rFonts w:hint="eastAsia"/>
              </w:rPr>
              <w:t>几何发散引起的衰减，</w:t>
            </w:r>
            <w:r>
              <w:t>dB</w:t>
            </w:r>
            <w:r>
              <w:rPr>
                <w:rFonts w:hint="eastAsia"/>
              </w:rPr>
              <w:t xml:space="preserve">； </w:t>
            </w:r>
          </w:p>
          <w:p w14:paraId="45D8ED97">
            <w:pPr>
              <w:pStyle w:val="62"/>
              <w:ind w:firstLine="480"/>
            </w:pPr>
            <w:r>
              <w:rPr>
                <w:i/>
                <w:iCs/>
              </w:rPr>
              <w:t>A</w:t>
            </w:r>
            <w:r>
              <w:rPr>
                <w:i/>
                <w:iCs/>
                <w:vertAlign w:val="subscript"/>
              </w:rPr>
              <w:t>atm</w:t>
            </w:r>
            <w:r>
              <w:t xml:space="preserve"> ——</w:t>
            </w:r>
            <w:r>
              <w:rPr>
                <w:rFonts w:hint="eastAsia"/>
              </w:rPr>
              <w:t>大气吸收引起的衰减，</w:t>
            </w:r>
            <w:r>
              <w:t>dB</w:t>
            </w:r>
            <w:r>
              <w:rPr>
                <w:rFonts w:hint="eastAsia"/>
              </w:rPr>
              <w:t xml:space="preserve">； </w:t>
            </w:r>
          </w:p>
          <w:p w14:paraId="2E1F963E">
            <w:pPr>
              <w:pStyle w:val="62"/>
              <w:ind w:firstLine="480"/>
            </w:pPr>
            <w:r>
              <w:rPr>
                <w:i/>
                <w:iCs/>
              </w:rPr>
              <w:t>A</w:t>
            </w:r>
            <w:r>
              <w:rPr>
                <w:i/>
                <w:iCs/>
                <w:vertAlign w:val="subscript"/>
              </w:rPr>
              <w:t>gr</w:t>
            </w:r>
            <w:r>
              <w:rPr>
                <w:vertAlign w:val="subscript"/>
              </w:rPr>
              <w:t xml:space="preserve"> </w:t>
            </w:r>
            <w:r>
              <w:t>——</w:t>
            </w:r>
            <w:r>
              <w:rPr>
                <w:rFonts w:hint="eastAsia"/>
              </w:rPr>
              <w:t>地面效应引起的衰减，</w:t>
            </w:r>
            <w:r>
              <w:t>dB</w:t>
            </w:r>
            <w:r>
              <w:rPr>
                <w:rFonts w:hint="eastAsia"/>
              </w:rPr>
              <w:t xml:space="preserve">； </w:t>
            </w:r>
          </w:p>
          <w:p w14:paraId="0CD3A0F1">
            <w:pPr>
              <w:pStyle w:val="62"/>
              <w:ind w:firstLine="480"/>
            </w:pPr>
            <w:r>
              <w:rPr>
                <w:i/>
                <w:iCs/>
              </w:rPr>
              <w:t>A</w:t>
            </w:r>
            <w:r>
              <w:rPr>
                <w:i/>
                <w:iCs/>
                <w:vertAlign w:val="subscript"/>
              </w:rPr>
              <w:t>bar</w:t>
            </w:r>
            <w:r>
              <w:t xml:space="preserve"> ——</w:t>
            </w:r>
            <w:r>
              <w:rPr>
                <w:rFonts w:hint="eastAsia"/>
              </w:rPr>
              <w:t>障碍物屏蔽引起的衰减，</w:t>
            </w:r>
            <w:r>
              <w:t>dB</w:t>
            </w:r>
            <w:r>
              <w:rPr>
                <w:rFonts w:hint="eastAsia"/>
              </w:rPr>
              <w:t xml:space="preserve">； </w:t>
            </w:r>
          </w:p>
          <w:p w14:paraId="2DD1FDEA">
            <w:pPr>
              <w:pStyle w:val="62"/>
              <w:ind w:firstLine="480"/>
            </w:pPr>
            <w:r>
              <w:rPr>
                <w:i/>
                <w:iCs/>
              </w:rPr>
              <w:t>A</w:t>
            </w:r>
            <w:r>
              <w:rPr>
                <w:i/>
                <w:iCs/>
                <w:vertAlign w:val="subscript"/>
              </w:rPr>
              <w:t>misc</w:t>
            </w:r>
            <w:r>
              <w:rPr>
                <w:i/>
                <w:iCs/>
              </w:rPr>
              <w:t xml:space="preserve"> </w:t>
            </w:r>
            <w:r>
              <w:t>——</w:t>
            </w:r>
            <w:r>
              <w:rPr>
                <w:rFonts w:hint="eastAsia"/>
              </w:rPr>
              <w:t>其他多方面效应引起的衰减，</w:t>
            </w:r>
            <w:r>
              <w:t>dB</w:t>
            </w:r>
            <w:r>
              <w:rPr>
                <w:rFonts w:hint="eastAsia"/>
              </w:rPr>
              <w:t>。</w:t>
            </w:r>
          </w:p>
          <w:p w14:paraId="6C06D4F8">
            <w:pPr>
              <w:pStyle w:val="62"/>
              <w:ind w:firstLine="480"/>
            </w:pPr>
            <w:r>
              <w:drawing>
                <wp:inline distT="0" distB="0" distL="0" distR="0">
                  <wp:extent cx="3599815" cy="201295"/>
                  <wp:effectExtent l="0" t="0" r="635" b="8255"/>
                  <wp:docPr id="169610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1060" name="图片 1"/>
                          <pic:cNvPicPr>
                            <a:picLocks noChangeAspect="1"/>
                          </pic:cNvPicPr>
                        </pic:nvPicPr>
                        <pic:blipFill>
                          <a:blip r:embed="rId21"/>
                          <a:stretch>
                            <a:fillRect/>
                          </a:stretch>
                        </pic:blipFill>
                        <pic:spPr>
                          <a:xfrm>
                            <a:off x="0" y="0"/>
                            <a:ext cx="3600000" cy="201541"/>
                          </a:xfrm>
                          <a:prstGeom prst="rect">
                            <a:avLst/>
                          </a:prstGeom>
                        </pic:spPr>
                      </pic:pic>
                    </a:graphicData>
                  </a:graphic>
                </wp:inline>
              </w:drawing>
            </w:r>
            <w:r>
              <w:rPr>
                <w:rFonts w:hint="eastAsia"/>
              </w:rPr>
              <w:t xml:space="preserve">    （A.2）</w:t>
            </w:r>
          </w:p>
          <w:p w14:paraId="5D251B90">
            <w:pPr>
              <w:pStyle w:val="62"/>
              <w:ind w:firstLine="480"/>
            </w:pPr>
            <w:r>
              <w:rPr>
                <w:rFonts w:hint="eastAsia"/>
              </w:rPr>
              <w:t>式中：</w:t>
            </w:r>
            <w:r>
              <w:rPr>
                <w:i/>
                <w:iCs/>
              </w:rPr>
              <w:t>L</w:t>
            </w:r>
            <w:r>
              <w:rPr>
                <w:i/>
                <w:iCs/>
                <w:vertAlign w:val="subscript"/>
              </w:rPr>
              <w:t>p</w:t>
            </w:r>
            <w:r>
              <w:rPr>
                <w:i/>
                <w:iCs/>
              </w:rPr>
              <w:t xml:space="preserve">(r) </w:t>
            </w:r>
            <w:r>
              <w:t>——</w:t>
            </w:r>
            <w:r>
              <w:rPr>
                <w:rFonts w:hint="eastAsia"/>
              </w:rPr>
              <w:t>预测点处声压级，</w:t>
            </w:r>
            <w:r>
              <w:t>dB</w:t>
            </w:r>
            <w:r>
              <w:rPr>
                <w:rFonts w:hint="eastAsia"/>
              </w:rPr>
              <w:t xml:space="preserve">； </w:t>
            </w:r>
          </w:p>
          <w:p w14:paraId="739F4BAF">
            <w:pPr>
              <w:pStyle w:val="62"/>
              <w:ind w:firstLine="480"/>
            </w:pPr>
            <w:r>
              <w:rPr>
                <w:i/>
                <w:iCs/>
              </w:rPr>
              <w:t>L</w:t>
            </w:r>
            <w:r>
              <w:rPr>
                <w:i/>
                <w:iCs/>
                <w:vertAlign w:val="subscript"/>
              </w:rPr>
              <w:t>p</w:t>
            </w:r>
            <w:r>
              <w:rPr>
                <w:i/>
                <w:iCs/>
              </w:rPr>
              <w:t>(r0)</w:t>
            </w:r>
            <w:r>
              <w:t xml:space="preserve"> ——</w:t>
            </w:r>
            <w:r>
              <w:rPr>
                <w:rFonts w:hint="eastAsia"/>
              </w:rPr>
              <w:t>参考位置</w:t>
            </w:r>
            <w:r>
              <w:t>r0</w:t>
            </w:r>
            <w:r>
              <w:rPr>
                <w:rFonts w:hint="eastAsia"/>
              </w:rPr>
              <w:t>处的声压级，</w:t>
            </w:r>
            <w:r>
              <w:t>dB</w:t>
            </w:r>
            <w:r>
              <w:rPr>
                <w:rFonts w:hint="eastAsia"/>
              </w:rPr>
              <w:t xml:space="preserve">； </w:t>
            </w:r>
          </w:p>
          <w:p w14:paraId="22769A49">
            <w:pPr>
              <w:pStyle w:val="62"/>
              <w:ind w:firstLine="480"/>
            </w:pPr>
            <w:r>
              <w:rPr>
                <w:i/>
                <w:iCs/>
              </w:rPr>
              <w:t>D</w:t>
            </w:r>
            <w:r>
              <w:rPr>
                <w:i/>
                <w:iCs/>
                <w:vertAlign w:val="subscript"/>
              </w:rPr>
              <w:t>C</w:t>
            </w:r>
            <w:r>
              <w:rPr>
                <w:i/>
                <w:iCs/>
              </w:rPr>
              <w:t xml:space="preserve"> </w:t>
            </w:r>
            <w:r>
              <w:t>——</w:t>
            </w:r>
            <w:r>
              <w:rPr>
                <w:rFonts w:hint="eastAsia"/>
              </w:rPr>
              <w:t>指向性校正，它描述点声源的等效连续声压级与产生声功率级</w:t>
            </w:r>
            <w:r>
              <w:t>Lw</w:t>
            </w:r>
            <w:r>
              <w:rPr>
                <w:rFonts w:hint="eastAsia"/>
              </w:rPr>
              <w:t>的全向点声源在规定方向的声级的偏差程度，</w:t>
            </w:r>
            <w:r>
              <w:t>dB</w:t>
            </w:r>
            <w:r>
              <w:rPr>
                <w:rFonts w:hint="eastAsia"/>
              </w:rPr>
              <w:t xml:space="preserve">； </w:t>
            </w:r>
          </w:p>
          <w:p w14:paraId="3B09ACB3">
            <w:pPr>
              <w:pStyle w:val="62"/>
              <w:ind w:firstLine="480"/>
            </w:pPr>
            <w:r>
              <w:rPr>
                <w:i/>
                <w:iCs/>
              </w:rPr>
              <w:t>A</w:t>
            </w:r>
            <w:r>
              <w:rPr>
                <w:i/>
                <w:iCs/>
                <w:vertAlign w:val="subscript"/>
              </w:rPr>
              <w:t>div</w:t>
            </w:r>
            <w:r>
              <w:t xml:space="preserve"> ——</w:t>
            </w:r>
            <w:r>
              <w:rPr>
                <w:rFonts w:hint="eastAsia"/>
              </w:rPr>
              <w:t>几何发散引起的衰减，</w:t>
            </w:r>
            <w:r>
              <w:t>dB</w:t>
            </w:r>
            <w:r>
              <w:rPr>
                <w:rFonts w:hint="eastAsia"/>
              </w:rPr>
              <w:t xml:space="preserve">； </w:t>
            </w:r>
          </w:p>
          <w:p w14:paraId="7D33221F">
            <w:pPr>
              <w:pStyle w:val="62"/>
              <w:ind w:firstLine="480"/>
            </w:pPr>
            <w:r>
              <w:rPr>
                <w:i/>
                <w:iCs/>
              </w:rPr>
              <w:t>A</w:t>
            </w:r>
            <w:r>
              <w:rPr>
                <w:i/>
                <w:iCs/>
                <w:vertAlign w:val="subscript"/>
              </w:rPr>
              <w:t xml:space="preserve">atm </w:t>
            </w:r>
            <w:r>
              <w:t>——</w:t>
            </w:r>
            <w:r>
              <w:rPr>
                <w:rFonts w:hint="eastAsia"/>
              </w:rPr>
              <w:t>大气吸收引起的衰减，</w:t>
            </w:r>
            <w:r>
              <w:t>dB</w:t>
            </w:r>
            <w:r>
              <w:rPr>
                <w:rFonts w:hint="eastAsia"/>
              </w:rPr>
              <w:t xml:space="preserve">； </w:t>
            </w:r>
          </w:p>
          <w:p w14:paraId="2DB0E9F6">
            <w:pPr>
              <w:pStyle w:val="62"/>
              <w:ind w:firstLine="480"/>
            </w:pPr>
            <w:r>
              <w:rPr>
                <w:i/>
                <w:iCs/>
              </w:rPr>
              <w:t>A</w:t>
            </w:r>
            <w:r>
              <w:rPr>
                <w:i/>
                <w:iCs/>
                <w:vertAlign w:val="subscript"/>
              </w:rPr>
              <w:t>gr</w:t>
            </w:r>
            <w:r>
              <w:rPr>
                <w:vertAlign w:val="subscript"/>
              </w:rPr>
              <w:t xml:space="preserve"> </w:t>
            </w:r>
            <w:r>
              <w:t>——</w:t>
            </w:r>
            <w:r>
              <w:rPr>
                <w:rFonts w:hint="eastAsia"/>
              </w:rPr>
              <w:t>地面效应引起的衰减，</w:t>
            </w:r>
            <w:r>
              <w:t>dB</w:t>
            </w:r>
            <w:r>
              <w:rPr>
                <w:rFonts w:hint="eastAsia"/>
              </w:rPr>
              <w:t xml:space="preserve">； </w:t>
            </w:r>
          </w:p>
          <w:p w14:paraId="770C4F04">
            <w:pPr>
              <w:pStyle w:val="62"/>
              <w:ind w:firstLine="480"/>
            </w:pPr>
            <w:r>
              <w:rPr>
                <w:i/>
                <w:iCs/>
              </w:rPr>
              <w:t>A</w:t>
            </w:r>
            <w:r>
              <w:rPr>
                <w:i/>
                <w:iCs/>
                <w:vertAlign w:val="subscript"/>
              </w:rPr>
              <w:t>bar</w:t>
            </w:r>
            <w:r>
              <w:rPr>
                <w:i/>
                <w:iCs/>
              </w:rPr>
              <w:t xml:space="preserve"> </w:t>
            </w:r>
            <w:r>
              <w:t>——</w:t>
            </w:r>
            <w:r>
              <w:rPr>
                <w:rFonts w:hint="eastAsia"/>
              </w:rPr>
              <w:t>障碍物屏蔽引起的衰减，</w:t>
            </w:r>
            <w:r>
              <w:t>dB</w:t>
            </w:r>
            <w:r>
              <w:rPr>
                <w:rFonts w:hint="eastAsia"/>
              </w:rPr>
              <w:t xml:space="preserve">； </w:t>
            </w:r>
          </w:p>
          <w:p w14:paraId="2E4045B0">
            <w:pPr>
              <w:pStyle w:val="62"/>
              <w:ind w:firstLine="480"/>
            </w:pPr>
            <w:r>
              <w:rPr>
                <w:i/>
                <w:iCs/>
              </w:rPr>
              <w:t>A</w:t>
            </w:r>
            <w:r>
              <w:rPr>
                <w:i/>
                <w:iCs/>
                <w:vertAlign w:val="subscript"/>
              </w:rPr>
              <w:t>misc</w:t>
            </w:r>
            <w:r>
              <w:rPr>
                <w:i/>
                <w:iCs/>
              </w:rPr>
              <w:t xml:space="preserve"> </w:t>
            </w:r>
            <w:r>
              <w:t>——</w:t>
            </w:r>
            <w:r>
              <w:rPr>
                <w:rFonts w:hint="eastAsia"/>
              </w:rPr>
              <w:t>其他多方面效应引起的衰减，</w:t>
            </w:r>
            <w:r>
              <w:t>dB</w:t>
            </w:r>
            <w:r>
              <w:rPr>
                <w:rFonts w:hint="eastAsia"/>
              </w:rPr>
              <w:t>。</w:t>
            </w:r>
          </w:p>
          <w:p w14:paraId="72BE46E1">
            <w:pPr>
              <w:pStyle w:val="62"/>
              <w:ind w:firstLine="480"/>
              <w:rPr>
                <w:sz w:val="21"/>
              </w:rPr>
            </w:pPr>
            <w:r>
              <w:rPr>
                <w:rFonts w:cs="Times New Roman"/>
              </w:rPr>
              <w:t>b</w:t>
            </w:r>
            <w:r>
              <w:rPr>
                <w:rFonts w:hint="eastAsia"/>
              </w:rPr>
              <w:t>）预测点的</w:t>
            </w:r>
            <w:r>
              <w:rPr>
                <w:rFonts w:cs="Times New Roman"/>
              </w:rPr>
              <w:t>A</w:t>
            </w:r>
            <w:r>
              <w:rPr>
                <w:rFonts w:hint="eastAsia"/>
              </w:rPr>
              <w:t>声级</w:t>
            </w:r>
            <w:r>
              <w:rPr>
                <w:rFonts w:cs="Times New Roman"/>
                <w:i/>
                <w:iCs/>
              </w:rPr>
              <w:t>L</w:t>
            </w:r>
            <w:r>
              <w:rPr>
                <w:rFonts w:cs="Times New Roman"/>
                <w:sz w:val="14"/>
                <w:szCs w:val="14"/>
              </w:rPr>
              <w:t>A</w:t>
            </w:r>
            <w:r>
              <w:rPr>
                <w:rFonts w:cs="Times New Roman"/>
              </w:rPr>
              <w:t>(</w:t>
            </w:r>
            <w:r>
              <w:rPr>
                <w:rFonts w:cs="Times New Roman"/>
                <w:i/>
                <w:iCs/>
              </w:rPr>
              <w:t>r</w:t>
            </w:r>
            <w:r>
              <w:rPr>
                <w:rFonts w:cs="Times New Roman"/>
              </w:rPr>
              <w:t>)</w:t>
            </w:r>
            <w:r>
              <w:rPr>
                <w:rFonts w:hint="eastAsia"/>
              </w:rPr>
              <w:t>可按式（</w:t>
            </w:r>
            <w:r>
              <w:rPr>
                <w:rFonts w:cs="Times New Roman"/>
              </w:rPr>
              <w:t>A.3</w:t>
            </w:r>
            <w:r>
              <w:rPr>
                <w:rFonts w:hint="eastAsia"/>
              </w:rPr>
              <w:t xml:space="preserve">）计算，即将 </w:t>
            </w:r>
            <w:r>
              <w:rPr>
                <w:rFonts w:cs="Times New Roman"/>
              </w:rPr>
              <w:t xml:space="preserve">8 </w:t>
            </w:r>
            <w:r>
              <w:rPr>
                <w:rFonts w:hint="eastAsia"/>
              </w:rPr>
              <w:t>个倍频带声压级合成，计算出预测点的</w:t>
            </w:r>
            <w:r>
              <w:rPr>
                <w:rFonts w:cs="Times New Roman"/>
              </w:rPr>
              <w:t>A</w:t>
            </w:r>
            <w:r>
              <w:rPr>
                <w:rFonts w:hint="eastAsia"/>
                <w:sz w:val="21"/>
              </w:rPr>
              <w:t>声级</w:t>
            </w:r>
            <w:r>
              <w:rPr>
                <w:rFonts w:cs="Times New Roman"/>
                <w:sz w:val="21"/>
              </w:rPr>
              <w:t>[</w:t>
            </w:r>
            <w:r>
              <w:rPr>
                <w:rFonts w:cs="Times New Roman"/>
                <w:i/>
                <w:iCs/>
                <w:sz w:val="21"/>
              </w:rPr>
              <w:t>L</w:t>
            </w:r>
            <w:r>
              <w:rPr>
                <w:rFonts w:cs="Times New Roman"/>
                <w:sz w:val="14"/>
                <w:szCs w:val="14"/>
              </w:rPr>
              <w:t>A</w:t>
            </w:r>
            <w:r>
              <w:rPr>
                <w:rFonts w:cs="Times New Roman"/>
                <w:sz w:val="21"/>
              </w:rPr>
              <w:t>(</w:t>
            </w:r>
            <w:r>
              <w:rPr>
                <w:rFonts w:cs="Times New Roman"/>
                <w:i/>
                <w:iCs/>
                <w:sz w:val="21"/>
              </w:rPr>
              <w:t>r</w:t>
            </w:r>
            <w:r>
              <w:rPr>
                <w:rFonts w:cs="Times New Roman"/>
                <w:sz w:val="21"/>
              </w:rPr>
              <w:t>)]</w:t>
            </w:r>
            <w:r>
              <w:rPr>
                <w:rFonts w:hint="eastAsia"/>
                <w:sz w:val="21"/>
              </w:rPr>
              <w:t>。</w:t>
            </w:r>
          </w:p>
          <w:p w14:paraId="08B20CB2">
            <w:pPr>
              <w:pStyle w:val="62"/>
              <w:ind w:firstLine="480"/>
            </w:pPr>
            <w:r>
              <w:drawing>
                <wp:inline distT="0" distB="0" distL="0" distR="0">
                  <wp:extent cx="2546985" cy="575945"/>
                  <wp:effectExtent l="0" t="0" r="5715" b="14605"/>
                  <wp:docPr id="16320078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007889" name="图片 1"/>
                          <pic:cNvPicPr>
                            <a:picLocks noChangeAspect="1"/>
                          </pic:cNvPicPr>
                        </pic:nvPicPr>
                        <pic:blipFill>
                          <a:blip r:embed="rId22"/>
                          <a:stretch>
                            <a:fillRect/>
                          </a:stretch>
                        </pic:blipFill>
                        <pic:spPr>
                          <a:xfrm>
                            <a:off x="0" y="0"/>
                            <a:ext cx="2547525" cy="576000"/>
                          </a:xfrm>
                          <a:prstGeom prst="rect">
                            <a:avLst/>
                          </a:prstGeom>
                        </pic:spPr>
                      </pic:pic>
                    </a:graphicData>
                  </a:graphic>
                </wp:inline>
              </w:drawing>
            </w:r>
            <w:r>
              <w:rPr>
                <w:rFonts w:hint="eastAsia"/>
              </w:rPr>
              <w:t xml:space="preserve">    （A.3）</w:t>
            </w:r>
          </w:p>
          <w:p w14:paraId="319DABF5">
            <w:pPr>
              <w:pStyle w:val="62"/>
              <w:ind w:firstLine="480"/>
            </w:pPr>
            <w:r>
              <w:rPr>
                <w:rFonts w:hint="eastAsia"/>
              </w:rPr>
              <w:t>式中：</w:t>
            </w:r>
            <w:r>
              <w:rPr>
                <w:i/>
                <w:iCs/>
              </w:rPr>
              <w:t>L</w:t>
            </w:r>
            <w:r>
              <w:rPr>
                <w:i/>
                <w:iCs/>
                <w:vertAlign w:val="subscript"/>
              </w:rPr>
              <w:t>A</w:t>
            </w:r>
            <w:r>
              <w:rPr>
                <w:i/>
                <w:iCs/>
              </w:rPr>
              <w:t xml:space="preserve">(r) </w:t>
            </w:r>
            <w:r>
              <w:t>——</w:t>
            </w:r>
            <w:r>
              <w:rPr>
                <w:rFonts w:hint="eastAsia"/>
              </w:rPr>
              <w:t xml:space="preserve">距声源 </w:t>
            </w:r>
            <w:r>
              <w:t xml:space="preserve">r </w:t>
            </w:r>
            <w:r>
              <w:rPr>
                <w:rFonts w:hint="eastAsia"/>
              </w:rPr>
              <w:t xml:space="preserve">处的 </w:t>
            </w:r>
            <w:r>
              <w:t xml:space="preserve">A </w:t>
            </w:r>
            <w:r>
              <w:rPr>
                <w:rFonts w:hint="eastAsia"/>
              </w:rPr>
              <w:t>声级，</w:t>
            </w:r>
            <w:r>
              <w:t>dB(A)</w:t>
            </w:r>
            <w:r>
              <w:rPr>
                <w:rFonts w:hint="eastAsia"/>
              </w:rPr>
              <w:t xml:space="preserve">； </w:t>
            </w:r>
          </w:p>
          <w:p w14:paraId="08DA9EB0">
            <w:pPr>
              <w:pStyle w:val="62"/>
              <w:ind w:firstLine="480"/>
            </w:pPr>
            <w:r>
              <w:rPr>
                <w:i/>
                <w:iCs/>
              </w:rPr>
              <w:t>L</w:t>
            </w:r>
            <w:r>
              <w:rPr>
                <w:i/>
                <w:iCs/>
                <w:vertAlign w:val="subscript"/>
              </w:rPr>
              <w:t>pi</w:t>
            </w:r>
            <w:r>
              <w:rPr>
                <w:i/>
                <w:iCs/>
              </w:rPr>
              <w:t xml:space="preserve">(r) </w:t>
            </w:r>
            <w:r>
              <w:t>——</w:t>
            </w:r>
            <w:r>
              <w:rPr>
                <w:rFonts w:hint="eastAsia"/>
              </w:rPr>
              <w:t>预测点（</w:t>
            </w:r>
            <w:r>
              <w:t>r</w:t>
            </w:r>
            <w:r>
              <w:rPr>
                <w:rFonts w:hint="eastAsia"/>
              </w:rPr>
              <w:t xml:space="preserve">）处，第 </w:t>
            </w:r>
            <w:r>
              <w:t xml:space="preserve">i </w:t>
            </w:r>
            <w:r>
              <w:rPr>
                <w:rFonts w:hint="eastAsia"/>
              </w:rPr>
              <w:t>倍频带声压级，</w:t>
            </w:r>
            <w:r>
              <w:t>dB</w:t>
            </w:r>
            <w:r>
              <w:rPr>
                <w:rFonts w:hint="eastAsia"/>
              </w:rPr>
              <w:t xml:space="preserve">； </w:t>
            </w:r>
          </w:p>
          <w:p w14:paraId="460680C2">
            <w:pPr>
              <w:pStyle w:val="62"/>
              <w:ind w:firstLine="480"/>
            </w:pPr>
            <w:r>
              <w:rPr>
                <w:i/>
                <w:iCs/>
              </w:rPr>
              <w:t>ΔL</w:t>
            </w:r>
            <w:r>
              <w:rPr>
                <w:i/>
                <w:iCs/>
                <w:vertAlign w:val="subscript"/>
              </w:rPr>
              <w:t>i</w:t>
            </w:r>
            <w:r>
              <w:rPr>
                <w:i/>
                <w:iCs/>
              </w:rPr>
              <w:t xml:space="preserve"> </w:t>
            </w:r>
            <w:r>
              <w:t>——</w:t>
            </w:r>
            <w:r>
              <w:rPr>
                <w:rFonts w:hint="eastAsia"/>
              </w:rPr>
              <w:t xml:space="preserve">第 </w:t>
            </w:r>
            <w:r>
              <w:t xml:space="preserve">i </w:t>
            </w:r>
            <w:r>
              <w:rPr>
                <w:rFonts w:hint="eastAsia"/>
              </w:rPr>
              <w:t xml:space="preserve">倍频带的 </w:t>
            </w:r>
            <w:r>
              <w:t xml:space="preserve">A </w:t>
            </w:r>
            <w:r>
              <w:rPr>
                <w:rFonts w:hint="eastAsia"/>
              </w:rPr>
              <w:t>计权网络修正值，</w:t>
            </w:r>
            <w:r>
              <w:t>dB</w:t>
            </w:r>
            <w:r>
              <w:rPr>
                <w:rFonts w:hint="eastAsia"/>
              </w:rPr>
              <w:t xml:space="preserve">。 </w:t>
            </w:r>
          </w:p>
          <w:p w14:paraId="02865C83">
            <w:pPr>
              <w:pStyle w:val="62"/>
              <w:ind w:firstLine="480"/>
            </w:pPr>
            <w:r>
              <w:t>c</w:t>
            </w:r>
            <w:r>
              <w:rPr>
                <w:rFonts w:hint="eastAsia"/>
              </w:rPr>
              <w:t>）在只考虑几何发散衰减时，可按式（</w:t>
            </w:r>
            <w:r>
              <w:t>A.4</w:t>
            </w:r>
            <w:r>
              <w:rPr>
                <w:rFonts w:hint="eastAsia"/>
              </w:rPr>
              <w:t>）计算。</w:t>
            </w:r>
          </w:p>
          <w:p w14:paraId="7797AC62">
            <w:pPr>
              <w:pStyle w:val="62"/>
              <w:ind w:firstLine="480"/>
            </w:pPr>
            <w:r>
              <w:drawing>
                <wp:inline distT="0" distB="0" distL="0" distR="0">
                  <wp:extent cx="1560830" cy="287655"/>
                  <wp:effectExtent l="0" t="0" r="1270" b="17145"/>
                  <wp:docPr id="19538367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836771" name="图片 1"/>
                          <pic:cNvPicPr>
                            <a:picLocks noChangeAspect="1"/>
                          </pic:cNvPicPr>
                        </pic:nvPicPr>
                        <pic:blipFill>
                          <a:blip r:embed="rId23"/>
                          <a:stretch>
                            <a:fillRect/>
                          </a:stretch>
                        </pic:blipFill>
                        <pic:spPr>
                          <a:xfrm>
                            <a:off x="0" y="0"/>
                            <a:ext cx="1561444" cy="288000"/>
                          </a:xfrm>
                          <a:prstGeom prst="rect">
                            <a:avLst/>
                          </a:prstGeom>
                        </pic:spPr>
                      </pic:pic>
                    </a:graphicData>
                  </a:graphic>
                </wp:inline>
              </w:drawing>
            </w:r>
            <w:r>
              <w:rPr>
                <w:rFonts w:hint="eastAsia"/>
              </w:rPr>
              <w:t xml:space="preserve">    （A.4）</w:t>
            </w:r>
          </w:p>
          <w:p w14:paraId="10BD1E8C">
            <w:pPr>
              <w:pStyle w:val="62"/>
              <w:ind w:firstLine="480"/>
            </w:pPr>
            <w:r>
              <w:rPr>
                <w:rFonts w:hint="eastAsia"/>
              </w:rPr>
              <w:t>式中：</w:t>
            </w:r>
            <w:r>
              <w:rPr>
                <w:i/>
                <w:iCs/>
              </w:rPr>
              <w:t>L</w:t>
            </w:r>
            <w:r>
              <w:rPr>
                <w:i/>
                <w:iCs/>
                <w:vertAlign w:val="subscript"/>
              </w:rPr>
              <w:t>A</w:t>
            </w:r>
            <w:r>
              <w:rPr>
                <w:i/>
                <w:iCs/>
              </w:rPr>
              <w:t>(r)</w:t>
            </w:r>
            <w:r>
              <w:t xml:space="preserve"> ——</w:t>
            </w:r>
            <w:r>
              <w:rPr>
                <w:rFonts w:hint="eastAsia"/>
              </w:rPr>
              <w:t xml:space="preserve">距声源 </w:t>
            </w:r>
            <w:r>
              <w:t xml:space="preserve">r </w:t>
            </w:r>
            <w:r>
              <w:rPr>
                <w:rFonts w:hint="eastAsia"/>
              </w:rPr>
              <w:t xml:space="preserve">处的 </w:t>
            </w:r>
            <w:r>
              <w:t xml:space="preserve">A </w:t>
            </w:r>
            <w:r>
              <w:rPr>
                <w:rFonts w:hint="eastAsia"/>
              </w:rPr>
              <w:t>声级，</w:t>
            </w:r>
            <w:r>
              <w:t>dB(A)</w:t>
            </w:r>
            <w:r>
              <w:rPr>
                <w:rFonts w:hint="eastAsia"/>
              </w:rPr>
              <w:t xml:space="preserve">； </w:t>
            </w:r>
          </w:p>
          <w:p w14:paraId="42499D7A">
            <w:pPr>
              <w:pStyle w:val="62"/>
              <w:ind w:firstLine="480"/>
            </w:pPr>
            <w:r>
              <w:rPr>
                <w:i/>
                <w:iCs/>
              </w:rPr>
              <w:t>L</w:t>
            </w:r>
            <w:r>
              <w:rPr>
                <w:i/>
                <w:iCs/>
                <w:vertAlign w:val="subscript"/>
              </w:rPr>
              <w:t>A</w:t>
            </w:r>
            <w:r>
              <w:rPr>
                <w:i/>
                <w:iCs/>
              </w:rPr>
              <w:t xml:space="preserve">(r0) </w:t>
            </w:r>
            <w:r>
              <w:t>——</w:t>
            </w:r>
            <w:r>
              <w:rPr>
                <w:rFonts w:hint="eastAsia"/>
              </w:rPr>
              <w:t xml:space="preserve">参考位置 </w:t>
            </w:r>
            <w:r>
              <w:t>r0</w:t>
            </w:r>
            <w:r>
              <w:rPr>
                <w:rFonts w:hint="eastAsia"/>
              </w:rPr>
              <w:t xml:space="preserve">处的 </w:t>
            </w:r>
            <w:r>
              <w:t xml:space="preserve">A </w:t>
            </w:r>
            <w:r>
              <w:rPr>
                <w:rFonts w:hint="eastAsia"/>
              </w:rPr>
              <w:t>声级，</w:t>
            </w:r>
            <w:r>
              <w:t>dB(A)</w:t>
            </w:r>
            <w:r>
              <w:rPr>
                <w:rFonts w:hint="eastAsia"/>
              </w:rPr>
              <w:t xml:space="preserve">； </w:t>
            </w:r>
          </w:p>
          <w:p w14:paraId="1D2B2924">
            <w:pPr>
              <w:pStyle w:val="62"/>
              <w:ind w:firstLine="480"/>
            </w:pPr>
            <w:r>
              <w:rPr>
                <w:i/>
                <w:iCs/>
              </w:rPr>
              <w:t>A</w:t>
            </w:r>
            <w:r>
              <w:rPr>
                <w:i/>
                <w:iCs/>
                <w:vertAlign w:val="subscript"/>
              </w:rPr>
              <w:t>div</w:t>
            </w:r>
            <w:r>
              <w:rPr>
                <w:i/>
                <w:iCs/>
              </w:rPr>
              <w:t xml:space="preserve"> </w:t>
            </w:r>
            <w:r>
              <w:t>——</w:t>
            </w:r>
            <w:r>
              <w:rPr>
                <w:rFonts w:hint="eastAsia"/>
              </w:rPr>
              <w:t>几何发散引起的衰减，</w:t>
            </w:r>
            <w:r>
              <w:t>dB</w:t>
            </w:r>
            <w:r>
              <w:rPr>
                <w:rFonts w:hint="eastAsia"/>
              </w:rPr>
              <w:t>。</w:t>
            </w:r>
          </w:p>
          <w:p w14:paraId="1BD5F910">
            <w:pPr>
              <w:pStyle w:val="62"/>
              <w:ind w:firstLine="480"/>
            </w:pPr>
            <w:r>
              <w:rPr>
                <w:rFonts w:hint="eastAsia"/>
                <w:lang w:val="en-US" w:eastAsia="zh-CN"/>
              </w:rPr>
              <w:t>2）</w:t>
            </w:r>
            <w:r>
              <w:rPr>
                <w:rFonts w:hint="eastAsia"/>
              </w:rPr>
              <w:t>室内声源等效室外声源声功率级计算防范</w:t>
            </w:r>
          </w:p>
          <w:p w14:paraId="2C5D90B6">
            <w:pPr>
              <w:pStyle w:val="62"/>
              <w:ind w:firstLine="480"/>
            </w:pPr>
            <w:r>
              <w:t>a.首先计算出某个室内靠近围护结构处的倍频带声压级：</w:t>
            </w:r>
          </w:p>
          <w:p w14:paraId="1C856DB6">
            <w:pPr>
              <w:pStyle w:val="48"/>
            </w:pPr>
            <w:r>
              <w:drawing>
                <wp:inline distT="0" distB="0" distL="0" distR="0">
                  <wp:extent cx="1971675" cy="495300"/>
                  <wp:effectExtent l="0" t="0" r="9525" b="0"/>
                  <wp:docPr id="4255157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515730" name="图片 1"/>
                          <pic:cNvPicPr>
                            <a:picLocks noChangeAspect="1"/>
                          </pic:cNvPicPr>
                        </pic:nvPicPr>
                        <pic:blipFill>
                          <a:blip r:embed="rId24"/>
                          <a:stretch>
                            <a:fillRect/>
                          </a:stretch>
                        </pic:blipFill>
                        <pic:spPr>
                          <a:xfrm>
                            <a:off x="0" y="0"/>
                            <a:ext cx="1991400" cy="500607"/>
                          </a:xfrm>
                          <a:prstGeom prst="rect">
                            <a:avLst/>
                          </a:prstGeom>
                        </pic:spPr>
                      </pic:pic>
                    </a:graphicData>
                  </a:graphic>
                </wp:inline>
              </w:drawing>
            </w:r>
          </w:p>
          <w:p w14:paraId="45CE9F8E">
            <w:pPr>
              <w:pStyle w:val="62"/>
              <w:ind w:firstLine="480"/>
            </w:pPr>
            <w:r>
              <w:rPr>
                <w:rFonts w:hint="eastAsia"/>
              </w:rPr>
              <w:t>式中：</w:t>
            </w:r>
            <w:r>
              <w:t>Loct，1——某个室内声源在靠近围护结构处产生的倍频带声压级；</w:t>
            </w:r>
          </w:p>
          <w:p w14:paraId="22CBEC85">
            <w:pPr>
              <w:pStyle w:val="62"/>
              <w:ind w:firstLine="480"/>
            </w:pPr>
            <w:r>
              <w:t>Lwoct——某个声源的倍频带声功率级；</w:t>
            </w:r>
          </w:p>
          <w:p w14:paraId="043D6D4E">
            <w:pPr>
              <w:pStyle w:val="62"/>
              <w:ind w:firstLine="480"/>
            </w:pPr>
            <w:r>
              <w:t>r1——室内某个声源与靠近围护结构处的距离；</w:t>
            </w:r>
          </w:p>
          <w:p w14:paraId="43970BA6">
            <w:pPr>
              <w:pStyle w:val="62"/>
              <w:ind w:firstLine="480"/>
            </w:pPr>
            <w:r>
              <w:t>R——房间常数；</w:t>
            </w:r>
          </w:p>
          <w:p w14:paraId="14A6AFA1">
            <w:pPr>
              <w:pStyle w:val="62"/>
              <w:ind w:firstLine="480"/>
            </w:pPr>
            <w:r>
              <w:t>Q——方向因子。</w:t>
            </w:r>
          </w:p>
          <w:p w14:paraId="59AC8289">
            <w:pPr>
              <w:pStyle w:val="48"/>
            </w:pPr>
            <w:r>
              <w:drawing>
                <wp:inline distT="0" distB="0" distL="0" distR="0">
                  <wp:extent cx="2238375" cy="1122680"/>
                  <wp:effectExtent l="0" t="0" r="9525" b="1270"/>
                  <wp:docPr id="15570522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52217" name="图片 1"/>
                          <pic:cNvPicPr>
                            <a:picLocks noChangeAspect="1"/>
                          </pic:cNvPicPr>
                        </pic:nvPicPr>
                        <pic:blipFill>
                          <a:blip r:embed="rId25"/>
                          <a:stretch>
                            <a:fillRect/>
                          </a:stretch>
                        </pic:blipFill>
                        <pic:spPr>
                          <a:xfrm>
                            <a:off x="0" y="0"/>
                            <a:ext cx="2248364" cy="1127971"/>
                          </a:xfrm>
                          <a:prstGeom prst="rect">
                            <a:avLst/>
                          </a:prstGeom>
                        </pic:spPr>
                      </pic:pic>
                    </a:graphicData>
                  </a:graphic>
                </wp:inline>
              </w:drawing>
            </w:r>
          </w:p>
          <w:p w14:paraId="4A18B3CF">
            <w:pPr>
              <w:pStyle w:val="62"/>
              <w:ind w:firstLine="480"/>
            </w:pPr>
            <w:r>
              <w:t>b.再计算出所有室内声源在靠近围护结构处产生的总倍频带声压级：</w:t>
            </w:r>
          </w:p>
          <w:p w14:paraId="30B6F793">
            <w:pPr>
              <w:pStyle w:val="48"/>
            </w:pPr>
            <w:r>
              <w:drawing>
                <wp:inline distT="0" distB="0" distL="0" distR="0">
                  <wp:extent cx="2371725" cy="610235"/>
                  <wp:effectExtent l="0" t="0" r="9525" b="18415"/>
                  <wp:docPr id="7076023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02360" name="图片 1"/>
                          <pic:cNvPicPr>
                            <a:picLocks noChangeAspect="1"/>
                          </pic:cNvPicPr>
                        </pic:nvPicPr>
                        <pic:blipFill>
                          <a:blip r:embed="rId26"/>
                          <a:stretch>
                            <a:fillRect/>
                          </a:stretch>
                        </pic:blipFill>
                        <pic:spPr>
                          <a:xfrm>
                            <a:off x="0" y="0"/>
                            <a:ext cx="2396016" cy="617034"/>
                          </a:xfrm>
                          <a:prstGeom prst="rect">
                            <a:avLst/>
                          </a:prstGeom>
                        </pic:spPr>
                      </pic:pic>
                    </a:graphicData>
                  </a:graphic>
                </wp:inline>
              </w:drawing>
            </w:r>
          </w:p>
          <w:p w14:paraId="7644810A">
            <w:pPr>
              <w:pStyle w:val="62"/>
              <w:ind w:firstLine="480"/>
            </w:pPr>
            <w:r>
              <w:t>c.计算出室外靠近围护结构处的声压级：</w:t>
            </w:r>
          </w:p>
          <w:p w14:paraId="3D175724">
            <w:pPr>
              <w:pStyle w:val="48"/>
            </w:pPr>
            <w:r>
              <w:drawing>
                <wp:inline distT="0" distB="0" distL="0" distR="0">
                  <wp:extent cx="2152650" cy="229235"/>
                  <wp:effectExtent l="0" t="0" r="0" b="18415"/>
                  <wp:docPr id="20487149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14933" name="图片 1"/>
                          <pic:cNvPicPr>
                            <a:picLocks noChangeAspect="1"/>
                          </pic:cNvPicPr>
                        </pic:nvPicPr>
                        <pic:blipFill>
                          <a:blip r:embed="rId27"/>
                          <a:stretch>
                            <a:fillRect/>
                          </a:stretch>
                        </pic:blipFill>
                        <pic:spPr>
                          <a:xfrm>
                            <a:off x="0" y="0"/>
                            <a:ext cx="2234761" cy="238382"/>
                          </a:xfrm>
                          <a:prstGeom prst="rect">
                            <a:avLst/>
                          </a:prstGeom>
                        </pic:spPr>
                      </pic:pic>
                    </a:graphicData>
                  </a:graphic>
                </wp:inline>
              </w:drawing>
            </w:r>
          </w:p>
          <w:p w14:paraId="4376D951">
            <w:pPr>
              <w:pStyle w:val="62"/>
              <w:ind w:firstLine="480"/>
            </w:pPr>
            <w:r>
              <w:t>d.将室外声级Loct，2（T）和透声面积换算成等效的室外声源，计算出等效声源第i个</w:t>
            </w:r>
            <w:r>
              <w:rPr>
                <w:rFonts w:hint="eastAsia"/>
              </w:rPr>
              <w:t>倍频带的声功率级</w:t>
            </w:r>
            <w:r>
              <w:t>Lwoct：</w:t>
            </w:r>
          </w:p>
          <w:p w14:paraId="417BDF14">
            <w:pPr>
              <w:pStyle w:val="48"/>
            </w:pPr>
            <w:r>
              <w:drawing>
                <wp:inline distT="0" distB="0" distL="0" distR="0">
                  <wp:extent cx="2237105" cy="287020"/>
                  <wp:effectExtent l="0" t="0" r="10795" b="17780"/>
                  <wp:docPr id="12159731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973194" name="图片 1"/>
                          <pic:cNvPicPr>
                            <a:picLocks noChangeAspect="1"/>
                          </pic:cNvPicPr>
                        </pic:nvPicPr>
                        <pic:blipFill>
                          <a:blip r:embed="rId28"/>
                          <a:stretch>
                            <a:fillRect/>
                          </a:stretch>
                        </pic:blipFill>
                        <pic:spPr>
                          <a:xfrm>
                            <a:off x="0" y="0"/>
                            <a:ext cx="2256133" cy="289504"/>
                          </a:xfrm>
                          <a:prstGeom prst="rect">
                            <a:avLst/>
                          </a:prstGeom>
                        </pic:spPr>
                      </pic:pic>
                    </a:graphicData>
                  </a:graphic>
                </wp:inline>
              </w:drawing>
            </w:r>
          </w:p>
          <w:p w14:paraId="4829D643">
            <w:pPr>
              <w:pStyle w:val="62"/>
              <w:ind w:firstLine="480"/>
            </w:pPr>
            <w:r>
              <w:rPr>
                <w:rFonts w:hint="eastAsia"/>
              </w:rPr>
              <w:t>式中：</w:t>
            </w:r>
            <w:r>
              <w:t>S——透声面积，m</w:t>
            </w:r>
            <w:r>
              <w:rPr>
                <w:vertAlign w:val="superscript"/>
              </w:rPr>
              <w:t>2</w:t>
            </w:r>
            <w:r>
              <w:t>。</w:t>
            </w:r>
          </w:p>
          <w:p w14:paraId="080D9392">
            <w:pPr>
              <w:pStyle w:val="62"/>
              <w:ind w:firstLine="480"/>
            </w:pPr>
            <w:r>
              <w:t>e.等效室外声源的位置为围护结构的位置，其倍频带声功率级为Lwoct，由此按室外声</w:t>
            </w:r>
            <w:r>
              <w:rPr>
                <w:rFonts w:hint="eastAsia"/>
              </w:rPr>
              <w:t>源方法计算等效室外声源在预测点产生的声级。</w:t>
            </w:r>
          </w:p>
          <w:p w14:paraId="0BE3099B">
            <w:pPr>
              <w:pStyle w:val="62"/>
              <w:ind w:firstLine="480"/>
            </w:pPr>
            <w:r>
              <w:rPr>
                <w:rFonts w:hint="eastAsia"/>
              </w:rPr>
              <w:t>由上述各式可计算出周围声环境因该项目设备新增加的声级值，综合该区内的声环境背景值，再按声能量迭加模式预测出某点的总声压级值，预测模式如下：</w:t>
            </w:r>
          </w:p>
          <w:p w14:paraId="1FF43050">
            <w:pPr>
              <w:pStyle w:val="48"/>
            </w:pPr>
            <w:r>
              <w:drawing>
                <wp:inline distT="0" distB="0" distL="0" distR="0">
                  <wp:extent cx="3171825" cy="450215"/>
                  <wp:effectExtent l="0" t="0" r="9525" b="6985"/>
                  <wp:docPr id="37963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303" name="图片 1"/>
                          <pic:cNvPicPr>
                            <a:picLocks noChangeAspect="1"/>
                          </pic:cNvPicPr>
                        </pic:nvPicPr>
                        <pic:blipFill>
                          <a:blip r:embed="rId29"/>
                          <a:stretch>
                            <a:fillRect/>
                          </a:stretch>
                        </pic:blipFill>
                        <pic:spPr>
                          <a:xfrm>
                            <a:off x="0" y="0"/>
                            <a:ext cx="3198512" cy="454399"/>
                          </a:xfrm>
                          <a:prstGeom prst="rect">
                            <a:avLst/>
                          </a:prstGeom>
                        </pic:spPr>
                      </pic:pic>
                    </a:graphicData>
                  </a:graphic>
                </wp:inline>
              </w:drawing>
            </w:r>
          </w:p>
          <w:p w14:paraId="75EE3EF5">
            <w:pPr>
              <w:pStyle w:val="62"/>
              <w:ind w:firstLine="480"/>
            </w:pPr>
            <w:r>
              <w:rPr>
                <w:rFonts w:hint="eastAsia"/>
              </w:rPr>
              <w:t>式中：</w:t>
            </w:r>
            <w:r>
              <w:t>Leq总——某预测点总声压级，dB(A)；</w:t>
            </w:r>
          </w:p>
          <w:p w14:paraId="4FF22B4C">
            <w:pPr>
              <w:pStyle w:val="62"/>
              <w:ind w:firstLine="480"/>
            </w:pPr>
            <w:r>
              <w:t>n——室外声源个数；</w:t>
            </w:r>
          </w:p>
          <w:p w14:paraId="1873EAD6">
            <w:pPr>
              <w:pStyle w:val="62"/>
              <w:ind w:firstLine="480"/>
            </w:pPr>
            <w:r>
              <w:t>m——等效室外声源个数；</w:t>
            </w:r>
          </w:p>
          <w:p w14:paraId="3C23DFF2">
            <w:pPr>
              <w:pStyle w:val="62"/>
              <w:bidi w:val="0"/>
            </w:pPr>
            <w:r>
              <w:t>T——计算等效声级时间。</w:t>
            </w:r>
          </w:p>
          <w:p w14:paraId="688D71C3">
            <w:pPr>
              <w:pStyle w:val="62"/>
              <w:ind w:firstLine="480"/>
            </w:pPr>
            <w:r>
              <w:rPr>
                <w:rFonts w:hint="eastAsia"/>
              </w:rPr>
              <w:t>3</w:t>
            </w:r>
            <w:r>
              <w:rPr>
                <w:rFonts w:hint="eastAsia"/>
                <w:lang w:eastAsia="zh-CN"/>
              </w:rPr>
              <w:t>）</w:t>
            </w:r>
            <w:r>
              <w:rPr>
                <w:rFonts w:hint="eastAsia"/>
              </w:rPr>
              <w:t>工业企业噪声计算</w:t>
            </w:r>
          </w:p>
          <w:p w14:paraId="155246A5">
            <w:pPr>
              <w:pStyle w:val="62"/>
              <w:ind w:firstLine="480"/>
            </w:pPr>
            <w:r>
              <w:rPr>
                <w:rFonts w:hint="eastAsia"/>
              </w:rPr>
              <w:t>设第</w:t>
            </w:r>
            <w:r>
              <w:t>i</w:t>
            </w:r>
            <w:r>
              <w:rPr>
                <w:rFonts w:hint="eastAsia"/>
              </w:rPr>
              <w:t>个室外声源在预测点产生的</w:t>
            </w:r>
            <w:r>
              <w:t>A</w:t>
            </w:r>
            <w:r>
              <w:rPr>
                <w:rFonts w:hint="eastAsia"/>
              </w:rPr>
              <w:t>声级为</w:t>
            </w:r>
            <w:r>
              <w:t>LAi</w:t>
            </w:r>
            <w:r>
              <w:rPr>
                <w:rFonts w:hint="eastAsia"/>
              </w:rPr>
              <w:t>，在</w:t>
            </w:r>
            <w:r>
              <w:t>T</w:t>
            </w:r>
            <w:r>
              <w:rPr>
                <w:rFonts w:hint="eastAsia"/>
              </w:rPr>
              <w:t>时间内该声源工作时间为</w:t>
            </w:r>
            <w:r>
              <w:t>t i</w:t>
            </w:r>
            <w:r>
              <w:rPr>
                <w:rFonts w:hint="eastAsia"/>
              </w:rPr>
              <w:t>；第</w:t>
            </w:r>
            <w:r>
              <w:t>j</w:t>
            </w:r>
            <w:r>
              <w:rPr>
                <w:rFonts w:hint="eastAsia"/>
              </w:rPr>
              <w:t>个等效室外声源在预测点产生的</w:t>
            </w:r>
            <w:r>
              <w:t>A</w:t>
            </w:r>
            <w:r>
              <w:rPr>
                <w:rFonts w:hint="eastAsia"/>
              </w:rPr>
              <w:t>声级为</w:t>
            </w:r>
            <w:r>
              <w:t>LAj</w:t>
            </w:r>
            <w:r>
              <w:rPr>
                <w:rFonts w:hint="eastAsia"/>
              </w:rPr>
              <w:t>，在</w:t>
            </w:r>
            <w:r>
              <w:t>T</w:t>
            </w:r>
            <w:r>
              <w:rPr>
                <w:rFonts w:hint="eastAsia"/>
              </w:rPr>
              <w:t>时间内该声源工作时间为</w:t>
            </w:r>
            <w:r>
              <w:t>tj</w:t>
            </w:r>
            <w:r>
              <w:rPr>
                <w:rFonts w:hint="eastAsia"/>
              </w:rPr>
              <w:t>，则拟建工程声源对预测点产生的贡献值（</w:t>
            </w:r>
            <w:r>
              <w:t>Leqg</w:t>
            </w:r>
            <w:r>
              <w:rPr>
                <w:rFonts w:hint="eastAsia"/>
              </w:rPr>
              <w:t>）为：</w:t>
            </w:r>
          </w:p>
          <w:p w14:paraId="106CE4A3">
            <w:pPr>
              <w:pStyle w:val="62"/>
              <w:ind w:firstLine="480"/>
            </w:pPr>
            <w:r>
              <w:drawing>
                <wp:inline distT="0" distB="0" distL="0" distR="0">
                  <wp:extent cx="3260090" cy="611505"/>
                  <wp:effectExtent l="0" t="0" r="16510" b="17145"/>
                  <wp:docPr id="19165729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72901" name="图片 1"/>
                          <pic:cNvPicPr>
                            <a:picLocks noChangeAspect="1"/>
                          </pic:cNvPicPr>
                        </pic:nvPicPr>
                        <pic:blipFill>
                          <a:blip r:embed="rId30"/>
                          <a:stretch>
                            <a:fillRect/>
                          </a:stretch>
                        </pic:blipFill>
                        <pic:spPr>
                          <a:xfrm>
                            <a:off x="0" y="0"/>
                            <a:ext cx="3260597" cy="612000"/>
                          </a:xfrm>
                          <a:prstGeom prst="rect">
                            <a:avLst/>
                          </a:prstGeom>
                        </pic:spPr>
                      </pic:pic>
                    </a:graphicData>
                  </a:graphic>
                </wp:inline>
              </w:drawing>
            </w:r>
            <w:r>
              <w:rPr>
                <w:rFonts w:hint="eastAsia"/>
              </w:rPr>
              <w:t xml:space="preserve">    （B.6）</w:t>
            </w:r>
          </w:p>
          <w:p w14:paraId="3C8BF9A3">
            <w:pPr>
              <w:pStyle w:val="62"/>
              <w:ind w:firstLine="480"/>
            </w:pPr>
            <w:r>
              <w:rPr>
                <w:rFonts w:hint="eastAsia"/>
              </w:rPr>
              <w:t>式中：</w:t>
            </w:r>
            <w:r>
              <w:rPr>
                <w:i/>
                <w:iCs/>
              </w:rPr>
              <w:t>L</w:t>
            </w:r>
            <w:r>
              <w:rPr>
                <w:i/>
                <w:iCs/>
                <w:vertAlign w:val="subscript"/>
              </w:rPr>
              <w:t>eqg</w:t>
            </w:r>
            <w:r>
              <w:t>——</w:t>
            </w:r>
            <w:r>
              <w:rPr>
                <w:rFonts w:hint="eastAsia"/>
              </w:rPr>
              <w:t>建设项目声源在预测点产生的噪声贡献值，</w:t>
            </w:r>
            <w:r>
              <w:t>dB</w:t>
            </w:r>
            <w:r>
              <w:rPr>
                <w:rFonts w:hint="eastAsia"/>
              </w:rPr>
              <w:t xml:space="preserve">； </w:t>
            </w:r>
          </w:p>
          <w:p w14:paraId="60F4B36F">
            <w:pPr>
              <w:pStyle w:val="62"/>
              <w:ind w:firstLine="480"/>
            </w:pPr>
            <w:r>
              <w:rPr>
                <w:i/>
                <w:iCs/>
              </w:rPr>
              <w:t>T</w:t>
            </w:r>
            <w:r>
              <w:t xml:space="preserve"> ——</w:t>
            </w:r>
            <w:r>
              <w:rPr>
                <w:rFonts w:hint="eastAsia"/>
              </w:rPr>
              <w:t>用于计算等效声级的时间，</w:t>
            </w:r>
            <w:r>
              <w:t>s</w:t>
            </w:r>
            <w:r>
              <w:rPr>
                <w:rFonts w:hint="eastAsia"/>
              </w:rPr>
              <w:t xml:space="preserve">； </w:t>
            </w:r>
          </w:p>
          <w:p w14:paraId="2694A5A2">
            <w:pPr>
              <w:pStyle w:val="62"/>
              <w:ind w:firstLine="480"/>
            </w:pPr>
            <w:r>
              <w:rPr>
                <w:i/>
                <w:iCs/>
              </w:rPr>
              <w:t xml:space="preserve">N </w:t>
            </w:r>
            <w:r>
              <w:t>——</w:t>
            </w:r>
            <w:r>
              <w:rPr>
                <w:rFonts w:hint="eastAsia"/>
              </w:rPr>
              <w:t xml:space="preserve">室外声源个数； </w:t>
            </w:r>
          </w:p>
          <w:p w14:paraId="2FA2F871">
            <w:pPr>
              <w:pStyle w:val="62"/>
              <w:ind w:firstLine="480"/>
            </w:pPr>
            <w:r>
              <w:rPr>
                <w:i/>
                <w:iCs/>
              </w:rPr>
              <w:t>t</w:t>
            </w:r>
            <w:r>
              <w:rPr>
                <w:i/>
                <w:iCs/>
                <w:vertAlign w:val="subscript"/>
              </w:rPr>
              <w:t xml:space="preserve"> i </w:t>
            </w:r>
            <w:r>
              <w:t>——</w:t>
            </w:r>
            <w:r>
              <w:rPr>
                <w:rFonts w:hint="eastAsia"/>
              </w:rPr>
              <w:t xml:space="preserve">在 </w:t>
            </w:r>
            <w:r>
              <w:t xml:space="preserve">T </w:t>
            </w:r>
            <w:r>
              <w:rPr>
                <w:rFonts w:hint="eastAsia"/>
              </w:rPr>
              <w:t xml:space="preserve">时间内 </w:t>
            </w:r>
            <w:r>
              <w:t xml:space="preserve">i </w:t>
            </w:r>
            <w:r>
              <w:rPr>
                <w:rFonts w:hint="eastAsia"/>
              </w:rPr>
              <w:t>声源工作时间，</w:t>
            </w:r>
            <w:r>
              <w:t>s</w:t>
            </w:r>
            <w:r>
              <w:rPr>
                <w:rFonts w:hint="eastAsia"/>
              </w:rPr>
              <w:t xml:space="preserve">； </w:t>
            </w:r>
          </w:p>
          <w:p w14:paraId="1A21D08F">
            <w:pPr>
              <w:pStyle w:val="62"/>
              <w:ind w:firstLine="480"/>
            </w:pPr>
            <w:r>
              <w:rPr>
                <w:i/>
                <w:iCs/>
              </w:rPr>
              <w:t xml:space="preserve">M </w:t>
            </w:r>
            <w:r>
              <w:t>——</w:t>
            </w:r>
            <w:r>
              <w:rPr>
                <w:rFonts w:hint="eastAsia"/>
              </w:rPr>
              <w:t xml:space="preserve">等效室外声源个数； </w:t>
            </w:r>
          </w:p>
          <w:p w14:paraId="1E4AB8B2">
            <w:pPr>
              <w:pStyle w:val="62"/>
              <w:ind w:firstLine="480"/>
            </w:pPr>
            <w:r>
              <w:rPr>
                <w:i/>
                <w:iCs/>
              </w:rPr>
              <w:t>t</w:t>
            </w:r>
            <w:r>
              <w:rPr>
                <w:i/>
                <w:iCs/>
                <w:vertAlign w:val="subscript"/>
              </w:rPr>
              <w:t xml:space="preserve"> j </w:t>
            </w:r>
            <w:r>
              <w:t>——</w:t>
            </w:r>
            <w:r>
              <w:rPr>
                <w:rFonts w:hint="eastAsia"/>
              </w:rPr>
              <w:t xml:space="preserve">在 </w:t>
            </w:r>
            <w:r>
              <w:t xml:space="preserve">T </w:t>
            </w:r>
            <w:r>
              <w:rPr>
                <w:rFonts w:hint="eastAsia"/>
              </w:rPr>
              <w:t xml:space="preserve">时间内 </w:t>
            </w:r>
            <w:r>
              <w:t xml:space="preserve">j </w:t>
            </w:r>
            <w:r>
              <w:rPr>
                <w:rFonts w:hint="eastAsia"/>
              </w:rPr>
              <w:t>声源工作时间，</w:t>
            </w:r>
            <w:r>
              <w:t>s</w:t>
            </w:r>
            <w:r>
              <w:rPr>
                <w:rFonts w:hint="eastAsia"/>
              </w:rPr>
              <w:t>。</w:t>
            </w:r>
          </w:p>
          <w:p w14:paraId="339C47BA">
            <w:pPr>
              <w:pStyle w:val="62"/>
              <w:ind w:firstLine="480"/>
            </w:pPr>
            <w:r>
              <w:rPr>
                <w:rFonts w:hint="eastAsia"/>
              </w:rPr>
              <w:t>4</w:t>
            </w:r>
            <w:r>
              <w:rPr>
                <w:rFonts w:hint="eastAsia"/>
                <w:lang w:eastAsia="zh-CN"/>
              </w:rPr>
              <w:t>）</w:t>
            </w:r>
            <w:r>
              <w:rPr>
                <w:rFonts w:hint="eastAsia"/>
              </w:rPr>
              <w:t>预测值计算</w:t>
            </w:r>
          </w:p>
          <w:p w14:paraId="0D7873DB">
            <w:pPr>
              <w:pStyle w:val="62"/>
              <w:ind w:firstLine="480"/>
            </w:pPr>
            <w:r>
              <w:rPr>
                <w:rFonts w:hint="eastAsia"/>
              </w:rPr>
              <w:t>噪声预测值（</w:t>
            </w:r>
            <w:r>
              <w:t>Leq</w:t>
            </w:r>
            <w:r>
              <w:rPr>
                <w:rFonts w:hint="eastAsia"/>
              </w:rPr>
              <w:t>）计算公式为：</w:t>
            </w:r>
          </w:p>
          <w:p w14:paraId="61013E65">
            <w:pPr>
              <w:pStyle w:val="62"/>
              <w:ind w:firstLine="480"/>
            </w:pPr>
            <w:r>
              <w:drawing>
                <wp:inline distT="0" distB="0" distL="0" distR="0">
                  <wp:extent cx="2125345" cy="359410"/>
                  <wp:effectExtent l="0" t="0" r="8255" b="2540"/>
                  <wp:docPr id="15980810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081003" name="图片 1"/>
                          <pic:cNvPicPr>
                            <a:picLocks noChangeAspect="1"/>
                          </pic:cNvPicPr>
                        </pic:nvPicPr>
                        <pic:blipFill>
                          <a:blip r:embed="rId31"/>
                          <a:stretch>
                            <a:fillRect/>
                          </a:stretch>
                        </pic:blipFill>
                        <pic:spPr>
                          <a:xfrm>
                            <a:off x="0" y="0"/>
                            <a:ext cx="2125385" cy="360000"/>
                          </a:xfrm>
                          <a:prstGeom prst="rect">
                            <a:avLst/>
                          </a:prstGeom>
                        </pic:spPr>
                      </pic:pic>
                    </a:graphicData>
                  </a:graphic>
                </wp:inline>
              </w:drawing>
            </w:r>
          </w:p>
          <w:p w14:paraId="07C39E7C">
            <w:pPr>
              <w:pStyle w:val="62"/>
              <w:ind w:firstLine="480"/>
            </w:pPr>
            <w:r>
              <w:rPr>
                <w:rFonts w:hint="eastAsia"/>
              </w:rPr>
              <w:t>式中：</w:t>
            </w:r>
            <w:r>
              <w:rPr>
                <w:i/>
                <w:iCs/>
              </w:rPr>
              <w:t>L</w:t>
            </w:r>
            <w:r>
              <w:rPr>
                <w:i/>
                <w:iCs/>
                <w:vertAlign w:val="subscript"/>
              </w:rPr>
              <w:t>eq</w:t>
            </w:r>
            <w:r>
              <w:rPr>
                <w:vertAlign w:val="subscript"/>
              </w:rPr>
              <w:t xml:space="preserve"> </w:t>
            </w:r>
            <w:r>
              <w:t>——预测点的噪声预测值，dB；</w:t>
            </w:r>
          </w:p>
          <w:p w14:paraId="76A39CD6">
            <w:pPr>
              <w:pStyle w:val="62"/>
              <w:ind w:firstLine="480"/>
            </w:pPr>
            <w:r>
              <w:rPr>
                <w:i/>
                <w:iCs/>
              </w:rPr>
              <w:t>L</w:t>
            </w:r>
            <w:r>
              <w:rPr>
                <w:i/>
                <w:iCs/>
                <w:vertAlign w:val="subscript"/>
              </w:rPr>
              <w:t>eqg</w:t>
            </w:r>
            <w:r>
              <w:t>——建设项目声源在预测点产生的噪声贡献值，dB；</w:t>
            </w:r>
          </w:p>
          <w:p w14:paraId="0DD78927">
            <w:pPr>
              <w:pStyle w:val="25"/>
              <w:ind w:firstLine="480"/>
              <w:rPr>
                <w:rFonts w:hint="eastAsia"/>
                <w:lang w:val="en-US" w:eastAsia="zh-CN"/>
              </w:rPr>
            </w:pPr>
            <w:r>
              <w:rPr>
                <w:i/>
                <w:iCs/>
              </w:rPr>
              <w:t>L</w:t>
            </w:r>
            <w:r>
              <w:rPr>
                <w:i/>
                <w:iCs/>
                <w:vertAlign w:val="subscript"/>
              </w:rPr>
              <w:t>eqb</w:t>
            </w:r>
            <w:r>
              <w:t>——预测点的背景噪声值，dB。</w:t>
            </w:r>
          </w:p>
          <w:p w14:paraId="69697F34">
            <w:pPr>
              <w:pStyle w:val="25"/>
              <w:ind w:firstLine="480"/>
              <w:rPr>
                <w:rFonts w:hint="eastAsia"/>
                <w:lang w:val="en-US" w:eastAsia="zh-CN"/>
              </w:rPr>
            </w:pPr>
            <w:r>
              <w:rPr>
                <w:rFonts w:hint="eastAsia"/>
                <w:lang w:val="en-US" w:eastAsia="zh-CN"/>
              </w:rPr>
              <w:t>5）预测结果</w:t>
            </w:r>
          </w:p>
          <w:p w14:paraId="3682D038">
            <w:pPr>
              <w:pStyle w:val="63"/>
              <w:bidi w:val="0"/>
              <w:rPr>
                <w:rFonts w:hint="eastAsia"/>
                <w:lang w:val="en-US" w:eastAsia="zh-CN"/>
              </w:rPr>
            </w:pPr>
            <w:r>
              <w:rPr>
                <w:rFonts w:hint="eastAsia"/>
                <w:lang w:val="en-US" w:eastAsia="zh-CN"/>
              </w:rPr>
              <w:t>表4-8  厂界噪声预测结果表</w:t>
            </w:r>
          </w:p>
          <w:tbl>
            <w:tblPr>
              <w:tblStyle w:val="1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02"/>
              <w:gridCol w:w="1367"/>
              <w:gridCol w:w="1367"/>
              <w:gridCol w:w="1367"/>
              <w:gridCol w:w="1367"/>
            </w:tblGrid>
            <w:tr w14:paraId="12119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pct"/>
                  <w:vAlign w:val="center"/>
                </w:tcPr>
                <w:p w14:paraId="32883E28">
                  <w:pPr>
                    <w:pStyle w:val="26"/>
                    <w:bidi w:val="0"/>
                    <w:jc w:val="center"/>
                    <w:rPr>
                      <w:rFonts w:hint="default"/>
                      <w:lang w:val="en-US" w:eastAsia="zh-CN"/>
                    </w:rPr>
                  </w:pPr>
                  <w:r>
                    <w:rPr>
                      <w:rFonts w:hint="eastAsia"/>
                      <w:lang w:val="en-US" w:eastAsia="zh-CN"/>
                    </w:rPr>
                    <w:t>厂界</w:t>
                  </w:r>
                </w:p>
              </w:tc>
              <w:tc>
                <w:tcPr>
                  <w:tcW w:w="868" w:type="pct"/>
                  <w:vAlign w:val="center"/>
                </w:tcPr>
                <w:p w14:paraId="7AD2A3B9">
                  <w:pPr>
                    <w:pStyle w:val="26"/>
                    <w:bidi w:val="0"/>
                    <w:jc w:val="center"/>
                    <w:rPr>
                      <w:rFonts w:hint="default"/>
                      <w:lang w:val="en-US" w:eastAsia="zh-CN"/>
                    </w:rPr>
                  </w:pPr>
                  <w:r>
                    <w:rPr>
                      <w:rFonts w:hint="eastAsia"/>
                      <w:lang w:val="en-US" w:eastAsia="zh-CN"/>
                    </w:rPr>
                    <w:t>东侧厂界</w:t>
                  </w:r>
                </w:p>
              </w:tc>
              <w:tc>
                <w:tcPr>
                  <w:tcW w:w="868" w:type="pct"/>
                  <w:vAlign w:val="center"/>
                </w:tcPr>
                <w:p w14:paraId="57C4F5F5">
                  <w:pPr>
                    <w:pStyle w:val="26"/>
                    <w:bidi w:val="0"/>
                    <w:jc w:val="center"/>
                    <w:rPr>
                      <w:rFonts w:hint="default"/>
                      <w:lang w:val="en-US" w:eastAsia="zh-CN"/>
                    </w:rPr>
                  </w:pPr>
                  <w:r>
                    <w:rPr>
                      <w:rFonts w:hint="eastAsia"/>
                      <w:lang w:val="en-US" w:eastAsia="zh-CN"/>
                    </w:rPr>
                    <w:t>南侧厂界</w:t>
                  </w:r>
                </w:p>
              </w:tc>
              <w:tc>
                <w:tcPr>
                  <w:tcW w:w="868" w:type="pct"/>
                  <w:vAlign w:val="center"/>
                </w:tcPr>
                <w:p w14:paraId="720B27B0">
                  <w:pPr>
                    <w:pStyle w:val="26"/>
                    <w:bidi w:val="0"/>
                    <w:jc w:val="center"/>
                    <w:rPr>
                      <w:rFonts w:hint="default"/>
                      <w:lang w:val="en-US" w:eastAsia="zh-CN"/>
                    </w:rPr>
                  </w:pPr>
                  <w:r>
                    <w:rPr>
                      <w:rFonts w:hint="eastAsia"/>
                      <w:lang w:val="en-US" w:eastAsia="zh-CN"/>
                    </w:rPr>
                    <w:t>西侧厂界</w:t>
                  </w:r>
                </w:p>
              </w:tc>
              <w:tc>
                <w:tcPr>
                  <w:tcW w:w="868" w:type="pct"/>
                  <w:vAlign w:val="center"/>
                </w:tcPr>
                <w:p w14:paraId="4102DE15">
                  <w:pPr>
                    <w:pStyle w:val="26"/>
                    <w:bidi w:val="0"/>
                    <w:jc w:val="center"/>
                    <w:rPr>
                      <w:rFonts w:hint="default"/>
                      <w:lang w:val="en-US" w:eastAsia="zh-CN"/>
                    </w:rPr>
                  </w:pPr>
                  <w:r>
                    <w:rPr>
                      <w:rFonts w:hint="eastAsia"/>
                      <w:lang w:val="en-US" w:eastAsia="zh-CN"/>
                    </w:rPr>
                    <w:t>北侧厂界</w:t>
                  </w:r>
                </w:p>
              </w:tc>
            </w:tr>
            <w:tr w14:paraId="620C3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pct"/>
                  <w:vAlign w:val="center"/>
                </w:tcPr>
                <w:p w14:paraId="4911ADB6">
                  <w:pPr>
                    <w:pStyle w:val="26"/>
                    <w:bidi w:val="0"/>
                    <w:jc w:val="center"/>
                    <w:rPr>
                      <w:rFonts w:hint="default"/>
                      <w:lang w:val="en-US" w:eastAsia="zh-CN"/>
                    </w:rPr>
                  </w:pPr>
                  <w:r>
                    <w:rPr>
                      <w:rFonts w:hint="eastAsia"/>
                      <w:lang w:val="en-US" w:eastAsia="zh-CN"/>
                    </w:rPr>
                    <w:t>昼间贡献值dB(A)</w:t>
                  </w:r>
                </w:p>
              </w:tc>
              <w:tc>
                <w:tcPr>
                  <w:tcW w:w="868" w:type="pct"/>
                  <w:vAlign w:val="center"/>
                </w:tcPr>
                <w:p w14:paraId="5F002018">
                  <w:pPr>
                    <w:pStyle w:val="26"/>
                    <w:bidi w:val="0"/>
                    <w:jc w:val="center"/>
                    <w:rPr>
                      <w:rFonts w:hint="default"/>
                      <w:lang w:val="en-US" w:eastAsia="zh-CN"/>
                    </w:rPr>
                  </w:pPr>
                  <w:r>
                    <w:rPr>
                      <w:rFonts w:hint="eastAsia"/>
                      <w:lang w:val="en-US" w:eastAsia="zh-CN"/>
                    </w:rPr>
                    <w:t>17.72</w:t>
                  </w:r>
                </w:p>
              </w:tc>
              <w:tc>
                <w:tcPr>
                  <w:tcW w:w="868" w:type="pct"/>
                  <w:vAlign w:val="center"/>
                </w:tcPr>
                <w:p w14:paraId="29E4A717">
                  <w:pPr>
                    <w:pStyle w:val="26"/>
                    <w:bidi w:val="0"/>
                    <w:jc w:val="center"/>
                    <w:rPr>
                      <w:rFonts w:hint="default"/>
                      <w:lang w:val="en-US" w:eastAsia="zh-CN"/>
                    </w:rPr>
                  </w:pPr>
                  <w:r>
                    <w:rPr>
                      <w:rFonts w:hint="eastAsia"/>
                      <w:lang w:val="en-US" w:eastAsia="zh-CN"/>
                    </w:rPr>
                    <w:t>31.88</w:t>
                  </w:r>
                </w:p>
              </w:tc>
              <w:tc>
                <w:tcPr>
                  <w:tcW w:w="868" w:type="pct"/>
                  <w:vAlign w:val="center"/>
                </w:tcPr>
                <w:p w14:paraId="1F3F91C4">
                  <w:pPr>
                    <w:pStyle w:val="26"/>
                    <w:bidi w:val="0"/>
                    <w:jc w:val="center"/>
                    <w:rPr>
                      <w:rFonts w:hint="default"/>
                      <w:lang w:val="en-US" w:eastAsia="zh-CN"/>
                    </w:rPr>
                  </w:pPr>
                  <w:r>
                    <w:rPr>
                      <w:rFonts w:hint="eastAsia"/>
                      <w:lang w:val="en-US" w:eastAsia="zh-CN"/>
                    </w:rPr>
                    <w:t>39.06</w:t>
                  </w:r>
                </w:p>
              </w:tc>
              <w:tc>
                <w:tcPr>
                  <w:tcW w:w="868" w:type="pct"/>
                  <w:vAlign w:val="center"/>
                </w:tcPr>
                <w:p w14:paraId="05DF218B">
                  <w:pPr>
                    <w:pStyle w:val="26"/>
                    <w:bidi w:val="0"/>
                    <w:jc w:val="center"/>
                    <w:rPr>
                      <w:rFonts w:hint="default"/>
                      <w:lang w:val="en-US" w:eastAsia="zh-CN"/>
                    </w:rPr>
                  </w:pPr>
                  <w:r>
                    <w:rPr>
                      <w:rFonts w:hint="eastAsia"/>
                      <w:lang w:val="en-US" w:eastAsia="zh-CN"/>
                    </w:rPr>
                    <w:t>36.59</w:t>
                  </w:r>
                </w:p>
              </w:tc>
            </w:tr>
            <w:tr w14:paraId="38C0D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pct"/>
                  <w:vAlign w:val="center"/>
                </w:tcPr>
                <w:p w14:paraId="6A206033">
                  <w:pPr>
                    <w:pStyle w:val="26"/>
                    <w:bidi w:val="0"/>
                    <w:jc w:val="center"/>
                    <w:rPr>
                      <w:rFonts w:hint="default"/>
                      <w:lang w:val="en-US" w:eastAsia="zh-CN"/>
                    </w:rPr>
                  </w:pPr>
                  <w:r>
                    <w:rPr>
                      <w:rFonts w:hint="eastAsia"/>
                      <w:lang w:val="en-US" w:eastAsia="zh-CN"/>
                    </w:rPr>
                    <w:t>标准限值dB(A)</w:t>
                  </w:r>
                </w:p>
              </w:tc>
              <w:tc>
                <w:tcPr>
                  <w:tcW w:w="868" w:type="pct"/>
                  <w:vAlign w:val="center"/>
                </w:tcPr>
                <w:p w14:paraId="239CBE20">
                  <w:pPr>
                    <w:pStyle w:val="26"/>
                    <w:bidi w:val="0"/>
                    <w:jc w:val="center"/>
                    <w:rPr>
                      <w:rFonts w:hint="default"/>
                      <w:lang w:val="en-US" w:eastAsia="zh-CN"/>
                    </w:rPr>
                  </w:pPr>
                  <w:r>
                    <w:rPr>
                      <w:rFonts w:hint="eastAsia"/>
                      <w:lang w:val="en-US" w:eastAsia="zh-CN"/>
                    </w:rPr>
                    <w:t>70</w:t>
                  </w:r>
                </w:p>
              </w:tc>
              <w:tc>
                <w:tcPr>
                  <w:tcW w:w="868" w:type="pct"/>
                  <w:vAlign w:val="center"/>
                </w:tcPr>
                <w:p w14:paraId="62524F0F">
                  <w:pPr>
                    <w:pStyle w:val="26"/>
                    <w:bidi w:val="0"/>
                    <w:jc w:val="center"/>
                    <w:rPr>
                      <w:rFonts w:hint="default"/>
                      <w:lang w:val="en-US" w:eastAsia="zh-CN"/>
                    </w:rPr>
                  </w:pPr>
                  <w:r>
                    <w:rPr>
                      <w:rFonts w:hint="eastAsia"/>
                      <w:lang w:val="en-US" w:eastAsia="zh-CN"/>
                    </w:rPr>
                    <w:t>60</w:t>
                  </w:r>
                </w:p>
              </w:tc>
              <w:tc>
                <w:tcPr>
                  <w:tcW w:w="868" w:type="pct"/>
                  <w:vAlign w:val="center"/>
                </w:tcPr>
                <w:p w14:paraId="5ED0BE28">
                  <w:pPr>
                    <w:pStyle w:val="26"/>
                    <w:bidi w:val="0"/>
                    <w:jc w:val="center"/>
                    <w:rPr>
                      <w:rFonts w:hint="default"/>
                      <w:lang w:val="en-US" w:eastAsia="zh-CN"/>
                    </w:rPr>
                  </w:pPr>
                  <w:r>
                    <w:rPr>
                      <w:rFonts w:hint="eastAsia"/>
                      <w:lang w:val="en-US" w:eastAsia="zh-CN"/>
                    </w:rPr>
                    <w:t>60</w:t>
                  </w:r>
                </w:p>
              </w:tc>
              <w:tc>
                <w:tcPr>
                  <w:tcW w:w="868" w:type="pct"/>
                  <w:vAlign w:val="center"/>
                </w:tcPr>
                <w:p w14:paraId="008ED046">
                  <w:pPr>
                    <w:pStyle w:val="26"/>
                    <w:bidi w:val="0"/>
                    <w:jc w:val="center"/>
                    <w:rPr>
                      <w:rFonts w:hint="default"/>
                      <w:lang w:val="en-US" w:eastAsia="zh-CN"/>
                    </w:rPr>
                  </w:pPr>
                  <w:r>
                    <w:rPr>
                      <w:rFonts w:hint="eastAsia"/>
                      <w:lang w:val="en-US" w:eastAsia="zh-CN"/>
                    </w:rPr>
                    <w:t>60</w:t>
                  </w:r>
                </w:p>
              </w:tc>
            </w:tr>
            <w:tr w14:paraId="15AA8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pct"/>
                  <w:vAlign w:val="center"/>
                </w:tcPr>
                <w:p w14:paraId="67278129">
                  <w:pPr>
                    <w:pStyle w:val="26"/>
                    <w:bidi w:val="0"/>
                    <w:jc w:val="center"/>
                    <w:rPr>
                      <w:rFonts w:hint="default"/>
                      <w:lang w:val="en-US" w:eastAsia="zh-CN"/>
                    </w:rPr>
                  </w:pPr>
                  <w:r>
                    <w:rPr>
                      <w:rFonts w:hint="eastAsia"/>
                      <w:lang w:val="en-US" w:eastAsia="zh-CN"/>
                    </w:rPr>
                    <w:t>达标情况</w:t>
                  </w:r>
                </w:p>
              </w:tc>
              <w:tc>
                <w:tcPr>
                  <w:tcW w:w="868" w:type="pct"/>
                  <w:vAlign w:val="center"/>
                </w:tcPr>
                <w:p w14:paraId="07FDA598">
                  <w:pPr>
                    <w:pStyle w:val="26"/>
                    <w:bidi w:val="0"/>
                    <w:jc w:val="center"/>
                    <w:rPr>
                      <w:rFonts w:hint="default"/>
                      <w:lang w:val="en-US" w:eastAsia="zh-CN"/>
                    </w:rPr>
                  </w:pPr>
                  <w:r>
                    <w:rPr>
                      <w:rFonts w:hint="eastAsia"/>
                      <w:lang w:val="en-US" w:eastAsia="zh-CN"/>
                    </w:rPr>
                    <w:t>达标</w:t>
                  </w:r>
                </w:p>
              </w:tc>
              <w:tc>
                <w:tcPr>
                  <w:tcW w:w="868" w:type="pct"/>
                  <w:vAlign w:val="center"/>
                </w:tcPr>
                <w:p w14:paraId="00314596">
                  <w:pPr>
                    <w:bidi w:val="0"/>
                    <w:jc w:val="center"/>
                    <w:rPr>
                      <w:rFonts w:hint="eastAsia"/>
                      <w:lang w:val="en-US" w:eastAsia="zh-CN"/>
                    </w:rPr>
                  </w:pPr>
                  <w:r>
                    <w:rPr>
                      <w:rFonts w:hint="eastAsia"/>
                      <w:lang w:val="en-US" w:eastAsia="zh-CN"/>
                    </w:rPr>
                    <w:t>达标</w:t>
                  </w:r>
                </w:p>
              </w:tc>
              <w:tc>
                <w:tcPr>
                  <w:tcW w:w="868" w:type="pct"/>
                  <w:vAlign w:val="center"/>
                </w:tcPr>
                <w:p w14:paraId="6041FCB0">
                  <w:pPr>
                    <w:bidi w:val="0"/>
                    <w:jc w:val="center"/>
                    <w:rPr>
                      <w:rFonts w:hint="eastAsia"/>
                      <w:lang w:val="en-US" w:eastAsia="zh-CN"/>
                    </w:rPr>
                  </w:pPr>
                  <w:r>
                    <w:rPr>
                      <w:rFonts w:hint="eastAsia"/>
                      <w:lang w:val="en-US" w:eastAsia="zh-CN"/>
                    </w:rPr>
                    <w:t>达标</w:t>
                  </w:r>
                </w:p>
              </w:tc>
              <w:tc>
                <w:tcPr>
                  <w:tcW w:w="868" w:type="pct"/>
                  <w:vAlign w:val="center"/>
                </w:tcPr>
                <w:p w14:paraId="5E0AC347">
                  <w:pPr>
                    <w:bidi w:val="0"/>
                    <w:jc w:val="center"/>
                    <w:rPr>
                      <w:rFonts w:hint="eastAsia"/>
                      <w:lang w:val="en-US" w:eastAsia="zh-CN"/>
                    </w:rPr>
                  </w:pPr>
                  <w:r>
                    <w:rPr>
                      <w:rFonts w:hint="eastAsia"/>
                      <w:lang w:val="en-US" w:eastAsia="zh-CN"/>
                    </w:rPr>
                    <w:t>达标</w:t>
                  </w:r>
                </w:p>
              </w:tc>
            </w:tr>
          </w:tbl>
          <w:p w14:paraId="21FFF63B">
            <w:pPr>
              <w:pStyle w:val="62"/>
              <w:rPr>
                <w:rFonts w:hint="eastAsia"/>
                <w:lang w:val="en-US" w:eastAsia="zh-CN"/>
              </w:rPr>
            </w:pPr>
            <w:r>
              <w:rPr>
                <w:rFonts w:hint="eastAsia"/>
                <w:lang w:val="en-US" w:eastAsia="zh-CN"/>
              </w:rPr>
              <w:t>根据预测结果可知，项目运营期东侧厂界昼间噪声贡献值能够满足《工业企业厂界环境噪声排放标准》（GB12348-2008）中4类标准限值，南、西、北三侧厂界昼间噪声贡献值能够满足《工业企业厂界环境噪声排放标准》（GB12348-2008）中2类标准限值，项目夜间不运行。</w:t>
            </w:r>
          </w:p>
          <w:p w14:paraId="29DFFA98">
            <w:pPr>
              <w:pStyle w:val="63"/>
              <w:bidi w:val="0"/>
              <w:rPr>
                <w:rFonts w:hint="eastAsia"/>
                <w:lang w:val="en-US" w:eastAsia="zh-CN"/>
              </w:rPr>
            </w:pPr>
            <w:r>
              <w:rPr>
                <w:rFonts w:hint="eastAsia"/>
                <w:lang w:val="en-US" w:eastAsia="zh-CN"/>
              </w:rPr>
              <w:t>表4-9  敏感点噪声预测结果表</w:t>
            </w:r>
          </w:p>
          <w:tbl>
            <w:tblPr>
              <w:tblStyle w:val="1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5"/>
              <w:gridCol w:w="1655"/>
              <w:gridCol w:w="1655"/>
              <w:gridCol w:w="1655"/>
            </w:tblGrid>
            <w:tr w14:paraId="75936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5" w:type="pct"/>
                  <w:vAlign w:val="center"/>
                </w:tcPr>
                <w:p w14:paraId="65CEEE08">
                  <w:pPr>
                    <w:pStyle w:val="26"/>
                    <w:bidi w:val="0"/>
                    <w:jc w:val="center"/>
                    <w:rPr>
                      <w:rFonts w:hint="default"/>
                      <w:lang w:val="en-US" w:eastAsia="zh-CN"/>
                    </w:rPr>
                  </w:pPr>
                  <w:r>
                    <w:rPr>
                      <w:rFonts w:hint="eastAsia"/>
                      <w:lang w:val="en-US" w:eastAsia="zh-CN"/>
                    </w:rPr>
                    <w:t>厂界</w:t>
                  </w:r>
                </w:p>
              </w:tc>
              <w:tc>
                <w:tcPr>
                  <w:tcW w:w="1051" w:type="pct"/>
                  <w:vAlign w:val="center"/>
                </w:tcPr>
                <w:p w14:paraId="295A0704">
                  <w:pPr>
                    <w:pStyle w:val="26"/>
                    <w:bidi w:val="0"/>
                    <w:jc w:val="center"/>
                    <w:rPr>
                      <w:rFonts w:hint="default"/>
                      <w:lang w:val="en-US" w:eastAsia="zh-CN"/>
                    </w:rPr>
                  </w:pPr>
                  <w:r>
                    <w:rPr>
                      <w:rFonts w:hint="eastAsia"/>
                      <w:lang w:val="en-US" w:eastAsia="zh-CN"/>
                    </w:rPr>
                    <w:t>东侧居民点</w:t>
                  </w:r>
                </w:p>
              </w:tc>
              <w:tc>
                <w:tcPr>
                  <w:tcW w:w="1051" w:type="pct"/>
                  <w:vAlign w:val="center"/>
                </w:tcPr>
                <w:p w14:paraId="0341500E">
                  <w:pPr>
                    <w:pStyle w:val="26"/>
                    <w:bidi w:val="0"/>
                    <w:jc w:val="center"/>
                    <w:rPr>
                      <w:rFonts w:hint="default"/>
                      <w:lang w:val="en-US" w:eastAsia="zh-CN"/>
                    </w:rPr>
                  </w:pPr>
                  <w:r>
                    <w:rPr>
                      <w:rFonts w:hint="eastAsia"/>
                      <w:lang w:val="en-US" w:eastAsia="zh-CN"/>
                    </w:rPr>
                    <w:t>南侧居民点</w:t>
                  </w:r>
                </w:p>
              </w:tc>
              <w:tc>
                <w:tcPr>
                  <w:tcW w:w="1051" w:type="pct"/>
                  <w:vAlign w:val="center"/>
                </w:tcPr>
                <w:p w14:paraId="33D09058">
                  <w:pPr>
                    <w:pStyle w:val="26"/>
                    <w:bidi w:val="0"/>
                    <w:jc w:val="center"/>
                    <w:rPr>
                      <w:rFonts w:hint="default"/>
                      <w:lang w:val="en-US" w:eastAsia="zh-CN"/>
                    </w:rPr>
                  </w:pPr>
                  <w:r>
                    <w:rPr>
                      <w:rFonts w:hint="eastAsia"/>
                      <w:lang w:val="en-US" w:eastAsia="zh-CN"/>
                    </w:rPr>
                    <w:t>西侧居民点</w:t>
                  </w:r>
                </w:p>
              </w:tc>
            </w:tr>
            <w:tr w14:paraId="5B08F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5" w:type="pct"/>
                  <w:vAlign w:val="center"/>
                </w:tcPr>
                <w:p w14:paraId="281940F2">
                  <w:pPr>
                    <w:pStyle w:val="26"/>
                    <w:bidi w:val="0"/>
                    <w:jc w:val="center"/>
                    <w:rPr>
                      <w:rFonts w:hint="default"/>
                      <w:lang w:val="en-US" w:eastAsia="zh-CN"/>
                    </w:rPr>
                  </w:pPr>
                  <w:r>
                    <w:rPr>
                      <w:rFonts w:hint="eastAsia"/>
                      <w:lang w:val="en-US" w:eastAsia="zh-CN"/>
                    </w:rPr>
                    <w:t>昼间贡献值dB(A)</w:t>
                  </w:r>
                </w:p>
              </w:tc>
              <w:tc>
                <w:tcPr>
                  <w:tcW w:w="1051" w:type="pct"/>
                  <w:vAlign w:val="center"/>
                </w:tcPr>
                <w:p w14:paraId="15721C58">
                  <w:pPr>
                    <w:pStyle w:val="26"/>
                    <w:bidi w:val="0"/>
                    <w:jc w:val="center"/>
                    <w:rPr>
                      <w:rFonts w:hint="default"/>
                      <w:lang w:val="en-US" w:eastAsia="zh-CN"/>
                    </w:rPr>
                  </w:pPr>
                  <w:r>
                    <w:rPr>
                      <w:rFonts w:hint="eastAsia"/>
                      <w:lang w:val="en-US" w:eastAsia="zh-CN"/>
                    </w:rPr>
                    <w:t>17.14</w:t>
                  </w:r>
                </w:p>
              </w:tc>
              <w:tc>
                <w:tcPr>
                  <w:tcW w:w="1051" w:type="pct"/>
                  <w:vAlign w:val="center"/>
                </w:tcPr>
                <w:p w14:paraId="73F1702F">
                  <w:pPr>
                    <w:pStyle w:val="26"/>
                    <w:bidi w:val="0"/>
                    <w:jc w:val="center"/>
                    <w:rPr>
                      <w:rFonts w:hint="default"/>
                      <w:lang w:val="en-US" w:eastAsia="zh-CN"/>
                    </w:rPr>
                  </w:pPr>
                  <w:r>
                    <w:rPr>
                      <w:rFonts w:hint="eastAsia"/>
                      <w:lang w:val="en-US" w:eastAsia="zh-CN"/>
                    </w:rPr>
                    <w:t>19.53</w:t>
                  </w:r>
                </w:p>
              </w:tc>
              <w:tc>
                <w:tcPr>
                  <w:tcW w:w="1051" w:type="pct"/>
                  <w:vAlign w:val="center"/>
                </w:tcPr>
                <w:p w14:paraId="2CBDECE8">
                  <w:pPr>
                    <w:pStyle w:val="26"/>
                    <w:bidi w:val="0"/>
                    <w:jc w:val="center"/>
                    <w:rPr>
                      <w:rFonts w:hint="default"/>
                      <w:lang w:val="en-US" w:eastAsia="zh-CN"/>
                    </w:rPr>
                  </w:pPr>
                  <w:r>
                    <w:rPr>
                      <w:rFonts w:hint="eastAsia"/>
                      <w:lang w:val="en-US" w:eastAsia="zh-CN"/>
                    </w:rPr>
                    <w:t>39.21</w:t>
                  </w:r>
                </w:p>
              </w:tc>
            </w:tr>
            <w:tr w14:paraId="05B8B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5" w:type="pct"/>
                  <w:vAlign w:val="center"/>
                </w:tcPr>
                <w:p w14:paraId="14E917A8">
                  <w:pPr>
                    <w:pStyle w:val="26"/>
                    <w:bidi w:val="0"/>
                    <w:jc w:val="center"/>
                    <w:rPr>
                      <w:rFonts w:hint="default"/>
                      <w:lang w:val="en-US" w:eastAsia="zh-CN"/>
                    </w:rPr>
                  </w:pPr>
                  <w:r>
                    <w:rPr>
                      <w:rFonts w:hint="eastAsia"/>
                      <w:lang w:val="en-US" w:eastAsia="zh-CN"/>
                    </w:rPr>
                    <w:t>昼间现状值dB(A)</w:t>
                  </w:r>
                </w:p>
              </w:tc>
              <w:tc>
                <w:tcPr>
                  <w:tcW w:w="1051" w:type="pct"/>
                  <w:vAlign w:val="center"/>
                </w:tcPr>
                <w:p w14:paraId="41A387F0">
                  <w:pPr>
                    <w:pStyle w:val="26"/>
                    <w:bidi w:val="0"/>
                    <w:jc w:val="center"/>
                    <w:rPr>
                      <w:rFonts w:hint="default"/>
                      <w:lang w:val="en-US" w:eastAsia="zh-CN"/>
                    </w:rPr>
                  </w:pPr>
                  <w:r>
                    <w:rPr>
                      <w:rFonts w:hint="eastAsia"/>
                      <w:lang w:val="en-US" w:eastAsia="zh-CN"/>
                    </w:rPr>
                    <w:t>66.5</w:t>
                  </w:r>
                </w:p>
              </w:tc>
              <w:tc>
                <w:tcPr>
                  <w:tcW w:w="1051" w:type="pct"/>
                  <w:vAlign w:val="center"/>
                </w:tcPr>
                <w:p w14:paraId="4DC652C1">
                  <w:pPr>
                    <w:pStyle w:val="26"/>
                    <w:bidi w:val="0"/>
                    <w:jc w:val="center"/>
                    <w:rPr>
                      <w:rFonts w:hint="default"/>
                      <w:lang w:val="en-US" w:eastAsia="zh-CN"/>
                    </w:rPr>
                  </w:pPr>
                  <w:r>
                    <w:rPr>
                      <w:rFonts w:hint="eastAsia"/>
                      <w:lang w:val="en-US" w:eastAsia="zh-CN"/>
                    </w:rPr>
                    <w:t>53.8</w:t>
                  </w:r>
                </w:p>
              </w:tc>
              <w:tc>
                <w:tcPr>
                  <w:tcW w:w="1051" w:type="pct"/>
                  <w:vAlign w:val="center"/>
                </w:tcPr>
                <w:p w14:paraId="034FD541">
                  <w:pPr>
                    <w:pStyle w:val="26"/>
                    <w:bidi w:val="0"/>
                    <w:jc w:val="center"/>
                    <w:rPr>
                      <w:rFonts w:hint="default"/>
                      <w:lang w:val="en-US" w:eastAsia="zh-CN"/>
                    </w:rPr>
                  </w:pPr>
                  <w:r>
                    <w:rPr>
                      <w:rFonts w:hint="eastAsia"/>
                      <w:lang w:val="en-US" w:eastAsia="zh-CN"/>
                    </w:rPr>
                    <w:t>50.2</w:t>
                  </w:r>
                </w:p>
              </w:tc>
            </w:tr>
            <w:tr w14:paraId="2F4A4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5" w:type="pct"/>
                  <w:vAlign w:val="center"/>
                </w:tcPr>
                <w:p w14:paraId="39E4E47A">
                  <w:pPr>
                    <w:pStyle w:val="26"/>
                    <w:bidi w:val="0"/>
                    <w:jc w:val="center"/>
                    <w:rPr>
                      <w:rFonts w:hint="default"/>
                      <w:lang w:val="en-US" w:eastAsia="zh-CN"/>
                    </w:rPr>
                  </w:pPr>
                  <w:r>
                    <w:rPr>
                      <w:rFonts w:hint="eastAsia"/>
                      <w:lang w:val="en-US" w:eastAsia="zh-CN"/>
                    </w:rPr>
                    <w:t>昼间预测值dB(A)</w:t>
                  </w:r>
                </w:p>
              </w:tc>
              <w:tc>
                <w:tcPr>
                  <w:tcW w:w="1051" w:type="pct"/>
                  <w:vAlign w:val="center"/>
                </w:tcPr>
                <w:p w14:paraId="6B8B2BD5">
                  <w:pPr>
                    <w:pStyle w:val="26"/>
                    <w:bidi w:val="0"/>
                    <w:jc w:val="center"/>
                    <w:rPr>
                      <w:rFonts w:hint="default"/>
                      <w:lang w:val="en-US" w:eastAsia="zh-CN"/>
                    </w:rPr>
                  </w:pPr>
                  <w:r>
                    <w:rPr>
                      <w:rFonts w:hint="eastAsia"/>
                      <w:lang w:val="en-US" w:eastAsia="zh-CN"/>
                    </w:rPr>
                    <w:t>66.50</w:t>
                  </w:r>
                </w:p>
              </w:tc>
              <w:tc>
                <w:tcPr>
                  <w:tcW w:w="1051" w:type="pct"/>
                  <w:vAlign w:val="center"/>
                </w:tcPr>
                <w:p w14:paraId="7AB928A4">
                  <w:pPr>
                    <w:pStyle w:val="26"/>
                    <w:bidi w:val="0"/>
                    <w:jc w:val="center"/>
                    <w:rPr>
                      <w:rFonts w:hint="default"/>
                      <w:lang w:val="en-US" w:eastAsia="zh-CN"/>
                    </w:rPr>
                  </w:pPr>
                  <w:r>
                    <w:rPr>
                      <w:rFonts w:hint="eastAsia"/>
                      <w:lang w:val="en-US" w:eastAsia="zh-CN"/>
                    </w:rPr>
                    <w:t>53.80</w:t>
                  </w:r>
                </w:p>
              </w:tc>
              <w:tc>
                <w:tcPr>
                  <w:tcW w:w="1051" w:type="pct"/>
                  <w:vAlign w:val="center"/>
                </w:tcPr>
                <w:p w14:paraId="4868143E">
                  <w:pPr>
                    <w:pStyle w:val="26"/>
                    <w:bidi w:val="0"/>
                    <w:jc w:val="center"/>
                    <w:rPr>
                      <w:rFonts w:hint="default"/>
                      <w:lang w:val="en-US" w:eastAsia="zh-CN"/>
                    </w:rPr>
                  </w:pPr>
                  <w:r>
                    <w:rPr>
                      <w:rFonts w:hint="eastAsia"/>
                      <w:lang w:val="en-US" w:eastAsia="zh-CN"/>
                    </w:rPr>
                    <w:t>50.53</w:t>
                  </w:r>
                </w:p>
              </w:tc>
            </w:tr>
            <w:tr w14:paraId="6639B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5" w:type="pct"/>
                  <w:vAlign w:val="center"/>
                </w:tcPr>
                <w:p w14:paraId="6321B5A5">
                  <w:pPr>
                    <w:pStyle w:val="26"/>
                    <w:bidi w:val="0"/>
                    <w:jc w:val="center"/>
                    <w:rPr>
                      <w:rFonts w:hint="default"/>
                      <w:lang w:val="en-US" w:eastAsia="zh-CN"/>
                    </w:rPr>
                  </w:pPr>
                  <w:r>
                    <w:rPr>
                      <w:rFonts w:hint="eastAsia"/>
                      <w:lang w:val="en-US" w:eastAsia="zh-CN"/>
                    </w:rPr>
                    <w:t>标准限值dB(A)</w:t>
                  </w:r>
                </w:p>
              </w:tc>
              <w:tc>
                <w:tcPr>
                  <w:tcW w:w="1051" w:type="pct"/>
                  <w:vAlign w:val="center"/>
                </w:tcPr>
                <w:p w14:paraId="24686292">
                  <w:pPr>
                    <w:pStyle w:val="26"/>
                    <w:bidi w:val="0"/>
                    <w:jc w:val="center"/>
                    <w:rPr>
                      <w:rFonts w:hint="default"/>
                      <w:lang w:val="en-US" w:eastAsia="zh-CN"/>
                    </w:rPr>
                  </w:pPr>
                  <w:r>
                    <w:rPr>
                      <w:rFonts w:hint="eastAsia"/>
                      <w:lang w:val="en-US" w:eastAsia="zh-CN"/>
                    </w:rPr>
                    <w:t>70</w:t>
                  </w:r>
                </w:p>
              </w:tc>
              <w:tc>
                <w:tcPr>
                  <w:tcW w:w="1051" w:type="pct"/>
                  <w:vAlign w:val="center"/>
                </w:tcPr>
                <w:p w14:paraId="60312CF3">
                  <w:pPr>
                    <w:pStyle w:val="26"/>
                    <w:bidi w:val="0"/>
                    <w:jc w:val="center"/>
                    <w:rPr>
                      <w:rFonts w:hint="default"/>
                      <w:lang w:val="en-US" w:eastAsia="zh-CN"/>
                    </w:rPr>
                  </w:pPr>
                  <w:r>
                    <w:rPr>
                      <w:rFonts w:hint="eastAsia"/>
                      <w:lang w:val="en-US" w:eastAsia="zh-CN"/>
                    </w:rPr>
                    <w:t>60</w:t>
                  </w:r>
                </w:p>
              </w:tc>
              <w:tc>
                <w:tcPr>
                  <w:tcW w:w="1051" w:type="pct"/>
                  <w:vAlign w:val="center"/>
                </w:tcPr>
                <w:p w14:paraId="01FF0E27">
                  <w:pPr>
                    <w:pStyle w:val="26"/>
                    <w:bidi w:val="0"/>
                    <w:jc w:val="center"/>
                    <w:rPr>
                      <w:rFonts w:hint="default"/>
                      <w:lang w:val="en-US" w:eastAsia="zh-CN"/>
                    </w:rPr>
                  </w:pPr>
                  <w:r>
                    <w:rPr>
                      <w:rFonts w:hint="eastAsia"/>
                      <w:lang w:val="en-US" w:eastAsia="zh-CN"/>
                    </w:rPr>
                    <w:t>60</w:t>
                  </w:r>
                </w:p>
              </w:tc>
            </w:tr>
            <w:tr w14:paraId="7A401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5" w:type="pct"/>
                  <w:vAlign w:val="center"/>
                </w:tcPr>
                <w:p w14:paraId="7CEFC887">
                  <w:pPr>
                    <w:pStyle w:val="26"/>
                    <w:bidi w:val="0"/>
                    <w:jc w:val="center"/>
                    <w:rPr>
                      <w:rFonts w:hint="default"/>
                      <w:lang w:val="en-US" w:eastAsia="zh-CN"/>
                    </w:rPr>
                  </w:pPr>
                  <w:r>
                    <w:rPr>
                      <w:rFonts w:hint="eastAsia"/>
                      <w:lang w:val="en-US" w:eastAsia="zh-CN"/>
                    </w:rPr>
                    <w:t>达标情况</w:t>
                  </w:r>
                </w:p>
              </w:tc>
              <w:tc>
                <w:tcPr>
                  <w:tcW w:w="1051" w:type="pct"/>
                  <w:shd w:val="clear" w:color="auto" w:fill="auto"/>
                  <w:vAlign w:val="center"/>
                </w:tcPr>
                <w:p w14:paraId="20BD7549">
                  <w:pPr>
                    <w:pStyle w:val="26"/>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达标</w:t>
                  </w:r>
                </w:p>
              </w:tc>
              <w:tc>
                <w:tcPr>
                  <w:tcW w:w="1051" w:type="pct"/>
                  <w:shd w:val="clear" w:color="auto" w:fill="auto"/>
                  <w:vAlign w:val="center"/>
                </w:tcPr>
                <w:p w14:paraId="34C7F277">
                  <w:pPr>
                    <w:bidi w:val="0"/>
                    <w:jc w:val="center"/>
                    <w:rPr>
                      <w:rFonts w:hint="eastAsia" w:asciiTheme="minorHAnsi" w:hAnsiTheme="minorHAnsi" w:eastAsiaTheme="minorEastAsia" w:cstheme="minorBidi"/>
                      <w:kern w:val="2"/>
                      <w:sz w:val="21"/>
                      <w:szCs w:val="22"/>
                      <w:lang w:val="en-US" w:eastAsia="zh-CN" w:bidi="ar-SA"/>
                    </w:rPr>
                  </w:pPr>
                  <w:r>
                    <w:rPr>
                      <w:rFonts w:hint="eastAsia"/>
                      <w:lang w:val="en-US" w:eastAsia="zh-CN"/>
                    </w:rPr>
                    <w:t>达标</w:t>
                  </w:r>
                </w:p>
              </w:tc>
              <w:tc>
                <w:tcPr>
                  <w:tcW w:w="1051" w:type="pct"/>
                  <w:shd w:val="clear" w:color="auto" w:fill="auto"/>
                  <w:vAlign w:val="center"/>
                </w:tcPr>
                <w:p w14:paraId="6BC28872">
                  <w:pPr>
                    <w:bidi w:val="0"/>
                    <w:jc w:val="center"/>
                    <w:rPr>
                      <w:rFonts w:hint="eastAsia" w:asciiTheme="minorHAnsi" w:hAnsiTheme="minorHAnsi" w:eastAsiaTheme="minorEastAsia" w:cstheme="minorBidi"/>
                      <w:kern w:val="2"/>
                      <w:sz w:val="21"/>
                      <w:szCs w:val="22"/>
                      <w:lang w:val="en-US" w:eastAsia="zh-CN" w:bidi="ar-SA"/>
                    </w:rPr>
                  </w:pPr>
                  <w:r>
                    <w:rPr>
                      <w:rFonts w:hint="eastAsia"/>
                      <w:lang w:val="en-US" w:eastAsia="zh-CN"/>
                    </w:rPr>
                    <w:t>达标</w:t>
                  </w:r>
                </w:p>
              </w:tc>
            </w:tr>
          </w:tbl>
          <w:p w14:paraId="0A0502AE">
            <w:pPr>
              <w:pStyle w:val="62"/>
              <w:rPr>
                <w:rFonts w:hint="eastAsia"/>
                <w:lang w:val="en-US" w:eastAsia="zh-CN"/>
              </w:rPr>
            </w:pPr>
            <w:r>
              <w:rPr>
                <w:rFonts w:hint="eastAsia"/>
                <w:lang w:val="en-US" w:eastAsia="zh-CN"/>
              </w:rPr>
              <w:t>根据预测结果可知，项目运营期南侧和西侧居民点昼间噪声预测值均能满足《声环境质量标准》2类标准要求，东侧居民点昼间噪声预测值能够满足《声环境质量标准》4a类标准要求。</w:t>
            </w:r>
          </w:p>
          <w:p w14:paraId="49BF70FA">
            <w:pPr>
              <w:pStyle w:val="62"/>
              <w:ind w:left="0" w:leftChars="0" w:firstLine="0" w:firstLineChars="0"/>
            </w:pPr>
            <w:r>
              <w:drawing>
                <wp:anchor distT="0" distB="0" distL="114300" distR="114300" simplePos="0" relativeHeight="251662336" behindDoc="0" locked="0" layoutInCell="1" allowOverlap="1">
                  <wp:simplePos x="0" y="0"/>
                  <wp:positionH relativeFrom="column">
                    <wp:posOffset>4513580</wp:posOffset>
                  </wp:positionH>
                  <wp:positionV relativeFrom="paragraph">
                    <wp:posOffset>2190750</wp:posOffset>
                  </wp:positionV>
                  <wp:extent cx="495300" cy="2421255"/>
                  <wp:effectExtent l="0" t="0" r="0" b="17145"/>
                  <wp:wrapNone/>
                  <wp:docPr id="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pic:cNvPicPr>
                            <a:picLocks noChangeAspect="1"/>
                          </pic:cNvPicPr>
                        </pic:nvPicPr>
                        <pic:blipFill>
                          <a:blip r:embed="rId32"/>
                          <a:stretch>
                            <a:fillRect/>
                          </a:stretch>
                        </pic:blipFill>
                        <pic:spPr>
                          <a:xfrm>
                            <a:off x="0" y="0"/>
                            <a:ext cx="495300" cy="2421255"/>
                          </a:xfrm>
                          <a:prstGeom prst="rect">
                            <a:avLst/>
                          </a:prstGeom>
                          <a:noFill/>
                          <a:ln>
                            <a:noFill/>
                          </a:ln>
                        </pic:spPr>
                      </pic:pic>
                    </a:graphicData>
                  </a:graphic>
                </wp:anchor>
              </w:drawing>
            </w:r>
            <w:r>
              <w:drawing>
                <wp:inline distT="0" distB="0" distL="114300" distR="114300">
                  <wp:extent cx="5047615" cy="4798695"/>
                  <wp:effectExtent l="0" t="0" r="635" b="1905"/>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pic:cNvPicPr>
                            <a:picLocks noChangeAspect="1"/>
                          </pic:cNvPicPr>
                        </pic:nvPicPr>
                        <pic:blipFill>
                          <a:blip r:embed="rId33"/>
                          <a:stretch>
                            <a:fillRect/>
                          </a:stretch>
                        </pic:blipFill>
                        <pic:spPr>
                          <a:xfrm>
                            <a:off x="0" y="0"/>
                            <a:ext cx="5047615" cy="4798695"/>
                          </a:xfrm>
                          <a:prstGeom prst="rect">
                            <a:avLst/>
                          </a:prstGeom>
                          <a:noFill/>
                          <a:ln>
                            <a:noFill/>
                          </a:ln>
                        </pic:spPr>
                      </pic:pic>
                    </a:graphicData>
                  </a:graphic>
                </wp:inline>
              </w:drawing>
            </w:r>
          </w:p>
          <w:p w14:paraId="210C8C5B">
            <w:pPr>
              <w:pStyle w:val="63"/>
              <w:bidi w:val="0"/>
              <w:rPr>
                <w:rFonts w:hint="default"/>
                <w:lang w:val="en-US" w:eastAsia="zh-CN"/>
              </w:rPr>
            </w:pPr>
            <w:r>
              <w:rPr>
                <w:rFonts w:hint="eastAsia"/>
                <w:lang w:val="en-US" w:eastAsia="zh-CN"/>
              </w:rPr>
              <w:t>图4-1  噪声贡献值预测结果等声值线图  单位dB(A)</w:t>
            </w:r>
          </w:p>
          <w:p w14:paraId="3E34A409">
            <w:pPr>
              <w:pStyle w:val="25"/>
              <w:ind w:firstLine="480"/>
            </w:pPr>
            <w:r>
              <w:rPr>
                <w:rFonts w:hint="eastAsia"/>
              </w:rPr>
              <w:t>（3）噪声污染防治措施</w:t>
            </w:r>
          </w:p>
          <w:p w14:paraId="0485C491">
            <w:pPr>
              <w:pStyle w:val="62"/>
              <w:ind w:firstLine="480"/>
            </w:pPr>
            <w:r>
              <w:rPr>
                <w:rFonts w:hint="eastAsia"/>
              </w:rPr>
              <w:t>本项目噪声源主要为</w:t>
            </w:r>
            <w:r>
              <w:rPr>
                <w:rFonts w:hint="eastAsia"/>
                <w:lang w:val="en-US" w:eastAsia="zh-CN"/>
              </w:rPr>
              <w:t>压缩机、液化气泵</w:t>
            </w:r>
            <w:r>
              <w:rPr>
                <w:rFonts w:hint="eastAsia"/>
              </w:rPr>
              <w:t>等，根据各噪声源噪声级、位置及影响预测结果，须采取必要的噪声污染防治措施，以确保噪声排放达标，并不对厂界声环境产生影响。具体措施如下：</w:t>
            </w:r>
          </w:p>
          <w:p w14:paraId="1AD2933E">
            <w:pPr>
              <w:pStyle w:val="62"/>
              <w:ind w:firstLine="480"/>
            </w:pPr>
            <w:r>
              <w:rPr>
                <w:rFonts w:hint="eastAsia"/>
              </w:rPr>
              <w:t>①根据噪声源特征，建议在设计和设备采购阶段，充分选用先进的低噪设备，从噪声源上降低设备本身噪声，以减少对员工和周围环境的影响。</w:t>
            </w:r>
          </w:p>
          <w:p w14:paraId="1B677D94">
            <w:pPr>
              <w:pStyle w:val="62"/>
              <w:ind w:firstLine="480"/>
            </w:pPr>
            <w:r>
              <w:rPr>
                <w:rFonts w:hint="eastAsia"/>
              </w:rPr>
              <w:t>②合理布置，注意设备安装。安装中采用减震、隔震措施，在支撑料件的台座上使用不发声的衬垫材料，对设备配置的电动机基座减震，并安装弹性衬垫和保护套。如在设备底部加减震垫，在设备的四周可开设一定宽度和深度的沟槽，里面填充松软物质，用来隔离振动传递。</w:t>
            </w:r>
          </w:p>
          <w:p w14:paraId="6C495840">
            <w:pPr>
              <w:pStyle w:val="62"/>
              <w:ind w:firstLine="480"/>
            </w:pPr>
            <w:r>
              <w:rPr>
                <w:rFonts w:hint="eastAsia"/>
              </w:rPr>
              <w:t>③对于车间，为减少车间内的整体噪声级，其墙体可进行降噪设计，如设置双层隔音窗户等，同时要建立良好隔声效果的站房，避免露天布置。</w:t>
            </w:r>
          </w:p>
          <w:p w14:paraId="54CB8603">
            <w:pPr>
              <w:pStyle w:val="62"/>
              <w:ind w:firstLine="480"/>
            </w:pPr>
            <w:r>
              <w:rPr>
                <w:rFonts w:hint="eastAsia"/>
              </w:rPr>
              <w:t>④定期检查设备，加强设备的维护，确保设备处于良好的运转状态，杜绝因设备不正常运转时产生的高噪声现象，做到文明生产。</w:t>
            </w:r>
          </w:p>
          <w:p w14:paraId="1EE0F72F">
            <w:pPr>
              <w:pStyle w:val="25"/>
              <w:ind w:firstLine="480"/>
            </w:pPr>
            <w:r>
              <w:rPr>
                <w:rFonts w:hint="eastAsia"/>
              </w:rPr>
              <w:t>（4）噪声监测计划</w:t>
            </w:r>
          </w:p>
          <w:p w14:paraId="3777949A">
            <w:pPr>
              <w:pStyle w:val="25"/>
              <w:ind w:firstLine="480"/>
            </w:pPr>
            <w:r>
              <w:rPr>
                <w:rFonts w:hint="eastAsia"/>
              </w:rPr>
              <w:t>根据《排污许可证申请与核发技术规范 工业噪声》（HJ1301-2023）对项目厂界噪声设置如下监测计划：</w:t>
            </w:r>
          </w:p>
          <w:p w14:paraId="018C9936">
            <w:pPr>
              <w:pStyle w:val="24"/>
              <w:spacing w:before="156"/>
            </w:pPr>
            <w:r>
              <w:rPr>
                <w:rFonts w:hint="eastAsia"/>
              </w:rPr>
              <w:t>表4-10噪声监测计划表</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4"/>
              <w:gridCol w:w="1843"/>
              <w:gridCol w:w="1701"/>
              <w:gridCol w:w="2759"/>
            </w:tblGrid>
            <w:tr w14:paraId="5AFCE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54" w:type="dxa"/>
                  <w:vAlign w:val="center"/>
                </w:tcPr>
                <w:p w14:paraId="09DE681D">
                  <w:pPr>
                    <w:pStyle w:val="48"/>
                  </w:pPr>
                  <w:r>
                    <w:rPr>
                      <w:rFonts w:hint="eastAsia"/>
                    </w:rPr>
                    <w:t>监测点位</w:t>
                  </w:r>
                </w:p>
              </w:tc>
              <w:tc>
                <w:tcPr>
                  <w:tcW w:w="1843" w:type="dxa"/>
                  <w:vAlign w:val="center"/>
                </w:tcPr>
                <w:p w14:paraId="344CDC8E">
                  <w:pPr>
                    <w:pStyle w:val="48"/>
                  </w:pPr>
                  <w:r>
                    <w:rPr>
                      <w:rFonts w:hint="eastAsia"/>
                    </w:rPr>
                    <w:t>监测因子</w:t>
                  </w:r>
                </w:p>
              </w:tc>
              <w:tc>
                <w:tcPr>
                  <w:tcW w:w="1701" w:type="dxa"/>
                  <w:vAlign w:val="center"/>
                </w:tcPr>
                <w:p w14:paraId="03B60586">
                  <w:pPr>
                    <w:pStyle w:val="48"/>
                  </w:pPr>
                  <w:r>
                    <w:rPr>
                      <w:rFonts w:hint="eastAsia"/>
                    </w:rPr>
                    <w:t>监测频次</w:t>
                  </w:r>
                </w:p>
              </w:tc>
              <w:tc>
                <w:tcPr>
                  <w:tcW w:w="2759" w:type="dxa"/>
                  <w:vAlign w:val="center"/>
                </w:tcPr>
                <w:p w14:paraId="78FE9DE9">
                  <w:pPr>
                    <w:pStyle w:val="48"/>
                  </w:pPr>
                  <w:r>
                    <w:rPr>
                      <w:rFonts w:hint="eastAsia"/>
                    </w:rPr>
                    <w:t>执行标准</w:t>
                  </w:r>
                </w:p>
              </w:tc>
            </w:tr>
            <w:tr w14:paraId="55DE9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4" w:type="dxa"/>
                  <w:vAlign w:val="center"/>
                </w:tcPr>
                <w:p w14:paraId="341C9960">
                  <w:pPr>
                    <w:pStyle w:val="48"/>
                  </w:pPr>
                  <w:r>
                    <w:rPr>
                      <w:rFonts w:hint="eastAsia"/>
                    </w:rPr>
                    <w:t>厂界</w:t>
                  </w:r>
                </w:p>
              </w:tc>
              <w:tc>
                <w:tcPr>
                  <w:tcW w:w="1843" w:type="dxa"/>
                  <w:vAlign w:val="center"/>
                </w:tcPr>
                <w:p w14:paraId="4834CE31">
                  <w:pPr>
                    <w:pStyle w:val="48"/>
                  </w:pPr>
                  <w:r>
                    <w:rPr>
                      <w:rFonts w:hint="eastAsia"/>
                    </w:rPr>
                    <w:t>厂界噪声</w:t>
                  </w:r>
                </w:p>
              </w:tc>
              <w:tc>
                <w:tcPr>
                  <w:tcW w:w="1701" w:type="dxa"/>
                  <w:vAlign w:val="center"/>
                </w:tcPr>
                <w:p w14:paraId="2CD7113B">
                  <w:pPr>
                    <w:pStyle w:val="48"/>
                  </w:pPr>
                  <w:r>
                    <w:rPr>
                      <w:rFonts w:hint="eastAsia"/>
                    </w:rPr>
                    <w:t>1次/季度</w:t>
                  </w:r>
                </w:p>
              </w:tc>
              <w:tc>
                <w:tcPr>
                  <w:tcW w:w="2759" w:type="dxa"/>
                  <w:vAlign w:val="center"/>
                </w:tcPr>
                <w:p w14:paraId="51BCDFB2">
                  <w:pPr>
                    <w:pStyle w:val="48"/>
                  </w:pPr>
                  <w:r>
                    <w:rPr>
                      <w:rFonts w:hint="eastAsia"/>
                    </w:rPr>
                    <w:t>《工业企业厂界环境噪声排放标准》（GB12348-2008）</w:t>
                  </w:r>
                </w:p>
              </w:tc>
            </w:tr>
          </w:tbl>
          <w:p w14:paraId="56AC9BC2">
            <w:pPr>
              <w:pStyle w:val="25"/>
              <w:ind w:firstLine="480"/>
            </w:pPr>
            <w:r>
              <w:rPr>
                <w:rFonts w:hint="eastAsia"/>
              </w:rPr>
              <w:t>（5）小结</w:t>
            </w:r>
          </w:p>
          <w:p w14:paraId="1A6541C1">
            <w:pPr>
              <w:pStyle w:val="62"/>
              <w:rPr>
                <w:rFonts w:hint="default"/>
                <w:lang w:val="en-US" w:eastAsia="zh-CN"/>
              </w:rPr>
            </w:pPr>
            <w:r>
              <w:rPr>
                <w:rFonts w:hint="eastAsia"/>
              </w:rPr>
              <w:t>项目采用先进低噪设备，各设备采取基础减振、建筑隔声等措施后，根据预测结果，项目厂界噪声能够达标排放，</w:t>
            </w:r>
            <w:r>
              <w:rPr>
                <w:rFonts w:hint="eastAsia"/>
                <w:lang w:val="en-US" w:eastAsia="zh-CN"/>
              </w:rPr>
              <w:t>周边敏感点声环境预测结果也均能满足声环境功能区要求</w:t>
            </w:r>
            <w:r>
              <w:rPr>
                <w:rFonts w:hint="eastAsia"/>
              </w:rPr>
              <w:t>，项目噪声环境影响可接受。</w:t>
            </w:r>
          </w:p>
          <w:p w14:paraId="75E818A9">
            <w:pPr>
              <w:pStyle w:val="25"/>
              <w:ind w:firstLine="480"/>
              <w:rPr>
                <w:rFonts w:hint="eastAsia"/>
                <w:lang w:val="en-US" w:eastAsia="zh-CN"/>
              </w:rPr>
            </w:pPr>
            <w:r>
              <w:rPr>
                <w:rFonts w:hint="eastAsia"/>
                <w:lang w:val="en-US" w:eastAsia="zh-CN"/>
              </w:rPr>
              <w:t>4、固体废物</w:t>
            </w:r>
          </w:p>
          <w:p w14:paraId="613EEE87">
            <w:pPr>
              <w:pStyle w:val="25"/>
              <w:ind w:firstLine="480"/>
              <w:rPr>
                <w:rFonts w:hint="eastAsia"/>
                <w:lang w:val="en-US" w:eastAsia="zh-CN"/>
              </w:rPr>
            </w:pPr>
            <w:r>
              <w:rPr>
                <w:rFonts w:hint="eastAsia"/>
                <w:lang w:val="en-US" w:eastAsia="zh-CN"/>
              </w:rPr>
              <w:t>（1）污染源强核算</w:t>
            </w:r>
          </w:p>
          <w:p w14:paraId="1A517619">
            <w:pPr>
              <w:pStyle w:val="25"/>
              <w:ind w:firstLine="480"/>
              <w:rPr>
                <w:rFonts w:hint="eastAsia"/>
                <w:lang w:val="en-US" w:eastAsia="zh-CN"/>
              </w:rPr>
            </w:pPr>
            <w:r>
              <w:rPr>
                <w:rFonts w:hint="eastAsia"/>
                <w:lang w:val="en-US" w:eastAsia="zh-CN"/>
              </w:rPr>
              <w:t>本项目固体废物主要包括残液、生活垃圾，本项目为充装站项目，钢瓶由液化石油气分销店提供后进行充装，不收集报废钢瓶，因此本次固体废物不考虑报废钢瓶。</w:t>
            </w:r>
          </w:p>
          <w:p w14:paraId="695BA833">
            <w:pPr>
              <w:pStyle w:val="25"/>
              <w:ind w:firstLine="480"/>
              <w:rPr>
                <w:rFonts w:hint="eastAsia"/>
                <w:lang w:val="en-US" w:eastAsia="zh-CN"/>
              </w:rPr>
            </w:pPr>
            <w:r>
              <w:rPr>
                <w:rFonts w:hint="eastAsia"/>
                <w:lang w:val="en-US" w:eastAsia="zh-CN"/>
              </w:rPr>
              <w:t>生活垃圾：项目劳动定员10人，生活垃圾产生量按1kg/人·d计算，则生活垃圾产生量约为10kg/d，3t/a，采用分类垃圾桶收集后委托当地环卫部门处置。</w:t>
            </w:r>
          </w:p>
          <w:p w14:paraId="61190575">
            <w:pPr>
              <w:pStyle w:val="25"/>
              <w:ind w:firstLine="480"/>
              <w:rPr>
                <w:rFonts w:hint="eastAsia"/>
                <w:vertAlign w:val="baseline"/>
                <w:lang w:val="en-US" w:eastAsia="zh-CN"/>
              </w:rPr>
            </w:pPr>
            <w:r>
              <w:rPr>
                <w:rFonts w:hint="eastAsia"/>
                <w:lang w:val="en-US" w:eastAsia="zh-CN"/>
              </w:rPr>
              <w:t>残液：根据</w:t>
            </w:r>
            <w:r>
              <w:rPr>
                <w:rFonts w:hint="eastAsia"/>
              </w:rPr>
              <w:t>《液化石油气钢瓶》（GB 5842-2023）</w:t>
            </w:r>
            <w:r>
              <w:rPr>
                <w:rFonts w:hint="eastAsia"/>
                <w:lang w:val="en-US" w:eastAsia="zh-CN"/>
              </w:rPr>
              <w:t>要求，钢瓶残液量≤2.5%，本项目年充装液化天然气量为900t/a，则残液量约为22.5t，残液属于危险废物，根据《国家危险废物名录（2025年版）》，属于HW08废矿物油与含矿物油废物，危废代码为900-249-08，危险特性为T,I。采用50m</w:t>
            </w:r>
            <w:r>
              <w:rPr>
                <w:rFonts w:hint="eastAsia"/>
                <w:vertAlign w:val="superscript"/>
                <w:lang w:val="en-US" w:eastAsia="zh-CN"/>
              </w:rPr>
              <w:t>3</w:t>
            </w:r>
            <w:r>
              <w:rPr>
                <w:rFonts w:hint="eastAsia"/>
                <w:vertAlign w:val="baseline"/>
                <w:lang w:val="en-US" w:eastAsia="zh-CN"/>
              </w:rPr>
              <w:t>残液罐贮存，贮存时间不超过1年，委托有资质单位定期收集处置。</w:t>
            </w:r>
          </w:p>
          <w:p w14:paraId="7334EEFE">
            <w:pPr>
              <w:pStyle w:val="25"/>
              <w:ind w:firstLine="480"/>
              <w:rPr>
                <w:rFonts w:hint="eastAsia"/>
                <w:vertAlign w:val="baseline"/>
                <w:lang w:val="en-US" w:eastAsia="zh-CN"/>
              </w:rPr>
            </w:pPr>
            <w:r>
              <w:rPr>
                <w:rFonts w:hint="eastAsia"/>
                <w:vertAlign w:val="baseline"/>
                <w:lang w:val="en-US" w:eastAsia="zh-CN"/>
              </w:rPr>
              <w:t>项目固体废物统计如下：</w:t>
            </w:r>
          </w:p>
          <w:p w14:paraId="4121EB11">
            <w:pPr>
              <w:pStyle w:val="63"/>
              <w:bidi w:val="0"/>
              <w:rPr>
                <w:rFonts w:hint="eastAsia"/>
                <w:lang w:val="en-US" w:eastAsia="zh-CN"/>
              </w:rPr>
            </w:pPr>
            <w:r>
              <w:rPr>
                <w:rFonts w:hint="eastAsia"/>
                <w:lang w:val="en-US" w:eastAsia="zh-CN"/>
              </w:rPr>
              <w:t>表4-11  固体废物产生情况表</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43"/>
              <w:gridCol w:w="943"/>
              <w:gridCol w:w="1092"/>
              <w:gridCol w:w="737"/>
              <w:gridCol w:w="2272"/>
              <w:gridCol w:w="722"/>
              <w:gridCol w:w="1163"/>
            </w:tblGrid>
            <w:tr w14:paraId="7221E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99" w:type="pct"/>
                  <w:vAlign w:val="center"/>
                </w:tcPr>
                <w:p w14:paraId="225E09A4">
                  <w:pPr>
                    <w:pStyle w:val="48"/>
                    <w:rPr>
                      <w:u w:val="none"/>
                    </w:rPr>
                  </w:pPr>
                  <w:r>
                    <w:rPr>
                      <w:rFonts w:hint="eastAsia"/>
                      <w:u w:val="none"/>
                    </w:rPr>
                    <w:t>名称</w:t>
                  </w:r>
                </w:p>
              </w:tc>
              <w:tc>
                <w:tcPr>
                  <w:tcW w:w="599" w:type="pct"/>
                  <w:vAlign w:val="center"/>
                </w:tcPr>
                <w:p w14:paraId="52D91A1C">
                  <w:pPr>
                    <w:pStyle w:val="48"/>
                    <w:rPr>
                      <w:u w:val="none"/>
                    </w:rPr>
                  </w:pPr>
                  <w:r>
                    <w:rPr>
                      <w:rFonts w:hint="eastAsia"/>
                      <w:u w:val="none"/>
                    </w:rPr>
                    <w:t>类型</w:t>
                  </w:r>
                </w:p>
              </w:tc>
              <w:tc>
                <w:tcPr>
                  <w:tcW w:w="693" w:type="pct"/>
                  <w:vAlign w:val="center"/>
                </w:tcPr>
                <w:p w14:paraId="21B4F397">
                  <w:pPr>
                    <w:pStyle w:val="48"/>
                    <w:rPr>
                      <w:u w:val="none"/>
                    </w:rPr>
                  </w:pPr>
                  <w:r>
                    <w:rPr>
                      <w:rFonts w:hint="eastAsia"/>
                      <w:u w:val="none"/>
                    </w:rPr>
                    <w:t>固废代码</w:t>
                  </w:r>
                </w:p>
              </w:tc>
              <w:tc>
                <w:tcPr>
                  <w:tcW w:w="468" w:type="pct"/>
                  <w:vAlign w:val="center"/>
                </w:tcPr>
                <w:p w14:paraId="133B11E3">
                  <w:pPr>
                    <w:pStyle w:val="48"/>
                    <w:rPr>
                      <w:u w:val="none"/>
                    </w:rPr>
                  </w:pPr>
                  <w:r>
                    <w:rPr>
                      <w:rFonts w:hint="eastAsia"/>
                      <w:u w:val="none"/>
                    </w:rPr>
                    <w:t>产生量</w:t>
                  </w:r>
                </w:p>
                <w:p w14:paraId="51B683E2">
                  <w:pPr>
                    <w:pStyle w:val="48"/>
                    <w:rPr>
                      <w:u w:val="none"/>
                    </w:rPr>
                  </w:pPr>
                  <w:r>
                    <w:rPr>
                      <w:rFonts w:hint="eastAsia"/>
                      <w:u w:val="none"/>
                    </w:rPr>
                    <w:t>t/a</w:t>
                  </w:r>
                </w:p>
              </w:tc>
              <w:tc>
                <w:tcPr>
                  <w:tcW w:w="1442" w:type="pct"/>
                  <w:vAlign w:val="center"/>
                </w:tcPr>
                <w:p w14:paraId="56E67FFE">
                  <w:pPr>
                    <w:pStyle w:val="48"/>
                    <w:rPr>
                      <w:u w:val="none"/>
                    </w:rPr>
                  </w:pPr>
                  <w:r>
                    <w:rPr>
                      <w:rFonts w:hint="eastAsia"/>
                      <w:u w:val="none"/>
                    </w:rPr>
                    <w:t>暂存方式及位置</w:t>
                  </w:r>
                </w:p>
              </w:tc>
              <w:tc>
                <w:tcPr>
                  <w:tcW w:w="458" w:type="pct"/>
                  <w:vAlign w:val="center"/>
                </w:tcPr>
                <w:p w14:paraId="79EC0629">
                  <w:pPr>
                    <w:pStyle w:val="48"/>
                    <w:rPr>
                      <w:u w:val="none"/>
                    </w:rPr>
                  </w:pPr>
                  <w:r>
                    <w:rPr>
                      <w:rFonts w:hint="eastAsia"/>
                      <w:u w:val="none"/>
                    </w:rPr>
                    <w:t>最大暂</w:t>
                  </w:r>
                </w:p>
                <w:p w14:paraId="768B1594">
                  <w:pPr>
                    <w:pStyle w:val="48"/>
                    <w:rPr>
                      <w:u w:val="none"/>
                    </w:rPr>
                  </w:pPr>
                  <w:r>
                    <w:rPr>
                      <w:rFonts w:hint="eastAsia"/>
                      <w:u w:val="none"/>
                    </w:rPr>
                    <w:t>存量t</w:t>
                  </w:r>
                </w:p>
              </w:tc>
              <w:tc>
                <w:tcPr>
                  <w:tcW w:w="738" w:type="pct"/>
                  <w:vAlign w:val="center"/>
                </w:tcPr>
                <w:p w14:paraId="38205D07">
                  <w:pPr>
                    <w:pStyle w:val="48"/>
                    <w:rPr>
                      <w:u w:val="none"/>
                    </w:rPr>
                  </w:pPr>
                  <w:r>
                    <w:rPr>
                      <w:rFonts w:hint="eastAsia"/>
                      <w:u w:val="none"/>
                    </w:rPr>
                    <w:t>处置方式</w:t>
                  </w:r>
                </w:p>
              </w:tc>
            </w:tr>
            <w:tr w14:paraId="27AD3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99" w:type="pct"/>
                  <w:vAlign w:val="center"/>
                </w:tcPr>
                <w:p w14:paraId="1F9F2C8F">
                  <w:pPr>
                    <w:pStyle w:val="48"/>
                    <w:rPr>
                      <w:rFonts w:hint="eastAsia" w:eastAsia="宋体"/>
                      <w:u w:val="none"/>
                      <w:lang w:eastAsia="zh-CN"/>
                    </w:rPr>
                  </w:pPr>
                  <w:r>
                    <w:rPr>
                      <w:rFonts w:hint="eastAsia"/>
                      <w:u w:val="none"/>
                      <w:lang w:val="en-US" w:eastAsia="zh-CN"/>
                    </w:rPr>
                    <w:t>残液</w:t>
                  </w:r>
                </w:p>
              </w:tc>
              <w:tc>
                <w:tcPr>
                  <w:tcW w:w="599" w:type="pct"/>
                  <w:vAlign w:val="center"/>
                </w:tcPr>
                <w:p w14:paraId="5D0378E9">
                  <w:pPr>
                    <w:pStyle w:val="48"/>
                    <w:rPr>
                      <w:u w:val="none"/>
                    </w:rPr>
                  </w:pPr>
                  <w:r>
                    <w:rPr>
                      <w:rFonts w:hint="eastAsia"/>
                      <w:u w:val="none"/>
                    </w:rPr>
                    <w:t>危险废物</w:t>
                  </w:r>
                </w:p>
              </w:tc>
              <w:tc>
                <w:tcPr>
                  <w:tcW w:w="693" w:type="pct"/>
                  <w:vAlign w:val="center"/>
                </w:tcPr>
                <w:p w14:paraId="3874AB41">
                  <w:pPr>
                    <w:pStyle w:val="48"/>
                    <w:rPr>
                      <w:u w:val="none"/>
                    </w:rPr>
                  </w:pPr>
                  <w:r>
                    <w:rPr>
                      <w:rFonts w:hint="eastAsia"/>
                      <w:u w:val="none"/>
                    </w:rPr>
                    <w:t>900-2</w:t>
                  </w:r>
                  <w:r>
                    <w:rPr>
                      <w:rFonts w:hint="eastAsia"/>
                      <w:u w:val="none"/>
                      <w:lang w:val="en-US" w:eastAsia="zh-CN"/>
                    </w:rPr>
                    <w:t>49</w:t>
                  </w:r>
                  <w:r>
                    <w:rPr>
                      <w:rFonts w:hint="eastAsia"/>
                      <w:u w:val="none"/>
                    </w:rPr>
                    <w:t>-08</w:t>
                  </w:r>
                </w:p>
              </w:tc>
              <w:tc>
                <w:tcPr>
                  <w:tcW w:w="468" w:type="pct"/>
                  <w:vAlign w:val="center"/>
                </w:tcPr>
                <w:p w14:paraId="36842FC2">
                  <w:pPr>
                    <w:pStyle w:val="48"/>
                    <w:rPr>
                      <w:rFonts w:hint="default" w:eastAsia="宋体"/>
                      <w:u w:val="none"/>
                      <w:lang w:val="en-US" w:eastAsia="zh-CN"/>
                    </w:rPr>
                  </w:pPr>
                  <w:r>
                    <w:rPr>
                      <w:rFonts w:hint="eastAsia"/>
                      <w:u w:val="none"/>
                      <w:lang w:val="en-US" w:eastAsia="zh-CN"/>
                    </w:rPr>
                    <w:t>22.5</w:t>
                  </w:r>
                </w:p>
              </w:tc>
              <w:tc>
                <w:tcPr>
                  <w:tcW w:w="1442" w:type="pct"/>
                  <w:vAlign w:val="center"/>
                </w:tcPr>
                <w:p w14:paraId="47B345CD">
                  <w:pPr>
                    <w:pStyle w:val="48"/>
                    <w:rPr>
                      <w:rFonts w:hint="default" w:eastAsia="宋体"/>
                      <w:u w:val="none"/>
                      <w:lang w:val="en-US" w:eastAsia="zh-CN"/>
                    </w:rPr>
                  </w:pPr>
                  <w:r>
                    <w:rPr>
                      <w:rFonts w:hint="eastAsia"/>
                      <w:u w:val="none"/>
                      <w:lang w:val="en-US" w:eastAsia="zh-CN"/>
                    </w:rPr>
                    <w:t>残液罐密闭贮存</w:t>
                  </w:r>
                </w:p>
              </w:tc>
              <w:tc>
                <w:tcPr>
                  <w:tcW w:w="458" w:type="pct"/>
                  <w:vAlign w:val="center"/>
                </w:tcPr>
                <w:p w14:paraId="41D10989">
                  <w:pPr>
                    <w:pStyle w:val="48"/>
                    <w:rPr>
                      <w:rFonts w:hint="default" w:eastAsia="宋体"/>
                      <w:u w:val="none"/>
                      <w:lang w:val="en-US" w:eastAsia="zh-CN"/>
                    </w:rPr>
                  </w:pPr>
                  <w:r>
                    <w:rPr>
                      <w:rFonts w:hint="eastAsia"/>
                      <w:u w:val="none"/>
                      <w:lang w:val="en-US" w:eastAsia="zh-CN"/>
                    </w:rPr>
                    <w:t>22.5</w:t>
                  </w:r>
                </w:p>
              </w:tc>
              <w:tc>
                <w:tcPr>
                  <w:tcW w:w="738" w:type="pct"/>
                  <w:vAlign w:val="center"/>
                </w:tcPr>
                <w:p w14:paraId="73504FA9">
                  <w:pPr>
                    <w:pStyle w:val="48"/>
                    <w:rPr>
                      <w:u w:val="none"/>
                    </w:rPr>
                  </w:pPr>
                  <w:r>
                    <w:rPr>
                      <w:rFonts w:hint="eastAsia"/>
                      <w:u w:val="none"/>
                    </w:rPr>
                    <w:t>委托有资质</w:t>
                  </w:r>
                </w:p>
                <w:p w14:paraId="09A42005">
                  <w:pPr>
                    <w:pStyle w:val="48"/>
                    <w:rPr>
                      <w:u w:val="none"/>
                    </w:rPr>
                  </w:pPr>
                  <w:r>
                    <w:rPr>
                      <w:rFonts w:hint="eastAsia"/>
                      <w:u w:val="none"/>
                    </w:rPr>
                    <w:t>单位处置</w:t>
                  </w:r>
                </w:p>
              </w:tc>
            </w:tr>
            <w:tr w14:paraId="42CB1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99" w:type="pct"/>
                  <w:vAlign w:val="center"/>
                </w:tcPr>
                <w:p w14:paraId="59E63828">
                  <w:pPr>
                    <w:pStyle w:val="48"/>
                    <w:rPr>
                      <w:u w:val="none"/>
                    </w:rPr>
                  </w:pPr>
                  <w:r>
                    <w:rPr>
                      <w:rFonts w:hint="eastAsia"/>
                      <w:u w:val="none"/>
                    </w:rPr>
                    <w:t>生活垃圾</w:t>
                  </w:r>
                </w:p>
              </w:tc>
              <w:tc>
                <w:tcPr>
                  <w:tcW w:w="599" w:type="pct"/>
                  <w:vAlign w:val="center"/>
                </w:tcPr>
                <w:p w14:paraId="008B3BBE">
                  <w:pPr>
                    <w:pStyle w:val="48"/>
                    <w:rPr>
                      <w:u w:val="none"/>
                    </w:rPr>
                  </w:pPr>
                  <w:r>
                    <w:rPr>
                      <w:rFonts w:hint="eastAsia"/>
                      <w:u w:val="none"/>
                    </w:rPr>
                    <w:t>生活垃圾</w:t>
                  </w:r>
                </w:p>
              </w:tc>
              <w:tc>
                <w:tcPr>
                  <w:tcW w:w="693" w:type="pct"/>
                  <w:vAlign w:val="center"/>
                </w:tcPr>
                <w:p w14:paraId="6F69A6C8">
                  <w:pPr>
                    <w:pStyle w:val="48"/>
                    <w:rPr>
                      <w:u w:val="none"/>
                    </w:rPr>
                  </w:pPr>
                  <w:r>
                    <w:rPr>
                      <w:rFonts w:hint="eastAsia"/>
                      <w:u w:val="none"/>
                    </w:rPr>
                    <w:t>/</w:t>
                  </w:r>
                </w:p>
              </w:tc>
              <w:tc>
                <w:tcPr>
                  <w:tcW w:w="468" w:type="pct"/>
                  <w:vAlign w:val="center"/>
                </w:tcPr>
                <w:p w14:paraId="56D5AE22">
                  <w:pPr>
                    <w:pStyle w:val="48"/>
                    <w:rPr>
                      <w:u w:val="none"/>
                    </w:rPr>
                  </w:pPr>
                  <w:r>
                    <w:rPr>
                      <w:rFonts w:hint="eastAsia"/>
                      <w:u w:val="none"/>
                    </w:rPr>
                    <w:t>1.5</w:t>
                  </w:r>
                </w:p>
              </w:tc>
              <w:tc>
                <w:tcPr>
                  <w:tcW w:w="1442" w:type="pct"/>
                  <w:vAlign w:val="center"/>
                </w:tcPr>
                <w:p w14:paraId="305E3A09">
                  <w:pPr>
                    <w:pStyle w:val="48"/>
                    <w:rPr>
                      <w:u w:val="none"/>
                    </w:rPr>
                  </w:pPr>
                  <w:r>
                    <w:rPr>
                      <w:rFonts w:hint="eastAsia"/>
                      <w:u w:val="none"/>
                    </w:rPr>
                    <w:t>分类垃圾桶收集，日产日清</w:t>
                  </w:r>
                </w:p>
              </w:tc>
              <w:tc>
                <w:tcPr>
                  <w:tcW w:w="458" w:type="pct"/>
                  <w:vAlign w:val="center"/>
                </w:tcPr>
                <w:p w14:paraId="721D72FC">
                  <w:pPr>
                    <w:pStyle w:val="48"/>
                    <w:rPr>
                      <w:u w:val="none"/>
                    </w:rPr>
                  </w:pPr>
                  <w:r>
                    <w:rPr>
                      <w:rFonts w:hint="eastAsia"/>
                      <w:u w:val="none"/>
                    </w:rPr>
                    <w:t>/</w:t>
                  </w:r>
                </w:p>
              </w:tc>
              <w:tc>
                <w:tcPr>
                  <w:tcW w:w="738" w:type="pct"/>
                  <w:vAlign w:val="center"/>
                </w:tcPr>
                <w:p w14:paraId="1BD1713C">
                  <w:pPr>
                    <w:pStyle w:val="48"/>
                    <w:rPr>
                      <w:u w:val="none"/>
                    </w:rPr>
                  </w:pPr>
                  <w:r>
                    <w:rPr>
                      <w:rFonts w:hint="eastAsia"/>
                      <w:u w:val="none"/>
                    </w:rPr>
                    <w:t>环卫部门收集处置</w:t>
                  </w:r>
                </w:p>
              </w:tc>
            </w:tr>
          </w:tbl>
          <w:p w14:paraId="6F189A98">
            <w:pPr>
              <w:pStyle w:val="24"/>
              <w:bidi w:val="0"/>
              <w:rPr>
                <w:rFonts w:hint="default"/>
                <w:u w:val="none"/>
                <w:lang w:val="en-US" w:eastAsia="zh-CN"/>
              </w:rPr>
            </w:pPr>
            <w:r>
              <w:rPr>
                <w:rFonts w:hint="eastAsia"/>
                <w:u w:val="none"/>
                <w:lang w:val="en-US" w:eastAsia="zh-CN"/>
              </w:rPr>
              <w:t xml:space="preserve">表4-12  </w:t>
            </w:r>
            <w:r>
              <w:rPr>
                <w:rFonts w:hint="eastAsia"/>
                <w:u w:val="none"/>
              </w:rPr>
              <w:t>危险废物产生情况及收集情况表</w:t>
            </w:r>
          </w:p>
          <w:tbl>
            <w:tblPr>
              <w:tblStyle w:val="6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45"/>
              <w:gridCol w:w="576"/>
              <w:gridCol w:w="723"/>
              <w:gridCol w:w="1112"/>
              <w:gridCol w:w="735"/>
              <w:gridCol w:w="749"/>
              <w:gridCol w:w="425"/>
              <w:gridCol w:w="543"/>
              <w:gridCol w:w="605"/>
              <w:gridCol w:w="545"/>
              <w:gridCol w:w="491"/>
              <w:gridCol w:w="823"/>
            </w:tblGrid>
            <w:tr w14:paraId="4DC78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346" w:type="pct"/>
                  <w:vAlign w:val="center"/>
                </w:tcPr>
                <w:p w14:paraId="28EA5E76">
                  <w:pPr>
                    <w:pStyle w:val="48"/>
                    <w:rPr>
                      <w:u w:val="none"/>
                    </w:rPr>
                  </w:pPr>
                  <w:r>
                    <w:rPr>
                      <w:u w:val="none"/>
                    </w:rPr>
                    <w:t>序号</w:t>
                  </w:r>
                </w:p>
              </w:tc>
              <w:tc>
                <w:tcPr>
                  <w:tcW w:w="366" w:type="pct"/>
                  <w:vAlign w:val="center"/>
                </w:tcPr>
                <w:p w14:paraId="1DB7AB51">
                  <w:pPr>
                    <w:pStyle w:val="48"/>
                    <w:rPr>
                      <w:u w:val="none"/>
                    </w:rPr>
                  </w:pPr>
                  <w:r>
                    <w:rPr>
                      <w:u w:val="none"/>
                    </w:rPr>
                    <w:t>危险废物名称</w:t>
                  </w:r>
                </w:p>
              </w:tc>
              <w:tc>
                <w:tcPr>
                  <w:tcW w:w="459" w:type="pct"/>
                  <w:vAlign w:val="center"/>
                </w:tcPr>
                <w:p w14:paraId="2F17A246">
                  <w:pPr>
                    <w:pStyle w:val="48"/>
                    <w:rPr>
                      <w:u w:val="none"/>
                    </w:rPr>
                  </w:pPr>
                  <w:r>
                    <w:rPr>
                      <w:u w:val="none"/>
                    </w:rPr>
                    <w:t>危险废物类别</w:t>
                  </w:r>
                </w:p>
              </w:tc>
              <w:tc>
                <w:tcPr>
                  <w:tcW w:w="706" w:type="pct"/>
                  <w:vAlign w:val="center"/>
                </w:tcPr>
                <w:p w14:paraId="657F011A">
                  <w:pPr>
                    <w:pStyle w:val="48"/>
                    <w:rPr>
                      <w:u w:val="none"/>
                    </w:rPr>
                  </w:pPr>
                  <w:r>
                    <w:rPr>
                      <w:u w:val="none"/>
                    </w:rPr>
                    <w:t>危险废物</w:t>
                  </w:r>
                </w:p>
                <w:p w14:paraId="21B54A94">
                  <w:pPr>
                    <w:pStyle w:val="48"/>
                    <w:rPr>
                      <w:u w:val="none"/>
                    </w:rPr>
                  </w:pPr>
                  <w:r>
                    <w:rPr>
                      <w:u w:val="none"/>
                    </w:rPr>
                    <w:t>代码</w:t>
                  </w:r>
                </w:p>
              </w:tc>
              <w:tc>
                <w:tcPr>
                  <w:tcW w:w="467" w:type="pct"/>
                  <w:vAlign w:val="center"/>
                </w:tcPr>
                <w:p w14:paraId="42D3B6C5">
                  <w:pPr>
                    <w:pStyle w:val="48"/>
                    <w:rPr>
                      <w:u w:val="none"/>
                    </w:rPr>
                  </w:pPr>
                  <w:r>
                    <w:rPr>
                      <w:u w:val="none"/>
                    </w:rPr>
                    <w:t>产生量（t/a</w:t>
                  </w:r>
                  <w:r>
                    <w:rPr>
                      <w:rFonts w:hint="eastAsia"/>
                      <w:u w:val="none"/>
                    </w:rPr>
                    <w:t>）</w:t>
                  </w:r>
                </w:p>
              </w:tc>
              <w:tc>
                <w:tcPr>
                  <w:tcW w:w="476" w:type="pct"/>
                  <w:vAlign w:val="center"/>
                </w:tcPr>
                <w:p w14:paraId="4C63EDFC">
                  <w:pPr>
                    <w:pStyle w:val="48"/>
                    <w:rPr>
                      <w:u w:val="none"/>
                    </w:rPr>
                  </w:pPr>
                  <w:r>
                    <w:rPr>
                      <w:u w:val="none"/>
                    </w:rPr>
                    <w:t>产生工序及装置</w:t>
                  </w:r>
                </w:p>
              </w:tc>
              <w:tc>
                <w:tcPr>
                  <w:tcW w:w="270" w:type="pct"/>
                  <w:vAlign w:val="center"/>
                </w:tcPr>
                <w:p w14:paraId="521280A4">
                  <w:pPr>
                    <w:pStyle w:val="48"/>
                    <w:rPr>
                      <w:u w:val="none"/>
                    </w:rPr>
                  </w:pPr>
                  <w:r>
                    <w:rPr>
                      <w:u w:val="none"/>
                    </w:rPr>
                    <w:t>形态</w:t>
                  </w:r>
                </w:p>
              </w:tc>
              <w:tc>
                <w:tcPr>
                  <w:tcW w:w="345" w:type="pct"/>
                  <w:vAlign w:val="center"/>
                </w:tcPr>
                <w:p w14:paraId="2A9DAB08">
                  <w:pPr>
                    <w:pStyle w:val="48"/>
                    <w:rPr>
                      <w:u w:val="none"/>
                    </w:rPr>
                  </w:pPr>
                  <w:r>
                    <w:rPr>
                      <w:u w:val="none"/>
                    </w:rPr>
                    <w:t>主要</w:t>
                  </w:r>
                </w:p>
                <w:p w14:paraId="31D5D666">
                  <w:pPr>
                    <w:pStyle w:val="48"/>
                    <w:rPr>
                      <w:u w:val="none"/>
                    </w:rPr>
                  </w:pPr>
                  <w:r>
                    <w:rPr>
                      <w:u w:val="none"/>
                    </w:rPr>
                    <w:t>成分</w:t>
                  </w:r>
                </w:p>
              </w:tc>
              <w:tc>
                <w:tcPr>
                  <w:tcW w:w="384" w:type="pct"/>
                  <w:vAlign w:val="center"/>
                </w:tcPr>
                <w:p w14:paraId="54515937">
                  <w:pPr>
                    <w:pStyle w:val="48"/>
                    <w:rPr>
                      <w:u w:val="none"/>
                    </w:rPr>
                  </w:pPr>
                  <w:r>
                    <w:rPr>
                      <w:u w:val="none"/>
                    </w:rPr>
                    <w:t>有害</w:t>
                  </w:r>
                </w:p>
                <w:p w14:paraId="057D4E08">
                  <w:pPr>
                    <w:pStyle w:val="48"/>
                    <w:rPr>
                      <w:u w:val="none"/>
                    </w:rPr>
                  </w:pPr>
                  <w:r>
                    <w:rPr>
                      <w:u w:val="none"/>
                    </w:rPr>
                    <w:t>成分</w:t>
                  </w:r>
                </w:p>
              </w:tc>
              <w:tc>
                <w:tcPr>
                  <w:tcW w:w="346" w:type="pct"/>
                  <w:vAlign w:val="center"/>
                </w:tcPr>
                <w:p w14:paraId="37A44CBC">
                  <w:pPr>
                    <w:pStyle w:val="48"/>
                    <w:rPr>
                      <w:u w:val="none"/>
                    </w:rPr>
                  </w:pPr>
                  <w:r>
                    <w:rPr>
                      <w:u w:val="none"/>
                    </w:rPr>
                    <w:t>产废</w:t>
                  </w:r>
                </w:p>
                <w:p w14:paraId="3E243DEF">
                  <w:pPr>
                    <w:pStyle w:val="48"/>
                    <w:rPr>
                      <w:u w:val="none"/>
                    </w:rPr>
                  </w:pPr>
                  <w:r>
                    <w:rPr>
                      <w:u w:val="none"/>
                    </w:rPr>
                    <w:t>周期</w:t>
                  </w:r>
                </w:p>
              </w:tc>
              <w:tc>
                <w:tcPr>
                  <w:tcW w:w="312" w:type="pct"/>
                  <w:vAlign w:val="center"/>
                </w:tcPr>
                <w:p w14:paraId="140F4F36">
                  <w:pPr>
                    <w:pStyle w:val="48"/>
                    <w:rPr>
                      <w:u w:val="none"/>
                    </w:rPr>
                  </w:pPr>
                  <w:r>
                    <w:rPr>
                      <w:u w:val="none"/>
                    </w:rPr>
                    <w:t>危险</w:t>
                  </w:r>
                </w:p>
                <w:p w14:paraId="3C4FE6DB">
                  <w:pPr>
                    <w:pStyle w:val="48"/>
                    <w:rPr>
                      <w:u w:val="none"/>
                    </w:rPr>
                  </w:pPr>
                  <w:r>
                    <w:rPr>
                      <w:u w:val="none"/>
                    </w:rPr>
                    <w:t>特性</w:t>
                  </w:r>
                </w:p>
              </w:tc>
              <w:tc>
                <w:tcPr>
                  <w:tcW w:w="523" w:type="pct"/>
                  <w:vAlign w:val="center"/>
                </w:tcPr>
                <w:p w14:paraId="39DAF701">
                  <w:pPr>
                    <w:pStyle w:val="48"/>
                    <w:rPr>
                      <w:u w:val="none"/>
                    </w:rPr>
                  </w:pPr>
                  <w:r>
                    <w:rPr>
                      <w:u w:val="none"/>
                    </w:rPr>
                    <w:t>污染防治措施</w:t>
                  </w:r>
                </w:p>
              </w:tc>
            </w:tr>
            <w:tr w14:paraId="78236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346" w:type="pct"/>
                  <w:vAlign w:val="center"/>
                </w:tcPr>
                <w:p w14:paraId="75A8B2BD">
                  <w:pPr>
                    <w:pStyle w:val="48"/>
                    <w:rPr>
                      <w:u w:val="none"/>
                    </w:rPr>
                  </w:pPr>
                  <w:r>
                    <w:rPr>
                      <w:u w:val="none"/>
                    </w:rPr>
                    <w:t>1</w:t>
                  </w:r>
                </w:p>
              </w:tc>
              <w:tc>
                <w:tcPr>
                  <w:tcW w:w="366" w:type="pct"/>
                  <w:vAlign w:val="center"/>
                </w:tcPr>
                <w:p w14:paraId="1324E467">
                  <w:pPr>
                    <w:pStyle w:val="48"/>
                    <w:rPr>
                      <w:rFonts w:hint="eastAsia" w:eastAsia="宋体"/>
                      <w:u w:val="none"/>
                      <w:lang w:eastAsia="zh-CN"/>
                    </w:rPr>
                  </w:pPr>
                  <w:r>
                    <w:rPr>
                      <w:rFonts w:hint="eastAsia"/>
                      <w:u w:val="none"/>
                      <w:lang w:val="en-US" w:eastAsia="zh-CN"/>
                    </w:rPr>
                    <w:t>残液</w:t>
                  </w:r>
                </w:p>
              </w:tc>
              <w:tc>
                <w:tcPr>
                  <w:tcW w:w="459" w:type="pct"/>
                  <w:vAlign w:val="center"/>
                </w:tcPr>
                <w:p w14:paraId="5AE782B6">
                  <w:pPr>
                    <w:pStyle w:val="48"/>
                    <w:rPr>
                      <w:u w:val="none"/>
                    </w:rPr>
                  </w:pPr>
                  <w:r>
                    <w:rPr>
                      <w:rFonts w:hint="eastAsia"/>
                      <w:u w:val="none"/>
                    </w:rPr>
                    <w:t>HW08</w:t>
                  </w:r>
                </w:p>
              </w:tc>
              <w:tc>
                <w:tcPr>
                  <w:tcW w:w="706" w:type="pct"/>
                  <w:vAlign w:val="center"/>
                </w:tcPr>
                <w:p w14:paraId="4CC69268">
                  <w:pPr>
                    <w:pStyle w:val="48"/>
                    <w:rPr>
                      <w:u w:val="none"/>
                    </w:rPr>
                  </w:pPr>
                  <w:r>
                    <w:rPr>
                      <w:rFonts w:hint="eastAsia"/>
                      <w:u w:val="none"/>
                    </w:rPr>
                    <w:t>900-2</w:t>
                  </w:r>
                  <w:r>
                    <w:rPr>
                      <w:rFonts w:hint="eastAsia"/>
                      <w:u w:val="none"/>
                      <w:lang w:val="en-US" w:eastAsia="zh-CN"/>
                    </w:rPr>
                    <w:t>49</w:t>
                  </w:r>
                  <w:r>
                    <w:rPr>
                      <w:rFonts w:hint="eastAsia"/>
                      <w:u w:val="none"/>
                    </w:rPr>
                    <w:t>-08</w:t>
                  </w:r>
                </w:p>
              </w:tc>
              <w:tc>
                <w:tcPr>
                  <w:tcW w:w="467" w:type="pct"/>
                  <w:vAlign w:val="center"/>
                </w:tcPr>
                <w:p w14:paraId="50562CDD">
                  <w:pPr>
                    <w:pStyle w:val="48"/>
                    <w:rPr>
                      <w:rFonts w:hint="default" w:eastAsia="宋体"/>
                      <w:u w:val="none"/>
                      <w:lang w:val="en-US" w:eastAsia="zh-CN"/>
                    </w:rPr>
                  </w:pPr>
                  <w:r>
                    <w:rPr>
                      <w:rFonts w:hint="eastAsia"/>
                      <w:u w:val="none"/>
                      <w:lang w:val="en-US" w:eastAsia="zh-CN"/>
                    </w:rPr>
                    <w:t>22.5</w:t>
                  </w:r>
                </w:p>
              </w:tc>
              <w:tc>
                <w:tcPr>
                  <w:tcW w:w="476" w:type="pct"/>
                  <w:vAlign w:val="center"/>
                </w:tcPr>
                <w:p w14:paraId="426CD8FB">
                  <w:pPr>
                    <w:pStyle w:val="48"/>
                    <w:rPr>
                      <w:rFonts w:hint="eastAsia" w:eastAsia="宋体"/>
                      <w:u w:val="none"/>
                      <w:lang w:eastAsia="zh-CN"/>
                    </w:rPr>
                  </w:pPr>
                  <w:r>
                    <w:rPr>
                      <w:rFonts w:hint="eastAsia"/>
                      <w:u w:val="none"/>
                      <w:lang w:val="en-US" w:eastAsia="zh-CN"/>
                    </w:rPr>
                    <w:t>倒残液</w:t>
                  </w:r>
                </w:p>
              </w:tc>
              <w:tc>
                <w:tcPr>
                  <w:tcW w:w="270" w:type="pct"/>
                  <w:vAlign w:val="center"/>
                </w:tcPr>
                <w:p w14:paraId="69DA03CD">
                  <w:pPr>
                    <w:pStyle w:val="48"/>
                    <w:rPr>
                      <w:u w:val="none"/>
                    </w:rPr>
                  </w:pPr>
                  <w:r>
                    <w:rPr>
                      <w:rFonts w:hint="eastAsia"/>
                      <w:u w:val="none"/>
                    </w:rPr>
                    <w:t>液态</w:t>
                  </w:r>
                </w:p>
              </w:tc>
              <w:tc>
                <w:tcPr>
                  <w:tcW w:w="345" w:type="pct"/>
                  <w:vAlign w:val="center"/>
                </w:tcPr>
                <w:p w14:paraId="3DB2E65A">
                  <w:pPr>
                    <w:pStyle w:val="48"/>
                    <w:rPr>
                      <w:u w:val="none"/>
                    </w:rPr>
                  </w:pPr>
                  <w:r>
                    <w:rPr>
                      <w:rFonts w:hint="eastAsia"/>
                      <w:u w:val="none"/>
                    </w:rPr>
                    <w:t>废矿物油</w:t>
                  </w:r>
                </w:p>
              </w:tc>
              <w:tc>
                <w:tcPr>
                  <w:tcW w:w="384" w:type="pct"/>
                  <w:vAlign w:val="center"/>
                </w:tcPr>
                <w:p w14:paraId="46F4B164">
                  <w:pPr>
                    <w:pStyle w:val="48"/>
                    <w:rPr>
                      <w:u w:val="none"/>
                    </w:rPr>
                  </w:pPr>
                  <w:r>
                    <w:rPr>
                      <w:rFonts w:hint="eastAsia"/>
                      <w:u w:val="none"/>
                    </w:rPr>
                    <w:t>废矿物油</w:t>
                  </w:r>
                </w:p>
              </w:tc>
              <w:tc>
                <w:tcPr>
                  <w:tcW w:w="346" w:type="pct"/>
                  <w:vAlign w:val="center"/>
                </w:tcPr>
                <w:p w14:paraId="12107C8D">
                  <w:pPr>
                    <w:pStyle w:val="48"/>
                    <w:rPr>
                      <w:u w:val="none"/>
                    </w:rPr>
                  </w:pPr>
                  <w:r>
                    <w:rPr>
                      <w:rFonts w:hint="eastAsia"/>
                      <w:u w:val="none"/>
                    </w:rPr>
                    <w:t>每天</w:t>
                  </w:r>
                </w:p>
              </w:tc>
              <w:tc>
                <w:tcPr>
                  <w:tcW w:w="312" w:type="pct"/>
                  <w:vAlign w:val="center"/>
                </w:tcPr>
                <w:p w14:paraId="78E52C1C">
                  <w:pPr>
                    <w:pStyle w:val="48"/>
                    <w:rPr>
                      <w:u w:val="none"/>
                    </w:rPr>
                  </w:pPr>
                  <w:r>
                    <w:rPr>
                      <w:rFonts w:hint="eastAsia"/>
                      <w:u w:val="none"/>
                    </w:rPr>
                    <w:t>T，I</w:t>
                  </w:r>
                </w:p>
              </w:tc>
              <w:tc>
                <w:tcPr>
                  <w:tcW w:w="523" w:type="pct"/>
                  <w:vAlign w:val="center"/>
                </w:tcPr>
                <w:p w14:paraId="36B21E76">
                  <w:pPr>
                    <w:pStyle w:val="48"/>
                    <w:rPr>
                      <w:rFonts w:hint="default" w:eastAsia="宋体"/>
                      <w:u w:val="none"/>
                      <w:lang w:val="en-US" w:eastAsia="zh-CN"/>
                    </w:rPr>
                  </w:pPr>
                  <w:r>
                    <w:rPr>
                      <w:rFonts w:hint="eastAsia"/>
                      <w:u w:val="none"/>
                      <w:lang w:val="en-US" w:eastAsia="zh-CN"/>
                    </w:rPr>
                    <w:t>残液罐贮存，委托有资质单位处置</w:t>
                  </w:r>
                </w:p>
              </w:tc>
            </w:tr>
          </w:tbl>
          <w:p w14:paraId="6A00569C">
            <w:pPr>
              <w:pStyle w:val="62"/>
              <w:rPr>
                <w:rFonts w:hint="eastAsia"/>
                <w:lang w:val="en-US" w:eastAsia="zh-CN"/>
              </w:rPr>
            </w:pPr>
            <w:r>
              <w:rPr>
                <w:rFonts w:hint="eastAsia"/>
                <w:lang w:val="en-US" w:eastAsia="zh-CN"/>
              </w:rPr>
              <w:t>（2）固体废物管理</w:t>
            </w:r>
          </w:p>
          <w:p w14:paraId="6A67A313">
            <w:pPr>
              <w:pStyle w:val="62"/>
            </w:pPr>
            <w:r>
              <w:rPr>
                <w:rFonts w:hint="eastAsia"/>
                <w:lang w:val="en-US" w:eastAsia="zh-CN"/>
              </w:rPr>
              <w:t>1）生活垃圾：</w:t>
            </w:r>
            <w:r>
              <w:t>员工日常生活产生的生活垃圾，交由环卫部门统一清运。</w:t>
            </w:r>
          </w:p>
          <w:p w14:paraId="2F7ACB02">
            <w:pPr>
              <w:pStyle w:val="62"/>
              <w:rPr>
                <w:rFonts w:hint="eastAsia" w:eastAsia="宋体"/>
                <w:lang w:val="en-US" w:eastAsia="zh-CN"/>
              </w:rPr>
            </w:pPr>
            <w:r>
              <w:rPr>
                <w:rFonts w:hint="eastAsia"/>
                <w:lang w:val="en-US" w:eastAsia="zh-CN"/>
              </w:rPr>
              <w:t>2）</w:t>
            </w:r>
            <w:r>
              <w:t>危险废物收集的环境管理要求</w:t>
            </w:r>
          </w:p>
          <w:p w14:paraId="7A80EB91">
            <w:pPr>
              <w:pStyle w:val="59"/>
              <w:spacing w:line="360" w:lineRule="auto"/>
              <w:ind w:firstLine="480" w:firstLineChars="200"/>
              <w:rPr>
                <w:rFonts w:ascii="Times New Roman" w:hAnsi="Times New Roman" w:eastAsia="宋体" w:cs="Times New Roman"/>
                <w:szCs w:val="24"/>
              </w:rPr>
            </w:pPr>
            <w:r>
              <w:rPr>
                <w:rStyle w:val="66"/>
                <w:rFonts w:hint="eastAsia"/>
                <w:lang w:val="en-US" w:eastAsia="zh-CN"/>
              </w:rPr>
              <w:t>本项目产生的残液通过管道直接转入残液罐贮存，委托有资质单位定期处置。</w:t>
            </w:r>
            <w:r>
              <w:rPr>
                <w:rStyle w:val="66"/>
              </w:rPr>
              <w:t>依据《危险废物贮存污染控制标准》（GB18597-2023）、《危险废物收集、贮存、运输</w:t>
            </w:r>
            <w:r>
              <w:rPr>
                <w:rFonts w:ascii="Times New Roman" w:hAnsi="Times New Roman" w:eastAsia="宋体" w:cs="Times New Roman"/>
                <w:szCs w:val="24"/>
              </w:rPr>
              <w:t>技术规范》（HJ2025-2012），本项目应采取以下措施：</w:t>
            </w:r>
          </w:p>
          <w:p w14:paraId="33CA2959">
            <w:pPr>
              <w:pStyle w:val="62"/>
              <w:rPr>
                <w:rFonts w:ascii="Times New Roman" w:hAnsi="Times New Roman" w:eastAsia="宋体" w:cs="Times New Roman"/>
                <w:szCs w:val="24"/>
              </w:rPr>
            </w:pPr>
            <w:r>
              <w:rPr>
                <w:rFonts w:ascii="Times New Roman" w:hAnsi="Times New Roman" w:eastAsia="宋体" w:cs="Times New Roman"/>
                <w:szCs w:val="24"/>
              </w:rPr>
              <w:t>①收集、贮存、运输危险废物的设施、场所显著位置张贴危险废物的标识，根据《危险废物贮存污染控制标准》（GB18597-2023）的要求设置危险废物标识。</w:t>
            </w:r>
          </w:p>
          <w:p w14:paraId="4F377BFB">
            <w:pPr>
              <w:pStyle w:val="62"/>
              <w:rPr>
                <w:rFonts w:ascii="Times New Roman" w:hAnsi="Times New Roman" w:eastAsia="宋体" w:cs="Times New Roman"/>
                <w:szCs w:val="24"/>
              </w:rPr>
            </w:pPr>
            <w:r>
              <w:rPr>
                <w:rFonts w:ascii="Times New Roman" w:hAnsi="Times New Roman" w:eastAsia="宋体" w:cs="Times New Roman"/>
                <w:szCs w:val="24"/>
              </w:rPr>
              <w:t>②从源头分类：危险废物应采用与危废相容的耐腐蚀、高强度的容器贮存，满足《危险废物贮存污染控制标准》（GB18597-2023）中对贮存容器的要求，危险废物包装应能有效隔断危险废物迁移扩散途径，并达到防渗、防漏要求；危险废物按种类分别存放，且不同类废物间有明显的间隔。</w:t>
            </w:r>
          </w:p>
          <w:p w14:paraId="421CA6CE">
            <w:pPr>
              <w:pStyle w:val="62"/>
              <w:rPr>
                <w:rFonts w:ascii="Times New Roman" w:hAnsi="Times New Roman" w:eastAsia="宋体" w:cs="Times New Roman"/>
                <w:szCs w:val="24"/>
              </w:rPr>
            </w:pPr>
            <w:r>
              <w:rPr>
                <w:rFonts w:ascii="Times New Roman" w:hAnsi="Times New Roman" w:eastAsia="宋体" w:cs="Times New Roman"/>
                <w:szCs w:val="24"/>
              </w:rPr>
              <w:t>③贮存设施或贮存分区内地面、墙面裙脚、堵截泄漏的围堰、接触危险废物的隔板和墙体等应采用坚固的材料建造，表面无裂缝。贮存设施地面与裙脚应采取表面防渗措施；表面防渗材料应与所接触的物料或污染物相容，可采用抗渗混凝土、高密度聚乙烯膜、钠基膨润土防水毯或其他防渗性能等效的材料。</w:t>
            </w:r>
          </w:p>
          <w:p w14:paraId="26B28E59">
            <w:pPr>
              <w:pStyle w:val="62"/>
              <w:rPr>
                <w:rFonts w:ascii="Times New Roman" w:hAnsi="Times New Roman" w:eastAsia="宋体" w:cs="Times New Roman"/>
                <w:szCs w:val="24"/>
              </w:rPr>
            </w:pPr>
            <w:r>
              <w:rPr>
                <w:rFonts w:ascii="Times New Roman" w:hAnsi="Times New Roman" w:eastAsia="宋体" w:cs="Times New Roman"/>
                <w:szCs w:val="24"/>
              </w:rPr>
              <w:t>④建立固废的全部档案，从废物特性、数量、倾倒位置、来源、去向等文件资料，必须按国家档案管理条例进行整理与管理，保证完整无缺。</w:t>
            </w:r>
          </w:p>
          <w:p w14:paraId="01BA2505">
            <w:pPr>
              <w:pStyle w:val="62"/>
              <w:rPr>
                <w:rFonts w:ascii="Times New Roman" w:hAnsi="Times New Roman" w:eastAsia="宋体" w:cs="Times New Roman"/>
                <w:szCs w:val="24"/>
              </w:rPr>
            </w:pPr>
            <w:r>
              <w:rPr>
                <w:rFonts w:ascii="Times New Roman" w:hAnsi="Times New Roman" w:eastAsia="宋体" w:cs="Times New Roman"/>
                <w:szCs w:val="24"/>
              </w:rPr>
              <w:t>⑤加强危险储存场所的安全防范措施，防止破损、倾倒等情况发生，防止出现危险废物渗漏等二次污染情况。</w:t>
            </w:r>
          </w:p>
          <w:p w14:paraId="6978FA27">
            <w:pPr>
              <w:pStyle w:val="62"/>
              <w:rPr>
                <w:rFonts w:ascii="Times New Roman" w:hAnsi="Times New Roman" w:eastAsia="宋体" w:cs="Times New Roman"/>
                <w:szCs w:val="24"/>
              </w:rPr>
            </w:pPr>
            <w:r>
              <w:rPr>
                <w:rFonts w:ascii="Times New Roman" w:hAnsi="Times New Roman" w:eastAsia="宋体" w:cs="Times New Roman"/>
                <w:szCs w:val="24"/>
              </w:rPr>
              <w:t>⑥危险废物定期交由有资质单位处理，并签订委托处置合同，签订合同前应对处置单位的危险废物处理资质和能力进行核实。</w:t>
            </w:r>
          </w:p>
          <w:p w14:paraId="03A8118F">
            <w:pPr>
              <w:pStyle w:val="62"/>
              <w:rPr>
                <w:rFonts w:ascii="Times New Roman" w:hAnsi="Times New Roman" w:eastAsia="宋体" w:cs="Times New Roman"/>
                <w:szCs w:val="24"/>
              </w:rPr>
            </w:pPr>
            <w:r>
              <w:rPr>
                <w:rFonts w:ascii="Times New Roman" w:hAnsi="Times New Roman" w:eastAsia="宋体" w:cs="Times New Roman"/>
                <w:szCs w:val="24"/>
              </w:rPr>
              <w:t>⑦危险废物转移应满足《危险废物转移管理办法》。制定危险废物管理计划，明确拟转移危险废物的种类、重量（数量）和流向等信息；建立危险废物管理台账，对转移的危险废物进行计量称重，如实记录、妥善保管转移危险废物的种类、重量（数量）和接受人等相关信息；填写、运行危险废物转移联单，在危险废物转移联单中如实填写移出人、承运人、接受人信息，转移危险废物的种类、重量（数量）、危险特性等信息，以及突发环境事件的防范措施等；及时核实接受人贮存、利用或者处置相关危险废物情况。禁止将危险废物以副产品等名义提供或者委托给无危险废物经营许可证的单位或者其他生产经营者从事收集、贮存、利用、处置活动。</w:t>
            </w:r>
          </w:p>
          <w:p w14:paraId="1654EF99">
            <w:pPr>
              <w:pStyle w:val="59"/>
              <w:spacing w:line="360" w:lineRule="auto"/>
              <w:ind w:firstLine="480" w:firstLineChars="200"/>
              <w:rPr>
                <w:rFonts w:ascii="Times New Roman" w:hAnsi="Times New Roman" w:eastAsia="宋体" w:cs="Times New Roman"/>
                <w:szCs w:val="24"/>
              </w:rPr>
            </w:pPr>
            <w:r>
              <w:rPr>
                <w:rFonts w:hint="eastAsia" w:ascii="Times New Roman" w:hAnsi="Times New Roman" w:eastAsia="宋体" w:cs="Times New Roman"/>
                <w:szCs w:val="24"/>
                <w:lang w:val="en-US" w:eastAsia="zh-CN"/>
              </w:rPr>
              <w:t>3</w:t>
            </w:r>
            <w:r>
              <w:rPr>
                <w:rFonts w:ascii="Times New Roman" w:hAnsi="Times New Roman" w:eastAsia="宋体" w:cs="Times New Roman"/>
                <w:szCs w:val="24"/>
              </w:rPr>
              <w:t>）危险废物运输的环境管理要求</w:t>
            </w:r>
          </w:p>
          <w:p w14:paraId="53787ABA">
            <w:pPr>
              <w:pStyle w:val="59"/>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本项目的运输过程主要指将厂区内已包装或装到运输车辆上的危险废物集中到危险废物暂存间的内部转运。已装好的危险废物在内部转运到临时贮存设施时可能发生倾倒、撒漏到厂区地面或车间地面造成对土壤、地下水等的不利影响。为此，本项目应按照《危险废物收集、贮存、运输技术规范》（HJ2025-2012）的要求采取如下措施：</w:t>
            </w:r>
          </w:p>
          <w:p w14:paraId="5009099C">
            <w:pPr>
              <w:pStyle w:val="59"/>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①危险废物内部转运应综合考虑厂区的实际情况确定转运路线，尽量避开办公区。</w:t>
            </w:r>
          </w:p>
          <w:p w14:paraId="05C28FED">
            <w:pPr>
              <w:pStyle w:val="59"/>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②危险废物内部转运作业应采用专用的工具，危险废物内部转运应参照《危险废物收集、贮存、运输技术规范》（HJ2025-2012）做好危险废物厂内转运记录。</w:t>
            </w:r>
          </w:p>
          <w:p w14:paraId="568BB966">
            <w:pPr>
              <w:pStyle w:val="62"/>
              <w:rPr>
                <w:rFonts w:ascii="Times New Roman" w:hAnsi="Times New Roman" w:eastAsia="宋体" w:cs="Times New Roman"/>
                <w:szCs w:val="24"/>
              </w:rPr>
            </w:pPr>
            <w:r>
              <w:rPr>
                <w:rFonts w:ascii="Times New Roman" w:hAnsi="Times New Roman" w:eastAsia="宋体" w:cs="Times New Roman"/>
                <w:szCs w:val="24"/>
              </w:rPr>
              <w:t>③危险废物内部转运结束后，应对转运路线进行检查和清理，确保无危险废物遗失在转运路线上等。</w:t>
            </w:r>
          </w:p>
          <w:p w14:paraId="75D9AD90">
            <w:pPr>
              <w:pStyle w:val="59"/>
              <w:spacing w:line="360" w:lineRule="auto"/>
              <w:ind w:firstLine="480" w:firstLineChars="200"/>
              <w:rPr>
                <w:rFonts w:ascii="Times New Roman" w:hAnsi="Times New Roman" w:eastAsia="宋体" w:cs="Times New Roman"/>
                <w:szCs w:val="24"/>
              </w:rPr>
            </w:pPr>
            <w:r>
              <w:rPr>
                <w:rFonts w:hint="eastAsia" w:ascii="Times New Roman" w:hAnsi="Times New Roman" w:eastAsia="宋体" w:cs="Times New Roman"/>
                <w:szCs w:val="24"/>
                <w:lang w:val="en-US" w:eastAsia="zh-CN"/>
              </w:rPr>
              <w:t>4</w:t>
            </w:r>
            <w:r>
              <w:rPr>
                <w:rFonts w:ascii="Times New Roman" w:hAnsi="Times New Roman" w:eastAsia="宋体" w:cs="Times New Roman"/>
                <w:szCs w:val="24"/>
              </w:rPr>
              <w:t>）危险废物委托处置的环境管理要求</w:t>
            </w:r>
          </w:p>
          <w:p w14:paraId="3AE45B88">
            <w:pPr>
              <w:pStyle w:val="59"/>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本项目产生的危险废物拟交由有资质的单位处理。在选择处置单位时，应选择具有危险废物经营许可证，资质许可范围包含本项目产生的危险废物类别，能够提供专业收集、运输、贮存、处理处置及综合利用危险废物的企业，避免危险废物对环境的二次污染风险。在满足上述条件下，本项目危险废物交有资质单位处理途径可行。</w:t>
            </w:r>
          </w:p>
          <w:p w14:paraId="39CF2467">
            <w:pPr>
              <w:pStyle w:val="62"/>
              <w:rPr>
                <w:rFonts w:ascii="Times New Roman" w:hAnsi="Times New Roman" w:eastAsia="宋体" w:cs="Times New Roman"/>
                <w:szCs w:val="24"/>
              </w:rPr>
            </w:pPr>
            <w:r>
              <w:rPr>
                <w:rFonts w:ascii="Times New Roman" w:hAnsi="Times New Roman" w:eastAsia="宋体" w:cs="Times New Roman"/>
                <w:szCs w:val="24"/>
              </w:rPr>
              <w:t>综上所述，本项目固体废物去向明确合理、处置措施可行，不会对周边环境造成二次污染。</w:t>
            </w:r>
          </w:p>
          <w:p w14:paraId="3605CE95">
            <w:pPr>
              <w:pStyle w:val="62"/>
              <w:rPr>
                <w:rFonts w:hint="eastAsia" w:cs="Times New Roman"/>
                <w:szCs w:val="24"/>
                <w:lang w:val="en-US" w:eastAsia="zh-CN"/>
              </w:rPr>
            </w:pPr>
            <w:r>
              <w:rPr>
                <w:rFonts w:hint="eastAsia" w:cs="Times New Roman"/>
                <w:szCs w:val="24"/>
                <w:lang w:eastAsia="zh-CN"/>
              </w:rPr>
              <w:t>（</w:t>
            </w:r>
            <w:r>
              <w:rPr>
                <w:rFonts w:hint="eastAsia" w:cs="Times New Roman"/>
                <w:szCs w:val="24"/>
                <w:lang w:val="en-US" w:eastAsia="zh-CN"/>
              </w:rPr>
              <w:t>3</w:t>
            </w:r>
            <w:r>
              <w:rPr>
                <w:rFonts w:hint="eastAsia" w:cs="Times New Roman"/>
                <w:szCs w:val="24"/>
                <w:lang w:eastAsia="zh-CN"/>
              </w:rPr>
              <w:t>）</w:t>
            </w:r>
            <w:r>
              <w:rPr>
                <w:rFonts w:hint="eastAsia" w:cs="Times New Roman"/>
                <w:szCs w:val="24"/>
                <w:lang w:val="en-US" w:eastAsia="zh-CN"/>
              </w:rPr>
              <w:t>小结</w:t>
            </w:r>
          </w:p>
          <w:p w14:paraId="522B763D">
            <w:pPr>
              <w:pStyle w:val="62"/>
              <w:rPr>
                <w:rFonts w:hint="eastAsia"/>
              </w:rPr>
            </w:pPr>
            <w:r>
              <w:rPr>
                <w:rFonts w:hint="eastAsia"/>
              </w:rPr>
              <w:t>本项目工业固体废物的处理或处置符合“无害化”的原则，满足《中华人民共和国环境保护法》及《中华人民共和国固体废物污染环境防治法》的要求，对环境影响可以接受。</w:t>
            </w:r>
          </w:p>
          <w:p w14:paraId="14F2A34E">
            <w:pPr>
              <w:pStyle w:val="62"/>
              <w:rPr>
                <w:rFonts w:hint="eastAsia"/>
                <w:lang w:val="en-US" w:eastAsia="zh-CN"/>
              </w:rPr>
            </w:pPr>
            <w:r>
              <w:rPr>
                <w:rFonts w:hint="eastAsia"/>
                <w:lang w:val="en-US" w:eastAsia="zh-CN"/>
              </w:rPr>
              <w:t>5、土壤、地下水污染防治措施</w:t>
            </w:r>
          </w:p>
          <w:p w14:paraId="3DBC6608">
            <w:pPr>
              <w:pStyle w:val="62"/>
              <w:ind w:firstLine="480"/>
            </w:pPr>
            <w:r>
              <w:rPr>
                <w:rFonts w:hint="eastAsia"/>
              </w:rPr>
              <w:t>项目采用分区防渗措施，对</w:t>
            </w:r>
            <w:r>
              <w:rPr>
                <w:rFonts w:hint="eastAsia"/>
                <w:lang w:val="en-US" w:eastAsia="zh-CN"/>
              </w:rPr>
              <w:t>储罐区、灌瓶车间</w:t>
            </w:r>
            <w:r>
              <w:rPr>
                <w:rFonts w:hint="eastAsia"/>
              </w:rPr>
              <w:t>进行重点防渗，对</w:t>
            </w:r>
            <w:r>
              <w:rPr>
                <w:rFonts w:hint="eastAsia"/>
                <w:lang w:val="en-US" w:eastAsia="zh-CN"/>
              </w:rPr>
              <w:t>装卸区</w:t>
            </w:r>
            <w:r>
              <w:rPr>
                <w:rFonts w:hint="eastAsia"/>
              </w:rPr>
              <w:t>进行一般防渗，其他区域进行地面硬化。具体防渗分区及防渗要求如下：</w:t>
            </w:r>
          </w:p>
          <w:p w14:paraId="7FA317F8">
            <w:pPr>
              <w:pStyle w:val="24"/>
              <w:spacing w:before="156"/>
            </w:pPr>
            <w:r>
              <w:rPr>
                <w:rFonts w:hint="eastAsia"/>
              </w:rPr>
              <w:t>表4-1</w:t>
            </w:r>
            <w:r>
              <w:rPr>
                <w:rFonts w:hint="eastAsia"/>
                <w:lang w:val="en-US" w:eastAsia="zh-CN"/>
              </w:rPr>
              <w:t>3</w:t>
            </w:r>
            <w:r>
              <w:rPr>
                <w:rFonts w:hint="eastAsia"/>
              </w:rPr>
              <w:t>厂区分区防渗要求一览表</w:t>
            </w:r>
          </w:p>
          <w:tbl>
            <w:tblPr>
              <w:tblStyle w:val="6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5"/>
              <w:gridCol w:w="2787"/>
              <w:gridCol w:w="3790"/>
            </w:tblGrid>
            <w:tr w14:paraId="0CA74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23" w:type="pct"/>
                  <w:vAlign w:val="center"/>
                </w:tcPr>
                <w:p w14:paraId="2EDB87D8">
                  <w:pPr>
                    <w:pStyle w:val="48"/>
                  </w:pPr>
                  <w:r>
                    <w:t>分区要求</w:t>
                  </w:r>
                </w:p>
              </w:tc>
              <w:tc>
                <w:tcPr>
                  <w:tcW w:w="1770" w:type="pct"/>
                  <w:vAlign w:val="center"/>
                </w:tcPr>
                <w:p w14:paraId="36F741F6">
                  <w:pPr>
                    <w:pStyle w:val="48"/>
                  </w:pPr>
                  <w:r>
                    <w:t>区域</w:t>
                  </w:r>
                </w:p>
              </w:tc>
              <w:tc>
                <w:tcPr>
                  <w:tcW w:w="2407" w:type="pct"/>
                  <w:vAlign w:val="center"/>
                </w:tcPr>
                <w:p w14:paraId="46AA41B3">
                  <w:pPr>
                    <w:pStyle w:val="48"/>
                  </w:pPr>
                  <w:r>
                    <w:t>防渗措施</w:t>
                  </w:r>
                </w:p>
              </w:tc>
            </w:tr>
            <w:tr w14:paraId="353E4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823" w:type="pct"/>
                  <w:vAlign w:val="center"/>
                </w:tcPr>
                <w:p w14:paraId="0856A07F">
                  <w:pPr>
                    <w:pStyle w:val="48"/>
                  </w:pPr>
                  <w:r>
                    <w:t>重点防渗区</w:t>
                  </w:r>
                </w:p>
              </w:tc>
              <w:tc>
                <w:tcPr>
                  <w:tcW w:w="1770" w:type="pct"/>
                  <w:vAlign w:val="center"/>
                </w:tcPr>
                <w:p w14:paraId="7E57E68C">
                  <w:pPr>
                    <w:pStyle w:val="48"/>
                    <w:rPr>
                      <w:rFonts w:hint="default" w:eastAsia="宋体"/>
                      <w:lang w:val="en-US" w:eastAsia="zh-CN"/>
                    </w:rPr>
                  </w:pPr>
                  <w:r>
                    <w:rPr>
                      <w:rFonts w:hint="eastAsia"/>
                      <w:lang w:val="en-US" w:eastAsia="zh-CN"/>
                    </w:rPr>
                    <w:t>储罐区、灌瓶车间</w:t>
                  </w:r>
                </w:p>
              </w:tc>
              <w:tc>
                <w:tcPr>
                  <w:tcW w:w="2407" w:type="pct"/>
                  <w:vAlign w:val="center"/>
                </w:tcPr>
                <w:p w14:paraId="0D3494D4">
                  <w:pPr>
                    <w:pStyle w:val="48"/>
                  </w:pPr>
                  <w:r>
                    <w:t>采用10cm厚抗渗等级为P8的混凝土防渗+至少2mm厚的高密度聚乙烯膜，渗透系数≤10</w:t>
                  </w:r>
                  <w:r>
                    <w:rPr>
                      <w:vertAlign w:val="superscript"/>
                    </w:rPr>
                    <w:t>-7</w:t>
                  </w:r>
                  <w:r>
                    <w:t>cm/s。</w:t>
                  </w:r>
                </w:p>
              </w:tc>
            </w:tr>
            <w:tr w14:paraId="4B3DA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823" w:type="pct"/>
                  <w:vAlign w:val="center"/>
                </w:tcPr>
                <w:p w14:paraId="3163EB46">
                  <w:pPr>
                    <w:pStyle w:val="48"/>
                  </w:pPr>
                  <w:r>
                    <w:t>一般防渗区</w:t>
                  </w:r>
                </w:p>
              </w:tc>
              <w:tc>
                <w:tcPr>
                  <w:tcW w:w="1770" w:type="pct"/>
                  <w:vAlign w:val="center"/>
                </w:tcPr>
                <w:p w14:paraId="614598BF">
                  <w:pPr>
                    <w:pStyle w:val="48"/>
                    <w:rPr>
                      <w:rFonts w:hint="eastAsia" w:eastAsia="宋体"/>
                      <w:lang w:eastAsia="zh-CN"/>
                    </w:rPr>
                  </w:pPr>
                  <w:r>
                    <w:rPr>
                      <w:rFonts w:hint="eastAsia"/>
                      <w:lang w:val="en-US" w:eastAsia="zh-CN"/>
                    </w:rPr>
                    <w:t>装卸区</w:t>
                  </w:r>
                </w:p>
              </w:tc>
              <w:tc>
                <w:tcPr>
                  <w:tcW w:w="2407" w:type="pct"/>
                  <w:vAlign w:val="center"/>
                </w:tcPr>
                <w:p w14:paraId="4601B9B1">
                  <w:pPr>
                    <w:pStyle w:val="48"/>
                  </w:pPr>
                  <w:r>
                    <w:t>地面采用抗渗混凝土硬化，渗透系数不应大于1.0×10</w:t>
                  </w:r>
                  <w:r>
                    <w:rPr>
                      <w:vertAlign w:val="superscript"/>
                    </w:rPr>
                    <w:t>-7</w:t>
                  </w:r>
                  <w:r>
                    <w:t>cm/s</w:t>
                  </w:r>
                </w:p>
              </w:tc>
            </w:tr>
            <w:tr w14:paraId="0FA32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23" w:type="pct"/>
                  <w:vAlign w:val="center"/>
                </w:tcPr>
                <w:p w14:paraId="165B4310">
                  <w:pPr>
                    <w:pStyle w:val="48"/>
                  </w:pPr>
                  <w:r>
                    <w:t>简单防渗区</w:t>
                  </w:r>
                </w:p>
              </w:tc>
              <w:tc>
                <w:tcPr>
                  <w:tcW w:w="1770" w:type="pct"/>
                  <w:vAlign w:val="center"/>
                </w:tcPr>
                <w:p w14:paraId="462868A5">
                  <w:pPr>
                    <w:pStyle w:val="48"/>
                    <w:rPr>
                      <w:rFonts w:hint="default" w:eastAsia="宋体"/>
                      <w:lang w:val="en-US" w:eastAsia="zh-CN"/>
                    </w:rPr>
                  </w:pPr>
                  <w:r>
                    <w:rPr>
                      <w:rFonts w:hint="eastAsia"/>
                      <w:lang w:val="en-US" w:eastAsia="zh-CN"/>
                    </w:rPr>
                    <w:t>厂内道路、消防水池/水泵房、研发中心、分析实验楼等区域</w:t>
                  </w:r>
                </w:p>
              </w:tc>
              <w:tc>
                <w:tcPr>
                  <w:tcW w:w="2407" w:type="pct"/>
                  <w:vAlign w:val="center"/>
                </w:tcPr>
                <w:p w14:paraId="174365C0">
                  <w:pPr>
                    <w:pStyle w:val="48"/>
                  </w:pPr>
                  <w:r>
                    <w:rPr>
                      <w:rFonts w:hint="eastAsia"/>
                    </w:rPr>
                    <w:t>一般地面硬化</w:t>
                  </w:r>
                </w:p>
              </w:tc>
            </w:tr>
          </w:tbl>
          <w:p w14:paraId="41313820">
            <w:pPr>
              <w:pStyle w:val="62"/>
              <w:rPr>
                <w:rFonts w:hint="eastAsia"/>
                <w:lang w:val="en-US" w:eastAsia="zh-CN"/>
              </w:rPr>
            </w:pPr>
            <w:r>
              <w:rPr>
                <w:rFonts w:hint="eastAsia"/>
                <w:lang w:val="en-US" w:eastAsia="zh-CN"/>
              </w:rPr>
              <w:t>6、环境风险</w:t>
            </w:r>
          </w:p>
          <w:p w14:paraId="162831BD">
            <w:pPr>
              <w:pStyle w:val="62"/>
              <w:ind w:firstLine="480"/>
            </w:pPr>
            <w:r>
              <w:rPr>
                <w:rFonts w:hint="eastAsia"/>
              </w:rPr>
              <w:t>根据《建设项目环境风险评价导则》（</w:t>
            </w:r>
            <w:r>
              <w:t>HJ/T169-2018）附录C，计算所涉及的每种危险物质在厂界内的最大存在总量与其在附录B中对应临界量的比值Q。</w:t>
            </w:r>
          </w:p>
          <w:p w14:paraId="1F08EC64">
            <w:pPr>
              <w:pStyle w:val="62"/>
              <w:ind w:firstLine="480"/>
            </w:pPr>
            <w:r>
              <w:rPr>
                <w:rFonts w:hint="eastAsia"/>
              </w:rPr>
              <w:t>当只涉及一种危险物质时，计算该物质的总量与其临界量比值，即为</w:t>
            </w:r>
            <w:r>
              <w:t>Q；</w:t>
            </w:r>
          </w:p>
          <w:p w14:paraId="34616BCE">
            <w:pPr>
              <w:pStyle w:val="62"/>
              <w:ind w:firstLine="480"/>
            </w:pPr>
            <w:r>
              <w:rPr>
                <w:rFonts w:hint="eastAsia"/>
              </w:rPr>
              <w:t>当存在多种危险物质时，则下式计算物质总量与其临界量比值（</w:t>
            </w:r>
            <w:r>
              <w:t>Q）：</w:t>
            </w:r>
          </w:p>
          <w:p w14:paraId="18718F83">
            <w:pPr>
              <w:pStyle w:val="62"/>
              <w:ind w:firstLine="560"/>
              <w:rPr>
                <w:sz w:val="28"/>
                <w:szCs w:val="24"/>
              </w:rPr>
            </w:pPr>
            <m:oMathPara>
              <m:oMath>
                <m:r>
                  <m:rPr>
                    <m:sty m:val="p"/>
                  </m:rPr>
                  <w:rPr>
                    <w:rFonts w:ascii="Cambria Math" w:hAnsi="Cambria Math" w:cs="Times New Roman"/>
                    <w:snapToGrid w:val="0"/>
                    <w:kern w:val="0"/>
                    <w:sz w:val="28"/>
                  </w:rPr>
                  <m:t>Q=</m:t>
                </m:r>
                <m:f>
                  <m:fPr>
                    <m:ctrlPr>
                      <w:rPr>
                        <w:rFonts w:ascii="Cambria Math" w:hAnsi="Cambria Math" w:cs="Times New Roman"/>
                        <w:snapToGrid w:val="0"/>
                        <w:kern w:val="0"/>
                        <w:sz w:val="28"/>
                      </w:rPr>
                    </m:ctrlPr>
                  </m:fPr>
                  <m:num>
                    <m:sSub>
                      <m:sSubPr>
                        <m:ctrlPr>
                          <w:rPr>
                            <w:rFonts w:ascii="Cambria Math" w:hAnsi="Cambria Math" w:cs="Times New Roman"/>
                            <w:i/>
                            <w:snapToGrid w:val="0"/>
                            <w:kern w:val="0"/>
                            <w:sz w:val="28"/>
                          </w:rPr>
                        </m:ctrlPr>
                      </m:sSubPr>
                      <m:e>
                        <m:r>
                          <m:rPr/>
                          <w:rPr>
                            <w:rFonts w:ascii="Cambria Math" w:hAnsi="Cambria Math" w:cs="Times New Roman"/>
                            <w:snapToGrid w:val="0"/>
                            <w:kern w:val="0"/>
                            <w:sz w:val="28"/>
                          </w:rPr>
                          <m:t>q</m:t>
                        </m:r>
                        <m:ctrlPr>
                          <w:rPr>
                            <w:rFonts w:ascii="Cambria Math" w:hAnsi="Cambria Math" w:cs="Times New Roman"/>
                            <w:i/>
                            <w:snapToGrid w:val="0"/>
                            <w:kern w:val="0"/>
                            <w:sz w:val="28"/>
                          </w:rPr>
                        </m:ctrlPr>
                      </m:e>
                      <m:sub>
                        <m:r>
                          <m:rPr/>
                          <w:rPr>
                            <w:rFonts w:ascii="Cambria Math" w:hAnsi="Cambria Math" w:cs="Times New Roman"/>
                            <w:snapToGrid w:val="0"/>
                            <w:kern w:val="0"/>
                            <w:sz w:val="28"/>
                          </w:rPr>
                          <m:t>1</m:t>
                        </m:r>
                        <m:ctrlPr>
                          <w:rPr>
                            <w:rFonts w:ascii="Cambria Math" w:hAnsi="Cambria Math" w:cs="Times New Roman"/>
                            <w:i/>
                            <w:snapToGrid w:val="0"/>
                            <w:kern w:val="0"/>
                            <w:sz w:val="28"/>
                          </w:rPr>
                        </m:ctrlPr>
                      </m:sub>
                    </m:sSub>
                    <m:ctrlPr>
                      <w:rPr>
                        <w:rFonts w:ascii="Cambria Math" w:hAnsi="Cambria Math" w:cs="Times New Roman"/>
                        <w:snapToGrid w:val="0"/>
                        <w:kern w:val="0"/>
                        <w:sz w:val="28"/>
                      </w:rPr>
                    </m:ctrlPr>
                  </m:num>
                  <m:den>
                    <m:sSub>
                      <m:sSubPr>
                        <m:ctrlPr>
                          <w:rPr>
                            <w:rFonts w:ascii="Cambria Math" w:hAnsi="Cambria Math" w:cs="Times New Roman"/>
                            <w:i/>
                            <w:snapToGrid w:val="0"/>
                            <w:kern w:val="0"/>
                            <w:sz w:val="28"/>
                          </w:rPr>
                        </m:ctrlPr>
                      </m:sSubPr>
                      <m:e>
                        <m:r>
                          <m:rPr/>
                          <w:rPr>
                            <w:rFonts w:ascii="Cambria Math" w:hAnsi="Cambria Math" w:cs="Times New Roman"/>
                            <w:snapToGrid w:val="0"/>
                            <w:kern w:val="0"/>
                            <w:sz w:val="28"/>
                          </w:rPr>
                          <m:t>Q</m:t>
                        </m:r>
                        <m:ctrlPr>
                          <w:rPr>
                            <w:rFonts w:ascii="Cambria Math" w:hAnsi="Cambria Math" w:cs="Times New Roman"/>
                            <w:i/>
                            <w:snapToGrid w:val="0"/>
                            <w:kern w:val="0"/>
                            <w:sz w:val="28"/>
                          </w:rPr>
                        </m:ctrlPr>
                      </m:e>
                      <m:sub>
                        <m:r>
                          <m:rPr/>
                          <w:rPr>
                            <w:rFonts w:ascii="Cambria Math" w:hAnsi="Cambria Math" w:cs="Times New Roman"/>
                            <w:snapToGrid w:val="0"/>
                            <w:kern w:val="0"/>
                            <w:sz w:val="28"/>
                          </w:rPr>
                          <m:t>1</m:t>
                        </m:r>
                        <m:ctrlPr>
                          <w:rPr>
                            <w:rFonts w:ascii="Cambria Math" w:hAnsi="Cambria Math" w:cs="Times New Roman"/>
                            <w:i/>
                            <w:snapToGrid w:val="0"/>
                            <w:kern w:val="0"/>
                            <w:sz w:val="28"/>
                          </w:rPr>
                        </m:ctrlPr>
                      </m:sub>
                    </m:sSub>
                    <m:ctrlPr>
                      <w:rPr>
                        <w:rFonts w:ascii="Cambria Math" w:hAnsi="Cambria Math" w:cs="Times New Roman"/>
                        <w:snapToGrid w:val="0"/>
                        <w:kern w:val="0"/>
                        <w:sz w:val="28"/>
                      </w:rPr>
                    </m:ctrlPr>
                  </m:den>
                </m:f>
                <m:r>
                  <m:rPr/>
                  <w:rPr>
                    <w:rFonts w:ascii="Cambria Math" w:hAnsi="Cambria Math" w:cs="Times New Roman"/>
                    <w:snapToGrid w:val="0"/>
                    <w:kern w:val="0"/>
                    <w:sz w:val="28"/>
                  </w:rPr>
                  <m:t>+</m:t>
                </m:r>
                <m:f>
                  <m:fPr>
                    <m:ctrlPr>
                      <w:rPr>
                        <w:rFonts w:ascii="Cambria Math" w:hAnsi="Cambria Math" w:cs="Times New Roman"/>
                        <w:i/>
                        <w:snapToGrid w:val="0"/>
                        <w:kern w:val="0"/>
                        <w:sz w:val="28"/>
                      </w:rPr>
                    </m:ctrlPr>
                  </m:fPr>
                  <m:num>
                    <m:sSub>
                      <m:sSubPr>
                        <m:ctrlPr>
                          <w:rPr>
                            <w:rFonts w:ascii="Cambria Math" w:hAnsi="Cambria Math" w:cs="Times New Roman"/>
                            <w:i/>
                            <w:snapToGrid w:val="0"/>
                            <w:kern w:val="0"/>
                            <w:sz w:val="28"/>
                          </w:rPr>
                        </m:ctrlPr>
                      </m:sSubPr>
                      <m:e>
                        <m:r>
                          <m:rPr/>
                          <w:rPr>
                            <w:rFonts w:ascii="Cambria Math" w:hAnsi="Cambria Math" w:cs="Times New Roman"/>
                            <w:snapToGrid w:val="0"/>
                            <w:kern w:val="0"/>
                            <w:sz w:val="28"/>
                          </w:rPr>
                          <m:t>q</m:t>
                        </m:r>
                        <m:ctrlPr>
                          <w:rPr>
                            <w:rFonts w:ascii="Cambria Math" w:hAnsi="Cambria Math" w:cs="Times New Roman"/>
                            <w:i/>
                            <w:snapToGrid w:val="0"/>
                            <w:kern w:val="0"/>
                            <w:sz w:val="28"/>
                          </w:rPr>
                        </m:ctrlPr>
                      </m:e>
                      <m:sub>
                        <m:r>
                          <m:rPr/>
                          <w:rPr>
                            <w:rFonts w:ascii="Cambria Math" w:hAnsi="Cambria Math" w:cs="Times New Roman"/>
                            <w:snapToGrid w:val="0"/>
                            <w:kern w:val="0"/>
                            <w:sz w:val="28"/>
                          </w:rPr>
                          <m:t>2</m:t>
                        </m:r>
                        <m:ctrlPr>
                          <w:rPr>
                            <w:rFonts w:ascii="Cambria Math" w:hAnsi="Cambria Math" w:cs="Times New Roman"/>
                            <w:i/>
                            <w:snapToGrid w:val="0"/>
                            <w:kern w:val="0"/>
                            <w:sz w:val="28"/>
                          </w:rPr>
                        </m:ctrlPr>
                      </m:sub>
                    </m:sSub>
                    <m:ctrlPr>
                      <w:rPr>
                        <w:rFonts w:ascii="Cambria Math" w:hAnsi="Cambria Math" w:cs="Times New Roman"/>
                        <w:i/>
                        <w:snapToGrid w:val="0"/>
                        <w:kern w:val="0"/>
                        <w:sz w:val="28"/>
                      </w:rPr>
                    </m:ctrlPr>
                  </m:num>
                  <m:den>
                    <m:sSub>
                      <m:sSubPr>
                        <m:ctrlPr>
                          <w:rPr>
                            <w:rFonts w:ascii="Cambria Math" w:hAnsi="Cambria Math" w:cs="Times New Roman"/>
                            <w:i/>
                            <w:snapToGrid w:val="0"/>
                            <w:kern w:val="0"/>
                            <w:sz w:val="28"/>
                          </w:rPr>
                        </m:ctrlPr>
                      </m:sSubPr>
                      <m:e>
                        <m:r>
                          <m:rPr/>
                          <w:rPr>
                            <w:rFonts w:ascii="Cambria Math" w:hAnsi="Cambria Math" w:cs="Times New Roman"/>
                            <w:snapToGrid w:val="0"/>
                            <w:kern w:val="0"/>
                            <w:sz w:val="28"/>
                          </w:rPr>
                          <m:t>Q</m:t>
                        </m:r>
                        <m:ctrlPr>
                          <w:rPr>
                            <w:rFonts w:ascii="Cambria Math" w:hAnsi="Cambria Math" w:cs="Times New Roman"/>
                            <w:i/>
                            <w:snapToGrid w:val="0"/>
                            <w:kern w:val="0"/>
                            <w:sz w:val="28"/>
                          </w:rPr>
                        </m:ctrlPr>
                      </m:e>
                      <m:sub>
                        <m:r>
                          <m:rPr/>
                          <w:rPr>
                            <w:rFonts w:ascii="Cambria Math" w:hAnsi="Cambria Math" w:cs="Times New Roman"/>
                            <w:snapToGrid w:val="0"/>
                            <w:kern w:val="0"/>
                            <w:sz w:val="28"/>
                          </w:rPr>
                          <m:t>2</m:t>
                        </m:r>
                        <m:ctrlPr>
                          <w:rPr>
                            <w:rFonts w:ascii="Cambria Math" w:hAnsi="Cambria Math" w:cs="Times New Roman"/>
                            <w:i/>
                            <w:snapToGrid w:val="0"/>
                            <w:kern w:val="0"/>
                            <w:sz w:val="28"/>
                          </w:rPr>
                        </m:ctrlPr>
                      </m:sub>
                    </m:sSub>
                    <m:ctrlPr>
                      <w:rPr>
                        <w:rFonts w:ascii="Cambria Math" w:hAnsi="Cambria Math" w:cs="Times New Roman"/>
                        <w:i/>
                        <w:snapToGrid w:val="0"/>
                        <w:kern w:val="0"/>
                        <w:sz w:val="28"/>
                      </w:rPr>
                    </m:ctrlPr>
                  </m:den>
                </m:f>
                <m:r>
                  <m:rPr/>
                  <w:rPr>
                    <w:rFonts w:ascii="Cambria Math" w:hAnsi="Cambria Math" w:cs="Times New Roman"/>
                    <w:snapToGrid w:val="0"/>
                    <w:kern w:val="0"/>
                    <w:sz w:val="28"/>
                  </w:rPr>
                  <m:t>+…</m:t>
                </m:r>
                <m:f>
                  <m:fPr>
                    <m:ctrlPr>
                      <w:rPr>
                        <w:rFonts w:ascii="Cambria Math" w:hAnsi="Cambria Math" w:cs="Times New Roman"/>
                        <w:i/>
                        <w:snapToGrid w:val="0"/>
                        <w:kern w:val="0"/>
                        <w:sz w:val="28"/>
                      </w:rPr>
                    </m:ctrlPr>
                  </m:fPr>
                  <m:num>
                    <m:sSub>
                      <m:sSubPr>
                        <m:ctrlPr>
                          <w:rPr>
                            <w:rFonts w:ascii="Cambria Math" w:hAnsi="Cambria Math" w:cs="Times New Roman"/>
                            <w:i/>
                            <w:snapToGrid w:val="0"/>
                            <w:kern w:val="0"/>
                            <w:sz w:val="28"/>
                          </w:rPr>
                        </m:ctrlPr>
                      </m:sSubPr>
                      <m:e>
                        <m:r>
                          <m:rPr/>
                          <w:rPr>
                            <w:rFonts w:ascii="Cambria Math" w:hAnsi="Cambria Math" w:cs="Times New Roman"/>
                            <w:snapToGrid w:val="0"/>
                            <w:kern w:val="0"/>
                            <w:sz w:val="28"/>
                          </w:rPr>
                          <m:t>q</m:t>
                        </m:r>
                        <m:ctrlPr>
                          <w:rPr>
                            <w:rFonts w:ascii="Cambria Math" w:hAnsi="Cambria Math" w:cs="Times New Roman"/>
                            <w:i/>
                            <w:snapToGrid w:val="0"/>
                            <w:kern w:val="0"/>
                            <w:sz w:val="28"/>
                          </w:rPr>
                        </m:ctrlPr>
                      </m:e>
                      <m:sub>
                        <m:r>
                          <m:rPr/>
                          <w:rPr>
                            <w:rFonts w:ascii="Cambria Math" w:hAnsi="Cambria Math" w:cs="Times New Roman"/>
                            <w:snapToGrid w:val="0"/>
                            <w:kern w:val="0"/>
                            <w:sz w:val="28"/>
                          </w:rPr>
                          <m:t>n</m:t>
                        </m:r>
                        <m:ctrlPr>
                          <w:rPr>
                            <w:rFonts w:ascii="Cambria Math" w:hAnsi="Cambria Math" w:cs="Times New Roman"/>
                            <w:i/>
                            <w:snapToGrid w:val="0"/>
                            <w:kern w:val="0"/>
                            <w:sz w:val="28"/>
                          </w:rPr>
                        </m:ctrlPr>
                      </m:sub>
                    </m:sSub>
                    <m:ctrlPr>
                      <w:rPr>
                        <w:rFonts w:ascii="Cambria Math" w:hAnsi="Cambria Math" w:cs="Times New Roman"/>
                        <w:i/>
                        <w:snapToGrid w:val="0"/>
                        <w:kern w:val="0"/>
                        <w:sz w:val="28"/>
                      </w:rPr>
                    </m:ctrlPr>
                  </m:num>
                  <m:den>
                    <m:sSub>
                      <m:sSubPr>
                        <m:ctrlPr>
                          <w:rPr>
                            <w:rFonts w:ascii="Cambria Math" w:hAnsi="Cambria Math" w:cs="Times New Roman"/>
                            <w:i/>
                            <w:snapToGrid w:val="0"/>
                            <w:kern w:val="0"/>
                            <w:sz w:val="28"/>
                          </w:rPr>
                        </m:ctrlPr>
                      </m:sSubPr>
                      <m:e>
                        <m:r>
                          <m:rPr/>
                          <w:rPr>
                            <w:rFonts w:ascii="Cambria Math" w:hAnsi="Cambria Math" w:cs="Times New Roman"/>
                            <w:snapToGrid w:val="0"/>
                            <w:kern w:val="0"/>
                            <w:sz w:val="28"/>
                          </w:rPr>
                          <m:t>Q</m:t>
                        </m:r>
                        <m:ctrlPr>
                          <w:rPr>
                            <w:rFonts w:ascii="Cambria Math" w:hAnsi="Cambria Math" w:cs="Times New Roman"/>
                            <w:i/>
                            <w:snapToGrid w:val="0"/>
                            <w:kern w:val="0"/>
                            <w:sz w:val="28"/>
                          </w:rPr>
                        </m:ctrlPr>
                      </m:e>
                      <m:sub>
                        <m:r>
                          <m:rPr/>
                          <w:rPr>
                            <w:rFonts w:ascii="Cambria Math" w:hAnsi="Cambria Math" w:cs="Times New Roman"/>
                            <w:snapToGrid w:val="0"/>
                            <w:kern w:val="0"/>
                            <w:sz w:val="28"/>
                          </w:rPr>
                          <m:t>n</m:t>
                        </m:r>
                        <m:ctrlPr>
                          <w:rPr>
                            <w:rFonts w:ascii="Cambria Math" w:hAnsi="Cambria Math" w:cs="Times New Roman"/>
                            <w:i/>
                            <w:snapToGrid w:val="0"/>
                            <w:kern w:val="0"/>
                            <w:sz w:val="28"/>
                          </w:rPr>
                        </m:ctrlPr>
                      </m:sub>
                    </m:sSub>
                    <m:ctrlPr>
                      <w:rPr>
                        <w:rFonts w:ascii="Cambria Math" w:hAnsi="Cambria Math" w:cs="Times New Roman"/>
                        <w:i/>
                        <w:snapToGrid w:val="0"/>
                        <w:kern w:val="0"/>
                        <w:sz w:val="28"/>
                      </w:rPr>
                    </m:ctrlPr>
                  </m:den>
                </m:f>
              </m:oMath>
            </m:oMathPara>
          </w:p>
          <w:p w14:paraId="579B479D">
            <w:pPr>
              <w:pStyle w:val="62"/>
              <w:ind w:firstLine="480"/>
            </w:pPr>
            <w:r>
              <w:rPr>
                <w:rFonts w:hint="eastAsia"/>
              </w:rPr>
              <w:t>式中：</w:t>
            </w:r>
          </w:p>
          <w:p w14:paraId="7B17469F">
            <w:pPr>
              <w:pStyle w:val="62"/>
              <w:ind w:firstLine="480"/>
            </w:pPr>
            <w:r>
              <w:t>q</w:t>
            </w:r>
            <w:r>
              <w:rPr>
                <w:vertAlign w:val="subscript"/>
              </w:rPr>
              <w:t>1</w:t>
            </w:r>
            <w:r>
              <w:t>，q</w:t>
            </w:r>
            <w:r>
              <w:rPr>
                <w:vertAlign w:val="subscript"/>
              </w:rPr>
              <w:t>2</w:t>
            </w:r>
            <w:r>
              <w:t>，...，q</w:t>
            </w:r>
            <w:r>
              <w:rPr>
                <w:vertAlign w:val="subscript"/>
              </w:rPr>
              <w:t>n</w:t>
            </w:r>
            <w:r>
              <w:t>——每种危险物质的最大存在总量，t；</w:t>
            </w:r>
          </w:p>
          <w:p w14:paraId="46FD33E1">
            <w:pPr>
              <w:pStyle w:val="62"/>
              <w:ind w:firstLine="480"/>
            </w:pPr>
            <w:r>
              <w:t>Q</w:t>
            </w:r>
            <w:r>
              <w:rPr>
                <w:vertAlign w:val="subscript"/>
              </w:rPr>
              <w:t>1</w:t>
            </w:r>
            <w:r>
              <w:t>，Q</w:t>
            </w:r>
            <w:r>
              <w:rPr>
                <w:vertAlign w:val="subscript"/>
              </w:rPr>
              <w:t>2</w:t>
            </w:r>
            <w:r>
              <w:t>，...，Q</w:t>
            </w:r>
            <w:r>
              <w:rPr>
                <w:vertAlign w:val="subscript"/>
              </w:rPr>
              <w:t>n</w:t>
            </w:r>
            <w:r>
              <w:t>——每种危险物质的临界量，t。</w:t>
            </w:r>
          </w:p>
          <w:p w14:paraId="7ABC0ACA">
            <w:pPr>
              <w:pStyle w:val="62"/>
              <w:ind w:firstLine="480"/>
            </w:pPr>
            <w:r>
              <w:rPr>
                <w:rFonts w:hint="eastAsia"/>
              </w:rPr>
              <w:t>当</w:t>
            </w:r>
            <w:r>
              <w:t>Q＜1时，该项目环境风险潜势为Ⅰ。</w:t>
            </w:r>
          </w:p>
          <w:p w14:paraId="1AF6CF3C">
            <w:pPr>
              <w:pStyle w:val="62"/>
              <w:ind w:firstLine="480"/>
            </w:pPr>
            <w:r>
              <w:rPr>
                <w:rFonts w:hint="eastAsia"/>
              </w:rPr>
              <w:t>当</w:t>
            </w:r>
            <w:r>
              <w:t>Q≥1时，将Q值划分为：</w:t>
            </w:r>
            <w:r>
              <w:rPr>
                <w:rFonts w:hint="eastAsia"/>
              </w:rPr>
              <w:t>(</w:t>
            </w:r>
            <w:r>
              <w:t>1)1≤Q＜10；</w:t>
            </w:r>
            <w:r>
              <w:rPr>
                <w:rFonts w:hint="eastAsia"/>
              </w:rPr>
              <w:t>(</w:t>
            </w:r>
            <w:r>
              <w:t>2)10≤Q＜100；</w:t>
            </w:r>
            <w:r>
              <w:rPr>
                <w:rFonts w:hint="eastAsia"/>
              </w:rPr>
              <w:t>(</w:t>
            </w:r>
            <w:r>
              <w:t>3)Q≥100。</w:t>
            </w:r>
          </w:p>
          <w:p w14:paraId="09790159">
            <w:pPr>
              <w:pStyle w:val="62"/>
              <w:ind w:firstLine="480"/>
            </w:pPr>
            <w:r>
              <w:rPr>
                <w:rFonts w:hint="eastAsia"/>
              </w:rPr>
              <w:t>对照《建设项目环境风险评价导则》（</w:t>
            </w:r>
            <w:r>
              <w:t>HJ/T169-2018）附录B中的风险物质的临界量，确定本项目Q值如下表所示。</w:t>
            </w:r>
          </w:p>
          <w:p w14:paraId="023570ED">
            <w:pPr>
              <w:pStyle w:val="24"/>
              <w:bidi w:val="0"/>
            </w:pPr>
            <w:r>
              <w:rPr>
                <w:rFonts w:hint="eastAsia"/>
              </w:rPr>
              <w:t>表4-1</w:t>
            </w:r>
            <w:r>
              <w:rPr>
                <w:rFonts w:hint="eastAsia"/>
                <w:lang w:val="en-US" w:eastAsia="zh-CN"/>
              </w:rPr>
              <w:t>4</w:t>
            </w:r>
            <w:r>
              <w:rPr>
                <w:rFonts w:hint="eastAsia"/>
              </w:rPr>
              <w:t>项目Q值一览表</w:t>
            </w:r>
          </w:p>
          <w:tbl>
            <w:tblPr>
              <w:tblStyle w:val="1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48"/>
              <w:gridCol w:w="2212"/>
              <w:gridCol w:w="1483"/>
              <w:gridCol w:w="1226"/>
            </w:tblGrid>
            <w:tr w14:paraId="59C1E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pct"/>
                </w:tcPr>
                <w:p w14:paraId="7C6131CD">
                  <w:pPr>
                    <w:pStyle w:val="26"/>
                    <w:bidi w:val="0"/>
                  </w:pPr>
                  <w:r>
                    <w:rPr>
                      <w:rFonts w:hint="eastAsia"/>
                    </w:rPr>
                    <w:t>风险物质</w:t>
                  </w:r>
                </w:p>
              </w:tc>
              <w:tc>
                <w:tcPr>
                  <w:tcW w:w="1405" w:type="pct"/>
                </w:tcPr>
                <w:p w14:paraId="438CABB3">
                  <w:pPr>
                    <w:pStyle w:val="26"/>
                    <w:bidi w:val="0"/>
                    <w:rPr>
                      <w:rFonts w:hint="eastAsia" w:eastAsia="宋体"/>
                      <w:lang w:val="en-US" w:eastAsia="zh-CN"/>
                    </w:rPr>
                  </w:pPr>
                  <w:r>
                    <w:rPr>
                      <w:rFonts w:hint="eastAsia"/>
                    </w:rPr>
                    <w:t>最大贮存量</w:t>
                  </w:r>
                  <w:r>
                    <w:rPr>
                      <w:rFonts w:hint="eastAsia"/>
                      <w:lang w:val="en-US" w:eastAsia="zh-CN"/>
                    </w:rPr>
                    <w:t>t</w:t>
                  </w:r>
                </w:p>
              </w:tc>
              <w:tc>
                <w:tcPr>
                  <w:tcW w:w="940" w:type="pct"/>
                </w:tcPr>
                <w:p w14:paraId="287F0E69">
                  <w:pPr>
                    <w:pStyle w:val="26"/>
                    <w:bidi w:val="0"/>
                    <w:rPr>
                      <w:rFonts w:hint="eastAsia" w:eastAsia="宋体"/>
                      <w:lang w:val="en-US" w:eastAsia="zh-CN"/>
                    </w:rPr>
                  </w:pPr>
                  <w:r>
                    <w:rPr>
                      <w:rFonts w:hint="eastAsia"/>
                    </w:rPr>
                    <w:t>临界量</w:t>
                  </w:r>
                  <w:r>
                    <w:rPr>
                      <w:rFonts w:hint="eastAsia"/>
                      <w:lang w:val="en-US" w:eastAsia="zh-CN"/>
                    </w:rPr>
                    <w:t>t</w:t>
                  </w:r>
                </w:p>
              </w:tc>
              <w:tc>
                <w:tcPr>
                  <w:tcW w:w="779" w:type="pct"/>
                </w:tcPr>
                <w:p w14:paraId="3AB45329">
                  <w:pPr>
                    <w:pStyle w:val="26"/>
                    <w:bidi w:val="0"/>
                  </w:pPr>
                  <w:r>
                    <w:rPr>
                      <w:rFonts w:hint="eastAsia"/>
                    </w:rPr>
                    <w:t>Q值</w:t>
                  </w:r>
                </w:p>
              </w:tc>
            </w:tr>
            <w:tr w14:paraId="23528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pct"/>
                </w:tcPr>
                <w:p w14:paraId="66ABCF24">
                  <w:pPr>
                    <w:pStyle w:val="26"/>
                    <w:bidi w:val="0"/>
                    <w:rPr>
                      <w:rFonts w:hint="eastAsia"/>
                      <w:lang w:val="en-US" w:eastAsia="zh-CN"/>
                    </w:rPr>
                  </w:pPr>
                  <w:r>
                    <w:rPr>
                      <w:rFonts w:hint="eastAsia"/>
                      <w:lang w:val="en-US" w:eastAsia="zh-CN"/>
                    </w:rPr>
                    <w:t>液化石油气</w:t>
                  </w:r>
                </w:p>
              </w:tc>
              <w:tc>
                <w:tcPr>
                  <w:tcW w:w="1405" w:type="pct"/>
                </w:tcPr>
                <w:p w14:paraId="12B19946">
                  <w:pPr>
                    <w:pStyle w:val="26"/>
                    <w:bidi w:val="0"/>
                    <w:rPr>
                      <w:rFonts w:hint="default" w:eastAsia="宋体"/>
                      <w:lang w:val="en-US" w:eastAsia="zh-CN"/>
                    </w:rPr>
                  </w:pPr>
                  <w:r>
                    <w:rPr>
                      <w:rFonts w:hint="eastAsia"/>
                      <w:lang w:val="en-US" w:eastAsia="zh-CN"/>
                    </w:rPr>
                    <w:t>72.07</w:t>
                  </w:r>
                </w:p>
              </w:tc>
              <w:tc>
                <w:tcPr>
                  <w:tcW w:w="940" w:type="pct"/>
                </w:tcPr>
                <w:p w14:paraId="37A1E1FE">
                  <w:pPr>
                    <w:pStyle w:val="26"/>
                    <w:bidi w:val="0"/>
                    <w:rPr>
                      <w:rFonts w:hint="default" w:eastAsia="宋体"/>
                      <w:lang w:val="en-US" w:eastAsia="zh-CN"/>
                    </w:rPr>
                  </w:pPr>
                  <w:r>
                    <w:rPr>
                      <w:rFonts w:hint="eastAsia"/>
                      <w:lang w:val="en-US" w:eastAsia="zh-CN"/>
                    </w:rPr>
                    <w:t>10</w:t>
                  </w:r>
                </w:p>
              </w:tc>
              <w:tc>
                <w:tcPr>
                  <w:tcW w:w="779" w:type="pct"/>
                </w:tcPr>
                <w:p w14:paraId="1E7D5A28">
                  <w:pPr>
                    <w:pStyle w:val="26"/>
                    <w:bidi w:val="0"/>
                    <w:rPr>
                      <w:rFonts w:hint="default" w:eastAsia="宋体"/>
                      <w:lang w:val="en-US" w:eastAsia="zh-CN"/>
                    </w:rPr>
                  </w:pPr>
                  <w:r>
                    <w:rPr>
                      <w:rFonts w:hint="eastAsia"/>
                      <w:lang w:val="en-US" w:eastAsia="zh-CN"/>
                    </w:rPr>
                    <w:t>7.207</w:t>
                  </w:r>
                </w:p>
              </w:tc>
            </w:tr>
            <w:tr w14:paraId="79C35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pct"/>
                </w:tcPr>
                <w:p w14:paraId="57836DAA">
                  <w:pPr>
                    <w:pStyle w:val="26"/>
                    <w:bidi w:val="0"/>
                    <w:rPr>
                      <w:rFonts w:hint="eastAsia" w:eastAsia="宋体"/>
                      <w:lang w:val="en-US" w:eastAsia="zh-CN"/>
                    </w:rPr>
                  </w:pPr>
                  <w:r>
                    <w:rPr>
                      <w:rFonts w:hint="eastAsia"/>
                      <w:lang w:val="en-US" w:eastAsia="zh-CN"/>
                    </w:rPr>
                    <w:t>残液</w:t>
                  </w:r>
                </w:p>
              </w:tc>
              <w:tc>
                <w:tcPr>
                  <w:tcW w:w="1405" w:type="pct"/>
                </w:tcPr>
                <w:p w14:paraId="7BBC3FBC">
                  <w:pPr>
                    <w:pStyle w:val="26"/>
                    <w:bidi w:val="0"/>
                    <w:rPr>
                      <w:rFonts w:hint="default" w:eastAsia="宋体"/>
                      <w:lang w:val="en-US" w:eastAsia="zh-CN"/>
                    </w:rPr>
                  </w:pPr>
                  <w:r>
                    <w:rPr>
                      <w:rFonts w:hint="eastAsia"/>
                      <w:lang w:val="en-US" w:eastAsia="zh-CN"/>
                    </w:rPr>
                    <w:t>22.5</w:t>
                  </w:r>
                </w:p>
              </w:tc>
              <w:tc>
                <w:tcPr>
                  <w:tcW w:w="940" w:type="pct"/>
                </w:tcPr>
                <w:p w14:paraId="12F93A0D">
                  <w:pPr>
                    <w:pStyle w:val="26"/>
                    <w:bidi w:val="0"/>
                    <w:rPr>
                      <w:rFonts w:hint="default" w:eastAsia="宋体"/>
                      <w:lang w:val="en-US" w:eastAsia="zh-CN"/>
                    </w:rPr>
                  </w:pPr>
                  <w:r>
                    <w:rPr>
                      <w:rFonts w:hint="eastAsia"/>
                      <w:lang w:val="en-US" w:eastAsia="zh-CN"/>
                    </w:rPr>
                    <w:t>50</w:t>
                  </w:r>
                </w:p>
              </w:tc>
              <w:tc>
                <w:tcPr>
                  <w:tcW w:w="779" w:type="pct"/>
                </w:tcPr>
                <w:p w14:paraId="2AF45833">
                  <w:pPr>
                    <w:pStyle w:val="26"/>
                    <w:bidi w:val="0"/>
                    <w:rPr>
                      <w:rFonts w:hint="default" w:eastAsia="宋体"/>
                      <w:lang w:val="en-US" w:eastAsia="zh-CN"/>
                    </w:rPr>
                  </w:pPr>
                  <w:r>
                    <w:rPr>
                      <w:rFonts w:hint="eastAsia"/>
                      <w:lang w:val="en-US" w:eastAsia="zh-CN"/>
                    </w:rPr>
                    <w:t>0.45</w:t>
                  </w:r>
                </w:p>
              </w:tc>
            </w:tr>
            <w:tr w14:paraId="34D6B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0" w:type="pct"/>
                  <w:gridSpan w:val="3"/>
                </w:tcPr>
                <w:p w14:paraId="453715D3">
                  <w:pPr>
                    <w:pStyle w:val="26"/>
                    <w:bidi w:val="0"/>
                  </w:pPr>
                  <w:r>
                    <w:rPr>
                      <w:rFonts w:hint="eastAsia"/>
                      <w:lang w:val="en-US" w:eastAsia="zh-CN"/>
                    </w:rPr>
                    <w:t>合计</w:t>
                  </w:r>
                </w:p>
              </w:tc>
              <w:tc>
                <w:tcPr>
                  <w:tcW w:w="779" w:type="pct"/>
                </w:tcPr>
                <w:p w14:paraId="71CB414D">
                  <w:pPr>
                    <w:pStyle w:val="26"/>
                    <w:bidi w:val="0"/>
                    <w:rPr>
                      <w:rFonts w:hint="default" w:eastAsia="宋体"/>
                      <w:lang w:val="en-US" w:eastAsia="zh-CN"/>
                    </w:rPr>
                  </w:pPr>
                  <w:r>
                    <w:rPr>
                      <w:rFonts w:hint="eastAsia"/>
                      <w:lang w:val="en-US" w:eastAsia="zh-CN"/>
                    </w:rPr>
                    <w:t>7.657</w:t>
                  </w:r>
                </w:p>
              </w:tc>
            </w:tr>
          </w:tbl>
          <w:p w14:paraId="3DC1FB48">
            <w:pPr>
              <w:pStyle w:val="25"/>
              <w:ind w:firstLine="480"/>
              <w:rPr>
                <w:rFonts w:hint="default" w:eastAsia="宋体"/>
                <w:lang w:val="en-US" w:eastAsia="zh-CN"/>
              </w:rPr>
            </w:pPr>
            <w:r>
              <w:rPr>
                <w:rFonts w:hint="eastAsia"/>
                <w:lang w:val="en-US" w:eastAsia="zh-CN"/>
              </w:rPr>
              <w:t>注：液化石油气的主要成分为丙烷和丁烷，其临界量均为10t，因此液化石油气的临界量按10t计算。</w:t>
            </w:r>
          </w:p>
          <w:p w14:paraId="7AD4B3DE">
            <w:pPr>
              <w:pStyle w:val="25"/>
              <w:ind w:firstLine="480"/>
            </w:pPr>
            <w:r>
              <w:rPr>
                <w:rFonts w:hint="eastAsia"/>
              </w:rPr>
              <w:t>由于计算的</w:t>
            </w:r>
            <w:r>
              <w:t>Q值</w:t>
            </w:r>
            <w:r>
              <w:rPr>
                <w:rFonts w:hint="eastAsia"/>
                <w:lang w:val="en-US" w:eastAsia="zh-CN"/>
              </w:rPr>
              <w:t>大于</w:t>
            </w:r>
            <w:r>
              <w:t>1，</w:t>
            </w:r>
            <w:r>
              <w:rPr>
                <w:rFonts w:hint="eastAsia"/>
                <w:lang w:val="en-US" w:eastAsia="zh-CN"/>
              </w:rPr>
              <w:t>有毒有害和易燃易爆危险物质贮存量超过临界量，因此需要编制环境风险专项评价</w:t>
            </w:r>
            <w:r>
              <w:t>。</w:t>
            </w:r>
          </w:p>
          <w:p w14:paraId="41AAAE0E">
            <w:pPr>
              <w:pStyle w:val="25"/>
              <w:ind w:firstLine="480"/>
              <w:rPr>
                <w:rFonts w:hint="default" w:eastAsia="宋体"/>
                <w:lang w:val="en-US" w:eastAsia="zh-CN"/>
              </w:rPr>
            </w:pPr>
            <w:r>
              <w:rPr>
                <w:rFonts w:hint="eastAsia"/>
                <w:lang w:val="en-US" w:eastAsia="zh-CN"/>
              </w:rPr>
              <w:t>具体环境风险评价内容详见专项评价报告。</w:t>
            </w:r>
          </w:p>
          <w:p w14:paraId="67CFDE54">
            <w:pPr>
              <w:pStyle w:val="62"/>
              <w:rPr>
                <w:rFonts w:hint="eastAsia"/>
                <w:lang w:val="en-US" w:eastAsia="zh-CN"/>
              </w:rPr>
            </w:pPr>
            <w:r>
              <w:rPr>
                <w:rFonts w:hint="eastAsia"/>
                <w:lang w:val="en-US" w:eastAsia="zh-CN"/>
              </w:rPr>
              <w:t>7、与排污许可证的衔接</w:t>
            </w:r>
          </w:p>
          <w:p w14:paraId="145DDF9B">
            <w:pPr>
              <w:pStyle w:val="62"/>
              <w:rPr>
                <w:rFonts w:hint="eastAsia"/>
                <w:lang w:val="en-US" w:eastAsia="zh-CN"/>
              </w:rPr>
            </w:pPr>
            <w:r>
              <w:rPr>
                <w:rFonts w:hint="eastAsia"/>
              </w:rPr>
              <w:t>根据《固定污染源排污许可分类管理名录（2019年版）》，本项目属于</w:t>
            </w:r>
            <w:r>
              <w:rPr>
                <w:rFonts w:hint="eastAsia"/>
                <w:lang w:eastAsia="zh-CN"/>
              </w:rPr>
              <w:t>“</w:t>
            </w:r>
            <w:r>
              <w:rPr>
                <w:rFonts w:hint="eastAsia"/>
                <w:lang w:val="en-US" w:eastAsia="zh-CN"/>
              </w:rPr>
              <w:t>四十四、装卸搬运和仓储业59-102、危险品仓储594-其他危险品仓储（含油品码头后方配套油库，不含储备油库）</w:t>
            </w:r>
            <w:r>
              <w:rPr>
                <w:rFonts w:hint="eastAsia"/>
                <w:lang w:eastAsia="zh-CN"/>
              </w:rPr>
              <w:t>”，</w:t>
            </w:r>
            <w:r>
              <w:rPr>
                <w:rFonts w:hint="eastAsia"/>
                <w:lang w:val="en-US" w:eastAsia="zh-CN"/>
              </w:rPr>
              <w:t>其排污许可证管理类别为登记管理，建设单位应当在正式投运前进行排污许可登记。</w:t>
            </w:r>
          </w:p>
          <w:p w14:paraId="6F5B7559">
            <w:pPr>
              <w:pStyle w:val="62"/>
              <w:rPr>
                <w:rFonts w:hint="eastAsia"/>
                <w:lang w:val="en-US" w:eastAsia="zh-CN"/>
              </w:rPr>
            </w:pPr>
            <w:r>
              <w:rPr>
                <w:rFonts w:hint="eastAsia"/>
                <w:lang w:val="en-US" w:eastAsia="zh-CN"/>
              </w:rPr>
              <w:t>8、环保投资估算</w:t>
            </w:r>
          </w:p>
          <w:p w14:paraId="15028D7F">
            <w:pPr>
              <w:pStyle w:val="62"/>
              <w:rPr>
                <w:rFonts w:hint="eastAsia"/>
                <w:lang w:val="en-US" w:eastAsia="zh-CN"/>
              </w:rPr>
            </w:pPr>
            <w:r>
              <w:rPr>
                <w:rFonts w:hint="eastAsia"/>
                <w:lang w:val="en-US" w:eastAsia="zh-CN"/>
              </w:rPr>
              <w:t>本项目总投资3000万元，其中环保投资80.5万元，占工程总投资的2.68%，具体明细如下：</w:t>
            </w:r>
          </w:p>
          <w:p w14:paraId="22055A90">
            <w:pPr>
              <w:pStyle w:val="63"/>
              <w:bidi w:val="0"/>
              <w:rPr>
                <w:rFonts w:hint="eastAsia"/>
                <w:lang w:val="en-US" w:eastAsia="zh-CN"/>
              </w:rPr>
            </w:pPr>
            <w:r>
              <w:rPr>
                <w:rFonts w:hint="eastAsia"/>
                <w:lang w:val="en-US" w:eastAsia="zh-CN"/>
              </w:rPr>
              <w:t>表4-15  环保投资估算表</w:t>
            </w:r>
          </w:p>
          <w:tbl>
            <w:tblPr>
              <w:tblStyle w:val="18"/>
              <w:tblW w:w="5000" w:type="pct"/>
              <w:tblInd w:w="0" w:type="dxa"/>
              <w:tblLayout w:type="autofit"/>
              <w:tblCellMar>
                <w:top w:w="0" w:type="dxa"/>
                <w:left w:w="108" w:type="dxa"/>
                <w:bottom w:w="0" w:type="dxa"/>
                <w:right w:w="108" w:type="dxa"/>
              </w:tblCellMar>
            </w:tblPr>
            <w:tblGrid>
              <w:gridCol w:w="496"/>
              <w:gridCol w:w="681"/>
              <w:gridCol w:w="1566"/>
              <w:gridCol w:w="4015"/>
              <w:gridCol w:w="1124"/>
            </w:tblGrid>
            <w:tr w14:paraId="771806BA">
              <w:tblPrEx>
                <w:tblCellMar>
                  <w:top w:w="0" w:type="dxa"/>
                  <w:left w:w="108" w:type="dxa"/>
                  <w:bottom w:w="0" w:type="dxa"/>
                  <w:right w:w="108" w:type="dxa"/>
                </w:tblCellMar>
              </w:tblPrEx>
              <w:trPr>
                <w:trHeight w:val="20" w:hRule="atLeast"/>
              </w:trPr>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8FC12E">
                  <w:pPr>
                    <w:pStyle w:val="48"/>
                  </w:pPr>
                  <w:r>
                    <w:t>序号</w:t>
                  </w: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699885">
                  <w:pPr>
                    <w:pStyle w:val="48"/>
                  </w:pPr>
                  <w:r>
                    <w:t>类别</w:t>
                  </w:r>
                </w:p>
              </w:tc>
              <w:tc>
                <w:tcPr>
                  <w:tcW w:w="9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8C8DE9">
                  <w:pPr>
                    <w:pStyle w:val="48"/>
                  </w:pPr>
                  <w:r>
                    <w:t>治理项目</w:t>
                  </w:r>
                </w:p>
              </w:tc>
              <w:tc>
                <w:tcPr>
                  <w:tcW w:w="25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15CA61">
                  <w:pPr>
                    <w:pStyle w:val="48"/>
                  </w:pPr>
                  <w:r>
                    <w:t>治理措施</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B204DB">
                  <w:pPr>
                    <w:pStyle w:val="48"/>
                  </w:pPr>
                  <w:r>
                    <w:t>投资</w:t>
                  </w:r>
                  <w:r>
                    <w:rPr>
                      <w:rFonts w:hint="eastAsia"/>
                    </w:rPr>
                    <w:br w:type="textWrapping"/>
                  </w:r>
                  <w:r>
                    <w:rPr>
                      <w:rFonts w:hint="eastAsia"/>
                    </w:rPr>
                    <w:t>（</w:t>
                  </w:r>
                  <w:r>
                    <w:t>万元)</w:t>
                  </w:r>
                </w:p>
              </w:tc>
            </w:tr>
            <w:tr w14:paraId="7570731B">
              <w:tblPrEx>
                <w:tblCellMar>
                  <w:top w:w="0" w:type="dxa"/>
                  <w:left w:w="108" w:type="dxa"/>
                  <w:bottom w:w="0" w:type="dxa"/>
                  <w:right w:w="108" w:type="dxa"/>
                </w:tblCellMar>
              </w:tblPrEx>
              <w:trPr>
                <w:trHeight w:val="20" w:hRule="atLeast"/>
              </w:trPr>
              <w:tc>
                <w:tcPr>
                  <w:tcW w:w="315" w:type="pct"/>
                  <w:tcBorders>
                    <w:top w:val="single" w:color="000000" w:sz="4" w:space="0"/>
                    <w:left w:val="single" w:color="000000" w:sz="4" w:space="0"/>
                    <w:right w:val="single" w:color="000000" w:sz="4" w:space="0"/>
                  </w:tcBorders>
                  <w:shd w:val="clear" w:color="auto" w:fill="auto"/>
                  <w:vAlign w:val="center"/>
                </w:tcPr>
                <w:p w14:paraId="39BE4BA1">
                  <w:pPr>
                    <w:pStyle w:val="48"/>
                  </w:pPr>
                  <w:r>
                    <w:rPr>
                      <w:rFonts w:hint="eastAsia"/>
                    </w:rPr>
                    <w:t>1</w:t>
                  </w:r>
                </w:p>
              </w:tc>
              <w:tc>
                <w:tcPr>
                  <w:tcW w:w="432" w:type="pct"/>
                  <w:tcBorders>
                    <w:top w:val="single" w:color="000000" w:sz="4" w:space="0"/>
                    <w:left w:val="single" w:color="000000" w:sz="4" w:space="0"/>
                    <w:right w:val="single" w:color="000000" w:sz="4" w:space="0"/>
                  </w:tcBorders>
                  <w:shd w:val="clear" w:color="auto" w:fill="auto"/>
                  <w:vAlign w:val="center"/>
                </w:tcPr>
                <w:p w14:paraId="759BB53C">
                  <w:pPr>
                    <w:pStyle w:val="48"/>
                  </w:pPr>
                  <w:r>
                    <w:t>废气</w:t>
                  </w:r>
                </w:p>
              </w:tc>
              <w:tc>
                <w:tcPr>
                  <w:tcW w:w="9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329015">
                  <w:pPr>
                    <w:pStyle w:val="48"/>
                    <w:rPr>
                      <w:rFonts w:hint="default" w:eastAsia="宋体"/>
                      <w:lang w:val="en-US" w:eastAsia="zh-CN"/>
                    </w:rPr>
                  </w:pPr>
                  <w:r>
                    <w:rPr>
                      <w:rFonts w:hint="eastAsia"/>
                      <w:lang w:val="en-US" w:eastAsia="zh-CN"/>
                    </w:rPr>
                    <w:t>设备动静密封点泄漏废气、倒残液废气</w:t>
                  </w:r>
                </w:p>
              </w:tc>
              <w:tc>
                <w:tcPr>
                  <w:tcW w:w="25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F1BBA9">
                  <w:pPr>
                    <w:pStyle w:val="48"/>
                    <w:rPr>
                      <w:rFonts w:hint="default" w:eastAsia="宋体"/>
                      <w:lang w:val="en-US" w:eastAsia="zh-CN"/>
                    </w:rPr>
                  </w:pPr>
                  <w:r>
                    <w:rPr>
                      <w:rFonts w:hint="eastAsia"/>
                      <w:lang w:val="en-US" w:eastAsia="zh-CN"/>
                    </w:rPr>
                    <w:t>全密封工艺，定期进行泄漏值检测</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A3F4E">
                  <w:pPr>
                    <w:pStyle w:val="48"/>
                    <w:rPr>
                      <w:rFonts w:hint="default" w:eastAsia="宋体"/>
                      <w:lang w:val="en-US" w:eastAsia="zh-CN"/>
                    </w:rPr>
                  </w:pPr>
                  <w:r>
                    <w:rPr>
                      <w:rFonts w:hint="eastAsia"/>
                      <w:lang w:val="en-US" w:eastAsia="zh-CN"/>
                    </w:rPr>
                    <w:t>2.0</w:t>
                  </w:r>
                </w:p>
              </w:tc>
            </w:tr>
            <w:tr w14:paraId="00D02A01">
              <w:tblPrEx>
                <w:tblCellMar>
                  <w:top w:w="0" w:type="dxa"/>
                  <w:left w:w="108" w:type="dxa"/>
                  <w:bottom w:w="0" w:type="dxa"/>
                  <w:right w:w="108" w:type="dxa"/>
                </w:tblCellMar>
              </w:tblPrEx>
              <w:trPr>
                <w:trHeight w:val="20" w:hRule="atLeast"/>
              </w:trPr>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96458B">
                  <w:pPr>
                    <w:pStyle w:val="48"/>
                  </w:pPr>
                  <w:r>
                    <w:rPr>
                      <w:rFonts w:hint="eastAsia"/>
                    </w:rPr>
                    <w:t>2</w:t>
                  </w: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D1107B">
                  <w:pPr>
                    <w:pStyle w:val="48"/>
                  </w:pPr>
                  <w:r>
                    <w:rPr>
                      <w:rFonts w:hint="eastAsia"/>
                    </w:rPr>
                    <w:t>废水</w:t>
                  </w:r>
                </w:p>
              </w:tc>
              <w:tc>
                <w:tcPr>
                  <w:tcW w:w="9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1B7BB6">
                  <w:pPr>
                    <w:pStyle w:val="48"/>
                    <w:rPr>
                      <w:rFonts w:hint="default" w:eastAsia="宋体"/>
                      <w:lang w:val="en-US" w:eastAsia="zh-CN"/>
                    </w:rPr>
                  </w:pPr>
                  <w:r>
                    <w:rPr>
                      <w:rFonts w:hint="eastAsia"/>
                      <w:lang w:val="en-US" w:eastAsia="zh-CN"/>
                    </w:rPr>
                    <w:t>生活污水</w:t>
                  </w:r>
                </w:p>
              </w:tc>
              <w:tc>
                <w:tcPr>
                  <w:tcW w:w="25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30A500">
                  <w:pPr>
                    <w:pStyle w:val="48"/>
                    <w:rPr>
                      <w:rFonts w:hint="default" w:eastAsia="宋体"/>
                      <w:lang w:val="en-US" w:eastAsia="zh-CN"/>
                    </w:rPr>
                  </w:pPr>
                  <w:r>
                    <w:rPr>
                      <w:rFonts w:hint="eastAsia"/>
                      <w:lang w:val="en-US" w:eastAsia="zh-CN"/>
                    </w:rPr>
                    <w:t>化粪池（5m</w:t>
                  </w:r>
                  <w:r>
                    <w:rPr>
                      <w:rFonts w:hint="eastAsia"/>
                      <w:vertAlign w:val="superscript"/>
                      <w:lang w:val="en-US" w:eastAsia="zh-CN"/>
                    </w:rPr>
                    <w:t>3</w:t>
                  </w:r>
                  <w:r>
                    <w:rPr>
                      <w:rFonts w:hint="eastAsia"/>
                      <w:lang w:val="en-US" w:eastAsia="zh-CN"/>
                    </w:rPr>
                    <w:t>）处理后用于周边农田施肥</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35F383">
                  <w:pPr>
                    <w:pStyle w:val="48"/>
                    <w:rPr>
                      <w:rFonts w:hint="default" w:eastAsia="宋体"/>
                      <w:lang w:val="en-US" w:eastAsia="zh-CN"/>
                    </w:rPr>
                  </w:pPr>
                  <w:r>
                    <w:rPr>
                      <w:rFonts w:hint="eastAsia"/>
                      <w:lang w:val="en-US" w:eastAsia="zh-CN"/>
                    </w:rPr>
                    <w:t>2.0</w:t>
                  </w:r>
                </w:p>
              </w:tc>
            </w:tr>
            <w:tr w14:paraId="1A72E3BF">
              <w:tblPrEx>
                <w:tblCellMar>
                  <w:top w:w="0" w:type="dxa"/>
                  <w:left w:w="108" w:type="dxa"/>
                  <w:bottom w:w="0" w:type="dxa"/>
                  <w:right w:w="108" w:type="dxa"/>
                </w:tblCellMar>
              </w:tblPrEx>
              <w:trPr>
                <w:trHeight w:val="20" w:hRule="atLeast"/>
              </w:trPr>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D6B845">
                  <w:pPr>
                    <w:pStyle w:val="48"/>
                  </w:pPr>
                  <w:r>
                    <w:rPr>
                      <w:rFonts w:hint="eastAsia"/>
                    </w:rPr>
                    <w:t>3</w:t>
                  </w: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92F15A">
                  <w:pPr>
                    <w:pStyle w:val="48"/>
                  </w:pPr>
                  <w:r>
                    <w:t>噪声</w:t>
                  </w:r>
                </w:p>
              </w:tc>
              <w:tc>
                <w:tcPr>
                  <w:tcW w:w="35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9A92CB8">
                  <w:pPr>
                    <w:pStyle w:val="48"/>
                    <w:rPr>
                      <w:rFonts w:hint="default" w:eastAsia="宋体"/>
                      <w:lang w:val="en-US" w:eastAsia="zh-CN"/>
                    </w:rPr>
                  </w:pPr>
                  <w:r>
                    <w:rPr>
                      <w:rFonts w:hint="eastAsia"/>
                      <w:lang w:val="en-US" w:eastAsia="zh-CN"/>
                    </w:rPr>
                    <w:t>基础减振，建筑降噪，厂区绿化，厂界设置2.2m围墙</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0404C3">
                  <w:pPr>
                    <w:pStyle w:val="48"/>
                    <w:rPr>
                      <w:rFonts w:hint="default" w:eastAsia="宋体"/>
                      <w:lang w:val="en-US" w:eastAsia="zh-CN"/>
                    </w:rPr>
                  </w:pPr>
                  <w:r>
                    <w:rPr>
                      <w:rFonts w:hint="eastAsia"/>
                      <w:lang w:val="en-US" w:eastAsia="zh-CN"/>
                    </w:rPr>
                    <w:t>1.5</w:t>
                  </w:r>
                </w:p>
              </w:tc>
            </w:tr>
            <w:tr w14:paraId="55671A18">
              <w:tblPrEx>
                <w:tblCellMar>
                  <w:top w:w="0" w:type="dxa"/>
                  <w:left w:w="108" w:type="dxa"/>
                  <w:bottom w:w="0" w:type="dxa"/>
                  <w:right w:w="108" w:type="dxa"/>
                </w:tblCellMar>
              </w:tblPrEx>
              <w:trPr>
                <w:trHeight w:val="20" w:hRule="atLeast"/>
              </w:trPr>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6AE4D">
                  <w:pPr>
                    <w:pStyle w:val="48"/>
                  </w:pPr>
                  <w:r>
                    <w:rPr>
                      <w:rFonts w:hint="eastAsia"/>
                    </w:rPr>
                    <w:t>4</w:t>
                  </w: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BCA5EC">
                  <w:pPr>
                    <w:pStyle w:val="48"/>
                  </w:pPr>
                  <w:r>
                    <w:rPr>
                      <w:rFonts w:hint="eastAsia"/>
                    </w:rPr>
                    <w:t>固体废物</w:t>
                  </w:r>
                </w:p>
              </w:tc>
              <w:tc>
                <w:tcPr>
                  <w:tcW w:w="35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1FF28A7">
                  <w:pPr>
                    <w:pStyle w:val="48"/>
                    <w:rPr>
                      <w:rFonts w:hint="default" w:eastAsia="宋体"/>
                      <w:vertAlign w:val="baseline"/>
                      <w:lang w:val="en-US" w:eastAsia="zh-CN"/>
                    </w:rPr>
                  </w:pPr>
                  <w:r>
                    <w:rPr>
                      <w:rFonts w:hint="eastAsia"/>
                      <w:lang w:val="en-US" w:eastAsia="zh-CN"/>
                    </w:rPr>
                    <w:t>设置1座50m</w:t>
                  </w:r>
                  <w:r>
                    <w:rPr>
                      <w:rFonts w:hint="eastAsia"/>
                      <w:vertAlign w:val="superscript"/>
                      <w:lang w:val="en-US" w:eastAsia="zh-CN"/>
                    </w:rPr>
                    <w:t>3</w:t>
                  </w:r>
                  <w:r>
                    <w:rPr>
                      <w:rFonts w:hint="eastAsia"/>
                      <w:vertAlign w:val="baseline"/>
                      <w:lang w:val="en-US" w:eastAsia="zh-CN"/>
                    </w:rPr>
                    <w:t>残液罐（属于工程措施，不计入环保投资）贮存残液，委托有资质单位处置</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5CC977">
                  <w:pPr>
                    <w:pStyle w:val="48"/>
                    <w:rPr>
                      <w:rFonts w:hint="eastAsia" w:eastAsia="宋体"/>
                      <w:lang w:val="en-US" w:eastAsia="zh-CN"/>
                    </w:rPr>
                  </w:pPr>
                  <w:r>
                    <w:rPr>
                      <w:rFonts w:hint="eastAsia"/>
                      <w:lang w:val="en-US" w:eastAsia="zh-CN"/>
                    </w:rPr>
                    <w:t>5</w:t>
                  </w:r>
                </w:p>
              </w:tc>
            </w:tr>
            <w:tr w14:paraId="62FF67D2">
              <w:tblPrEx>
                <w:tblCellMar>
                  <w:top w:w="0" w:type="dxa"/>
                  <w:left w:w="108" w:type="dxa"/>
                  <w:bottom w:w="0" w:type="dxa"/>
                  <w:right w:w="108" w:type="dxa"/>
                </w:tblCellMar>
              </w:tblPrEx>
              <w:trPr>
                <w:trHeight w:val="20" w:hRule="atLeast"/>
              </w:trPr>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8A4C7C">
                  <w:pPr>
                    <w:pStyle w:val="48"/>
                  </w:pPr>
                  <w:r>
                    <w:rPr>
                      <w:rFonts w:hint="eastAsia"/>
                    </w:rPr>
                    <w:t>5</w:t>
                  </w: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819420">
                  <w:pPr>
                    <w:pStyle w:val="48"/>
                  </w:pPr>
                  <w:r>
                    <w:rPr>
                      <w:rFonts w:hint="eastAsia"/>
                    </w:rPr>
                    <w:t>防渗</w:t>
                  </w:r>
                </w:p>
              </w:tc>
              <w:tc>
                <w:tcPr>
                  <w:tcW w:w="35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E465056">
                  <w:pPr>
                    <w:pStyle w:val="48"/>
                    <w:rPr>
                      <w:rFonts w:hint="default" w:eastAsia="宋体"/>
                      <w:lang w:val="en-US" w:eastAsia="zh-CN"/>
                    </w:rPr>
                  </w:pPr>
                  <w:r>
                    <w:rPr>
                      <w:rFonts w:hint="eastAsia"/>
                      <w:lang w:val="en-US" w:eastAsia="zh-CN"/>
                    </w:rPr>
                    <w:t>储罐区、灌瓶间进行重点防渗，装卸区进行一般防渗，其他区域进行简单防渗</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19EB19">
                  <w:pPr>
                    <w:pStyle w:val="48"/>
                    <w:rPr>
                      <w:rFonts w:hint="default" w:eastAsia="宋体"/>
                      <w:lang w:val="en-US" w:eastAsia="zh-CN"/>
                    </w:rPr>
                  </w:pPr>
                  <w:r>
                    <w:rPr>
                      <w:rFonts w:hint="eastAsia"/>
                      <w:lang w:val="en-US" w:eastAsia="zh-CN"/>
                    </w:rPr>
                    <w:t>20</w:t>
                  </w:r>
                </w:p>
              </w:tc>
            </w:tr>
            <w:tr w14:paraId="3816729B">
              <w:tblPrEx>
                <w:tblCellMar>
                  <w:top w:w="0" w:type="dxa"/>
                  <w:left w:w="108" w:type="dxa"/>
                  <w:bottom w:w="0" w:type="dxa"/>
                  <w:right w:w="108" w:type="dxa"/>
                </w:tblCellMar>
              </w:tblPrEx>
              <w:trPr>
                <w:trHeight w:val="20" w:hRule="atLeast"/>
              </w:trPr>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01E09A">
                  <w:pPr>
                    <w:pStyle w:val="48"/>
                  </w:pPr>
                  <w:r>
                    <w:rPr>
                      <w:rFonts w:hint="eastAsia"/>
                    </w:rPr>
                    <w:t>6</w:t>
                  </w: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4B2330">
                  <w:pPr>
                    <w:pStyle w:val="48"/>
                  </w:pPr>
                  <w:r>
                    <w:rPr>
                      <w:rFonts w:hint="eastAsia"/>
                    </w:rPr>
                    <w:t>风险</w:t>
                  </w:r>
                </w:p>
              </w:tc>
              <w:tc>
                <w:tcPr>
                  <w:tcW w:w="35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DC5D7A1">
                  <w:pPr>
                    <w:pStyle w:val="48"/>
                    <w:rPr>
                      <w:rFonts w:hint="default" w:eastAsia="宋体"/>
                      <w:vertAlign w:val="baseline"/>
                      <w:lang w:val="en-US" w:eastAsia="zh-CN"/>
                    </w:rPr>
                  </w:pPr>
                  <w:r>
                    <w:rPr>
                      <w:rFonts w:hint="eastAsia"/>
                      <w:lang w:val="en-US" w:eastAsia="zh-CN"/>
                    </w:rPr>
                    <w:t>各储罐及管道设置泄漏检测报警装置，灌瓶车间设置可燃气体泄漏报警装置，设置300m</w:t>
                  </w:r>
                  <w:r>
                    <w:rPr>
                      <w:rFonts w:hint="eastAsia"/>
                      <w:vertAlign w:val="superscript"/>
                      <w:lang w:val="en-US" w:eastAsia="zh-CN"/>
                    </w:rPr>
                    <w:t>3</w:t>
                  </w:r>
                  <w:r>
                    <w:rPr>
                      <w:rFonts w:hint="eastAsia"/>
                      <w:vertAlign w:val="baseline"/>
                      <w:lang w:val="en-US" w:eastAsia="zh-CN"/>
                    </w:rPr>
                    <w:t>消防水池，建设消防栓、灭火器等消防设施，建设300m</w:t>
                  </w:r>
                  <w:r>
                    <w:rPr>
                      <w:rFonts w:hint="eastAsia"/>
                      <w:vertAlign w:val="superscript"/>
                      <w:lang w:val="en-US" w:eastAsia="zh-CN"/>
                    </w:rPr>
                    <w:t>3</w:t>
                  </w:r>
                  <w:r>
                    <w:rPr>
                      <w:rFonts w:hint="eastAsia"/>
                      <w:vertAlign w:val="baseline"/>
                      <w:lang w:val="en-US" w:eastAsia="zh-CN"/>
                    </w:rPr>
                    <w:t>事故应急池</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2FB305">
                  <w:pPr>
                    <w:pStyle w:val="48"/>
                    <w:rPr>
                      <w:rFonts w:hint="default" w:eastAsia="宋体"/>
                      <w:lang w:val="en-US" w:eastAsia="zh-CN"/>
                    </w:rPr>
                  </w:pPr>
                  <w:r>
                    <w:rPr>
                      <w:rFonts w:hint="eastAsia"/>
                      <w:lang w:val="en-US" w:eastAsia="zh-CN"/>
                    </w:rPr>
                    <w:t>50</w:t>
                  </w:r>
                </w:p>
              </w:tc>
            </w:tr>
            <w:tr w14:paraId="6F1BB707">
              <w:tblPrEx>
                <w:tblCellMar>
                  <w:top w:w="0" w:type="dxa"/>
                  <w:left w:w="108" w:type="dxa"/>
                  <w:bottom w:w="0" w:type="dxa"/>
                  <w:right w:w="108" w:type="dxa"/>
                </w:tblCellMar>
              </w:tblPrEx>
              <w:trPr>
                <w:trHeight w:val="20" w:hRule="atLeast"/>
              </w:trPr>
              <w:tc>
                <w:tcPr>
                  <w:tcW w:w="4286"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C15F7AC">
                  <w:pPr>
                    <w:pStyle w:val="48"/>
                  </w:pPr>
                  <w:r>
                    <w:t>合计</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EE05A5">
                  <w:pPr>
                    <w:pStyle w:val="48"/>
                    <w:rPr>
                      <w:rFonts w:hint="default" w:eastAsia="宋体"/>
                      <w:lang w:val="en-US" w:eastAsia="zh-CN"/>
                    </w:rPr>
                  </w:pPr>
                  <w:r>
                    <w:rPr>
                      <w:rFonts w:hint="eastAsia"/>
                      <w:lang w:val="en-US" w:eastAsia="zh-CN"/>
                    </w:rPr>
                    <w:t>80.5</w:t>
                  </w:r>
                </w:p>
              </w:tc>
            </w:tr>
          </w:tbl>
          <w:p w14:paraId="4A38EAE5">
            <w:pPr>
              <w:pStyle w:val="62"/>
              <w:rPr>
                <w:rFonts w:hint="default"/>
                <w:lang w:val="en-US" w:eastAsia="zh-CN"/>
              </w:rPr>
            </w:pPr>
          </w:p>
          <w:p w14:paraId="7396D877">
            <w:pPr>
              <w:pStyle w:val="62"/>
              <w:rPr>
                <w:rFonts w:hint="eastAsia"/>
                <w:lang w:val="en-US" w:eastAsia="zh-CN"/>
              </w:rPr>
            </w:pPr>
          </w:p>
          <w:p w14:paraId="074A34D7">
            <w:pPr>
              <w:pStyle w:val="62"/>
              <w:rPr>
                <w:rFonts w:hint="default"/>
                <w:lang w:val="en-US" w:eastAsia="zh-CN"/>
              </w:rPr>
            </w:pPr>
          </w:p>
        </w:tc>
      </w:tr>
    </w:tbl>
    <w:p w14:paraId="20FF54B6">
      <w:pPr>
        <w:pStyle w:val="25"/>
        <w:ind w:firstLine="0" w:firstLineChars="0"/>
        <w:sectPr>
          <w:pgSz w:w="11906" w:h="16838"/>
          <w:pgMar w:top="1440" w:right="1800" w:bottom="1440" w:left="1800" w:header="851" w:footer="992" w:gutter="0"/>
          <w:cols w:space="425" w:num="1"/>
          <w:docGrid w:type="lines" w:linePitch="312" w:charSpace="0"/>
        </w:sectPr>
      </w:pPr>
    </w:p>
    <w:p w14:paraId="194938CE">
      <w:pPr>
        <w:pStyle w:val="29"/>
      </w:pPr>
      <w:bookmarkStart w:id="4" w:name="_Toc30091"/>
      <w:r>
        <w:rPr>
          <w:rFonts w:hint="eastAsia"/>
        </w:rPr>
        <w:t>五、环境保护措施监督检查清单</w:t>
      </w:r>
      <w:bookmarkEnd w:id="4"/>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71BD6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Borders>
              <w:tl2br w:val="single" w:color="auto" w:sz="4" w:space="0"/>
            </w:tcBorders>
            <w:vAlign w:val="center"/>
          </w:tcPr>
          <w:p w14:paraId="5A715B8B">
            <w:pPr>
              <w:pStyle w:val="26"/>
            </w:pPr>
            <w:r>
              <w:rPr>
                <w:rFonts w:hint="eastAsia"/>
              </w:rPr>
              <w:t xml:space="preserve"> </w:t>
            </w:r>
            <w:r>
              <w:t xml:space="preserve">                   </w:t>
            </w:r>
            <w:r>
              <w:rPr>
                <w:rFonts w:hint="eastAsia"/>
              </w:rPr>
              <w:t>内容</w:t>
            </w:r>
          </w:p>
          <w:p w14:paraId="375239DF">
            <w:pPr>
              <w:pStyle w:val="26"/>
              <w:jc w:val="both"/>
            </w:pPr>
            <w:r>
              <w:rPr>
                <w:rFonts w:hint="eastAsia"/>
              </w:rPr>
              <w:t>要素</w:t>
            </w:r>
          </w:p>
        </w:tc>
        <w:tc>
          <w:tcPr>
            <w:tcW w:w="1704" w:type="dxa"/>
            <w:vAlign w:val="center"/>
          </w:tcPr>
          <w:p w14:paraId="6882ED69">
            <w:pPr>
              <w:pStyle w:val="26"/>
            </w:pPr>
            <w:r>
              <w:rPr>
                <w:rFonts w:hint="eastAsia"/>
              </w:rPr>
              <w:t>排放口（编号、名称）/污染源</w:t>
            </w:r>
          </w:p>
        </w:tc>
        <w:tc>
          <w:tcPr>
            <w:tcW w:w="1704" w:type="dxa"/>
            <w:vAlign w:val="center"/>
          </w:tcPr>
          <w:p w14:paraId="01DAC757">
            <w:pPr>
              <w:pStyle w:val="26"/>
            </w:pPr>
            <w:r>
              <w:rPr>
                <w:rFonts w:hint="eastAsia"/>
              </w:rPr>
              <w:t>污染物项目</w:t>
            </w:r>
          </w:p>
        </w:tc>
        <w:tc>
          <w:tcPr>
            <w:tcW w:w="1705" w:type="dxa"/>
            <w:vAlign w:val="center"/>
          </w:tcPr>
          <w:p w14:paraId="411E0130">
            <w:pPr>
              <w:pStyle w:val="26"/>
            </w:pPr>
            <w:r>
              <w:rPr>
                <w:rFonts w:hint="eastAsia"/>
              </w:rPr>
              <w:t>环境保护措施</w:t>
            </w:r>
          </w:p>
        </w:tc>
        <w:tc>
          <w:tcPr>
            <w:tcW w:w="1705" w:type="dxa"/>
            <w:vAlign w:val="center"/>
          </w:tcPr>
          <w:p w14:paraId="37206B34">
            <w:pPr>
              <w:pStyle w:val="26"/>
            </w:pPr>
            <w:r>
              <w:rPr>
                <w:rFonts w:hint="eastAsia"/>
              </w:rPr>
              <w:t>执行标准</w:t>
            </w:r>
          </w:p>
        </w:tc>
      </w:tr>
      <w:tr w14:paraId="72302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B6871A8">
            <w:pPr>
              <w:pStyle w:val="26"/>
            </w:pPr>
            <w:r>
              <w:rPr>
                <w:rFonts w:hint="eastAsia"/>
              </w:rPr>
              <w:t>大气环境</w:t>
            </w:r>
          </w:p>
        </w:tc>
        <w:tc>
          <w:tcPr>
            <w:tcW w:w="1704" w:type="dxa"/>
            <w:vAlign w:val="center"/>
          </w:tcPr>
          <w:p w14:paraId="40DCF167">
            <w:pPr>
              <w:pStyle w:val="26"/>
              <w:rPr>
                <w:rFonts w:hint="default" w:eastAsia="宋体"/>
                <w:lang w:val="en-US" w:eastAsia="zh-CN"/>
              </w:rPr>
            </w:pPr>
            <w:r>
              <w:rPr>
                <w:rFonts w:hint="eastAsia"/>
                <w:lang w:val="en-US" w:eastAsia="zh-CN"/>
              </w:rPr>
              <w:t>设备动静密封点泄漏废气、倒残油废气</w:t>
            </w:r>
          </w:p>
        </w:tc>
        <w:tc>
          <w:tcPr>
            <w:tcW w:w="1704" w:type="dxa"/>
            <w:vAlign w:val="center"/>
          </w:tcPr>
          <w:p w14:paraId="7725DF2C">
            <w:pPr>
              <w:pStyle w:val="26"/>
              <w:rPr>
                <w:rFonts w:hint="eastAsia" w:eastAsia="宋体"/>
                <w:lang w:val="en-US" w:eastAsia="zh-CN"/>
              </w:rPr>
            </w:pPr>
            <w:r>
              <w:rPr>
                <w:rFonts w:hint="eastAsia"/>
                <w:lang w:val="en-US" w:eastAsia="zh-CN"/>
              </w:rPr>
              <w:t>NMHC</w:t>
            </w:r>
          </w:p>
        </w:tc>
        <w:tc>
          <w:tcPr>
            <w:tcW w:w="1705" w:type="dxa"/>
            <w:vAlign w:val="center"/>
          </w:tcPr>
          <w:p w14:paraId="02EF8443">
            <w:pPr>
              <w:pStyle w:val="26"/>
              <w:rPr>
                <w:rFonts w:hint="default" w:eastAsia="宋体"/>
                <w:lang w:val="en-US" w:eastAsia="zh-CN"/>
              </w:rPr>
            </w:pPr>
            <w:r>
              <w:rPr>
                <w:rFonts w:hint="eastAsia"/>
                <w:lang w:val="en-US" w:eastAsia="zh-CN"/>
              </w:rPr>
              <w:t>全密封工艺，定期检测密封点泄漏值</w:t>
            </w:r>
          </w:p>
        </w:tc>
        <w:tc>
          <w:tcPr>
            <w:tcW w:w="1705" w:type="dxa"/>
            <w:vAlign w:val="center"/>
          </w:tcPr>
          <w:p w14:paraId="39B1B9C2">
            <w:pPr>
              <w:pStyle w:val="26"/>
              <w:keepNext w:val="0"/>
              <w:keepLines w:val="0"/>
              <w:pageBreakBefore w:val="0"/>
              <w:widowControl w:val="0"/>
              <w:kinsoku/>
              <w:wordWrap w:val="0"/>
              <w:overflowPunct/>
              <w:topLinePunct w:val="0"/>
              <w:autoSpaceDE/>
              <w:autoSpaceDN/>
              <w:bidi w:val="0"/>
              <w:adjustRightInd/>
              <w:snapToGrid/>
              <w:textAlignment w:val="auto"/>
            </w:pPr>
            <w:r>
              <w:rPr>
                <w:rFonts w:hint="eastAsia"/>
                <w:lang w:val="en-US" w:eastAsia="zh-CN"/>
              </w:rPr>
              <w:t>《挥发性有机物无组织排放控制标准》（GB37822-2019）《大气污染物综合排放标准》（GB16297-1996）</w:t>
            </w:r>
          </w:p>
        </w:tc>
      </w:tr>
      <w:tr w14:paraId="4147A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BB76663">
            <w:pPr>
              <w:pStyle w:val="26"/>
            </w:pPr>
            <w:r>
              <w:rPr>
                <w:rFonts w:hint="eastAsia"/>
              </w:rPr>
              <w:t>地表水环境</w:t>
            </w:r>
          </w:p>
        </w:tc>
        <w:tc>
          <w:tcPr>
            <w:tcW w:w="1704" w:type="dxa"/>
            <w:vAlign w:val="center"/>
          </w:tcPr>
          <w:p w14:paraId="05DFAAA0">
            <w:pPr>
              <w:pStyle w:val="26"/>
              <w:rPr>
                <w:rFonts w:hint="default" w:eastAsia="宋体"/>
                <w:lang w:val="en-US" w:eastAsia="zh-CN"/>
              </w:rPr>
            </w:pPr>
            <w:r>
              <w:rPr>
                <w:rFonts w:hint="eastAsia"/>
                <w:lang w:val="en-US" w:eastAsia="zh-CN"/>
              </w:rPr>
              <w:t>生活污水</w:t>
            </w:r>
          </w:p>
        </w:tc>
        <w:tc>
          <w:tcPr>
            <w:tcW w:w="1704" w:type="dxa"/>
            <w:vAlign w:val="center"/>
          </w:tcPr>
          <w:p w14:paraId="70A17A9D">
            <w:pPr>
              <w:pStyle w:val="26"/>
              <w:rPr>
                <w:rFonts w:hint="default" w:eastAsia="宋体"/>
                <w:lang w:val="en-US" w:eastAsia="zh-CN"/>
              </w:rPr>
            </w:pPr>
            <w:r>
              <w:rPr>
                <w:rFonts w:hint="eastAsia"/>
                <w:lang w:val="en-US" w:eastAsia="zh-CN"/>
              </w:rPr>
              <w:t>COD、氨氮等</w:t>
            </w:r>
          </w:p>
        </w:tc>
        <w:tc>
          <w:tcPr>
            <w:tcW w:w="1705" w:type="dxa"/>
            <w:vAlign w:val="center"/>
          </w:tcPr>
          <w:p w14:paraId="7DE9C59A">
            <w:pPr>
              <w:pStyle w:val="26"/>
              <w:rPr>
                <w:rFonts w:hint="default" w:eastAsia="宋体"/>
                <w:lang w:val="en-US" w:eastAsia="zh-CN"/>
              </w:rPr>
            </w:pPr>
            <w:r>
              <w:rPr>
                <w:rFonts w:hint="eastAsia"/>
                <w:lang w:val="en-US" w:eastAsia="zh-CN"/>
              </w:rPr>
              <w:t>化粪池处理后定期清掏用作农肥</w:t>
            </w:r>
          </w:p>
        </w:tc>
        <w:tc>
          <w:tcPr>
            <w:tcW w:w="1705" w:type="dxa"/>
            <w:vAlign w:val="center"/>
          </w:tcPr>
          <w:p w14:paraId="0C4EACCB">
            <w:pPr>
              <w:pStyle w:val="26"/>
              <w:rPr>
                <w:rFonts w:hint="default" w:eastAsia="宋体"/>
                <w:lang w:val="en-US" w:eastAsia="zh-CN"/>
              </w:rPr>
            </w:pPr>
            <w:r>
              <w:rPr>
                <w:rFonts w:hint="eastAsia"/>
                <w:lang w:val="en-US" w:eastAsia="zh-CN"/>
              </w:rPr>
              <w:t>禁止直接排放至地表水体</w:t>
            </w:r>
          </w:p>
        </w:tc>
      </w:tr>
      <w:tr w14:paraId="30FA6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74EC566D">
            <w:pPr>
              <w:pStyle w:val="26"/>
            </w:pPr>
            <w:r>
              <w:rPr>
                <w:rFonts w:hint="eastAsia"/>
              </w:rPr>
              <w:t>声环境</w:t>
            </w:r>
          </w:p>
        </w:tc>
        <w:tc>
          <w:tcPr>
            <w:tcW w:w="1704" w:type="dxa"/>
            <w:vAlign w:val="center"/>
          </w:tcPr>
          <w:p w14:paraId="29BC83EB">
            <w:pPr>
              <w:pStyle w:val="26"/>
              <w:rPr>
                <w:rFonts w:hint="default" w:eastAsia="宋体"/>
                <w:lang w:val="en-US" w:eastAsia="zh-CN"/>
              </w:rPr>
            </w:pPr>
            <w:r>
              <w:rPr>
                <w:rFonts w:hint="eastAsia"/>
                <w:lang w:val="en-US" w:eastAsia="zh-CN"/>
              </w:rPr>
              <w:t>设备噪声</w:t>
            </w:r>
          </w:p>
        </w:tc>
        <w:tc>
          <w:tcPr>
            <w:tcW w:w="1704" w:type="dxa"/>
            <w:vAlign w:val="center"/>
          </w:tcPr>
          <w:p w14:paraId="401D8CA3">
            <w:pPr>
              <w:pStyle w:val="26"/>
              <w:rPr>
                <w:rFonts w:hint="default" w:eastAsia="宋体"/>
                <w:lang w:val="en-US" w:eastAsia="zh-CN"/>
              </w:rPr>
            </w:pPr>
            <w:r>
              <w:rPr>
                <w:rFonts w:hint="eastAsia"/>
                <w:lang w:val="en-US" w:eastAsia="zh-CN"/>
              </w:rPr>
              <w:t>LeqA</w:t>
            </w:r>
          </w:p>
        </w:tc>
        <w:tc>
          <w:tcPr>
            <w:tcW w:w="1705" w:type="dxa"/>
            <w:vAlign w:val="center"/>
          </w:tcPr>
          <w:p w14:paraId="48A920E1">
            <w:pPr>
              <w:pStyle w:val="26"/>
              <w:rPr>
                <w:rFonts w:hint="default" w:eastAsia="宋体"/>
                <w:lang w:val="en-US" w:eastAsia="zh-CN"/>
              </w:rPr>
            </w:pPr>
            <w:r>
              <w:rPr>
                <w:rFonts w:hint="eastAsia"/>
                <w:lang w:val="en-US" w:eastAsia="zh-CN"/>
              </w:rPr>
              <w:t>基础减振，建筑降噪，厂内绿化，厂界设置围墙</w:t>
            </w:r>
          </w:p>
        </w:tc>
        <w:tc>
          <w:tcPr>
            <w:tcW w:w="1705" w:type="dxa"/>
            <w:vAlign w:val="center"/>
          </w:tcPr>
          <w:p w14:paraId="1B5F4583">
            <w:pPr>
              <w:pStyle w:val="26"/>
              <w:keepNext w:val="0"/>
              <w:keepLines w:val="0"/>
              <w:pageBreakBefore w:val="0"/>
              <w:widowControl w:val="0"/>
              <w:kinsoku/>
              <w:wordWrap w:val="0"/>
              <w:overflowPunct/>
              <w:topLinePunct w:val="0"/>
              <w:autoSpaceDE/>
              <w:autoSpaceDN/>
              <w:bidi w:val="0"/>
              <w:adjustRightInd/>
              <w:snapToGrid/>
              <w:textAlignment w:val="auto"/>
            </w:pPr>
            <w:r>
              <w:rPr>
                <w:rFonts w:hint="eastAsia"/>
                <w:lang w:val="en-US" w:eastAsia="zh-CN"/>
              </w:rPr>
              <w:t>《工业企业厂界环境噪声排放标准》（GB12348-2008）</w:t>
            </w:r>
          </w:p>
        </w:tc>
      </w:tr>
      <w:tr w14:paraId="639C0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11C2C4FF">
            <w:pPr>
              <w:pStyle w:val="26"/>
            </w:pPr>
            <w:r>
              <w:rPr>
                <w:rFonts w:hint="eastAsia"/>
              </w:rPr>
              <w:t>电磁辐射</w:t>
            </w:r>
          </w:p>
        </w:tc>
        <w:tc>
          <w:tcPr>
            <w:tcW w:w="1704" w:type="dxa"/>
            <w:vAlign w:val="center"/>
          </w:tcPr>
          <w:p w14:paraId="780C296C">
            <w:pPr>
              <w:pStyle w:val="26"/>
              <w:rPr>
                <w:rFonts w:hint="eastAsia" w:eastAsia="宋体"/>
                <w:lang w:val="en-US" w:eastAsia="zh-CN"/>
              </w:rPr>
            </w:pPr>
            <w:r>
              <w:rPr>
                <w:rFonts w:hint="eastAsia"/>
                <w:lang w:val="en-US" w:eastAsia="zh-CN"/>
              </w:rPr>
              <w:t>/</w:t>
            </w:r>
          </w:p>
        </w:tc>
        <w:tc>
          <w:tcPr>
            <w:tcW w:w="1704" w:type="dxa"/>
            <w:vAlign w:val="center"/>
          </w:tcPr>
          <w:p w14:paraId="059E1CAF">
            <w:pPr>
              <w:pStyle w:val="26"/>
              <w:rPr>
                <w:rFonts w:hint="eastAsia" w:eastAsia="宋体"/>
                <w:lang w:val="en-US" w:eastAsia="zh-CN"/>
              </w:rPr>
            </w:pPr>
            <w:r>
              <w:rPr>
                <w:rFonts w:hint="eastAsia"/>
                <w:lang w:val="en-US" w:eastAsia="zh-CN"/>
              </w:rPr>
              <w:t>/</w:t>
            </w:r>
          </w:p>
        </w:tc>
        <w:tc>
          <w:tcPr>
            <w:tcW w:w="1705" w:type="dxa"/>
            <w:vAlign w:val="center"/>
          </w:tcPr>
          <w:p w14:paraId="1DBF1036">
            <w:pPr>
              <w:pStyle w:val="26"/>
              <w:rPr>
                <w:rFonts w:hint="eastAsia" w:eastAsia="宋体"/>
                <w:lang w:val="en-US" w:eastAsia="zh-CN"/>
              </w:rPr>
            </w:pPr>
            <w:r>
              <w:rPr>
                <w:rFonts w:hint="eastAsia"/>
                <w:lang w:val="en-US" w:eastAsia="zh-CN"/>
              </w:rPr>
              <w:t>/</w:t>
            </w:r>
          </w:p>
        </w:tc>
        <w:tc>
          <w:tcPr>
            <w:tcW w:w="1705" w:type="dxa"/>
            <w:vAlign w:val="center"/>
          </w:tcPr>
          <w:p w14:paraId="45DDA8A8">
            <w:pPr>
              <w:pStyle w:val="26"/>
              <w:rPr>
                <w:rFonts w:hint="eastAsia" w:eastAsia="宋体"/>
                <w:lang w:val="en-US" w:eastAsia="zh-CN"/>
              </w:rPr>
            </w:pPr>
            <w:r>
              <w:rPr>
                <w:rFonts w:hint="eastAsia"/>
                <w:lang w:val="en-US" w:eastAsia="zh-CN"/>
              </w:rPr>
              <w:t>/</w:t>
            </w:r>
          </w:p>
        </w:tc>
      </w:tr>
      <w:tr w14:paraId="715BE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7304E8ED">
            <w:pPr>
              <w:pStyle w:val="26"/>
            </w:pPr>
            <w:r>
              <w:rPr>
                <w:rFonts w:hint="eastAsia"/>
              </w:rPr>
              <w:t>固体废物</w:t>
            </w:r>
          </w:p>
        </w:tc>
        <w:tc>
          <w:tcPr>
            <w:tcW w:w="1704" w:type="dxa"/>
            <w:vAlign w:val="center"/>
          </w:tcPr>
          <w:p w14:paraId="1E68B7C6">
            <w:pPr>
              <w:pStyle w:val="26"/>
              <w:rPr>
                <w:rFonts w:hint="default" w:eastAsia="宋体"/>
                <w:lang w:val="en-US" w:eastAsia="zh-CN"/>
              </w:rPr>
            </w:pPr>
            <w:r>
              <w:rPr>
                <w:rFonts w:hint="eastAsia"/>
                <w:lang w:val="en-US" w:eastAsia="zh-CN"/>
              </w:rPr>
              <w:t>生活垃圾</w:t>
            </w:r>
          </w:p>
        </w:tc>
        <w:tc>
          <w:tcPr>
            <w:tcW w:w="1704" w:type="dxa"/>
            <w:vAlign w:val="center"/>
          </w:tcPr>
          <w:p w14:paraId="325EDB28">
            <w:pPr>
              <w:pStyle w:val="26"/>
              <w:rPr>
                <w:rFonts w:hint="default" w:eastAsia="宋体"/>
                <w:lang w:val="en-US" w:eastAsia="zh-CN"/>
              </w:rPr>
            </w:pPr>
            <w:r>
              <w:rPr>
                <w:rFonts w:hint="eastAsia"/>
                <w:lang w:val="en-US" w:eastAsia="zh-CN"/>
              </w:rPr>
              <w:t>生活垃圾</w:t>
            </w:r>
          </w:p>
        </w:tc>
        <w:tc>
          <w:tcPr>
            <w:tcW w:w="1705" w:type="dxa"/>
            <w:vAlign w:val="center"/>
          </w:tcPr>
          <w:p w14:paraId="7C0A5828">
            <w:pPr>
              <w:pStyle w:val="26"/>
              <w:rPr>
                <w:rFonts w:hint="default" w:eastAsia="宋体"/>
                <w:lang w:val="en-US" w:eastAsia="zh-CN"/>
              </w:rPr>
            </w:pPr>
            <w:r>
              <w:rPr>
                <w:rFonts w:hint="eastAsia"/>
                <w:lang w:val="en-US" w:eastAsia="zh-CN"/>
              </w:rPr>
              <w:t>分类垃圾桶收集，委托环卫部门处置</w:t>
            </w:r>
          </w:p>
        </w:tc>
        <w:tc>
          <w:tcPr>
            <w:tcW w:w="1705" w:type="dxa"/>
            <w:vAlign w:val="center"/>
          </w:tcPr>
          <w:p w14:paraId="33E4F370">
            <w:pPr>
              <w:pStyle w:val="26"/>
              <w:rPr>
                <w:rFonts w:hint="default" w:eastAsia="宋体"/>
                <w:lang w:val="en-US" w:eastAsia="zh-CN"/>
              </w:rPr>
            </w:pPr>
            <w:r>
              <w:rPr>
                <w:rFonts w:hint="eastAsia"/>
                <w:lang w:val="en-US" w:eastAsia="zh-CN"/>
              </w:rPr>
              <w:t>妥善处置</w:t>
            </w:r>
          </w:p>
        </w:tc>
      </w:tr>
      <w:tr w14:paraId="62CD7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CEFBF2A">
            <w:pPr>
              <w:pStyle w:val="26"/>
            </w:pPr>
          </w:p>
        </w:tc>
        <w:tc>
          <w:tcPr>
            <w:tcW w:w="1704" w:type="dxa"/>
            <w:vAlign w:val="center"/>
          </w:tcPr>
          <w:p w14:paraId="44858E64">
            <w:pPr>
              <w:pStyle w:val="26"/>
              <w:rPr>
                <w:rFonts w:hint="default" w:eastAsia="宋体"/>
                <w:lang w:val="en-US" w:eastAsia="zh-CN"/>
              </w:rPr>
            </w:pPr>
            <w:r>
              <w:rPr>
                <w:rFonts w:hint="eastAsia"/>
                <w:lang w:val="en-US" w:eastAsia="zh-CN"/>
              </w:rPr>
              <w:t>危险废物</w:t>
            </w:r>
          </w:p>
        </w:tc>
        <w:tc>
          <w:tcPr>
            <w:tcW w:w="1704" w:type="dxa"/>
            <w:vAlign w:val="center"/>
          </w:tcPr>
          <w:p w14:paraId="52B46DF7">
            <w:pPr>
              <w:pStyle w:val="26"/>
              <w:rPr>
                <w:rFonts w:hint="eastAsia" w:eastAsia="宋体"/>
                <w:lang w:val="en-US" w:eastAsia="zh-CN"/>
              </w:rPr>
            </w:pPr>
            <w:r>
              <w:rPr>
                <w:rFonts w:hint="eastAsia"/>
                <w:lang w:val="en-US" w:eastAsia="zh-CN"/>
              </w:rPr>
              <w:t>残液</w:t>
            </w:r>
          </w:p>
        </w:tc>
        <w:tc>
          <w:tcPr>
            <w:tcW w:w="1705" w:type="dxa"/>
            <w:vAlign w:val="center"/>
          </w:tcPr>
          <w:p w14:paraId="6EEB7C30">
            <w:pPr>
              <w:pStyle w:val="26"/>
              <w:rPr>
                <w:rFonts w:hint="default" w:eastAsia="宋体"/>
                <w:vertAlign w:val="baseline"/>
                <w:lang w:val="en-US" w:eastAsia="zh-CN"/>
              </w:rPr>
            </w:pPr>
            <w:r>
              <w:rPr>
                <w:rFonts w:hint="eastAsia"/>
                <w:lang w:val="en-US" w:eastAsia="zh-CN"/>
              </w:rPr>
              <w:t>50m</w:t>
            </w:r>
            <w:r>
              <w:rPr>
                <w:rFonts w:hint="eastAsia"/>
                <w:vertAlign w:val="superscript"/>
                <w:lang w:val="en-US" w:eastAsia="zh-CN"/>
              </w:rPr>
              <w:t>3</w:t>
            </w:r>
            <w:r>
              <w:rPr>
                <w:rFonts w:hint="eastAsia"/>
                <w:vertAlign w:val="baseline"/>
                <w:lang w:val="en-US" w:eastAsia="zh-CN"/>
              </w:rPr>
              <w:t>残液罐暂存，委托有资质单位处置</w:t>
            </w:r>
          </w:p>
        </w:tc>
        <w:tc>
          <w:tcPr>
            <w:tcW w:w="1705" w:type="dxa"/>
            <w:vAlign w:val="center"/>
          </w:tcPr>
          <w:p w14:paraId="5B082703">
            <w:pPr>
              <w:pStyle w:val="26"/>
            </w:pPr>
            <w:r>
              <w:rPr>
                <w:rFonts w:hint="eastAsia"/>
                <w:lang w:val="en-US" w:eastAsia="zh-CN"/>
              </w:rPr>
              <w:t>妥善处置</w:t>
            </w:r>
          </w:p>
        </w:tc>
      </w:tr>
      <w:tr w14:paraId="274BF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A41FB16">
            <w:pPr>
              <w:pStyle w:val="26"/>
            </w:pPr>
            <w:r>
              <w:rPr>
                <w:rFonts w:hint="eastAsia"/>
              </w:rPr>
              <w:t>土壤及地下水污染防治措施</w:t>
            </w:r>
          </w:p>
        </w:tc>
        <w:tc>
          <w:tcPr>
            <w:tcW w:w="6818" w:type="dxa"/>
            <w:gridSpan w:val="4"/>
            <w:vAlign w:val="center"/>
          </w:tcPr>
          <w:p w14:paraId="5BD8CD62">
            <w:pPr>
              <w:pStyle w:val="26"/>
              <w:jc w:val="both"/>
            </w:pPr>
            <w:r>
              <w:rPr>
                <w:rFonts w:hint="eastAsia"/>
                <w:lang w:val="en-US" w:eastAsia="zh-CN"/>
              </w:rPr>
              <w:t>储罐区、灌瓶间进行重点防渗，装卸区进行一般防渗，其他区域进行简单防渗</w:t>
            </w:r>
          </w:p>
        </w:tc>
      </w:tr>
      <w:tr w14:paraId="51CA3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1704" w:type="dxa"/>
            <w:vAlign w:val="center"/>
          </w:tcPr>
          <w:p w14:paraId="72ED7C4D">
            <w:pPr>
              <w:pStyle w:val="26"/>
            </w:pPr>
            <w:r>
              <w:rPr>
                <w:rFonts w:hint="eastAsia"/>
              </w:rPr>
              <w:t>生态保护措施</w:t>
            </w:r>
          </w:p>
        </w:tc>
        <w:tc>
          <w:tcPr>
            <w:tcW w:w="6818" w:type="dxa"/>
            <w:gridSpan w:val="4"/>
            <w:vAlign w:val="center"/>
          </w:tcPr>
          <w:p w14:paraId="5FEE3DEB">
            <w:pPr>
              <w:pStyle w:val="26"/>
              <w:rPr>
                <w:rFonts w:hint="eastAsia" w:eastAsia="宋体"/>
                <w:lang w:val="en-US" w:eastAsia="zh-CN"/>
              </w:rPr>
            </w:pPr>
            <w:r>
              <w:rPr>
                <w:rFonts w:hint="eastAsia"/>
                <w:lang w:val="en-US" w:eastAsia="zh-CN"/>
              </w:rPr>
              <w:t>/</w:t>
            </w:r>
          </w:p>
        </w:tc>
      </w:tr>
      <w:tr w14:paraId="592BB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1704" w:type="dxa"/>
            <w:vAlign w:val="center"/>
          </w:tcPr>
          <w:p w14:paraId="53F1B4FB">
            <w:pPr>
              <w:pStyle w:val="26"/>
            </w:pPr>
            <w:r>
              <w:rPr>
                <w:rFonts w:hint="eastAsia"/>
              </w:rPr>
              <w:t>环境风险</w:t>
            </w:r>
          </w:p>
          <w:p w14:paraId="491C3CC8">
            <w:pPr>
              <w:pStyle w:val="26"/>
            </w:pPr>
            <w:r>
              <w:rPr>
                <w:rFonts w:hint="eastAsia"/>
              </w:rPr>
              <w:t>防范措施</w:t>
            </w:r>
          </w:p>
        </w:tc>
        <w:tc>
          <w:tcPr>
            <w:tcW w:w="6818" w:type="dxa"/>
            <w:gridSpan w:val="4"/>
            <w:vAlign w:val="center"/>
          </w:tcPr>
          <w:p w14:paraId="5B54A430">
            <w:pPr>
              <w:pStyle w:val="26"/>
              <w:ind w:firstLine="420" w:firstLineChars="200"/>
              <w:jc w:val="both"/>
            </w:pPr>
            <w:r>
              <w:rPr>
                <w:rFonts w:hint="eastAsia"/>
                <w:lang w:val="en-US" w:eastAsia="zh-CN"/>
              </w:rPr>
              <w:t>各储罐及管道设置泄漏检测报警装置，灌瓶车间设置可燃气体泄漏报警装置，设置300m</w:t>
            </w:r>
            <w:r>
              <w:rPr>
                <w:rFonts w:hint="eastAsia"/>
                <w:vertAlign w:val="superscript"/>
                <w:lang w:val="en-US" w:eastAsia="zh-CN"/>
              </w:rPr>
              <w:t>3</w:t>
            </w:r>
            <w:r>
              <w:rPr>
                <w:rFonts w:hint="eastAsia"/>
                <w:vertAlign w:val="baseline"/>
                <w:lang w:val="en-US" w:eastAsia="zh-CN"/>
              </w:rPr>
              <w:t>消防水池，建设消防栓、灭火器等消防设施，建设300m</w:t>
            </w:r>
            <w:r>
              <w:rPr>
                <w:rFonts w:hint="eastAsia"/>
                <w:vertAlign w:val="superscript"/>
                <w:lang w:val="en-US" w:eastAsia="zh-CN"/>
              </w:rPr>
              <w:t>3</w:t>
            </w:r>
            <w:r>
              <w:rPr>
                <w:rFonts w:hint="eastAsia"/>
                <w:vertAlign w:val="baseline"/>
                <w:lang w:val="en-US" w:eastAsia="zh-CN"/>
              </w:rPr>
              <w:t>事故应急池</w:t>
            </w:r>
          </w:p>
        </w:tc>
      </w:tr>
      <w:tr w14:paraId="35D08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1704" w:type="dxa"/>
            <w:vAlign w:val="center"/>
          </w:tcPr>
          <w:p w14:paraId="26FC113B">
            <w:pPr>
              <w:pStyle w:val="26"/>
            </w:pPr>
            <w:r>
              <w:rPr>
                <w:rFonts w:hint="eastAsia"/>
              </w:rPr>
              <w:t>其他环境</w:t>
            </w:r>
          </w:p>
          <w:p w14:paraId="2C71468B">
            <w:pPr>
              <w:pStyle w:val="26"/>
            </w:pPr>
            <w:r>
              <w:rPr>
                <w:rFonts w:hint="eastAsia"/>
              </w:rPr>
              <w:t>管理要求</w:t>
            </w:r>
          </w:p>
        </w:tc>
        <w:tc>
          <w:tcPr>
            <w:tcW w:w="6818" w:type="dxa"/>
            <w:gridSpan w:val="4"/>
            <w:vAlign w:val="center"/>
          </w:tcPr>
          <w:p w14:paraId="10AC1C90">
            <w:pPr>
              <w:pStyle w:val="26"/>
              <w:ind w:firstLine="420" w:firstLineChars="200"/>
              <w:jc w:val="both"/>
            </w:pPr>
            <w:r>
              <w:rPr>
                <w:rFonts w:hint="eastAsia"/>
              </w:rPr>
              <w:t>根据《固定污染源排污许可分类管理名录（2019年版）》，本项目属于</w:t>
            </w:r>
            <w:r>
              <w:rPr>
                <w:rFonts w:hint="eastAsia"/>
                <w:lang w:eastAsia="zh-CN"/>
              </w:rPr>
              <w:t>“</w:t>
            </w:r>
            <w:r>
              <w:rPr>
                <w:rFonts w:hint="eastAsia"/>
                <w:lang w:val="en-US" w:eastAsia="zh-CN"/>
              </w:rPr>
              <w:t>四十四、装卸搬运和仓储业59-102、危险品仓储594-其他危险品仓储（含油品码头后方配套油库，不含储备油库）</w:t>
            </w:r>
            <w:r>
              <w:rPr>
                <w:rFonts w:hint="eastAsia"/>
                <w:lang w:eastAsia="zh-CN"/>
              </w:rPr>
              <w:t>”，</w:t>
            </w:r>
            <w:r>
              <w:rPr>
                <w:rFonts w:hint="eastAsia"/>
                <w:lang w:val="en-US" w:eastAsia="zh-CN"/>
              </w:rPr>
              <w:t>其排污许可证管理类别为登记管理，建设单位应当在正式投运前进行排污许可登记。</w:t>
            </w:r>
          </w:p>
        </w:tc>
      </w:tr>
    </w:tbl>
    <w:p w14:paraId="7008D926">
      <w:pPr>
        <w:pStyle w:val="25"/>
        <w:ind w:firstLine="0" w:firstLineChars="0"/>
        <w:sectPr>
          <w:pgSz w:w="11906" w:h="16838"/>
          <w:pgMar w:top="1440" w:right="1800" w:bottom="1440" w:left="1800" w:header="851" w:footer="992" w:gutter="0"/>
          <w:cols w:space="425" w:num="1"/>
          <w:docGrid w:type="lines" w:linePitch="312" w:charSpace="0"/>
        </w:sectPr>
      </w:pPr>
    </w:p>
    <w:p w14:paraId="20DE9CCF">
      <w:pPr>
        <w:pStyle w:val="29"/>
      </w:pPr>
      <w:bookmarkStart w:id="5" w:name="_Toc32341"/>
      <w:r>
        <w:rPr>
          <w:rFonts w:hint="eastAsia"/>
        </w:rPr>
        <w:t>六、结论</w:t>
      </w:r>
      <w:bookmarkEnd w:id="5"/>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2D570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28" w:hRule="atLeast"/>
        </w:trPr>
        <w:tc>
          <w:tcPr>
            <w:tcW w:w="8522" w:type="dxa"/>
            <w:vAlign w:val="center"/>
          </w:tcPr>
          <w:p w14:paraId="08512DCF">
            <w:pPr>
              <w:pStyle w:val="25"/>
              <w:ind w:firstLine="480"/>
            </w:pPr>
            <w:r>
              <w:rPr>
                <w:rFonts w:hint="eastAsia"/>
                <w:sz w:val="24"/>
                <w:szCs w:val="32"/>
                <w:lang w:val="en-US" w:eastAsia="zh-CN"/>
              </w:rPr>
              <w:t>衡阳华永燃气有限公司液化气充装站建设项目</w:t>
            </w:r>
            <w:r>
              <w:rPr>
                <w:rFonts w:hint="eastAsia"/>
                <w:szCs w:val="32"/>
              </w:rPr>
              <w:t>位于</w:t>
            </w:r>
            <w:r>
              <w:rPr>
                <w:rFonts w:hint="eastAsia"/>
                <w:sz w:val="24"/>
                <w:lang w:val="en-US" w:eastAsia="zh-CN"/>
              </w:rPr>
              <w:t>湖南省衡阳市衡阳县集兵镇太栗村胡家组</w:t>
            </w:r>
            <w:r>
              <w:rPr>
                <w:rFonts w:hint="eastAsia"/>
              </w:rPr>
              <w:t>，项目建设符合国家产业政策，在认真落实报告提出的各项环保措施的前提下，废气、废水、噪声可做到达标排放，固废可得到妥善处置或综合利用，对环境影响可接受。从环境保护角度而言，本项目建设是可行的。</w:t>
            </w:r>
          </w:p>
        </w:tc>
      </w:tr>
    </w:tbl>
    <w:p w14:paraId="74DC4B04">
      <w:pPr>
        <w:pStyle w:val="25"/>
        <w:ind w:firstLine="0" w:firstLineChars="0"/>
        <w:sectPr>
          <w:pgSz w:w="11906" w:h="16838"/>
          <w:pgMar w:top="1440" w:right="1800" w:bottom="1440" w:left="1800" w:header="851" w:footer="992" w:gutter="0"/>
          <w:cols w:space="425" w:num="1"/>
          <w:docGrid w:type="lines" w:linePitch="312" w:charSpace="0"/>
        </w:sectPr>
      </w:pPr>
    </w:p>
    <w:p w14:paraId="09ADECEA">
      <w:pPr>
        <w:pStyle w:val="29"/>
      </w:pPr>
      <w:bookmarkStart w:id="6" w:name="_Toc14915"/>
      <w:r>
        <w:rPr>
          <w:rFonts w:hint="eastAsia"/>
        </w:rPr>
        <w:t>附表：建设项目污染物排放量汇总表</w:t>
      </w:r>
      <w:bookmarkEnd w:id="6"/>
    </w:p>
    <w:p w14:paraId="6852A4C0">
      <w:pPr>
        <w:pStyle w:val="24"/>
        <w:spacing w:before="156"/>
        <w:jc w:val="right"/>
        <w:rPr>
          <w:sz w:val="21"/>
          <w:szCs w:val="21"/>
        </w:rPr>
      </w:pPr>
      <w:r>
        <w:rPr>
          <w:rFonts w:hint="eastAsia"/>
        </w:rPr>
        <w:t xml:space="preserve">建设项目污染物排放量汇总表 </w:t>
      </w:r>
      <w:r>
        <w:t xml:space="preserve">                                                                                 </w:t>
      </w:r>
      <w:r>
        <w:rPr>
          <w:sz w:val="21"/>
          <w:szCs w:val="21"/>
        </w:rPr>
        <w:t xml:space="preserve"> </w:t>
      </w:r>
      <w:r>
        <w:rPr>
          <w:rFonts w:hint="eastAsia"/>
          <w:sz w:val="21"/>
          <w:szCs w:val="21"/>
        </w:rPr>
        <w:t>单位：t</w:t>
      </w:r>
      <w:r>
        <w:rPr>
          <w:sz w:val="21"/>
          <w:szCs w:val="21"/>
        </w:rPr>
        <w:t>/a</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634"/>
        <w:gridCol w:w="1635"/>
        <w:gridCol w:w="1638"/>
        <w:gridCol w:w="1635"/>
        <w:gridCol w:w="1639"/>
        <w:gridCol w:w="1639"/>
        <w:gridCol w:w="1639"/>
        <w:gridCol w:w="1639"/>
        <w:gridCol w:w="1636"/>
      </w:tblGrid>
      <w:tr w14:paraId="3216B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34" w:type="dxa"/>
            <w:tcBorders>
              <w:tl2br w:val="single" w:color="auto" w:sz="4" w:space="0"/>
            </w:tcBorders>
            <w:vAlign w:val="center"/>
          </w:tcPr>
          <w:p w14:paraId="0C1A6A73">
            <w:pPr>
              <w:pStyle w:val="26"/>
              <w:jc w:val="right"/>
            </w:pPr>
            <w:r>
              <w:rPr>
                <w:rFonts w:hint="eastAsia"/>
              </w:rPr>
              <w:t>项目</w:t>
            </w:r>
          </w:p>
          <w:p w14:paraId="0AFC6D89">
            <w:pPr>
              <w:pStyle w:val="26"/>
              <w:jc w:val="left"/>
            </w:pPr>
            <w:r>
              <w:rPr>
                <w:rFonts w:hint="eastAsia"/>
              </w:rPr>
              <w:t>分类</w:t>
            </w:r>
          </w:p>
        </w:tc>
        <w:tc>
          <w:tcPr>
            <w:tcW w:w="1635" w:type="dxa"/>
            <w:vAlign w:val="center"/>
          </w:tcPr>
          <w:p w14:paraId="1102D346">
            <w:pPr>
              <w:pStyle w:val="26"/>
            </w:pPr>
            <w:r>
              <w:rPr>
                <w:rFonts w:hint="eastAsia"/>
              </w:rPr>
              <w:t>污染物名称</w:t>
            </w:r>
          </w:p>
        </w:tc>
        <w:tc>
          <w:tcPr>
            <w:tcW w:w="1638" w:type="dxa"/>
            <w:vAlign w:val="center"/>
          </w:tcPr>
          <w:p w14:paraId="346FE83E">
            <w:pPr>
              <w:pStyle w:val="26"/>
            </w:pPr>
            <w:r>
              <w:rPr>
                <w:rFonts w:hint="eastAsia"/>
              </w:rPr>
              <w:t>现有工程排放量（固体废物产生量）①</w:t>
            </w:r>
          </w:p>
        </w:tc>
        <w:tc>
          <w:tcPr>
            <w:tcW w:w="1635" w:type="dxa"/>
            <w:vAlign w:val="center"/>
          </w:tcPr>
          <w:p w14:paraId="442D54C3">
            <w:pPr>
              <w:pStyle w:val="26"/>
            </w:pPr>
            <w:r>
              <w:rPr>
                <w:rFonts w:hint="eastAsia"/>
              </w:rPr>
              <w:t>现有工程许可排放量②</w:t>
            </w:r>
          </w:p>
        </w:tc>
        <w:tc>
          <w:tcPr>
            <w:tcW w:w="1639" w:type="dxa"/>
            <w:vAlign w:val="center"/>
          </w:tcPr>
          <w:p w14:paraId="1A198633">
            <w:pPr>
              <w:pStyle w:val="26"/>
            </w:pPr>
            <w:r>
              <w:rPr>
                <w:rFonts w:hint="eastAsia"/>
              </w:rPr>
              <w:t>在建工程排放量（固体废物产生量）③</w:t>
            </w:r>
          </w:p>
        </w:tc>
        <w:tc>
          <w:tcPr>
            <w:tcW w:w="1639" w:type="dxa"/>
            <w:vAlign w:val="center"/>
          </w:tcPr>
          <w:p w14:paraId="603DFF55">
            <w:pPr>
              <w:pStyle w:val="26"/>
            </w:pPr>
            <w:r>
              <w:rPr>
                <w:rFonts w:hint="eastAsia"/>
              </w:rPr>
              <w:t>本项目排放量（固体废物产生量）④</w:t>
            </w:r>
          </w:p>
        </w:tc>
        <w:tc>
          <w:tcPr>
            <w:tcW w:w="1639" w:type="dxa"/>
            <w:vAlign w:val="center"/>
          </w:tcPr>
          <w:p w14:paraId="4579518C">
            <w:pPr>
              <w:pStyle w:val="26"/>
            </w:pPr>
            <w:r>
              <w:rPr>
                <w:rFonts w:hint="eastAsia"/>
              </w:rPr>
              <w:t>以新带老削减量（新建项目不填）⑤</w:t>
            </w:r>
          </w:p>
        </w:tc>
        <w:tc>
          <w:tcPr>
            <w:tcW w:w="1639" w:type="dxa"/>
            <w:vAlign w:val="center"/>
          </w:tcPr>
          <w:p w14:paraId="5A3A3064">
            <w:pPr>
              <w:pStyle w:val="26"/>
            </w:pPr>
            <w:r>
              <w:rPr>
                <w:rFonts w:hint="eastAsia"/>
              </w:rPr>
              <w:t>本项目建成后全厂排放量（固体废物产生量）⑥</w:t>
            </w:r>
          </w:p>
        </w:tc>
        <w:tc>
          <w:tcPr>
            <w:tcW w:w="1636" w:type="dxa"/>
            <w:vAlign w:val="center"/>
          </w:tcPr>
          <w:p w14:paraId="055F3F94">
            <w:pPr>
              <w:pStyle w:val="26"/>
            </w:pPr>
            <w:r>
              <w:rPr>
                <w:rFonts w:hint="eastAsia"/>
              </w:rPr>
              <w:t>变化量⑦</w:t>
            </w:r>
          </w:p>
        </w:tc>
      </w:tr>
      <w:tr w14:paraId="749B0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34" w:type="dxa"/>
            <w:vAlign w:val="center"/>
          </w:tcPr>
          <w:p w14:paraId="2D50FD42">
            <w:pPr>
              <w:pStyle w:val="26"/>
            </w:pPr>
            <w:r>
              <w:rPr>
                <w:rFonts w:hint="eastAsia"/>
              </w:rPr>
              <w:t>废气</w:t>
            </w:r>
          </w:p>
        </w:tc>
        <w:tc>
          <w:tcPr>
            <w:tcW w:w="1635" w:type="dxa"/>
            <w:vAlign w:val="center"/>
          </w:tcPr>
          <w:p w14:paraId="1710A099">
            <w:pPr>
              <w:pStyle w:val="26"/>
              <w:rPr>
                <w:rFonts w:hint="eastAsia" w:eastAsia="宋体"/>
                <w:lang w:val="en-US" w:eastAsia="zh-CN"/>
              </w:rPr>
            </w:pPr>
            <w:r>
              <w:rPr>
                <w:rFonts w:hint="eastAsia"/>
                <w:lang w:val="en-US" w:eastAsia="zh-CN"/>
              </w:rPr>
              <w:t>NMHC</w:t>
            </w:r>
          </w:p>
        </w:tc>
        <w:tc>
          <w:tcPr>
            <w:tcW w:w="1638" w:type="dxa"/>
            <w:vAlign w:val="center"/>
          </w:tcPr>
          <w:p w14:paraId="73EDDC54">
            <w:pPr>
              <w:pStyle w:val="26"/>
              <w:rPr>
                <w:rFonts w:hint="eastAsia" w:eastAsia="宋体"/>
                <w:lang w:val="en-US" w:eastAsia="zh-CN"/>
              </w:rPr>
            </w:pPr>
            <w:r>
              <w:rPr>
                <w:rFonts w:hint="eastAsia"/>
                <w:lang w:val="en-US" w:eastAsia="zh-CN"/>
              </w:rPr>
              <w:t>/</w:t>
            </w:r>
          </w:p>
        </w:tc>
        <w:tc>
          <w:tcPr>
            <w:tcW w:w="1635" w:type="dxa"/>
            <w:vAlign w:val="center"/>
          </w:tcPr>
          <w:p w14:paraId="072A7F0D">
            <w:pPr>
              <w:pStyle w:val="26"/>
              <w:rPr>
                <w:rFonts w:hint="eastAsia" w:eastAsia="宋体"/>
                <w:lang w:val="en-US" w:eastAsia="zh-CN"/>
              </w:rPr>
            </w:pPr>
            <w:r>
              <w:rPr>
                <w:rFonts w:hint="eastAsia"/>
                <w:lang w:val="en-US" w:eastAsia="zh-CN"/>
              </w:rPr>
              <w:t>/</w:t>
            </w:r>
          </w:p>
        </w:tc>
        <w:tc>
          <w:tcPr>
            <w:tcW w:w="1639" w:type="dxa"/>
            <w:vAlign w:val="center"/>
          </w:tcPr>
          <w:p w14:paraId="0458C502">
            <w:pPr>
              <w:pStyle w:val="26"/>
              <w:rPr>
                <w:rFonts w:hint="eastAsia" w:eastAsia="宋体"/>
                <w:lang w:val="en-US" w:eastAsia="zh-CN"/>
              </w:rPr>
            </w:pPr>
            <w:r>
              <w:rPr>
                <w:rFonts w:hint="eastAsia"/>
                <w:lang w:val="en-US" w:eastAsia="zh-CN"/>
              </w:rPr>
              <w:t>/</w:t>
            </w:r>
          </w:p>
        </w:tc>
        <w:tc>
          <w:tcPr>
            <w:tcW w:w="1639" w:type="dxa"/>
            <w:vAlign w:val="center"/>
          </w:tcPr>
          <w:p w14:paraId="5C8A8271">
            <w:pPr>
              <w:pStyle w:val="26"/>
              <w:rPr>
                <w:rFonts w:hint="default" w:eastAsia="宋体"/>
                <w:lang w:val="en-US" w:eastAsia="zh-CN"/>
              </w:rPr>
            </w:pPr>
            <w:r>
              <w:rPr>
                <w:rFonts w:hint="eastAsia"/>
                <w:lang w:val="en-US" w:eastAsia="zh-CN"/>
              </w:rPr>
              <w:t>0.14</w:t>
            </w:r>
          </w:p>
        </w:tc>
        <w:tc>
          <w:tcPr>
            <w:tcW w:w="1639" w:type="dxa"/>
            <w:vAlign w:val="center"/>
          </w:tcPr>
          <w:p w14:paraId="48BB030A">
            <w:pPr>
              <w:pStyle w:val="26"/>
              <w:rPr>
                <w:rFonts w:hint="eastAsia" w:eastAsia="宋体"/>
                <w:lang w:val="en-US" w:eastAsia="zh-CN"/>
              </w:rPr>
            </w:pPr>
            <w:r>
              <w:rPr>
                <w:rFonts w:hint="eastAsia"/>
                <w:lang w:val="en-US" w:eastAsia="zh-CN"/>
              </w:rPr>
              <w:t>/</w:t>
            </w:r>
          </w:p>
        </w:tc>
        <w:tc>
          <w:tcPr>
            <w:tcW w:w="1639" w:type="dxa"/>
            <w:vAlign w:val="center"/>
          </w:tcPr>
          <w:p w14:paraId="4970763E">
            <w:pPr>
              <w:pStyle w:val="26"/>
              <w:rPr>
                <w:rFonts w:hint="default" w:eastAsia="宋体"/>
                <w:lang w:val="en-US" w:eastAsia="zh-CN"/>
              </w:rPr>
            </w:pPr>
            <w:r>
              <w:rPr>
                <w:rFonts w:hint="eastAsia"/>
                <w:lang w:val="en-US" w:eastAsia="zh-CN"/>
              </w:rPr>
              <w:t>0.14</w:t>
            </w:r>
          </w:p>
        </w:tc>
        <w:tc>
          <w:tcPr>
            <w:tcW w:w="1636" w:type="dxa"/>
            <w:vAlign w:val="center"/>
          </w:tcPr>
          <w:p w14:paraId="7A74F9AB">
            <w:pPr>
              <w:pStyle w:val="26"/>
              <w:rPr>
                <w:rFonts w:hint="default" w:eastAsia="宋体"/>
                <w:lang w:val="en-US" w:eastAsia="zh-CN"/>
              </w:rPr>
            </w:pPr>
            <w:r>
              <w:rPr>
                <w:rFonts w:hint="eastAsia"/>
                <w:lang w:val="en-US" w:eastAsia="zh-CN"/>
              </w:rPr>
              <w:t>0.14</w:t>
            </w:r>
          </w:p>
        </w:tc>
      </w:tr>
      <w:tr w14:paraId="55EB3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34" w:type="dxa"/>
            <w:vAlign w:val="center"/>
          </w:tcPr>
          <w:p w14:paraId="7AED15B9">
            <w:pPr>
              <w:pStyle w:val="26"/>
            </w:pPr>
            <w:r>
              <w:rPr>
                <w:rFonts w:hint="eastAsia"/>
              </w:rPr>
              <w:t>废水</w:t>
            </w:r>
          </w:p>
        </w:tc>
        <w:tc>
          <w:tcPr>
            <w:tcW w:w="1635" w:type="dxa"/>
            <w:vAlign w:val="center"/>
          </w:tcPr>
          <w:p w14:paraId="746757B6">
            <w:pPr>
              <w:pStyle w:val="26"/>
              <w:rPr>
                <w:rFonts w:hint="eastAsia" w:eastAsia="宋体"/>
                <w:lang w:val="en-US" w:eastAsia="zh-CN"/>
              </w:rPr>
            </w:pPr>
            <w:r>
              <w:rPr>
                <w:rFonts w:hint="eastAsia"/>
                <w:lang w:val="en-US" w:eastAsia="zh-CN"/>
              </w:rPr>
              <w:t>/</w:t>
            </w:r>
          </w:p>
        </w:tc>
        <w:tc>
          <w:tcPr>
            <w:tcW w:w="1638" w:type="dxa"/>
            <w:vAlign w:val="center"/>
          </w:tcPr>
          <w:p w14:paraId="3B9CC48C">
            <w:pPr>
              <w:pStyle w:val="26"/>
              <w:rPr>
                <w:rFonts w:hint="eastAsia" w:eastAsia="宋体"/>
                <w:lang w:val="en-US" w:eastAsia="zh-CN"/>
              </w:rPr>
            </w:pPr>
            <w:r>
              <w:rPr>
                <w:rFonts w:hint="eastAsia"/>
                <w:lang w:val="en-US" w:eastAsia="zh-CN"/>
              </w:rPr>
              <w:t>/</w:t>
            </w:r>
          </w:p>
        </w:tc>
        <w:tc>
          <w:tcPr>
            <w:tcW w:w="1635" w:type="dxa"/>
            <w:vAlign w:val="center"/>
          </w:tcPr>
          <w:p w14:paraId="082D0A33">
            <w:pPr>
              <w:pStyle w:val="26"/>
              <w:rPr>
                <w:rFonts w:hint="eastAsia" w:eastAsia="宋体"/>
                <w:lang w:val="en-US" w:eastAsia="zh-CN"/>
              </w:rPr>
            </w:pPr>
            <w:r>
              <w:rPr>
                <w:rFonts w:hint="eastAsia"/>
                <w:lang w:val="en-US" w:eastAsia="zh-CN"/>
              </w:rPr>
              <w:t>/</w:t>
            </w:r>
          </w:p>
        </w:tc>
        <w:tc>
          <w:tcPr>
            <w:tcW w:w="1639" w:type="dxa"/>
            <w:vAlign w:val="center"/>
          </w:tcPr>
          <w:p w14:paraId="42ED0A1D">
            <w:pPr>
              <w:pStyle w:val="26"/>
              <w:rPr>
                <w:rFonts w:hint="eastAsia" w:eastAsia="宋体"/>
                <w:lang w:val="en-US" w:eastAsia="zh-CN"/>
              </w:rPr>
            </w:pPr>
            <w:r>
              <w:rPr>
                <w:rFonts w:hint="eastAsia"/>
                <w:lang w:val="en-US" w:eastAsia="zh-CN"/>
              </w:rPr>
              <w:t>/</w:t>
            </w:r>
          </w:p>
        </w:tc>
        <w:tc>
          <w:tcPr>
            <w:tcW w:w="1639" w:type="dxa"/>
            <w:vAlign w:val="center"/>
          </w:tcPr>
          <w:p w14:paraId="1AA9CE3C">
            <w:pPr>
              <w:pStyle w:val="26"/>
              <w:rPr>
                <w:rFonts w:hint="eastAsia" w:eastAsia="宋体"/>
                <w:lang w:val="en-US" w:eastAsia="zh-CN"/>
              </w:rPr>
            </w:pPr>
            <w:r>
              <w:rPr>
                <w:rFonts w:hint="eastAsia"/>
                <w:lang w:val="en-US" w:eastAsia="zh-CN"/>
              </w:rPr>
              <w:t>/</w:t>
            </w:r>
          </w:p>
        </w:tc>
        <w:tc>
          <w:tcPr>
            <w:tcW w:w="1639" w:type="dxa"/>
            <w:vAlign w:val="center"/>
          </w:tcPr>
          <w:p w14:paraId="7F598326">
            <w:pPr>
              <w:pStyle w:val="26"/>
              <w:rPr>
                <w:rFonts w:hint="eastAsia" w:eastAsia="宋体"/>
                <w:lang w:val="en-US" w:eastAsia="zh-CN"/>
              </w:rPr>
            </w:pPr>
            <w:r>
              <w:rPr>
                <w:rFonts w:hint="eastAsia"/>
                <w:lang w:val="en-US" w:eastAsia="zh-CN"/>
              </w:rPr>
              <w:t>/</w:t>
            </w:r>
          </w:p>
        </w:tc>
        <w:tc>
          <w:tcPr>
            <w:tcW w:w="1639" w:type="dxa"/>
            <w:vAlign w:val="center"/>
          </w:tcPr>
          <w:p w14:paraId="28094137">
            <w:pPr>
              <w:pStyle w:val="26"/>
              <w:rPr>
                <w:rFonts w:hint="eastAsia" w:eastAsia="宋体"/>
                <w:lang w:val="en-US" w:eastAsia="zh-CN"/>
              </w:rPr>
            </w:pPr>
            <w:r>
              <w:rPr>
                <w:rFonts w:hint="eastAsia"/>
                <w:lang w:val="en-US" w:eastAsia="zh-CN"/>
              </w:rPr>
              <w:t>/</w:t>
            </w:r>
          </w:p>
        </w:tc>
        <w:tc>
          <w:tcPr>
            <w:tcW w:w="1636" w:type="dxa"/>
            <w:vAlign w:val="center"/>
          </w:tcPr>
          <w:p w14:paraId="0617B0ED">
            <w:pPr>
              <w:pStyle w:val="26"/>
              <w:rPr>
                <w:rFonts w:hint="eastAsia" w:eastAsia="宋体"/>
                <w:lang w:val="en-US" w:eastAsia="zh-CN"/>
              </w:rPr>
            </w:pPr>
            <w:r>
              <w:rPr>
                <w:rFonts w:hint="eastAsia"/>
                <w:lang w:val="en-US" w:eastAsia="zh-CN"/>
              </w:rPr>
              <w:t>/</w:t>
            </w:r>
          </w:p>
        </w:tc>
      </w:tr>
      <w:tr w14:paraId="2505F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34" w:type="dxa"/>
            <w:vAlign w:val="center"/>
          </w:tcPr>
          <w:p w14:paraId="4E54AA2E">
            <w:pPr>
              <w:pStyle w:val="26"/>
            </w:pPr>
            <w:r>
              <w:rPr>
                <w:rFonts w:hint="eastAsia"/>
              </w:rPr>
              <w:t>一般工业</w:t>
            </w:r>
          </w:p>
          <w:p w14:paraId="3B510D71">
            <w:pPr>
              <w:pStyle w:val="26"/>
            </w:pPr>
            <w:r>
              <w:rPr>
                <w:rFonts w:hint="eastAsia"/>
              </w:rPr>
              <w:t>固体废物</w:t>
            </w:r>
          </w:p>
        </w:tc>
        <w:tc>
          <w:tcPr>
            <w:tcW w:w="1635" w:type="dxa"/>
            <w:shd w:val="clear" w:color="auto" w:fill="auto"/>
            <w:vAlign w:val="center"/>
          </w:tcPr>
          <w:p w14:paraId="2F7D8929">
            <w:pPr>
              <w:pStyle w:val="26"/>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1638" w:type="dxa"/>
            <w:shd w:val="clear" w:color="auto" w:fill="auto"/>
            <w:vAlign w:val="center"/>
          </w:tcPr>
          <w:p w14:paraId="7E03ACF4">
            <w:pPr>
              <w:pStyle w:val="26"/>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1635" w:type="dxa"/>
            <w:shd w:val="clear" w:color="auto" w:fill="auto"/>
            <w:vAlign w:val="center"/>
          </w:tcPr>
          <w:p w14:paraId="6E0EFC48">
            <w:pPr>
              <w:pStyle w:val="26"/>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1639" w:type="dxa"/>
            <w:shd w:val="clear" w:color="auto" w:fill="auto"/>
            <w:vAlign w:val="center"/>
          </w:tcPr>
          <w:p w14:paraId="4FF148DF">
            <w:pPr>
              <w:pStyle w:val="26"/>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1639" w:type="dxa"/>
            <w:shd w:val="clear" w:color="auto" w:fill="auto"/>
            <w:vAlign w:val="center"/>
          </w:tcPr>
          <w:p w14:paraId="76857072">
            <w:pPr>
              <w:pStyle w:val="26"/>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1639" w:type="dxa"/>
            <w:shd w:val="clear" w:color="auto" w:fill="auto"/>
            <w:vAlign w:val="center"/>
          </w:tcPr>
          <w:p w14:paraId="7837B2A8">
            <w:pPr>
              <w:pStyle w:val="26"/>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1639" w:type="dxa"/>
            <w:shd w:val="clear" w:color="auto" w:fill="auto"/>
            <w:vAlign w:val="center"/>
          </w:tcPr>
          <w:p w14:paraId="0BCDD0F1">
            <w:pPr>
              <w:pStyle w:val="26"/>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1636" w:type="dxa"/>
            <w:shd w:val="clear" w:color="auto" w:fill="auto"/>
            <w:vAlign w:val="center"/>
          </w:tcPr>
          <w:p w14:paraId="71D57568">
            <w:pPr>
              <w:pStyle w:val="26"/>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r>
      <w:tr w14:paraId="3D944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34" w:type="dxa"/>
            <w:vAlign w:val="center"/>
          </w:tcPr>
          <w:p w14:paraId="710968C7">
            <w:pPr>
              <w:pStyle w:val="26"/>
            </w:pPr>
            <w:r>
              <w:rPr>
                <w:rFonts w:hint="eastAsia"/>
              </w:rPr>
              <w:t>危险废物</w:t>
            </w:r>
          </w:p>
        </w:tc>
        <w:tc>
          <w:tcPr>
            <w:tcW w:w="1635" w:type="dxa"/>
            <w:vAlign w:val="center"/>
          </w:tcPr>
          <w:p w14:paraId="11058FA2">
            <w:pPr>
              <w:pStyle w:val="26"/>
              <w:rPr>
                <w:rFonts w:hint="eastAsia" w:eastAsia="宋体"/>
                <w:lang w:val="en-US" w:eastAsia="zh-CN"/>
              </w:rPr>
            </w:pPr>
            <w:r>
              <w:rPr>
                <w:rFonts w:hint="eastAsia"/>
                <w:lang w:val="en-US" w:eastAsia="zh-CN"/>
              </w:rPr>
              <w:t>残液</w:t>
            </w:r>
          </w:p>
        </w:tc>
        <w:tc>
          <w:tcPr>
            <w:tcW w:w="1638" w:type="dxa"/>
            <w:vAlign w:val="center"/>
          </w:tcPr>
          <w:p w14:paraId="1D63FEB7">
            <w:pPr>
              <w:pStyle w:val="26"/>
              <w:rPr>
                <w:rFonts w:hint="eastAsia" w:eastAsia="宋体"/>
                <w:lang w:val="en-US" w:eastAsia="zh-CN"/>
              </w:rPr>
            </w:pPr>
            <w:r>
              <w:rPr>
                <w:rFonts w:hint="eastAsia"/>
                <w:lang w:val="en-US" w:eastAsia="zh-CN"/>
              </w:rPr>
              <w:t>/</w:t>
            </w:r>
          </w:p>
        </w:tc>
        <w:tc>
          <w:tcPr>
            <w:tcW w:w="1635" w:type="dxa"/>
            <w:vAlign w:val="center"/>
          </w:tcPr>
          <w:p w14:paraId="202F6330">
            <w:pPr>
              <w:pStyle w:val="26"/>
              <w:rPr>
                <w:rFonts w:hint="eastAsia" w:eastAsia="宋体"/>
                <w:lang w:val="en-US" w:eastAsia="zh-CN"/>
              </w:rPr>
            </w:pPr>
            <w:r>
              <w:rPr>
                <w:rFonts w:hint="eastAsia"/>
                <w:lang w:val="en-US" w:eastAsia="zh-CN"/>
              </w:rPr>
              <w:t>/</w:t>
            </w:r>
          </w:p>
        </w:tc>
        <w:tc>
          <w:tcPr>
            <w:tcW w:w="1639" w:type="dxa"/>
            <w:vAlign w:val="center"/>
          </w:tcPr>
          <w:p w14:paraId="54FCDE76">
            <w:pPr>
              <w:pStyle w:val="26"/>
              <w:rPr>
                <w:rFonts w:hint="eastAsia" w:eastAsia="宋体"/>
                <w:lang w:val="en-US" w:eastAsia="zh-CN"/>
              </w:rPr>
            </w:pPr>
            <w:r>
              <w:rPr>
                <w:rFonts w:hint="eastAsia"/>
                <w:lang w:val="en-US" w:eastAsia="zh-CN"/>
              </w:rPr>
              <w:t>/</w:t>
            </w:r>
          </w:p>
        </w:tc>
        <w:tc>
          <w:tcPr>
            <w:tcW w:w="1639" w:type="dxa"/>
            <w:vAlign w:val="center"/>
          </w:tcPr>
          <w:p w14:paraId="03EF2D49">
            <w:pPr>
              <w:pStyle w:val="26"/>
              <w:rPr>
                <w:rFonts w:hint="default" w:eastAsia="宋体"/>
                <w:lang w:val="en-US" w:eastAsia="zh-CN"/>
              </w:rPr>
            </w:pPr>
            <w:r>
              <w:rPr>
                <w:rFonts w:hint="eastAsia"/>
                <w:lang w:val="en-US" w:eastAsia="zh-CN"/>
              </w:rPr>
              <w:t>22.5</w:t>
            </w:r>
          </w:p>
        </w:tc>
        <w:tc>
          <w:tcPr>
            <w:tcW w:w="1639" w:type="dxa"/>
            <w:vAlign w:val="center"/>
          </w:tcPr>
          <w:p w14:paraId="09A909E3">
            <w:pPr>
              <w:pStyle w:val="26"/>
              <w:rPr>
                <w:rFonts w:hint="eastAsia" w:eastAsia="宋体"/>
                <w:lang w:val="en-US" w:eastAsia="zh-CN"/>
              </w:rPr>
            </w:pPr>
            <w:r>
              <w:rPr>
                <w:rFonts w:hint="eastAsia"/>
                <w:lang w:val="en-US" w:eastAsia="zh-CN"/>
              </w:rPr>
              <w:t>/</w:t>
            </w:r>
          </w:p>
        </w:tc>
        <w:tc>
          <w:tcPr>
            <w:tcW w:w="1639" w:type="dxa"/>
            <w:vAlign w:val="center"/>
          </w:tcPr>
          <w:p w14:paraId="34ECFE11">
            <w:pPr>
              <w:pStyle w:val="26"/>
              <w:rPr>
                <w:rFonts w:hint="default" w:eastAsia="宋体"/>
                <w:lang w:val="en-US" w:eastAsia="zh-CN"/>
              </w:rPr>
            </w:pPr>
            <w:r>
              <w:rPr>
                <w:rFonts w:hint="eastAsia"/>
                <w:lang w:val="en-US" w:eastAsia="zh-CN"/>
              </w:rPr>
              <w:t>22.5</w:t>
            </w:r>
          </w:p>
        </w:tc>
        <w:tc>
          <w:tcPr>
            <w:tcW w:w="1636" w:type="dxa"/>
            <w:vAlign w:val="center"/>
          </w:tcPr>
          <w:p w14:paraId="02DB9949">
            <w:pPr>
              <w:pStyle w:val="26"/>
              <w:rPr>
                <w:rFonts w:hint="default" w:eastAsia="宋体"/>
                <w:lang w:val="en-US" w:eastAsia="zh-CN"/>
              </w:rPr>
            </w:pPr>
            <w:r>
              <w:rPr>
                <w:rFonts w:hint="eastAsia"/>
                <w:lang w:val="en-US" w:eastAsia="zh-CN"/>
              </w:rPr>
              <w:t>22.5</w:t>
            </w:r>
          </w:p>
        </w:tc>
      </w:tr>
    </w:tbl>
    <w:p w14:paraId="7CDC4AD2">
      <w:pPr>
        <w:pStyle w:val="25"/>
        <w:ind w:firstLine="0" w:firstLineChars="0"/>
        <w:sectPr>
          <w:pgSz w:w="16838" w:h="11906" w:orient="landscape"/>
          <w:pgMar w:top="1440" w:right="1080" w:bottom="1440" w:left="1080" w:header="851" w:footer="992" w:gutter="0"/>
          <w:cols w:space="425" w:num="1"/>
          <w:docGrid w:type="lines" w:linePitch="312" w:charSpace="0"/>
        </w:sectPr>
      </w:pPr>
    </w:p>
    <w:p w14:paraId="61E6B0A8">
      <w:pPr>
        <w:pStyle w:val="29"/>
        <w:bidi w:val="0"/>
        <w:jc w:val="center"/>
        <w:rPr>
          <w:rFonts w:hint="eastAsia"/>
          <w:lang w:val="en-US" w:eastAsia="zh-CN"/>
        </w:rPr>
      </w:pPr>
      <w:r>
        <w:rPr>
          <w:rFonts w:hint="eastAsia"/>
          <w:lang w:val="en-US" w:eastAsia="zh-CN"/>
        </w:rPr>
        <w:t>衡阳华永燃气有限公司液化气充装站建设项目环境风险专项评价</w:t>
      </w:r>
    </w:p>
    <w:p w14:paraId="095D45F2">
      <w:pPr>
        <w:pStyle w:val="25"/>
        <w:rPr>
          <w:rFonts w:hint="eastAsia"/>
        </w:rPr>
      </w:pPr>
      <w:r>
        <w:rPr>
          <w:rFonts w:hint="eastAsia"/>
        </w:rPr>
        <w:t>根据《建设项目环境影响报告表编制技术指南（污染影响类）（试行）》，本项目有毒有害和易燃易爆危险物质存储量超过临界量，因此需要设置环境风险专项评价，本次依据《建设项目环境风险评价技术导则》（HJ</w:t>
      </w:r>
      <w:r>
        <w:t>169-2018</w:t>
      </w:r>
      <w:r>
        <w:rPr>
          <w:rFonts w:hint="eastAsia"/>
        </w:rPr>
        <w:t>）进行编制，评价具体内容如下：</w:t>
      </w:r>
    </w:p>
    <w:p w14:paraId="1135C42D">
      <w:pPr>
        <w:pStyle w:val="29"/>
        <w:bidi w:val="0"/>
        <w:rPr>
          <w:rFonts w:hint="eastAsia"/>
          <w:lang w:val="en-US" w:eastAsia="zh-CN"/>
        </w:rPr>
      </w:pPr>
      <w:r>
        <w:rPr>
          <w:rFonts w:hint="eastAsia"/>
          <w:lang w:val="en-US" w:eastAsia="zh-CN"/>
        </w:rPr>
        <w:t>F1风险调查</w:t>
      </w:r>
    </w:p>
    <w:p w14:paraId="609A634E">
      <w:pPr>
        <w:pStyle w:val="25"/>
      </w:pPr>
      <w:r>
        <w:t>根据《建设项目环境风险评价技术导则》（HJ169-2018）</w:t>
      </w:r>
      <w:r>
        <w:rPr>
          <w:rFonts w:hint="eastAsia"/>
        </w:rPr>
        <w:t>开展</w:t>
      </w:r>
      <w:r>
        <w:t>建设项目风险源调查，调查建设项目危险物质数量和分布情况，生产工艺特点，收集危险物质安全技术</w:t>
      </w:r>
      <w:r>
        <w:rPr>
          <w:rFonts w:hint="eastAsia"/>
          <w:lang w:eastAsia="zh-CN"/>
        </w:rPr>
        <w:t>说明</w:t>
      </w:r>
      <w:r>
        <w:t>书等基础资料。</w:t>
      </w:r>
    </w:p>
    <w:p w14:paraId="079FE6E2">
      <w:pPr>
        <w:pStyle w:val="37"/>
        <w:bidi w:val="0"/>
        <w:rPr>
          <w:rFonts w:hint="eastAsia"/>
          <w:lang w:val="en-US" w:eastAsia="zh-CN"/>
        </w:rPr>
      </w:pPr>
      <w:r>
        <w:rPr>
          <w:rFonts w:hint="eastAsia"/>
          <w:lang w:val="en-US" w:eastAsia="zh-CN"/>
        </w:rPr>
        <w:t>F1.1风险源调查</w:t>
      </w:r>
    </w:p>
    <w:p w14:paraId="3ACA9B1D">
      <w:pPr>
        <w:pStyle w:val="34"/>
        <w:bidi w:val="0"/>
        <w:rPr>
          <w:rFonts w:hint="default"/>
          <w:lang w:val="en-US" w:eastAsia="zh-CN"/>
        </w:rPr>
      </w:pPr>
      <w:r>
        <w:rPr>
          <w:rFonts w:hint="eastAsia"/>
          <w:lang w:val="en-US" w:eastAsia="zh-CN"/>
        </w:rPr>
        <w:t>F1.1.1风险物质调查</w:t>
      </w:r>
    </w:p>
    <w:p w14:paraId="60AA7E56">
      <w:pPr>
        <w:pStyle w:val="25"/>
        <w:rPr>
          <w:rFonts w:hint="eastAsia"/>
          <w:lang w:val="en-US" w:eastAsia="zh-CN"/>
        </w:rPr>
      </w:pPr>
      <w:r>
        <w:rPr>
          <w:rFonts w:hint="eastAsia"/>
          <w:lang w:val="en-US" w:eastAsia="zh-CN"/>
        </w:rPr>
        <w:t>本项目涉及的环境风险物质主要为液化石油气和残液，环境风险物质存在情况调查如下：</w:t>
      </w:r>
    </w:p>
    <w:p w14:paraId="50D60425">
      <w:pPr>
        <w:pStyle w:val="63"/>
        <w:bidi w:val="0"/>
        <w:rPr>
          <w:rFonts w:hint="eastAsia"/>
          <w:lang w:val="en-US" w:eastAsia="zh-CN"/>
        </w:rPr>
      </w:pPr>
      <w:r>
        <w:rPr>
          <w:rFonts w:hint="eastAsia"/>
          <w:lang w:val="en-US" w:eastAsia="zh-CN"/>
        </w:rPr>
        <w:t>表F1-1  项目环境风险物质情况表</w:t>
      </w:r>
    </w:p>
    <w:tbl>
      <w:tblPr>
        <w:tblStyle w:val="1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3"/>
        <w:gridCol w:w="1643"/>
        <w:gridCol w:w="1636"/>
        <w:gridCol w:w="1636"/>
        <w:gridCol w:w="1059"/>
        <w:gridCol w:w="1861"/>
      </w:tblGrid>
      <w:tr w14:paraId="1F96C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 w:type="pct"/>
            <w:vAlign w:val="center"/>
          </w:tcPr>
          <w:p w14:paraId="64F5A0FC">
            <w:pPr>
              <w:pStyle w:val="26"/>
              <w:bidi w:val="0"/>
            </w:pPr>
            <w:r>
              <w:rPr>
                <w:rFonts w:hint="eastAsia"/>
              </w:rPr>
              <w:t>物质名称</w:t>
            </w:r>
          </w:p>
        </w:tc>
        <w:tc>
          <w:tcPr>
            <w:tcW w:w="889" w:type="pct"/>
            <w:vAlign w:val="center"/>
          </w:tcPr>
          <w:p w14:paraId="1D5459D8">
            <w:pPr>
              <w:pStyle w:val="26"/>
              <w:bidi w:val="0"/>
              <w:rPr>
                <w:rFonts w:hint="eastAsia"/>
              </w:rPr>
            </w:pPr>
            <w:r>
              <w:rPr>
                <w:rFonts w:hint="eastAsia"/>
              </w:rPr>
              <w:t>CAS号</w:t>
            </w:r>
          </w:p>
        </w:tc>
        <w:tc>
          <w:tcPr>
            <w:tcW w:w="885" w:type="pct"/>
            <w:vAlign w:val="center"/>
          </w:tcPr>
          <w:p w14:paraId="05421C70">
            <w:pPr>
              <w:pStyle w:val="26"/>
              <w:bidi w:val="0"/>
              <w:rPr>
                <w:rFonts w:hint="eastAsia"/>
              </w:rPr>
            </w:pPr>
            <w:r>
              <w:rPr>
                <w:rFonts w:hint="eastAsia"/>
              </w:rPr>
              <w:t>危险类别</w:t>
            </w:r>
          </w:p>
        </w:tc>
        <w:tc>
          <w:tcPr>
            <w:tcW w:w="885" w:type="pct"/>
            <w:vAlign w:val="center"/>
          </w:tcPr>
          <w:p w14:paraId="7C82283A">
            <w:pPr>
              <w:pStyle w:val="26"/>
              <w:bidi w:val="0"/>
            </w:pPr>
            <w:r>
              <w:rPr>
                <w:rFonts w:hint="eastAsia"/>
              </w:rPr>
              <w:t>贮存位置</w:t>
            </w:r>
          </w:p>
        </w:tc>
        <w:tc>
          <w:tcPr>
            <w:tcW w:w="573" w:type="pct"/>
            <w:vAlign w:val="center"/>
          </w:tcPr>
          <w:p w14:paraId="5C00A3DD">
            <w:pPr>
              <w:pStyle w:val="26"/>
              <w:bidi w:val="0"/>
            </w:pPr>
            <w:r>
              <w:rPr>
                <w:rFonts w:hint="eastAsia"/>
              </w:rPr>
              <w:t>临界量t</w:t>
            </w:r>
          </w:p>
        </w:tc>
        <w:tc>
          <w:tcPr>
            <w:tcW w:w="1007" w:type="pct"/>
            <w:vAlign w:val="center"/>
          </w:tcPr>
          <w:p w14:paraId="1F9B3040">
            <w:pPr>
              <w:pStyle w:val="26"/>
              <w:bidi w:val="0"/>
            </w:pPr>
            <w:r>
              <w:rPr>
                <w:rFonts w:hint="eastAsia"/>
              </w:rPr>
              <w:t>备注</w:t>
            </w:r>
          </w:p>
        </w:tc>
      </w:tr>
      <w:tr w14:paraId="749B9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 w:type="pct"/>
            <w:vAlign w:val="center"/>
          </w:tcPr>
          <w:p w14:paraId="7777615B">
            <w:pPr>
              <w:pStyle w:val="26"/>
              <w:bidi w:val="0"/>
              <w:rPr>
                <w:rFonts w:hint="eastAsia" w:eastAsia="宋体"/>
                <w:lang w:val="en-US" w:eastAsia="zh-CN"/>
              </w:rPr>
            </w:pPr>
            <w:r>
              <w:rPr>
                <w:rFonts w:hint="eastAsia"/>
                <w:lang w:val="en-US" w:eastAsia="zh-CN"/>
              </w:rPr>
              <w:t>液化石油气</w:t>
            </w:r>
          </w:p>
        </w:tc>
        <w:tc>
          <w:tcPr>
            <w:tcW w:w="889" w:type="pct"/>
            <w:shd w:val="clear" w:color="auto" w:fill="auto"/>
            <w:vAlign w:val="center"/>
          </w:tcPr>
          <w:p w14:paraId="60EDCD99">
            <w:pPr>
              <w:pStyle w:val="26"/>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68476-85-7</w:t>
            </w:r>
          </w:p>
        </w:tc>
        <w:tc>
          <w:tcPr>
            <w:tcW w:w="885" w:type="pct"/>
            <w:vAlign w:val="center"/>
          </w:tcPr>
          <w:p w14:paraId="28D94407">
            <w:pPr>
              <w:pStyle w:val="26"/>
              <w:bidi w:val="0"/>
              <w:rPr>
                <w:rFonts w:hint="eastAsia" w:eastAsia="宋体"/>
                <w:lang w:val="en-US" w:eastAsia="zh-CN"/>
              </w:rPr>
            </w:pPr>
            <w:r>
              <w:rPr>
                <w:rFonts w:hint="eastAsia"/>
                <w:lang w:val="en-US" w:eastAsia="zh-CN"/>
              </w:rPr>
              <w:t>易燃气体</w:t>
            </w:r>
          </w:p>
        </w:tc>
        <w:tc>
          <w:tcPr>
            <w:tcW w:w="885" w:type="pct"/>
            <w:vAlign w:val="center"/>
          </w:tcPr>
          <w:p w14:paraId="3568466F">
            <w:pPr>
              <w:pStyle w:val="26"/>
              <w:bidi w:val="0"/>
              <w:rPr>
                <w:rFonts w:hint="default" w:eastAsia="宋体"/>
                <w:lang w:val="en-US" w:eastAsia="zh-CN"/>
              </w:rPr>
            </w:pPr>
            <w:r>
              <w:rPr>
                <w:rFonts w:hint="eastAsia"/>
                <w:lang w:val="en-US" w:eastAsia="zh-CN"/>
              </w:rPr>
              <w:t>液化石油气储罐</w:t>
            </w:r>
          </w:p>
        </w:tc>
        <w:tc>
          <w:tcPr>
            <w:tcW w:w="573" w:type="pct"/>
            <w:vAlign w:val="center"/>
          </w:tcPr>
          <w:p w14:paraId="78624E93">
            <w:pPr>
              <w:pStyle w:val="26"/>
              <w:bidi w:val="0"/>
              <w:rPr>
                <w:rFonts w:hint="default" w:eastAsia="宋体"/>
                <w:lang w:val="en-US" w:eastAsia="zh-CN"/>
              </w:rPr>
            </w:pPr>
            <w:r>
              <w:rPr>
                <w:rFonts w:hint="eastAsia"/>
                <w:lang w:val="en-US" w:eastAsia="zh-CN"/>
              </w:rPr>
              <w:t>10</w:t>
            </w:r>
          </w:p>
        </w:tc>
        <w:tc>
          <w:tcPr>
            <w:tcW w:w="1007" w:type="pct"/>
            <w:vAlign w:val="center"/>
          </w:tcPr>
          <w:p w14:paraId="6E6D5D27">
            <w:pPr>
              <w:pStyle w:val="26"/>
              <w:bidi w:val="0"/>
              <w:rPr>
                <w:rFonts w:hint="default" w:eastAsia="宋体"/>
                <w:lang w:val="en-US" w:eastAsia="zh-CN"/>
              </w:rPr>
            </w:pPr>
            <w:r>
              <w:rPr>
                <w:rFonts w:hint="eastAsia"/>
                <w:lang w:val="en-US" w:eastAsia="zh-CN"/>
              </w:rPr>
              <w:t>参照丙烷、丁烷临界量</w:t>
            </w:r>
          </w:p>
        </w:tc>
      </w:tr>
      <w:tr w14:paraId="740DB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 w:type="pct"/>
            <w:vAlign w:val="center"/>
          </w:tcPr>
          <w:p w14:paraId="0FCFDF2E">
            <w:pPr>
              <w:pStyle w:val="26"/>
              <w:bidi w:val="0"/>
              <w:rPr>
                <w:rFonts w:hint="eastAsia" w:eastAsia="宋体"/>
                <w:lang w:val="en-US" w:eastAsia="zh-CN"/>
              </w:rPr>
            </w:pPr>
            <w:r>
              <w:rPr>
                <w:rFonts w:hint="eastAsia"/>
                <w:lang w:val="en-US" w:eastAsia="zh-CN"/>
              </w:rPr>
              <w:t>残液</w:t>
            </w:r>
          </w:p>
        </w:tc>
        <w:tc>
          <w:tcPr>
            <w:tcW w:w="889" w:type="pct"/>
            <w:shd w:val="clear" w:color="auto" w:fill="auto"/>
            <w:vAlign w:val="center"/>
          </w:tcPr>
          <w:p w14:paraId="68E290CB">
            <w:pPr>
              <w:pStyle w:val="26"/>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885" w:type="pct"/>
            <w:vAlign w:val="center"/>
          </w:tcPr>
          <w:p w14:paraId="30B285D7">
            <w:pPr>
              <w:pStyle w:val="26"/>
              <w:bidi w:val="0"/>
              <w:rPr>
                <w:rFonts w:hint="eastAsia" w:eastAsia="宋体"/>
                <w:lang w:val="en-US" w:eastAsia="zh-CN"/>
              </w:rPr>
            </w:pPr>
            <w:r>
              <w:rPr>
                <w:rFonts w:hint="eastAsia"/>
                <w:lang w:val="en-US" w:eastAsia="zh-CN"/>
              </w:rPr>
              <w:t>健康危险急性毒性物质</w:t>
            </w:r>
          </w:p>
        </w:tc>
        <w:tc>
          <w:tcPr>
            <w:tcW w:w="885" w:type="pct"/>
            <w:vAlign w:val="center"/>
          </w:tcPr>
          <w:p w14:paraId="1AF7A4FE">
            <w:pPr>
              <w:pStyle w:val="26"/>
              <w:bidi w:val="0"/>
              <w:rPr>
                <w:rFonts w:hint="default" w:eastAsia="宋体"/>
                <w:lang w:val="en-US" w:eastAsia="zh-CN"/>
              </w:rPr>
            </w:pPr>
            <w:r>
              <w:rPr>
                <w:rFonts w:hint="eastAsia"/>
                <w:lang w:val="en-US" w:eastAsia="zh-CN"/>
              </w:rPr>
              <w:t>残液储罐</w:t>
            </w:r>
          </w:p>
        </w:tc>
        <w:tc>
          <w:tcPr>
            <w:tcW w:w="573" w:type="pct"/>
            <w:vAlign w:val="center"/>
          </w:tcPr>
          <w:p w14:paraId="65ED05EF">
            <w:pPr>
              <w:pStyle w:val="26"/>
              <w:bidi w:val="0"/>
              <w:rPr>
                <w:rFonts w:hint="default" w:eastAsia="宋体"/>
                <w:lang w:val="en-US" w:eastAsia="zh-CN"/>
              </w:rPr>
            </w:pPr>
            <w:r>
              <w:rPr>
                <w:rFonts w:hint="eastAsia"/>
                <w:lang w:val="en-US" w:eastAsia="zh-CN"/>
              </w:rPr>
              <w:t>50</w:t>
            </w:r>
          </w:p>
        </w:tc>
        <w:tc>
          <w:tcPr>
            <w:tcW w:w="1007" w:type="pct"/>
            <w:vAlign w:val="center"/>
          </w:tcPr>
          <w:p w14:paraId="51097D03">
            <w:pPr>
              <w:pStyle w:val="26"/>
              <w:bidi w:val="0"/>
              <w:rPr>
                <w:rFonts w:hint="default" w:eastAsia="宋体"/>
                <w:lang w:val="en-US" w:eastAsia="zh-CN"/>
              </w:rPr>
            </w:pPr>
            <w:r>
              <w:rPr>
                <w:rFonts w:hint="eastAsia"/>
                <w:lang w:val="en-US" w:eastAsia="zh-CN"/>
              </w:rPr>
              <w:t>参照健康危险急性毒性物质（类别1）临界量</w:t>
            </w:r>
          </w:p>
        </w:tc>
      </w:tr>
    </w:tbl>
    <w:p w14:paraId="43DE54B7">
      <w:pPr>
        <w:pStyle w:val="62"/>
        <w:rPr>
          <w:rFonts w:hint="eastAsia"/>
          <w:vertAlign w:val="baseline"/>
          <w:lang w:val="en-US" w:eastAsia="zh-CN"/>
        </w:rPr>
      </w:pPr>
      <w:r>
        <w:rPr>
          <w:rFonts w:hint="eastAsia"/>
          <w:lang w:val="en-US" w:eastAsia="zh-CN"/>
        </w:rPr>
        <w:t>环境风险物质最大存在量包括贮存量和在线量，贮存量本次以储罐最大贮存规模进行，按照储罐总容积的85%计算有效容积，液化石油气密度约为0.51t/m</w:t>
      </w:r>
      <w:r>
        <w:rPr>
          <w:rFonts w:hint="eastAsia"/>
          <w:vertAlign w:val="superscript"/>
          <w:lang w:val="en-US" w:eastAsia="zh-CN"/>
        </w:rPr>
        <w:t>3</w:t>
      </w:r>
      <w:r>
        <w:rPr>
          <w:rFonts w:hint="eastAsia"/>
          <w:vertAlign w:val="baseline"/>
          <w:lang w:val="en-US" w:eastAsia="zh-CN"/>
        </w:rPr>
        <w:t>，残液密度约为0.895t/m</w:t>
      </w:r>
      <w:r>
        <w:rPr>
          <w:rFonts w:hint="eastAsia"/>
          <w:vertAlign w:val="superscript"/>
          <w:lang w:val="en-US" w:eastAsia="zh-CN"/>
        </w:rPr>
        <w:t>3</w:t>
      </w:r>
      <w:r>
        <w:rPr>
          <w:rFonts w:hint="eastAsia"/>
          <w:vertAlign w:val="baseline"/>
          <w:lang w:val="en-US" w:eastAsia="zh-CN"/>
        </w:rPr>
        <w:t>。</w:t>
      </w:r>
    </w:p>
    <w:p w14:paraId="00BEB231">
      <w:pPr>
        <w:pStyle w:val="62"/>
        <w:rPr>
          <w:rFonts w:hint="eastAsia"/>
          <w:vertAlign w:val="baseline"/>
          <w:lang w:val="en-US" w:eastAsia="zh-CN"/>
        </w:rPr>
      </w:pPr>
      <w:r>
        <w:rPr>
          <w:rFonts w:hint="eastAsia"/>
          <w:vertAlign w:val="baseline"/>
          <w:lang w:val="en-US" w:eastAsia="zh-CN"/>
        </w:rPr>
        <w:t>液化石油气设置3个50m</w:t>
      </w:r>
      <w:r>
        <w:rPr>
          <w:rFonts w:hint="eastAsia"/>
          <w:vertAlign w:val="superscript"/>
          <w:lang w:val="en-US" w:eastAsia="zh-CN"/>
        </w:rPr>
        <w:t>3</w:t>
      </w:r>
      <w:r>
        <w:rPr>
          <w:rFonts w:hint="eastAsia"/>
          <w:vertAlign w:val="baseline"/>
          <w:lang w:val="en-US" w:eastAsia="zh-CN"/>
        </w:rPr>
        <w:t>储罐，原料最大贮存量为3*50*0.85*0.51=65.03t；产品最大贮存量按2d的平均生产量计算，为2*900/300=6t；管道在线量：管径为DN57，管道总长度约为800m，则在线量约为0.0285*0.0285*3.14*800*0.51=1.04t，则总计液化石油气最大存在量为65.03+6+1.04=72.07t。</w:t>
      </w:r>
    </w:p>
    <w:p w14:paraId="28D4D8BC">
      <w:pPr>
        <w:pStyle w:val="62"/>
        <w:rPr>
          <w:rFonts w:hint="eastAsia"/>
          <w:vertAlign w:val="baseline"/>
          <w:lang w:val="en-US" w:eastAsia="zh-CN"/>
        </w:rPr>
      </w:pPr>
      <w:r>
        <w:rPr>
          <w:rFonts w:hint="eastAsia"/>
          <w:vertAlign w:val="baseline"/>
          <w:lang w:val="en-US" w:eastAsia="zh-CN"/>
        </w:rPr>
        <w:t>残液总产生量为22.5t/a，贮存时间不能超过1年，因此最大存在量为22.5t。</w:t>
      </w:r>
    </w:p>
    <w:p w14:paraId="53000EBE">
      <w:pPr>
        <w:pStyle w:val="34"/>
        <w:bidi w:val="0"/>
        <w:rPr>
          <w:rFonts w:hint="eastAsia"/>
          <w:lang w:val="en-US" w:eastAsia="zh-CN"/>
        </w:rPr>
      </w:pPr>
      <w:r>
        <w:rPr>
          <w:rFonts w:hint="eastAsia"/>
          <w:lang w:val="en-US" w:eastAsia="zh-CN"/>
        </w:rPr>
        <w:t>F1.1.2风险工艺调查</w:t>
      </w:r>
    </w:p>
    <w:p w14:paraId="3C693009">
      <w:pPr>
        <w:pStyle w:val="25"/>
        <w:rPr>
          <w:rFonts w:hint="eastAsia"/>
        </w:rPr>
      </w:pPr>
      <w:r>
        <w:rPr>
          <w:rFonts w:hint="eastAsia"/>
        </w:rPr>
        <w:t>项目并非生产类型项目，</w:t>
      </w:r>
      <w:r>
        <w:rPr>
          <w:rFonts w:hint="eastAsia"/>
          <w:lang w:val="en-US" w:eastAsia="zh-CN"/>
        </w:rPr>
        <w:t>属于液化石油气充装站，仅对液化石油气进行贮存和分装</w:t>
      </w:r>
      <w:r>
        <w:rPr>
          <w:rFonts w:hint="eastAsia"/>
        </w:rPr>
        <w:t>，不涉及</w:t>
      </w:r>
      <w:r>
        <w:t>《建设项目环境风险评价技术导则》（HJ169-2018）</w:t>
      </w:r>
      <w:r>
        <w:rPr>
          <w:rFonts w:hint="eastAsia"/>
        </w:rPr>
        <w:t>所列的风险工艺。</w:t>
      </w:r>
    </w:p>
    <w:p w14:paraId="2D452F99">
      <w:pPr>
        <w:pStyle w:val="34"/>
        <w:bidi w:val="0"/>
        <w:rPr>
          <w:rFonts w:hint="eastAsia"/>
          <w:lang w:val="en-US" w:eastAsia="zh-CN"/>
        </w:rPr>
      </w:pPr>
      <w:r>
        <w:rPr>
          <w:rFonts w:hint="eastAsia"/>
          <w:lang w:val="en-US" w:eastAsia="zh-CN"/>
        </w:rPr>
        <w:t>F1.2环境敏感目标</w:t>
      </w:r>
    </w:p>
    <w:p w14:paraId="14B8BAC0">
      <w:pPr>
        <w:pStyle w:val="25"/>
        <w:rPr>
          <w:rFonts w:hint="eastAsia"/>
          <w:lang w:val="en-US" w:eastAsia="zh-CN"/>
        </w:rPr>
      </w:pPr>
      <w:r>
        <w:rPr>
          <w:rFonts w:hint="eastAsia"/>
        </w:rPr>
        <w:t>根据导则要求，调查项目可能影响到的环境敏感目标，根据后文风险预测分析，各类风险事故最大影响范围为1</w:t>
      </w:r>
      <w:r>
        <w:t>450</w:t>
      </w:r>
      <w:r>
        <w:rPr>
          <w:rFonts w:hint="eastAsia"/>
        </w:rPr>
        <w:t>m，本项目环境风险评价等级为二级，风险评价范围为5km，本次调查大气风险目标为厂界周边5km范围内大气敏感目标，地表水风险目标</w:t>
      </w:r>
      <w:r>
        <w:rPr>
          <w:rFonts w:hint="eastAsia"/>
          <w:color w:val="FF0000"/>
        </w:rPr>
        <w:t>主要为</w:t>
      </w:r>
      <w:r>
        <w:rPr>
          <w:rFonts w:hint="eastAsia"/>
          <w:color w:val="FF0000"/>
          <w:lang w:val="en-US" w:eastAsia="zh-CN"/>
        </w:rPr>
        <w:t>横江铺河及湘江</w:t>
      </w:r>
      <w:r>
        <w:rPr>
          <w:rFonts w:hint="eastAsia"/>
        </w:rPr>
        <w:t>，地下水敏感目标为区域地下水含水层。环境敏感目标具体如下：</w:t>
      </w:r>
    </w:p>
    <w:p w14:paraId="036926FA">
      <w:pPr>
        <w:pStyle w:val="50"/>
        <w:spacing w:before="156"/>
      </w:pPr>
      <w:r>
        <w:rPr>
          <w:rFonts w:hint="eastAsia"/>
        </w:rPr>
        <w:t>表</w:t>
      </w:r>
      <w:r>
        <w:rPr>
          <w:rFonts w:hint="eastAsia"/>
          <w:lang w:val="en-US" w:eastAsia="zh-CN"/>
        </w:rPr>
        <w:t>F1-2</w:t>
      </w:r>
      <w:r>
        <w:t xml:space="preserve">  </w:t>
      </w:r>
      <w:r>
        <w:rPr>
          <w:rFonts w:hint="eastAsia"/>
        </w:rPr>
        <w:t>环境敏感目标表</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8"/>
        <w:gridCol w:w="1980"/>
        <w:gridCol w:w="1298"/>
        <w:gridCol w:w="1652"/>
        <w:gridCol w:w="1433"/>
        <w:gridCol w:w="1571"/>
      </w:tblGrid>
      <w:tr w14:paraId="17A02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0" w:type="pct"/>
            <w:gridSpan w:val="6"/>
            <w:vAlign w:val="center"/>
          </w:tcPr>
          <w:p w14:paraId="7408FB5E">
            <w:pPr>
              <w:pStyle w:val="48"/>
              <w:jc w:val="center"/>
              <w:rPr>
                <w:rFonts w:cs="Times New Roman"/>
                <w:kern w:val="0"/>
              </w:rPr>
            </w:pPr>
            <w:r>
              <w:rPr>
                <w:rFonts w:hint="eastAsia" w:cs="Times New Roman"/>
                <w:kern w:val="0"/>
              </w:rPr>
              <w:t>大气环境风险敏感目标</w:t>
            </w:r>
          </w:p>
        </w:tc>
      </w:tr>
      <w:tr w14:paraId="6ED24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762A9223">
            <w:pPr>
              <w:pStyle w:val="48"/>
              <w:jc w:val="center"/>
              <w:rPr>
                <w:rFonts w:cs="Times New Roman"/>
                <w:kern w:val="0"/>
              </w:rPr>
            </w:pPr>
            <w:r>
              <w:rPr>
                <w:rFonts w:hint="eastAsia" w:cs="Times New Roman"/>
                <w:kern w:val="0"/>
              </w:rPr>
              <w:t>序号</w:t>
            </w:r>
          </w:p>
        </w:tc>
        <w:tc>
          <w:tcPr>
            <w:tcW w:w="1071" w:type="pct"/>
            <w:vAlign w:val="center"/>
          </w:tcPr>
          <w:p w14:paraId="5A352D44">
            <w:pPr>
              <w:pStyle w:val="48"/>
              <w:jc w:val="center"/>
              <w:rPr>
                <w:rFonts w:cs="Times New Roman"/>
                <w:kern w:val="0"/>
              </w:rPr>
            </w:pPr>
            <w:r>
              <w:rPr>
                <w:rFonts w:hint="eastAsia" w:cs="Times New Roman"/>
                <w:kern w:val="0"/>
              </w:rPr>
              <w:t>名称</w:t>
            </w:r>
          </w:p>
        </w:tc>
        <w:tc>
          <w:tcPr>
            <w:tcW w:w="702" w:type="pct"/>
            <w:vAlign w:val="center"/>
          </w:tcPr>
          <w:p w14:paraId="451680EA">
            <w:pPr>
              <w:pStyle w:val="48"/>
              <w:jc w:val="center"/>
              <w:rPr>
                <w:rFonts w:cs="Times New Roman"/>
                <w:kern w:val="0"/>
              </w:rPr>
            </w:pPr>
            <w:r>
              <w:rPr>
                <w:rFonts w:hint="eastAsia" w:cs="Times New Roman"/>
                <w:kern w:val="0"/>
              </w:rPr>
              <w:t>功能</w:t>
            </w:r>
          </w:p>
        </w:tc>
        <w:tc>
          <w:tcPr>
            <w:tcW w:w="893" w:type="pct"/>
            <w:vAlign w:val="center"/>
          </w:tcPr>
          <w:p w14:paraId="0B5C6A7A">
            <w:pPr>
              <w:pStyle w:val="48"/>
              <w:jc w:val="center"/>
              <w:rPr>
                <w:rFonts w:cs="Times New Roman"/>
                <w:kern w:val="0"/>
              </w:rPr>
            </w:pPr>
            <w:r>
              <w:rPr>
                <w:rFonts w:hint="eastAsia" w:cs="Times New Roman"/>
                <w:kern w:val="0"/>
              </w:rPr>
              <w:t>规模</w:t>
            </w:r>
          </w:p>
        </w:tc>
        <w:tc>
          <w:tcPr>
            <w:tcW w:w="775" w:type="pct"/>
            <w:vAlign w:val="center"/>
          </w:tcPr>
          <w:p w14:paraId="736D7926">
            <w:pPr>
              <w:pStyle w:val="48"/>
              <w:jc w:val="center"/>
              <w:rPr>
                <w:rFonts w:cs="Times New Roman"/>
                <w:kern w:val="0"/>
              </w:rPr>
            </w:pPr>
            <w:r>
              <w:rPr>
                <w:rFonts w:hint="eastAsia" w:cs="Times New Roman"/>
                <w:kern w:val="0"/>
              </w:rPr>
              <w:t>方位</w:t>
            </w:r>
          </w:p>
        </w:tc>
        <w:tc>
          <w:tcPr>
            <w:tcW w:w="848" w:type="pct"/>
            <w:vAlign w:val="center"/>
          </w:tcPr>
          <w:p w14:paraId="49CD94CD">
            <w:pPr>
              <w:pStyle w:val="48"/>
              <w:jc w:val="center"/>
              <w:rPr>
                <w:rFonts w:cs="Times New Roman"/>
                <w:kern w:val="0"/>
              </w:rPr>
            </w:pPr>
            <w:r>
              <w:rPr>
                <w:rFonts w:hint="eastAsia" w:cs="Times New Roman"/>
                <w:kern w:val="0"/>
              </w:rPr>
              <w:t>最近距离m</w:t>
            </w:r>
          </w:p>
        </w:tc>
      </w:tr>
      <w:tr w14:paraId="1B9AE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1440A404">
            <w:pPr>
              <w:pStyle w:val="48"/>
              <w:jc w:val="center"/>
              <w:rPr>
                <w:rFonts w:cs="Times New Roman"/>
                <w:kern w:val="0"/>
              </w:rPr>
            </w:pPr>
            <w:r>
              <w:rPr>
                <w:rFonts w:hint="eastAsia" w:cs="Times New Roman"/>
                <w:kern w:val="0"/>
              </w:rPr>
              <w:t>1</w:t>
            </w:r>
          </w:p>
        </w:tc>
        <w:tc>
          <w:tcPr>
            <w:tcW w:w="1071" w:type="pct"/>
            <w:vAlign w:val="center"/>
          </w:tcPr>
          <w:p w14:paraId="0EE0ED85">
            <w:pPr>
              <w:pStyle w:val="48"/>
              <w:jc w:val="center"/>
              <w:rPr>
                <w:rFonts w:hint="default" w:eastAsia="宋体" w:cs="Times New Roman"/>
                <w:kern w:val="0"/>
                <w:lang w:val="en-US" w:eastAsia="zh-CN"/>
              </w:rPr>
            </w:pPr>
            <w:r>
              <w:rPr>
                <w:rFonts w:hint="eastAsia" w:cs="Times New Roman"/>
                <w:kern w:val="0"/>
                <w:lang w:val="en-US" w:eastAsia="zh-CN"/>
              </w:rPr>
              <w:t>集兵镇太栗村</w:t>
            </w:r>
          </w:p>
        </w:tc>
        <w:tc>
          <w:tcPr>
            <w:tcW w:w="702" w:type="pct"/>
            <w:vAlign w:val="center"/>
          </w:tcPr>
          <w:p w14:paraId="6604C667">
            <w:pPr>
              <w:pStyle w:val="48"/>
              <w:jc w:val="center"/>
              <w:rPr>
                <w:rFonts w:hint="eastAsia" w:eastAsia="宋体" w:cs="Times New Roman"/>
                <w:kern w:val="0"/>
                <w:lang w:val="en-US" w:eastAsia="zh-CN"/>
              </w:rPr>
            </w:pPr>
            <w:r>
              <w:rPr>
                <w:rFonts w:hint="eastAsia" w:cs="Times New Roman"/>
                <w:kern w:val="0"/>
                <w:lang w:val="en-US" w:eastAsia="zh-CN"/>
              </w:rPr>
              <w:t>居民区</w:t>
            </w:r>
          </w:p>
        </w:tc>
        <w:tc>
          <w:tcPr>
            <w:tcW w:w="893" w:type="pct"/>
            <w:vAlign w:val="center"/>
          </w:tcPr>
          <w:p w14:paraId="603C5B5F">
            <w:pPr>
              <w:pStyle w:val="48"/>
              <w:jc w:val="center"/>
              <w:rPr>
                <w:rFonts w:hint="default" w:eastAsia="宋体" w:cs="Times New Roman"/>
                <w:kern w:val="0"/>
                <w:lang w:val="en-US" w:eastAsia="zh-CN"/>
              </w:rPr>
            </w:pPr>
            <w:r>
              <w:rPr>
                <w:rFonts w:hint="eastAsia" w:cs="Times New Roman"/>
                <w:kern w:val="0"/>
                <w:lang w:val="en-US" w:eastAsia="zh-CN"/>
              </w:rPr>
              <w:t>约2300人</w:t>
            </w:r>
          </w:p>
        </w:tc>
        <w:tc>
          <w:tcPr>
            <w:tcW w:w="775" w:type="pct"/>
            <w:shd w:val="clear" w:color="auto" w:fill="auto"/>
            <w:vAlign w:val="center"/>
          </w:tcPr>
          <w:p w14:paraId="068A3251">
            <w:pPr>
              <w:pStyle w:val="48"/>
              <w:jc w:val="center"/>
              <w:rPr>
                <w:rFonts w:hint="eastAsia" w:ascii="Times New Roman" w:hAnsi="Times New Roman" w:eastAsia="宋体" w:cs="Times New Roman"/>
                <w:kern w:val="0"/>
                <w:sz w:val="21"/>
                <w:szCs w:val="32"/>
                <w:lang w:val="en-US" w:eastAsia="zh-CN" w:bidi="ar-SA"/>
              </w:rPr>
            </w:pPr>
            <w:r>
              <w:rPr>
                <w:rFonts w:hint="eastAsia" w:cs="Times New Roman"/>
                <w:kern w:val="0"/>
                <w:lang w:val="en-US" w:eastAsia="zh-CN"/>
              </w:rPr>
              <w:t>四周（项目位于太栗村）</w:t>
            </w:r>
          </w:p>
        </w:tc>
        <w:tc>
          <w:tcPr>
            <w:tcW w:w="848" w:type="pct"/>
            <w:vAlign w:val="center"/>
          </w:tcPr>
          <w:p w14:paraId="7EB908FE">
            <w:pPr>
              <w:pStyle w:val="48"/>
              <w:jc w:val="center"/>
              <w:rPr>
                <w:rFonts w:hint="default" w:eastAsia="宋体" w:cs="Times New Roman"/>
                <w:kern w:val="0"/>
                <w:lang w:val="en-US" w:eastAsia="zh-CN"/>
              </w:rPr>
            </w:pPr>
            <w:r>
              <w:rPr>
                <w:rFonts w:hint="eastAsia" w:cs="Times New Roman"/>
                <w:kern w:val="0"/>
                <w:lang w:val="en-US" w:eastAsia="zh-CN"/>
              </w:rPr>
              <w:t>10</w:t>
            </w:r>
          </w:p>
        </w:tc>
      </w:tr>
      <w:tr w14:paraId="3FD0B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1FCE7997">
            <w:pPr>
              <w:pStyle w:val="48"/>
              <w:jc w:val="center"/>
              <w:rPr>
                <w:rFonts w:cs="Times New Roman"/>
                <w:kern w:val="0"/>
              </w:rPr>
            </w:pPr>
            <w:r>
              <w:rPr>
                <w:rFonts w:hint="eastAsia" w:cs="Times New Roman"/>
                <w:kern w:val="0"/>
              </w:rPr>
              <w:t>2</w:t>
            </w:r>
          </w:p>
        </w:tc>
        <w:tc>
          <w:tcPr>
            <w:tcW w:w="1071" w:type="pct"/>
            <w:vAlign w:val="center"/>
          </w:tcPr>
          <w:p w14:paraId="4F1B4DC0">
            <w:pPr>
              <w:pStyle w:val="48"/>
              <w:jc w:val="center"/>
              <w:rPr>
                <w:rFonts w:hint="default" w:eastAsia="宋体" w:cs="Times New Roman"/>
                <w:kern w:val="0"/>
                <w:lang w:val="en-US" w:eastAsia="zh-CN"/>
              </w:rPr>
            </w:pPr>
            <w:r>
              <w:rPr>
                <w:rFonts w:hint="eastAsia" w:cs="Times New Roman"/>
                <w:kern w:val="0"/>
                <w:lang w:val="en-US" w:eastAsia="zh-CN"/>
              </w:rPr>
              <w:t>集兵镇松桂村</w:t>
            </w:r>
          </w:p>
        </w:tc>
        <w:tc>
          <w:tcPr>
            <w:tcW w:w="702" w:type="pct"/>
            <w:vAlign w:val="center"/>
          </w:tcPr>
          <w:p w14:paraId="6582ABEB">
            <w:pPr>
              <w:pStyle w:val="26"/>
              <w:bidi w:val="0"/>
              <w:jc w:val="center"/>
            </w:pPr>
            <w:r>
              <w:rPr>
                <w:rFonts w:hint="eastAsia"/>
                <w:lang w:val="en-US" w:eastAsia="zh-CN"/>
              </w:rPr>
              <w:t>居民区</w:t>
            </w:r>
          </w:p>
        </w:tc>
        <w:tc>
          <w:tcPr>
            <w:tcW w:w="893" w:type="pct"/>
            <w:vAlign w:val="center"/>
          </w:tcPr>
          <w:p w14:paraId="610A4929">
            <w:pPr>
              <w:pStyle w:val="48"/>
              <w:jc w:val="center"/>
              <w:rPr>
                <w:rFonts w:hint="default" w:eastAsia="宋体" w:cs="Times New Roman"/>
                <w:kern w:val="0"/>
                <w:lang w:val="en-US" w:eastAsia="zh-CN"/>
              </w:rPr>
            </w:pPr>
            <w:r>
              <w:rPr>
                <w:rFonts w:hint="eastAsia" w:cs="Times New Roman"/>
                <w:kern w:val="0"/>
                <w:lang w:val="en-US" w:eastAsia="zh-CN"/>
              </w:rPr>
              <w:t>约2250人</w:t>
            </w:r>
          </w:p>
        </w:tc>
        <w:tc>
          <w:tcPr>
            <w:tcW w:w="775" w:type="pct"/>
            <w:vAlign w:val="center"/>
          </w:tcPr>
          <w:p w14:paraId="62A58E39">
            <w:pPr>
              <w:pStyle w:val="48"/>
              <w:jc w:val="center"/>
              <w:rPr>
                <w:rFonts w:hint="eastAsia" w:eastAsia="宋体" w:cs="Times New Roman"/>
                <w:kern w:val="0"/>
                <w:lang w:val="en-US" w:eastAsia="zh-CN"/>
              </w:rPr>
            </w:pPr>
            <w:r>
              <w:rPr>
                <w:rFonts w:hint="eastAsia" w:cs="Times New Roman"/>
                <w:kern w:val="0"/>
                <w:lang w:val="en-US" w:eastAsia="zh-CN"/>
              </w:rPr>
              <w:t>WN</w:t>
            </w:r>
          </w:p>
        </w:tc>
        <w:tc>
          <w:tcPr>
            <w:tcW w:w="848" w:type="pct"/>
            <w:vAlign w:val="center"/>
          </w:tcPr>
          <w:p w14:paraId="044E02DE">
            <w:pPr>
              <w:pStyle w:val="48"/>
              <w:jc w:val="center"/>
              <w:rPr>
                <w:rFonts w:hint="default" w:eastAsia="宋体" w:cs="Times New Roman"/>
                <w:kern w:val="0"/>
                <w:lang w:val="en-US" w:eastAsia="zh-CN"/>
              </w:rPr>
            </w:pPr>
            <w:r>
              <w:rPr>
                <w:rFonts w:hint="eastAsia" w:cs="Times New Roman"/>
                <w:kern w:val="0"/>
                <w:lang w:val="en-US" w:eastAsia="zh-CN"/>
              </w:rPr>
              <w:t>4400</w:t>
            </w:r>
          </w:p>
        </w:tc>
      </w:tr>
      <w:tr w14:paraId="0D6F1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44038AA9">
            <w:pPr>
              <w:pStyle w:val="48"/>
              <w:jc w:val="center"/>
              <w:rPr>
                <w:rFonts w:cs="Times New Roman"/>
                <w:kern w:val="0"/>
              </w:rPr>
            </w:pPr>
            <w:r>
              <w:rPr>
                <w:rFonts w:hint="eastAsia" w:cs="Times New Roman"/>
                <w:kern w:val="0"/>
              </w:rPr>
              <w:t>3</w:t>
            </w:r>
          </w:p>
        </w:tc>
        <w:tc>
          <w:tcPr>
            <w:tcW w:w="1071" w:type="pct"/>
            <w:vAlign w:val="center"/>
          </w:tcPr>
          <w:p w14:paraId="56EB46D7">
            <w:pPr>
              <w:pStyle w:val="48"/>
              <w:jc w:val="center"/>
              <w:rPr>
                <w:rFonts w:hint="default" w:eastAsia="宋体" w:cs="Times New Roman"/>
                <w:kern w:val="0"/>
                <w:lang w:val="en-US" w:eastAsia="zh-CN"/>
              </w:rPr>
            </w:pPr>
            <w:r>
              <w:rPr>
                <w:rFonts w:hint="eastAsia" w:cs="Times New Roman"/>
                <w:kern w:val="0"/>
                <w:lang w:val="en-US" w:eastAsia="zh-CN"/>
              </w:rPr>
              <w:t>集兵镇法官庙村</w:t>
            </w:r>
          </w:p>
        </w:tc>
        <w:tc>
          <w:tcPr>
            <w:tcW w:w="702" w:type="pct"/>
            <w:vAlign w:val="center"/>
          </w:tcPr>
          <w:p w14:paraId="1B0990F5">
            <w:pPr>
              <w:pStyle w:val="26"/>
              <w:bidi w:val="0"/>
              <w:jc w:val="center"/>
            </w:pPr>
            <w:r>
              <w:rPr>
                <w:rFonts w:hint="eastAsia"/>
                <w:lang w:val="en-US" w:eastAsia="zh-CN"/>
              </w:rPr>
              <w:t>居民区</w:t>
            </w:r>
          </w:p>
        </w:tc>
        <w:tc>
          <w:tcPr>
            <w:tcW w:w="893" w:type="pct"/>
            <w:vAlign w:val="center"/>
          </w:tcPr>
          <w:p w14:paraId="590ABB3A">
            <w:pPr>
              <w:pStyle w:val="48"/>
              <w:jc w:val="center"/>
              <w:rPr>
                <w:rFonts w:hint="default" w:eastAsia="宋体" w:cs="Times New Roman"/>
                <w:kern w:val="0"/>
                <w:lang w:val="en-US" w:eastAsia="zh-CN"/>
              </w:rPr>
            </w:pPr>
            <w:r>
              <w:rPr>
                <w:rFonts w:hint="eastAsia" w:cs="Times New Roman"/>
                <w:kern w:val="0"/>
                <w:lang w:val="en-US" w:eastAsia="zh-CN"/>
              </w:rPr>
              <w:t>约2300人</w:t>
            </w:r>
          </w:p>
        </w:tc>
        <w:tc>
          <w:tcPr>
            <w:tcW w:w="775" w:type="pct"/>
            <w:vAlign w:val="center"/>
          </w:tcPr>
          <w:p w14:paraId="0BBD9111">
            <w:pPr>
              <w:pStyle w:val="48"/>
              <w:jc w:val="center"/>
              <w:rPr>
                <w:rFonts w:hint="eastAsia" w:eastAsia="宋体" w:cs="Times New Roman"/>
                <w:kern w:val="0"/>
                <w:lang w:val="en-US" w:eastAsia="zh-CN"/>
              </w:rPr>
            </w:pPr>
            <w:r>
              <w:rPr>
                <w:rFonts w:hint="eastAsia" w:cs="Times New Roman"/>
                <w:kern w:val="0"/>
                <w:lang w:val="en-US" w:eastAsia="zh-CN"/>
              </w:rPr>
              <w:t>W</w:t>
            </w:r>
          </w:p>
        </w:tc>
        <w:tc>
          <w:tcPr>
            <w:tcW w:w="848" w:type="pct"/>
            <w:vAlign w:val="center"/>
          </w:tcPr>
          <w:p w14:paraId="0272E95C">
            <w:pPr>
              <w:pStyle w:val="48"/>
              <w:jc w:val="center"/>
              <w:rPr>
                <w:rFonts w:hint="default" w:eastAsia="宋体" w:cs="Times New Roman"/>
                <w:kern w:val="0"/>
                <w:lang w:val="en-US" w:eastAsia="zh-CN"/>
              </w:rPr>
            </w:pPr>
            <w:r>
              <w:rPr>
                <w:rFonts w:hint="eastAsia" w:cs="Times New Roman"/>
                <w:kern w:val="0"/>
                <w:lang w:val="en-US" w:eastAsia="zh-CN"/>
              </w:rPr>
              <w:t>3200</w:t>
            </w:r>
          </w:p>
        </w:tc>
      </w:tr>
      <w:tr w14:paraId="36217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3EA24731">
            <w:pPr>
              <w:pStyle w:val="48"/>
              <w:jc w:val="center"/>
              <w:rPr>
                <w:rFonts w:cs="Times New Roman"/>
                <w:kern w:val="0"/>
              </w:rPr>
            </w:pPr>
            <w:r>
              <w:rPr>
                <w:rFonts w:hint="eastAsia" w:cs="Times New Roman"/>
                <w:kern w:val="0"/>
              </w:rPr>
              <w:t>4</w:t>
            </w:r>
          </w:p>
        </w:tc>
        <w:tc>
          <w:tcPr>
            <w:tcW w:w="1071" w:type="pct"/>
            <w:vAlign w:val="center"/>
          </w:tcPr>
          <w:p w14:paraId="7291F9A4">
            <w:pPr>
              <w:pStyle w:val="48"/>
              <w:jc w:val="center"/>
              <w:rPr>
                <w:rFonts w:hint="default" w:ascii="Arial" w:hAnsi="Arial" w:eastAsia="宋体" w:cs="Arial"/>
                <w:sz w:val="20"/>
                <w:szCs w:val="20"/>
                <w:lang w:val="en-US" w:eastAsia="zh-CN"/>
              </w:rPr>
            </w:pPr>
            <w:r>
              <w:rPr>
                <w:rFonts w:hint="eastAsia" w:ascii="Arial" w:hAnsi="Arial" w:cs="Arial"/>
                <w:sz w:val="20"/>
                <w:szCs w:val="20"/>
                <w:lang w:val="en-US" w:eastAsia="zh-CN"/>
              </w:rPr>
              <w:t>集兵镇集兵村</w:t>
            </w:r>
          </w:p>
        </w:tc>
        <w:tc>
          <w:tcPr>
            <w:tcW w:w="702" w:type="pct"/>
            <w:vAlign w:val="center"/>
          </w:tcPr>
          <w:p w14:paraId="6522F66C">
            <w:pPr>
              <w:pStyle w:val="26"/>
              <w:bidi w:val="0"/>
              <w:jc w:val="center"/>
            </w:pPr>
            <w:r>
              <w:rPr>
                <w:rFonts w:hint="eastAsia"/>
                <w:lang w:val="en-US" w:eastAsia="zh-CN"/>
              </w:rPr>
              <w:t>居民区</w:t>
            </w:r>
          </w:p>
        </w:tc>
        <w:tc>
          <w:tcPr>
            <w:tcW w:w="893" w:type="pct"/>
            <w:vAlign w:val="center"/>
          </w:tcPr>
          <w:p w14:paraId="0954722B">
            <w:pPr>
              <w:pStyle w:val="48"/>
              <w:jc w:val="center"/>
              <w:rPr>
                <w:rFonts w:hint="default" w:eastAsia="宋体" w:cs="Times New Roman"/>
                <w:kern w:val="0"/>
                <w:lang w:val="en-US" w:eastAsia="zh-CN"/>
              </w:rPr>
            </w:pPr>
            <w:r>
              <w:rPr>
                <w:rFonts w:hint="eastAsia" w:cs="Times New Roman"/>
                <w:kern w:val="0"/>
                <w:lang w:val="en-US" w:eastAsia="zh-CN"/>
              </w:rPr>
              <w:t>约3200人</w:t>
            </w:r>
          </w:p>
        </w:tc>
        <w:tc>
          <w:tcPr>
            <w:tcW w:w="775" w:type="pct"/>
            <w:vAlign w:val="center"/>
          </w:tcPr>
          <w:p w14:paraId="07AC8270">
            <w:pPr>
              <w:pStyle w:val="48"/>
              <w:jc w:val="center"/>
              <w:rPr>
                <w:rFonts w:hint="eastAsia" w:eastAsia="宋体" w:cs="Times New Roman"/>
                <w:kern w:val="0"/>
                <w:lang w:val="en-US" w:eastAsia="zh-CN"/>
              </w:rPr>
            </w:pPr>
            <w:r>
              <w:rPr>
                <w:rFonts w:hint="eastAsia" w:cs="Times New Roman"/>
                <w:kern w:val="0"/>
                <w:lang w:val="en-US" w:eastAsia="zh-CN"/>
              </w:rPr>
              <w:t>WN</w:t>
            </w:r>
          </w:p>
        </w:tc>
        <w:tc>
          <w:tcPr>
            <w:tcW w:w="848" w:type="pct"/>
            <w:vAlign w:val="center"/>
          </w:tcPr>
          <w:p w14:paraId="0014B99D">
            <w:pPr>
              <w:pStyle w:val="48"/>
              <w:jc w:val="center"/>
              <w:rPr>
                <w:rFonts w:hint="default" w:eastAsia="宋体" w:cs="Times New Roman"/>
                <w:kern w:val="0"/>
                <w:lang w:val="en-US" w:eastAsia="zh-CN"/>
              </w:rPr>
            </w:pPr>
            <w:r>
              <w:rPr>
                <w:rFonts w:hint="eastAsia" w:cs="Times New Roman"/>
                <w:kern w:val="0"/>
                <w:lang w:val="en-US" w:eastAsia="zh-CN"/>
              </w:rPr>
              <w:t>4300</w:t>
            </w:r>
          </w:p>
        </w:tc>
      </w:tr>
      <w:tr w14:paraId="1BA0F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4C9643AB">
            <w:pPr>
              <w:pStyle w:val="48"/>
              <w:jc w:val="center"/>
              <w:rPr>
                <w:rFonts w:cs="Times New Roman"/>
                <w:kern w:val="0"/>
              </w:rPr>
            </w:pPr>
            <w:r>
              <w:rPr>
                <w:rFonts w:hint="eastAsia" w:cs="Times New Roman"/>
                <w:kern w:val="0"/>
              </w:rPr>
              <w:t>5</w:t>
            </w:r>
          </w:p>
        </w:tc>
        <w:tc>
          <w:tcPr>
            <w:tcW w:w="1071" w:type="pct"/>
            <w:vAlign w:val="center"/>
          </w:tcPr>
          <w:p w14:paraId="3BAED53B">
            <w:pPr>
              <w:pStyle w:val="48"/>
              <w:jc w:val="center"/>
              <w:rPr>
                <w:rFonts w:hint="default" w:eastAsia="宋体" w:cs="Times New Roman"/>
                <w:kern w:val="0"/>
                <w:lang w:val="en-US" w:eastAsia="zh-CN"/>
              </w:rPr>
            </w:pPr>
            <w:r>
              <w:rPr>
                <w:rFonts w:hint="eastAsia" w:cs="Times New Roman"/>
                <w:kern w:val="0"/>
                <w:lang w:val="en-US" w:eastAsia="zh-CN"/>
              </w:rPr>
              <w:t>集兵镇集兵滩社区</w:t>
            </w:r>
          </w:p>
        </w:tc>
        <w:tc>
          <w:tcPr>
            <w:tcW w:w="702" w:type="pct"/>
            <w:vAlign w:val="center"/>
          </w:tcPr>
          <w:p w14:paraId="3D3717AB">
            <w:pPr>
              <w:pStyle w:val="26"/>
              <w:bidi w:val="0"/>
              <w:jc w:val="center"/>
            </w:pPr>
            <w:r>
              <w:rPr>
                <w:rFonts w:hint="eastAsia"/>
                <w:lang w:val="en-US" w:eastAsia="zh-CN"/>
              </w:rPr>
              <w:t>居民区</w:t>
            </w:r>
          </w:p>
        </w:tc>
        <w:tc>
          <w:tcPr>
            <w:tcW w:w="893" w:type="pct"/>
            <w:vAlign w:val="center"/>
          </w:tcPr>
          <w:p w14:paraId="0593CFCB">
            <w:pPr>
              <w:pStyle w:val="48"/>
              <w:jc w:val="center"/>
              <w:rPr>
                <w:rFonts w:hint="default" w:eastAsia="宋体" w:cs="Times New Roman"/>
                <w:kern w:val="0"/>
                <w:lang w:val="en-US" w:eastAsia="zh-CN"/>
              </w:rPr>
            </w:pPr>
            <w:r>
              <w:rPr>
                <w:rFonts w:hint="eastAsia" w:cs="Times New Roman"/>
                <w:kern w:val="0"/>
                <w:lang w:val="en-US" w:eastAsia="zh-CN"/>
              </w:rPr>
              <w:t>约3800人</w:t>
            </w:r>
          </w:p>
        </w:tc>
        <w:tc>
          <w:tcPr>
            <w:tcW w:w="775" w:type="pct"/>
            <w:vAlign w:val="center"/>
          </w:tcPr>
          <w:p w14:paraId="12975BF7">
            <w:pPr>
              <w:pStyle w:val="48"/>
              <w:jc w:val="center"/>
              <w:rPr>
                <w:rFonts w:hint="eastAsia" w:eastAsia="宋体" w:cs="Times New Roman"/>
                <w:kern w:val="0"/>
                <w:lang w:val="en-US" w:eastAsia="zh-CN"/>
              </w:rPr>
            </w:pPr>
            <w:r>
              <w:rPr>
                <w:rFonts w:hint="eastAsia" w:cs="Times New Roman"/>
                <w:kern w:val="0"/>
                <w:lang w:val="en-US" w:eastAsia="zh-CN"/>
              </w:rPr>
              <w:t>WN</w:t>
            </w:r>
          </w:p>
        </w:tc>
        <w:tc>
          <w:tcPr>
            <w:tcW w:w="848" w:type="pct"/>
            <w:vAlign w:val="center"/>
          </w:tcPr>
          <w:p w14:paraId="53AFD591">
            <w:pPr>
              <w:pStyle w:val="48"/>
              <w:jc w:val="center"/>
              <w:rPr>
                <w:rFonts w:hint="default" w:eastAsia="宋体" w:cs="Times New Roman"/>
                <w:kern w:val="0"/>
                <w:lang w:val="en-US" w:eastAsia="zh-CN"/>
              </w:rPr>
            </w:pPr>
            <w:r>
              <w:rPr>
                <w:rFonts w:hint="eastAsia" w:cs="Times New Roman"/>
                <w:kern w:val="0"/>
                <w:lang w:val="en-US" w:eastAsia="zh-CN"/>
              </w:rPr>
              <w:t>3200</w:t>
            </w:r>
          </w:p>
        </w:tc>
      </w:tr>
      <w:tr w14:paraId="23418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762613B1">
            <w:pPr>
              <w:pStyle w:val="48"/>
              <w:jc w:val="center"/>
              <w:rPr>
                <w:rFonts w:cs="Times New Roman"/>
                <w:kern w:val="0"/>
              </w:rPr>
            </w:pPr>
            <w:r>
              <w:rPr>
                <w:rFonts w:hint="eastAsia" w:cs="Times New Roman"/>
                <w:kern w:val="0"/>
              </w:rPr>
              <w:t>6</w:t>
            </w:r>
          </w:p>
        </w:tc>
        <w:tc>
          <w:tcPr>
            <w:tcW w:w="1071" w:type="pct"/>
            <w:vAlign w:val="center"/>
          </w:tcPr>
          <w:p w14:paraId="2DCE6483">
            <w:pPr>
              <w:pStyle w:val="48"/>
              <w:jc w:val="center"/>
              <w:rPr>
                <w:rFonts w:hint="default" w:eastAsia="宋体" w:cs="Times New Roman"/>
                <w:kern w:val="0"/>
                <w:lang w:val="en-US" w:eastAsia="zh-CN"/>
              </w:rPr>
            </w:pPr>
            <w:r>
              <w:rPr>
                <w:rFonts w:hint="eastAsia" w:cs="Times New Roman"/>
                <w:kern w:val="0"/>
                <w:lang w:val="en-US" w:eastAsia="zh-CN"/>
              </w:rPr>
              <w:t>集兵镇同心村</w:t>
            </w:r>
          </w:p>
        </w:tc>
        <w:tc>
          <w:tcPr>
            <w:tcW w:w="702" w:type="pct"/>
            <w:vAlign w:val="center"/>
          </w:tcPr>
          <w:p w14:paraId="61F2CF21">
            <w:pPr>
              <w:pStyle w:val="26"/>
              <w:bidi w:val="0"/>
              <w:jc w:val="center"/>
            </w:pPr>
            <w:r>
              <w:rPr>
                <w:rFonts w:hint="eastAsia"/>
                <w:lang w:val="en-US" w:eastAsia="zh-CN"/>
              </w:rPr>
              <w:t>居民区</w:t>
            </w:r>
          </w:p>
        </w:tc>
        <w:tc>
          <w:tcPr>
            <w:tcW w:w="893" w:type="pct"/>
            <w:vAlign w:val="center"/>
          </w:tcPr>
          <w:p w14:paraId="3B010127">
            <w:pPr>
              <w:pStyle w:val="48"/>
              <w:jc w:val="center"/>
              <w:rPr>
                <w:rFonts w:hint="default" w:eastAsia="宋体" w:cs="Times New Roman"/>
                <w:kern w:val="0"/>
                <w:lang w:val="en-US" w:eastAsia="zh-CN"/>
              </w:rPr>
            </w:pPr>
            <w:r>
              <w:rPr>
                <w:rFonts w:hint="eastAsia" w:cs="Times New Roman"/>
                <w:kern w:val="0"/>
                <w:lang w:val="en-US" w:eastAsia="zh-CN"/>
              </w:rPr>
              <w:t>约2200人</w:t>
            </w:r>
          </w:p>
        </w:tc>
        <w:tc>
          <w:tcPr>
            <w:tcW w:w="775" w:type="pct"/>
            <w:vAlign w:val="center"/>
          </w:tcPr>
          <w:p w14:paraId="3095F8AE">
            <w:pPr>
              <w:pStyle w:val="48"/>
              <w:jc w:val="center"/>
              <w:rPr>
                <w:rFonts w:hint="eastAsia" w:eastAsia="宋体" w:cs="Times New Roman"/>
                <w:kern w:val="0"/>
                <w:lang w:val="en-US" w:eastAsia="zh-CN"/>
              </w:rPr>
            </w:pPr>
            <w:r>
              <w:rPr>
                <w:rFonts w:hint="eastAsia" w:cs="Times New Roman"/>
                <w:kern w:val="0"/>
                <w:lang w:val="en-US" w:eastAsia="zh-CN"/>
              </w:rPr>
              <w:t>WN</w:t>
            </w:r>
          </w:p>
        </w:tc>
        <w:tc>
          <w:tcPr>
            <w:tcW w:w="848" w:type="pct"/>
            <w:vAlign w:val="center"/>
          </w:tcPr>
          <w:p w14:paraId="0471F7F1">
            <w:pPr>
              <w:pStyle w:val="48"/>
              <w:jc w:val="center"/>
              <w:rPr>
                <w:rFonts w:hint="default" w:eastAsia="宋体" w:cs="Times New Roman"/>
                <w:kern w:val="0"/>
                <w:lang w:val="en-US" w:eastAsia="zh-CN"/>
              </w:rPr>
            </w:pPr>
            <w:r>
              <w:rPr>
                <w:rFonts w:hint="eastAsia" w:cs="Times New Roman"/>
                <w:kern w:val="0"/>
                <w:lang w:val="en-US" w:eastAsia="zh-CN"/>
              </w:rPr>
              <w:t>4800</w:t>
            </w:r>
          </w:p>
        </w:tc>
      </w:tr>
      <w:tr w14:paraId="12E21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7F7F1F31">
            <w:pPr>
              <w:pStyle w:val="48"/>
              <w:jc w:val="center"/>
              <w:rPr>
                <w:rFonts w:cs="Times New Roman"/>
                <w:kern w:val="0"/>
              </w:rPr>
            </w:pPr>
            <w:r>
              <w:rPr>
                <w:rFonts w:hint="eastAsia" w:cs="Times New Roman"/>
                <w:kern w:val="0"/>
              </w:rPr>
              <w:t>7</w:t>
            </w:r>
          </w:p>
        </w:tc>
        <w:tc>
          <w:tcPr>
            <w:tcW w:w="1071" w:type="pct"/>
            <w:shd w:val="clear" w:color="auto" w:fill="auto"/>
            <w:vAlign w:val="center"/>
          </w:tcPr>
          <w:p w14:paraId="4ADC89D8">
            <w:pPr>
              <w:pStyle w:val="48"/>
              <w:jc w:val="center"/>
              <w:rPr>
                <w:rFonts w:hint="default" w:ascii="Times New Roman" w:hAnsi="Times New Roman" w:eastAsia="宋体" w:cs="Times New Roman"/>
                <w:kern w:val="0"/>
                <w:sz w:val="21"/>
                <w:szCs w:val="32"/>
                <w:lang w:val="en-US" w:eastAsia="zh-CN" w:bidi="ar-SA"/>
              </w:rPr>
            </w:pPr>
            <w:r>
              <w:rPr>
                <w:rFonts w:hint="eastAsia" w:cs="Times New Roman"/>
                <w:kern w:val="0"/>
                <w:lang w:val="en-US" w:eastAsia="zh-CN"/>
              </w:rPr>
              <w:t>樟木乡塔兴村</w:t>
            </w:r>
          </w:p>
        </w:tc>
        <w:tc>
          <w:tcPr>
            <w:tcW w:w="702" w:type="pct"/>
            <w:vAlign w:val="center"/>
          </w:tcPr>
          <w:p w14:paraId="09A104CE">
            <w:pPr>
              <w:pStyle w:val="26"/>
              <w:bidi w:val="0"/>
              <w:jc w:val="center"/>
            </w:pPr>
            <w:r>
              <w:rPr>
                <w:rFonts w:hint="eastAsia"/>
                <w:lang w:val="en-US" w:eastAsia="zh-CN"/>
              </w:rPr>
              <w:t>居民区</w:t>
            </w:r>
          </w:p>
        </w:tc>
        <w:tc>
          <w:tcPr>
            <w:tcW w:w="893" w:type="pct"/>
            <w:vAlign w:val="center"/>
          </w:tcPr>
          <w:p w14:paraId="01420471">
            <w:pPr>
              <w:pStyle w:val="48"/>
              <w:jc w:val="center"/>
              <w:rPr>
                <w:rFonts w:hint="default" w:eastAsia="宋体" w:cs="Times New Roman"/>
                <w:kern w:val="0"/>
                <w:lang w:val="en-US" w:eastAsia="zh-CN"/>
              </w:rPr>
            </w:pPr>
            <w:r>
              <w:rPr>
                <w:rFonts w:hint="eastAsia" w:cs="Times New Roman"/>
                <w:kern w:val="0"/>
                <w:lang w:val="en-US" w:eastAsia="zh-CN"/>
              </w:rPr>
              <w:t>约2400人</w:t>
            </w:r>
          </w:p>
        </w:tc>
        <w:tc>
          <w:tcPr>
            <w:tcW w:w="775" w:type="pct"/>
            <w:vAlign w:val="center"/>
          </w:tcPr>
          <w:p w14:paraId="5CB11FF7">
            <w:pPr>
              <w:pStyle w:val="48"/>
              <w:jc w:val="center"/>
              <w:rPr>
                <w:rFonts w:hint="eastAsia" w:eastAsia="宋体" w:cs="Times New Roman"/>
                <w:kern w:val="0"/>
                <w:lang w:val="en-US" w:eastAsia="zh-CN"/>
              </w:rPr>
            </w:pPr>
            <w:r>
              <w:rPr>
                <w:rFonts w:hint="eastAsia" w:cs="Times New Roman"/>
                <w:kern w:val="0"/>
                <w:lang w:val="en-US" w:eastAsia="zh-CN"/>
              </w:rPr>
              <w:t>E</w:t>
            </w:r>
          </w:p>
        </w:tc>
        <w:tc>
          <w:tcPr>
            <w:tcW w:w="848" w:type="pct"/>
            <w:vAlign w:val="center"/>
          </w:tcPr>
          <w:p w14:paraId="12243A6D">
            <w:pPr>
              <w:pStyle w:val="48"/>
              <w:jc w:val="center"/>
              <w:rPr>
                <w:rFonts w:hint="default" w:eastAsia="宋体" w:cs="Times New Roman"/>
                <w:kern w:val="0"/>
                <w:lang w:val="en-US" w:eastAsia="zh-CN"/>
              </w:rPr>
            </w:pPr>
            <w:r>
              <w:rPr>
                <w:rFonts w:hint="eastAsia" w:cs="Times New Roman"/>
                <w:kern w:val="0"/>
                <w:lang w:val="en-US" w:eastAsia="zh-CN"/>
              </w:rPr>
              <w:t>900</w:t>
            </w:r>
          </w:p>
        </w:tc>
      </w:tr>
      <w:tr w14:paraId="05434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40E22BED">
            <w:pPr>
              <w:pStyle w:val="48"/>
              <w:jc w:val="center"/>
              <w:rPr>
                <w:rFonts w:cs="Times New Roman"/>
                <w:kern w:val="0"/>
              </w:rPr>
            </w:pPr>
            <w:r>
              <w:rPr>
                <w:rFonts w:hint="eastAsia" w:cs="Times New Roman"/>
                <w:kern w:val="0"/>
              </w:rPr>
              <w:t>8</w:t>
            </w:r>
          </w:p>
        </w:tc>
        <w:tc>
          <w:tcPr>
            <w:tcW w:w="1071" w:type="pct"/>
            <w:shd w:val="clear" w:color="auto" w:fill="auto"/>
            <w:vAlign w:val="center"/>
          </w:tcPr>
          <w:p w14:paraId="3FBBFE10">
            <w:pPr>
              <w:pStyle w:val="48"/>
              <w:jc w:val="center"/>
              <w:rPr>
                <w:rFonts w:hint="default" w:ascii="Times New Roman" w:hAnsi="Times New Roman" w:eastAsia="宋体" w:cs="Times New Roman"/>
                <w:kern w:val="0"/>
                <w:sz w:val="21"/>
                <w:szCs w:val="32"/>
                <w:lang w:val="en-US" w:eastAsia="zh-CN" w:bidi="ar-SA"/>
              </w:rPr>
            </w:pPr>
            <w:r>
              <w:rPr>
                <w:rFonts w:hint="eastAsia" w:cs="Times New Roman"/>
                <w:kern w:val="0"/>
                <w:lang w:val="en-US" w:eastAsia="zh-CN"/>
              </w:rPr>
              <w:t>樟木乡樟木寺村</w:t>
            </w:r>
          </w:p>
        </w:tc>
        <w:tc>
          <w:tcPr>
            <w:tcW w:w="702" w:type="pct"/>
            <w:vAlign w:val="center"/>
          </w:tcPr>
          <w:p w14:paraId="2A0E72EC">
            <w:pPr>
              <w:pStyle w:val="26"/>
              <w:bidi w:val="0"/>
              <w:jc w:val="center"/>
            </w:pPr>
            <w:r>
              <w:rPr>
                <w:rFonts w:hint="eastAsia"/>
                <w:lang w:val="en-US" w:eastAsia="zh-CN"/>
              </w:rPr>
              <w:t>居民区</w:t>
            </w:r>
          </w:p>
        </w:tc>
        <w:tc>
          <w:tcPr>
            <w:tcW w:w="893" w:type="pct"/>
            <w:vAlign w:val="center"/>
          </w:tcPr>
          <w:p w14:paraId="075B89AD">
            <w:pPr>
              <w:pStyle w:val="48"/>
              <w:jc w:val="center"/>
              <w:rPr>
                <w:rFonts w:hint="default" w:eastAsia="宋体" w:cs="Times New Roman"/>
                <w:kern w:val="0"/>
                <w:lang w:val="en-US" w:eastAsia="zh-CN"/>
              </w:rPr>
            </w:pPr>
            <w:r>
              <w:rPr>
                <w:rFonts w:hint="eastAsia" w:cs="Times New Roman"/>
                <w:kern w:val="0"/>
                <w:lang w:val="en-US" w:eastAsia="zh-CN"/>
              </w:rPr>
              <w:t>约2400人</w:t>
            </w:r>
          </w:p>
        </w:tc>
        <w:tc>
          <w:tcPr>
            <w:tcW w:w="775" w:type="pct"/>
            <w:vAlign w:val="center"/>
          </w:tcPr>
          <w:p w14:paraId="5DBD5F54">
            <w:pPr>
              <w:pStyle w:val="48"/>
              <w:jc w:val="center"/>
              <w:rPr>
                <w:rFonts w:hint="eastAsia" w:eastAsia="宋体" w:cs="Times New Roman"/>
                <w:kern w:val="0"/>
                <w:lang w:val="en-US" w:eastAsia="zh-CN"/>
              </w:rPr>
            </w:pPr>
            <w:r>
              <w:rPr>
                <w:rFonts w:hint="eastAsia" w:cs="Times New Roman"/>
                <w:kern w:val="0"/>
                <w:lang w:val="en-US" w:eastAsia="zh-CN"/>
              </w:rPr>
              <w:t>EN</w:t>
            </w:r>
          </w:p>
        </w:tc>
        <w:tc>
          <w:tcPr>
            <w:tcW w:w="848" w:type="pct"/>
            <w:vAlign w:val="center"/>
          </w:tcPr>
          <w:p w14:paraId="44FEFD2C">
            <w:pPr>
              <w:pStyle w:val="48"/>
              <w:jc w:val="center"/>
              <w:rPr>
                <w:rFonts w:hint="default" w:eastAsia="宋体" w:cs="Times New Roman"/>
                <w:kern w:val="0"/>
                <w:lang w:val="en-US" w:eastAsia="zh-CN"/>
              </w:rPr>
            </w:pPr>
            <w:r>
              <w:rPr>
                <w:rFonts w:hint="eastAsia" w:cs="Times New Roman"/>
                <w:kern w:val="0"/>
                <w:lang w:val="en-US" w:eastAsia="zh-CN"/>
              </w:rPr>
              <w:t>2700</w:t>
            </w:r>
          </w:p>
        </w:tc>
      </w:tr>
      <w:tr w14:paraId="181BE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14442D4E">
            <w:pPr>
              <w:pStyle w:val="48"/>
              <w:jc w:val="center"/>
              <w:rPr>
                <w:rFonts w:cs="Times New Roman"/>
                <w:kern w:val="0"/>
              </w:rPr>
            </w:pPr>
            <w:r>
              <w:rPr>
                <w:rFonts w:hint="eastAsia" w:cs="Times New Roman"/>
                <w:kern w:val="0"/>
              </w:rPr>
              <w:t>9</w:t>
            </w:r>
          </w:p>
        </w:tc>
        <w:tc>
          <w:tcPr>
            <w:tcW w:w="1071" w:type="pct"/>
            <w:vAlign w:val="center"/>
          </w:tcPr>
          <w:p w14:paraId="168ACE1F">
            <w:pPr>
              <w:pStyle w:val="48"/>
              <w:jc w:val="center"/>
              <w:rPr>
                <w:rFonts w:hint="default" w:eastAsia="宋体" w:cs="Times New Roman"/>
                <w:kern w:val="0"/>
                <w:lang w:val="en-US" w:eastAsia="zh-CN"/>
              </w:rPr>
            </w:pPr>
            <w:r>
              <w:rPr>
                <w:rFonts w:hint="eastAsia" w:cs="Times New Roman"/>
                <w:kern w:val="0"/>
                <w:lang w:val="en-US" w:eastAsia="zh-CN"/>
              </w:rPr>
              <w:t>樟木乡迎水村</w:t>
            </w:r>
          </w:p>
        </w:tc>
        <w:tc>
          <w:tcPr>
            <w:tcW w:w="702" w:type="pct"/>
            <w:vAlign w:val="center"/>
          </w:tcPr>
          <w:p w14:paraId="66124B5C">
            <w:pPr>
              <w:pStyle w:val="26"/>
              <w:bidi w:val="0"/>
              <w:jc w:val="center"/>
            </w:pPr>
            <w:r>
              <w:rPr>
                <w:rFonts w:hint="eastAsia"/>
                <w:lang w:val="en-US" w:eastAsia="zh-CN"/>
              </w:rPr>
              <w:t>居民区</w:t>
            </w:r>
          </w:p>
        </w:tc>
        <w:tc>
          <w:tcPr>
            <w:tcW w:w="893" w:type="pct"/>
            <w:vAlign w:val="center"/>
          </w:tcPr>
          <w:p w14:paraId="66E1E8ED">
            <w:pPr>
              <w:pStyle w:val="48"/>
              <w:jc w:val="center"/>
              <w:rPr>
                <w:rFonts w:hint="default" w:eastAsia="宋体" w:cs="Times New Roman"/>
                <w:kern w:val="0"/>
                <w:lang w:val="en-US" w:eastAsia="zh-CN"/>
              </w:rPr>
            </w:pPr>
            <w:r>
              <w:rPr>
                <w:rFonts w:hint="eastAsia" w:cs="Times New Roman"/>
                <w:kern w:val="0"/>
                <w:lang w:val="en-US" w:eastAsia="zh-CN"/>
              </w:rPr>
              <w:t>约2300人</w:t>
            </w:r>
          </w:p>
        </w:tc>
        <w:tc>
          <w:tcPr>
            <w:tcW w:w="775" w:type="pct"/>
            <w:vAlign w:val="center"/>
          </w:tcPr>
          <w:p w14:paraId="03B1CA81">
            <w:pPr>
              <w:pStyle w:val="48"/>
              <w:jc w:val="center"/>
              <w:rPr>
                <w:rFonts w:hint="eastAsia" w:eastAsia="宋体" w:cs="Times New Roman"/>
                <w:kern w:val="0"/>
                <w:lang w:val="en-US" w:eastAsia="zh-CN"/>
              </w:rPr>
            </w:pPr>
            <w:r>
              <w:rPr>
                <w:rFonts w:hint="eastAsia" w:cs="Times New Roman"/>
                <w:kern w:val="0"/>
                <w:lang w:val="en-US" w:eastAsia="zh-CN"/>
              </w:rPr>
              <w:t>EN</w:t>
            </w:r>
          </w:p>
        </w:tc>
        <w:tc>
          <w:tcPr>
            <w:tcW w:w="848" w:type="pct"/>
            <w:vAlign w:val="center"/>
          </w:tcPr>
          <w:p w14:paraId="56B27ABF">
            <w:pPr>
              <w:pStyle w:val="48"/>
              <w:jc w:val="center"/>
              <w:rPr>
                <w:rFonts w:hint="default" w:eastAsia="宋体" w:cs="Times New Roman"/>
                <w:kern w:val="0"/>
                <w:lang w:val="en-US" w:eastAsia="zh-CN"/>
              </w:rPr>
            </w:pPr>
            <w:r>
              <w:rPr>
                <w:rFonts w:hint="eastAsia" w:cs="Times New Roman"/>
                <w:kern w:val="0"/>
                <w:lang w:val="en-US" w:eastAsia="zh-CN"/>
              </w:rPr>
              <w:t>4300</w:t>
            </w:r>
          </w:p>
        </w:tc>
      </w:tr>
      <w:tr w14:paraId="3E4B6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6E0FC903">
            <w:pPr>
              <w:pStyle w:val="48"/>
              <w:jc w:val="center"/>
              <w:rPr>
                <w:rFonts w:cs="Times New Roman"/>
                <w:kern w:val="0"/>
              </w:rPr>
            </w:pPr>
            <w:r>
              <w:rPr>
                <w:rFonts w:hint="eastAsia" w:cs="Times New Roman"/>
                <w:kern w:val="0"/>
              </w:rPr>
              <w:t>1</w:t>
            </w:r>
            <w:r>
              <w:rPr>
                <w:rFonts w:cs="Times New Roman"/>
                <w:kern w:val="0"/>
              </w:rPr>
              <w:t>0</w:t>
            </w:r>
          </w:p>
        </w:tc>
        <w:tc>
          <w:tcPr>
            <w:tcW w:w="1071" w:type="pct"/>
            <w:vAlign w:val="center"/>
          </w:tcPr>
          <w:p w14:paraId="6E9F646F">
            <w:pPr>
              <w:pStyle w:val="48"/>
              <w:jc w:val="center"/>
              <w:rPr>
                <w:rFonts w:hint="default" w:eastAsia="宋体" w:cs="Times New Roman"/>
                <w:kern w:val="0"/>
                <w:lang w:val="en-US" w:eastAsia="zh-CN"/>
              </w:rPr>
            </w:pPr>
            <w:r>
              <w:rPr>
                <w:rFonts w:hint="eastAsia" w:cs="Times New Roman"/>
                <w:kern w:val="0"/>
                <w:lang w:val="en-US" w:eastAsia="zh-CN"/>
              </w:rPr>
              <w:t>石鼓区黄沙湾街道灵官庙村</w:t>
            </w:r>
          </w:p>
        </w:tc>
        <w:tc>
          <w:tcPr>
            <w:tcW w:w="702" w:type="pct"/>
            <w:vAlign w:val="center"/>
          </w:tcPr>
          <w:p w14:paraId="73DCE956">
            <w:pPr>
              <w:pStyle w:val="26"/>
              <w:bidi w:val="0"/>
              <w:jc w:val="center"/>
            </w:pPr>
            <w:r>
              <w:rPr>
                <w:rFonts w:hint="eastAsia"/>
                <w:lang w:val="en-US" w:eastAsia="zh-CN"/>
              </w:rPr>
              <w:t>居民区</w:t>
            </w:r>
          </w:p>
        </w:tc>
        <w:tc>
          <w:tcPr>
            <w:tcW w:w="893" w:type="pct"/>
            <w:vAlign w:val="center"/>
          </w:tcPr>
          <w:p w14:paraId="7CF0818C">
            <w:pPr>
              <w:pStyle w:val="48"/>
              <w:jc w:val="center"/>
              <w:rPr>
                <w:rFonts w:hint="default" w:eastAsia="宋体" w:cs="Times New Roman"/>
                <w:kern w:val="0"/>
                <w:lang w:val="en-US" w:eastAsia="zh-CN"/>
              </w:rPr>
            </w:pPr>
            <w:r>
              <w:rPr>
                <w:rFonts w:hint="eastAsia" w:cs="Times New Roman"/>
                <w:kern w:val="0"/>
                <w:lang w:val="en-US" w:eastAsia="zh-CN"/>
              </w:rPr>
              <w:t>约4200人</w:t>
            </w:r>
          </w:p>
        </w:tc>
        <w:tc>
          <w:tcPr>
            <w:tcW w:w="775" w:type="pct"/>
            <w:vAlign w:val="center"/>
          </w:tcPr>
          <w:p w14:paraId="31A6DB0F">
            <w:pPr>
              <w:pStyle w:val="48"/>
              <w:jc w:val="center"/>
              <w:rPr>
                <w:rFonts w:hint="eastAsia" w:eastAsia="宋体" w:cs="Times New Roman"/>
                <w:kern w:val="0"/>
                <w:lang w:val="en-US" w:eastAsia="zh-CN"/>
              </w:rPr>
            </w:pPr>
            <w:r>
              <w:rPr>
                <w:rFonts w:hint="eastAsia" w:cs="Times New Roman"/>
                <w:kern w:val="0"/>
                <w:lang w:val="en-US" w:eastAsia="zh-CN"/>
              </w:rPr>
              <w:t>WS</w:t>
            </w:r>
          </w:p>
        </w:tc>
        <w:tc>
          <w:tcPr>
            <w:tcW w:w="848" w:type="pct"/>
            <w:vAlign w:val="center"/>
          </w:tcPr>
          <w:p w14:paraId="692EAA62">
            <w:pPr>
              <w:pStyle w:val="48"/>
              <w:jc w:val="center"/>
              <w:rPr>
                <w:rFonts w:hint="default" w:eastAsia="宋体" w:cs="Times New Roman"/>
                <w:kern w:val="0"/>
                <w:lang w:val="en-US" w:eastAsia="zh-CN"/>
              </w:rPr>
            </w:pPr>
            <w:r>
              <w:rPr>
                <w:rFonts w:hint="eastAsia" w:cs="Times New Roman"/>
                <w:kern w:val="0"/>
                <w:lang w:val="en-US" w:eastAsia="zh-CN"/>
              </w:rPr>
              <w:t>2500</w:t>
            </w:r>
          </w:p>
        </w:tc>
      </w:tr>
      <w:tr w14:paraId="1E0E4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18B99560">
            <w:pPr>
              <w:pStyle w:val="48"/>
              <w:jc w:val="center"/>
              <w:rPr>
                <w:rFonts w:cs="Times New Roman"/>
                <w:kern w:val="0"/>
              </w:rPr>
            </w:pPr>
            <w:r>
              <w:rPr>
                <w:rFonts w:hint="eastAsia" w:cs="Times New Roman"/>
                <w:kern w:val="0"/>
              </w:rPr>
              <w:t>1</w:t>
            </w:r>
            <w:r>
              <w:rPr>
                <w:rFonts w:cs="Times New Roman"/>
                <w:kern w:val="0"/>
              </w:rPr>
              <w:t>1</w:t>
            </w:r>
          </w:p>
        </w:tc>
        <w:tc>
          <w:tcPr>
            <w:tcW w:w="1071" w:type="pct"/>
            <w:vAlign w:val="center"/>
          </w:tcPr>
          <w:p w14:paraId="22A430C2">
            <w:pPr>
              <w:pStyle w:val="48"/>
              <w:jc w:val="center"/>
              <w:rPr>
                <w:rFonts w:hint="default" w:eastAsia="宋体" w:cs="Times New Roman"/>
                <w:kern w:val="0"/>
                <w:lang w:val="en-US" w:eastAsia="zh-CN"/>
              </w:rPr>
            </w:pPr>
            <w:r>
              <w:rPr>
                <w:rFonts w:hint="eastAsia" w:cs="Times New Roman"/>
                <w:kern w:val="0"/>
                <w:lang w:val="en-US" w:eastAsia="zh-CN"/>
              </w:rPr>
              <w:t>松木经开区三里村</w:t>
            </w:r>
          </w:p>
        </w:tc>
        <w:tc>
          <w:tcPr>
            <w:tcW w:w="702" w:type="pct"/>
            <w:vAlign w:val="center"/>
          </w:tcPr>
          <w:p w14:paraId="0FEF54C0">
            <w:pPr>
              <w:pStyle w:val="26"/>
              <w:bidi w:val="0"/>
              <w:jc w:val="center"/>
            </w:pPr>
            <w:r>
              <w:rPr>
                <w:rFonts w:hint="eastAsia"/>
                <w:lang w:val="en-US" w:eastAsia="zh-CN"/>
              </w:rPr>
              <w:t>居民区</w:t>
            </w:r>
          </w:p>
        </w:tc>
        <w:tc>
          <w:tcPr>
            <w:tcW w:w="893" w:type="pct"/>
            <w:vAlign w:val="center"/>
          </w:tcPr>
          <w:p w14:paraId="6B930E28">
            <w:pPr>
              <w:pStyle w:val="48"/>
              <w:jc w:val="center"/>
              <w:rPr>
                <w:rFonts w:hint="default" w:eastAsia="宋体" w:cs="Times New Roman"/>
                <w:kern w:val="0"/>
                <w:lang w:val="en-US" w:eastAsia="zh-CN"/>
              </w:rPr>
            </w:pPr>
            <w:r>
              <w:rPr>
                <w:rFonts w:hint="eastAsia" w:cs="Times New Roman"/>
                <w:kern w:val="0"/>
                <w:lang w:val="en-US" w:eastAsia="zh-CN"/>
              </w:rPr>
              <w:t>约4600人</w:t>
            </w:r>
          </w:p>
        </w:tc>
        <w:tc>
          <w:tcPr>
            <w:tcW w:w="775" w:type="pct"/>
            <w:vAlign w:val="center"/>
          </w:tcPr>
          <w:p w14:paraId="03930E85">
            <w:pPr>
              <w:pStyle w:val="48"/>
              <w:jc w:val="center"/>
              <w:rPr>
                <w:rFonts w:hint="eastAsia" w:eastAsia="宋体" w:cs="Times New Roman"/>
                <w:kern w:val="0"/>
                <w:lang w:val="en-US" w:eastAsia="zh-CN"/>
              </w:rPr>
            </w:pPr>
            <w:r>
              <w:rPr>
                <w:rFonts w:hint="eastAsia" w:cs="Times New Roman"/>
                <w:kern w:val="0"/>
                <w:lang w:val="en-US" w:eastAsia="zh-CN"/>
              </w:rPr>
              <w:t>S</w:t>
            </w:r>
          </w:p>
        </w:tc>
        <w:tc>
          <w:tcPr>
            <w:tcW w:w="848" w:type="pct"/>
            <w:vAlign w:val="center"/>
          </w:tcPr>
          <w:p w14:paraId="3BA0ACB4">
            <w:pPr>
              <w:pStyle w:val="48"/>
              <w:jc w:val="center"/>
              <w:rPr>
                <w:rFonts w:hint="default" w:eastAsia="宋体" w:cs="Times New Roman"/>
                <w:kern w:val="0"/>
                <w:lang w:val="en-US" w:eastAsia="zh-CN"/>
              </w:rPr>
            </w:pPr>
            <w:r>
              <w:rPr>
                <w:rFonts w:hint="eastAsia" w:cs="Times New Roman"/>
                <w:kern w:val="0"/>
                <w:lang w:val="en-US" w:eastAsia="zh-CN"/>
              </w:rPr>
              <w:t>2100</w:t>
            </w:r>
          </w:p>
        </w:tc>
      </w:tr>
      <w:tr w14:paraId="330E6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5CE65F74">
            <w:pPr>
              <w:pStyle w:val="48"/>
              <w:jc w:val="center"/>
              <w:rPr>
                <w:rFonts w:cs="Times New Roman"/>
                <w:kern w:val="0"/>
              </w:rPr>
            </w:pPr>
            <w:r>
              <w:rPr>
                <w:rFonts w:hint="eastAsia" w:cs="Times New Roman"/>
                <w:kern w:val="0"/>
              </w:rPr>
              <w:t>1</w:t>
            </w:r>
            <w:r>
              <w:rPr>
                <w:rFonts w:cs="Times New Roman"/>
                <w:kern w:val="0"/>
              </w:rPr>
              <w:t>2</w:t>
            </w:r>
          </w:p>
        </w:tc>
        <w:tc>
          <w:tcPr>
            <w:tcW w:w="1071" w:type="pct"/>
            <w:vAlign w:val="center"/>
          </w:tcPr>
          <w:p w14:paraId="0CE8C2CE">
            <w:pPr>
              <w:pStyle w:val="48"/>
              <w:jc w:val="center"/>
              <w:rPr>
                <w:rFonts w:hint="default" w:eastAsia="宋体" w:cs="Times New Roman"/>
                <w:kern w:val="0"/>
                <w:lang w:val="en-US" w:eastAsia="zh-CN"/>
              </w:rPr>
            </w:pPr>
            <w:r>
              <w:rPr>
                <w:rFonts w:hint="eastAsia" w:cs="Times New Roman"/>
                <w:kern w:val="0"/>
                <w:lang w:val="en-US" w:eastAsia="zh-CN"/>
              </w:rPr>
              <w:t>太栗小学</w:t>
            </w:r>
          </w:p>
        </w:tc>
        <w:tc>
          <w:tcPr>
            <w:tcW w:w="702" w:type="pct"/>
            <w:vAlign w:val="center"/>
          </w:tcPr>
          <w:p w14:paraId="58860E42">
            <w:pPr>
              <w:pStyle w:val="48"/>
              <w:jc w:val="center"/>
              <w:rPr>
                <w:rFonts w:hint="eastAsia" w:eastAsia="宋体" w:cs="Times New Roman"/>
                <w:kern w:val="0"/>
                <w:lang w:val="en-US" w:eastAsia="zh-CN"/>
              </w:rPr>
            </w:pPr>
            <w:r>
              <w:rPr>
                <w:rFonts w:hint="eastAsia" w:cs="Times New Roman"/>
                <w:kern w:val="0"/>
                <w:lang w:val="en-US" w:eastAsia="zh-CN"/>
              </w:rPr>
              <w:t>学校</w:t>
            </w:r>
          </w:p>
        </w:tc>
        <w:tc>
          <w:tcPr>
            <w:tcW w:w="893" w:type="pct"/>
            <w:vAlign w:val="center"/>
          </w:tcPr>
          <w:p w14:paraId="29DDE760">
            <w:pPr>
              <w:pStyle w:val="48"/>
              <w:jc w:val="center"/>
              <w:rPr>
                <w:rFonts w:hint="default" w:eastAsia="宋体" w:cs="Times New Roman"/>
                <w:kern w:val="0"/>
                <w:lang w:val="en-US" w:eastAsia="zh-CN"/>
              </w:rPr>
            </w:pPr>
            <w:r>
              <w:rPr>
                <w:rFonts w:hint="eastAsia" w:cs="Times New Roman"/>
                <w:kern w:val="0"/>
                <w:lang w:val="en-US" w:eastAsia="zh-CN"/>
              </w:rPr>
              <w:t>约300人</w:t>
            </w:r>
          </w:p>
        </w:tc>
        <w:tc>
          <w:tcPr>
            <w:tcW w:w="775" w:type="pct"/>
            <w:vAlign w:val="center"/>
          </w:tcPr>
          <w:p w14:paraId="410208D8">
            <w:pPr>
              <w:pStyle w:val="48"/>
              <w:jc w:val="center"/>
              <w:rPr>
                <w:rFonts w:hint="eastAsia" w:eastAsia="宋体" w:cs="Times New Roman"/>
                <w:kern w:val="0"/>
                <w:lang w:val="en-US" w:eastAsia="zh-CN"/>
              </w:rPr>
            </w:pPr>
            <w:r>
              <w:rPr>
                <w:rFonts w:hint="eastAsia" w:cs="Times New Roman"/>
                <w:kern w:val="0"/>
                <w:lang w:val="en-US" w:eastAsia="zh-CN"/>
              </w:rPr>
              <w:t>WN</w:t>
            </w:r>
          </w:p>
        </w:tc>
        <w:tc>
          <w:tcPr>
            <w:tcW w:w="848" w:type="pct"/>
            <w:vAlign w:val="center"/>
          </w:tcPr>
          <w:p w14:paraId="061A1E70">
            <w:pPr>
              <w:pStyle w:val="48"/>
              <w:jc w:val="center"/>
              <w:rPr>
                <w:rFonts w:hint="default" w:eastAsia="宋体" w:cs="Times New Roman"/>
                <w:kern w:val="0"/>
                <w:lang w:val="en-US" w:eastAsia="zh-CN"/>
              </w:rPr>
            </w:pPr>
            <w:r>
              <w:rPr>
                <w:rFonts w:hint="eastAsia" w:cs="Times New Roman"/>
                <w:kern w:val="0"/>
                <w:lang w:val="en-US" w:eastAsia="zh-CN"/>
              </w:rPr>
              <w:t>2300</w:t>
            </w:r>
          </w:p>
        </w:tc>
      </w:tr>
      <w:tr w14:paraId="31179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616ED84C">
            <w:pPr>
              <w:pStyle w:val="48"/>
              <w:jc w:val="center"/>
              <w:rPr>
                <w:rFonts w:cs="Times New Roman"/>
                <w:kern w:val="0"/>
              </w:rPr>
            </w:pPr>
            <w:r>
              <w:rPr>
                <w:rFonts w:hint="eastAsia" w:cs="Times New Roman"/>
                <w:kern w:val="0"/>
              </w:rPr>
              <w:t>1</w:t>
            </w:r>
            <w:r>
              <w:rPr>
                <w:rFonts w:cs="Times New Roman"/>
                <w:kern w:val="0"/>
              </w:rPr>
              <w:t>3</w:t>
            </w:r>
          </w:p>
        </w:tc>
        <w:tc>
          <w:tcPr>
            <w:tcW w:w="1071" w:type="pct"/>
            <w:vAlign w:val="center"/>
          </w:tcPr>
          <w:p w14:paraId="746CD417">
            <w:pPr>
              <w:pStyle w:val="48"/>
              <w:jc w:val="center"/>
              <w:rPr>
                <w:rFonts w:hint="default" w:eastAsia="宋体" w:cs="Times New Roman"/>
                <w:kern w:val="0"/>
                <w:lang w:val="en-US" w:eastAsia="zh-CN"/>
              </w:rPr>
            </w:pPr>
            <w:r>
              <w:rPr>
                <w:rFonts w:hint="eastAsia" w:cs="Times New Roman"/>
                <w:kern w:val="0"/>
                <w:lang w:val="en-US" w:eastAsia="zh-CN"/>
              </w:rPr>
              <w:t>集兵镇中心小学</w:t>
            </w:r>
          </w:p>
        </w:tc>
        <w:tc>
          <w:tcPr>
            <w:tcW w:w="702" w:type="pct"/>
            <w:vAlign w:val="center"/>
          </w:tcPr>
          <w:p w14:paraId="0E11798F">
            <w:pPr>
              <w:pStyle w:val="26"/>
              <w:bidi w:val="0"/>
              <w:jc w:val="center"/>
            </w:pPr>
            <w:r>
              <w:rPr>
                <w:rFonts w:hint="eastAsia"/>
                <w:lang w:val="en-US" w:eastAsia="zh-CN"/>
              </w:rPr>
              <w:t>学校</w:t>
            </w:r>
          </w:p>
        </w:tc>
        <w:tc>
          <w:tcPr>
            <w:tcW w:w="893" w:type="pct"/>
            <w:vAlign w:val="center"/>
          </w:tcPr>
          <w:p w14:paraId="4F711886">
            <w:pPr>
              <w:pStyle w:val="48"/>
              <w:jc w:val="center"/>
              <w:rPr>
                <w:rFonts w:hint="default" w:eastAsia="宋体" w:cs="Times New Roman"/>
                <w:kern w:val="0"/>
                <w:lang w:val="en-US" w:eastAsia="zh-CN"/>
              </w:rPr>
            </w:pPr>
            <w:r>
              <w:rPr>
                <w:rFonts w:hint="eastAsia" w:cs="Times New Roman"/>
                <w:kern w:val="0"/>
                <w:lang w:val="en-US" w:eastAsia="zh-CN"/>
              </w:rPr>
              <w:t>约800人</w:t>
            </w:r>
          </w:p>
        </w:tc>
        <w:tc>
          <w:tcPr>
            <w:tcW w:w="775" w:type="pct"/>
            <w:vAlign w:val="center"/>
          </w:tcPr>
          <w:p w14:paraId="40C6A1A6">
            <w:pPr>
              <w:pStyle w:val="48"/>
              <w:jc w:val="center"/>
              <w:rPr>
                <w:rFonts w:hint="eastAsia" w:eastAsia="宋体" w:cs="Times New Roman"/>
                <w:kern w:val="0"/>
                <w:lang w:val="en-US" w:eastAsia="zh-CN"/>
              </w:rPr>
            </w:pPr>
            <w:r>
              <w:rPr>
                <w:rFonts w:hint="eastAsia" w:cs="Times New Roman"/>
                <w:kern w:val="0"/>
                <w:lang w:val="en-US" w:eastAsia="zh-CN"/>
              </w:rPr>
              <w:t>WN</w:t>
            </w:r>
          </w:p>
        </w:tc>
        <w:tc>
          <w:tcPr>
            <w:tcW w:w="848" w:type="pct"/>
            <w:vAlign w:val="center"/>
          </w:tcPr>
          <w:p w14:paraId="1F343666">
            <w:pPr>
              <w:pStyle w:val="48"/>
              <w:jc w:val="center"/>
              <w:rPr>
                <w:rFonts w:hint="default" w:eastAsia="宋体" w:cs="Times New Roman"/>
                <w:kern w:val="0"/>
                <w:lang w:val="en-US" w:eastAsia="zh-CN"/>
              </w:rPr>
            </w:pPr>
            <w:r>
              <w:rPr>
                <w:rFonts w:hint="eastAsia" w:cs="Times New Roman"/>
                <w:kern w:val="0"/>
                <w:lang w:val="en-US" w:eastAsia="zh-CN"/>
              </w:rPr>
              <w:t>4400</w:t>
            </w:r>
          </w:p>
        </w:tc>
      </w:tr>
      <w:tr w14:paraId="6E9DE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0E26AC28">
            <w:pPr>
              <w:pStyle w:val="48"/>
              <w:jc w:val="center"/>
              <w:rPr>
                <w:rFonts w:cs="Times New Roman"/>
                <w:kern w:val="0"/>
              </w:rPr>
            </w:pPr>
            <w:r>
              <w:rPr>
                <w:rFonts w:hint="eastAsia" w:cs="Times New Roman"/>
                <w:kern w:val="0"/>
              </w:rPr>
              <w:t>1</w:t>
            </w:r>
            <w:r>
              <w:rPr>
                <w:rFonts w:cs="Times New Roman"/>
                <w:kern w:val="0"/>
              </w:rPr>
              <w:t>4</w:t>
            </w:r>
          </w:p>
        </w:tc>
        <w:tc>
          <w:tcPr>
            <w:tcW w:w="1071" w:type="pct"/>
            <w:vAlign w:val="center"/>
          </w:tcPr>
          <w:p w14:paraId="7CA72B62">
            <w:pPr>
              <w:pStyle w:val="48"/>
              <w:jc w:val="center"/>
              <w:rPr>
                <w:rFonts w:hint="default" w:eastAsia="宋体" w:cs="Times New Roman"/>
                <w:kern w:val="0"/>
                <w:lang w:val="en-US" w:eastAsia="zh-CN"/>
              </w:rPr>
            </w:pPr>
            <w:r>
              <w:rPr>
                <w:rFonts w:hint="eastAsia" w:cs="Times New Roman"/>
                <w:kern w:val="0"/>
                <w:lang w:val="en-US" w:eastAsia="zh-CN"/>
              </w:rPr>
              <w:t>集兵镇中学</w:t>
            </w:r>
          </w:p>
        </w:tc>
        <w:tc>
          <w:tcPr>
            <w:tcW w:w="702" w:type="pct"/>
            <w:vAlign w:val="center"/>
          </w:tcPr>
          <w:p w14:paraId="343838ED">
            <w:pPr>
              <w:pStyle w:val="26"/>
              <w:bidi w:val="0"/>
              <w:jc w:val="center"/>
            </w:pPr>
            <w:r>
              <w:rPr>
                <w:rFonts w:hint="eastAsia"/>
                <w:lang w:val="en-US" w:eastAsia="zh-CN"/>
              </w:rPr>
              <w:t>学校</w:t>
            </w:r>
          </w:p>
        </w:tc>
        <w:tc>
          <w:tcPr>
            <w:tcW w:w="893" w:type="pct"/>
            <w:vAlign w:val="center"/>
          </w:tcPr>
          <w:p w14:paraId="6BECAC58">
            <w:pPr>
              <w:pStyle w:val="48"/>
              <w:jc w:val="center"/>
              <w:rPr>
                <w:rFonts w:hint="default" w:eastAsia="宋体" w:cs="Times New Roman"/>
                <w:kern w:val="0"/>
                <w:lang w:val="en-US" w:eastAsia="zh-CN"/>
              </w:rPr>
            </w:pPr>
            <w:r>
              <w:rPr>
                <w:rFonts w:hint="eastAsia" w:cs="Times New Roman"/>
                <w:kern w:val="0"/>
                <w:lang w:val="en-US" w:eastAsia="zh-CN"/>
              </w:rPr>
              <w:t>约1600人</w:t>
            </w:r>
          </w:p>
        </w:tc>
        <w:tc>
          <w:tcPr>
            <w:tcW w:w="775" w:type="pct"/>
            <w:vAlign w:val="center"/>
          </w:tcPr>
          <w:p w14:paraId="719C9A69">
            <w:pPr>
              <w:pStyle w:val="48"/>
              <w:jc w:val="center"/>
              <w:rPr>
                <w:rFonts w:hint="eastAsia" w:eastAsia="宋体" w:cs="Times New Roman"/>
                <w:kern w:val="0"/>
                <w:lang w:val="en-US" w:eastAsia="zh-CN"/>
              </w:rPr>
            </w:pPr>
            <w:r>
              <w:rPr>
                <w:rFonts w:hint="eastAsia" w:cs="Times New Roman"/>
                <w:kern w:val="0"/>
                <w:lang w:val="en-US" w:eastAsia="zh-CN"/>
              </w:rPr>
              <w:t>WN</w:t>
            </w:r>
          </w:p>
        </w:tc>
        <w:tc>
          <w:tcPr>
            <w:tcW w:w="848" w:type="pct"/>
            <w:vAlign w:val="center"/>
          </w:tcPr>
          <w:p w14:paraId="1FDCA475">
            <w:pPr>
              <w:pStyle w:val="48"/>
              <w:jc w:val="center"/>
              <w:rPr>
                <w:rFonts w:hint="default" w:eastAsia="宋体" w:cs="Times New Roman"/>
                <w:kern w:val="0"/>
                <w:lang w:val="en-US" w:eastAsia="zh-CN"/>
              </w:rPr>
            </w:pPr>
            <w:r>
              <w:rPr>
                <w:rFonts w:hint="eastAsia" w:cs="Times New Roman"/>
                <w:kern w:val="0"/>
                <w:lang w:val="en-US" w:eastAsia="zh-CN"/>
              </w:rPr>
              <w:t>4800</w:t>
            </w:r>
          </w:p>
        </w:tc>
      </w:tr>
      <w:tr w14:paraId="5BFC1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26AB3DCD">
            <w:pPr>
              <w:pStyle w:val="48"/>
              <w:jc w:val="center"/>
              <w:rPr>
                <w:rFonts w:cs="Times New Roman"/>
                <w:kern w:val="0"/>
              </w:rPr>
            </w:pPr>
            <w:r>
              <w:rPr>
                <w:rFonts w:hint="eastAsia" w:cs="Times New Roman"/>
                <w:kern w:val="0"/>
              </w:rPr>
              <w:t>1</w:t>
            </w:r>
            <w:r>
              <w:rPr>
                <w:rFonts w:cs="Times New Roman"/>
                <w:kern w:val="0"/>
              </w:rPr>
              <w:t>5</w:t>
            </w:r>
          </w:p>
        </w:tc>
        <w:tc>
          <w:tcPr>
            <w:tcW w:w="1071" w:type="pct"/>
            <w:vAlign w:val="center"/>
          </w:tcPr>
          <w:p w14:paraId="126EA596">
            <w:pPr>
              <w:pStyle w:val="48"/>
              <w:jc w:val="center"/>
              <w:rPr>
                <w:rFonts w:hint="default" w:eastAsia="宋体" w:cs="Times New Roman"/>
                <w:kern w:val="0"/>
                <w:lang w:val="en-US" w:eastAsia="zh-CN"/>
              </w:rPr>
            </w:pPr>
            <w:r>
              <w:rPr>
                <w:rFonts w:hint="eastAsia" w:cs="Times New Roman"/>
                <w:kern w:val="0"/>
                <w:lang w:val="en-US" w:eastAsia="zh-CN"/>
              </w:rPr>
              <w:t>灵官庙小学</w:t>
            </w:r>
          </w:p>
        </w:tc>
        <w:tc>
          <w:tcPr>
            <w:tcW w:w="702" w:type="pct"/>
            <w:vAlign w:val="center"/>
          </w:tcPr>
          <w:p w14:paraId="39D3233D">
            <w:pPr>
              <w:pStyle w:val="26"/>
              <w:bidi w:val="0"/>
              <w:jc w:val="center"/>
            </w:pPr>
            <w:r>
              <w:rPr>
                <w:rFonts w:hint="eastAsia"/>
                <w:lang w:val="en-US" w:eastAsia="zh-CN"/>
              </w:rPr>
              <w:t>学校</w:t>
            </w:r>
          </w:p>
        </w:tc>
        <w:tc>
          <w:tcPr>
            <w:tcW w:w="893" w:type="pct"/>
            <w:vAlign w:val="center"/>
          </w:tcPr>
          <w:p w14:paraId="73FBBA64">
            <w:pPr>
              <w:pStyle w:val="48"/>
              <w:jc w:val="center"/>
              <w:rPr>
                <w:rFonts w:hint="default" w:eastAsia="宋体" w:cs="Times New Roman"/>
                <w:kern w:val="0"/>
                <w:lang w:val="en-US" w:eastAsia="zh-CN"/>
              </w:rPr>
            </w:pPr>
            <w:r>
              <w:rPr>
                <w:rFonts w:hint="eastAsia" w:cs="Times New Roman"/>
                <w:kern w:val="0"/>
                <w:lang w:val="en-US" w:eastAsia="zh-CN"/>
              </w:rPr>
              <w:t>约600人</w:t>
            </w:r>
          </w:p>
        </w:tc>
        <w:tc>
          <w:tcPr>
            <w:tcW w:w="775" w:type="pct"/>
            <w:vAlign w:val="center"/>
          </w:tcPr>
          <w:p w14:paraId="1B2A895D">
            <w:pPr>
              <w:pStyle w:val="48"/>
              <w:jc w:val="center"/>
              <w:rPr>
                <w:rFonts w:hint="eastAsia" w:eastAsia="宋体" w:cs="Times New Roman"/>
                <w:kern w:val="0"/>
                <w:lang w:val="en-US" w:eastAsia="zh-CN"/>
              </w:rPr>
            </w:pPr>
            <w:r>
              <w:rPr>
                <w:rFonts w:hint="eastAsia" w:cs="Times New Roman"/>
                <w:kern w:val="0"/>
                <w:lang w:val="en-US" w:eastAsia="zh-CN"/>
              </w:rPr>
              <w:t>WS</w:t>
            </w:r>
          </w:p>
        </w:tc>
        <w:tc>
          <w:tcPr>
            <w:tcW w:w="848" w:type="pct"/>
            <w:vAlign w:val="center"/>
          </w:tcPr>
          <w:p w14:paraId="49E47227">
            <w:pPr>
              <w:pStyle w:val="48"/>
              <w:jc w:val="center"/>
              <w:rPr>
                <w:rFonts w:hint="default" w:eastAsia="宋体" w:cs="Times New Roman"/>
                <w:kern w:val="0"/>
                <w:lang w:val="en-US" w:eastAsia="zh-CN"/>
              </w:rPr>
            </w:pPr>
            <w:r>
              <w:rPr>
                <w:rFonts w:hint="eastAsia" w:cs="Times New Roman"/>
                <w:kern w:val="0"/>
                <w:lang w:val="en-US" w:eastAsia="zh-CN"/>
              </w:rPr>
              <w:t>2100</w:t>
            </w:r>
          </w:p>
        </w:tc>
      </w:tr>
      <w:tr w14:paraId="716D0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6E6748DE">
            <w:pPr>
              <w:pStyle w:val="48"/>
              <w:jc w:val="center"/>
              <w:rPr>
                <w:rFonts w:cs="Times New Roman"/>
                <w:kern w:val="0"/>
              </w:rPr>
            </w:pPr>
            <w:r>
              <w:rPr>
                <w:rFonts w:hint="eastAsia" w:cs="Times New Roman"/>
                <w:kern w:val="0"/>
              </w:rPr>
              <w:t>1</w:t>
            </w:r>
            <w:r>
              <w:rPr>
                <w:rFonts w:cs="Times New Roman"/>
                <w:kern w:val="0"/>
              </w:rPr>
              <w:t>6</w:t>
            </w:r>
          </w:p>
        </w:tc>
        <w:tc>
          <w:tcPr>
            <w:tcW w:w="1071" w:type="pct"/>
            <w:vAlign w:val="center"/>
          </w:tcPr>
          <w:p w14:paraId="0B636DD4">
            <w:pPr>
              <w:pStyle w:val="48"/>
              <w:jc w:val="center"/>
              <w:rPr>
                <w:rFonts w:hint="default" w:eastAsia="宋体" w:cs="Times New Roman"/>
                <w:kern w:val="0"/>
                <w:lang w:val="en-US" w:eastAsia="zh-CN"/>
              </w:rPr>
            </w:pPr>
            <w:r>
              <w:rPr>
                <w:rFonts w:hint="eastAsia" w:cs="Times New Roman"/>
                <w:kern w:val="0"/>
                <w:lang w:val="en-US" w:eastAsia="zh-CN"/>
              </w:rPr>
              <w:t>石鼓区新安中学</w:t>
            </w:r>
          </w:p>
        </w:tc>
        <w:tc>
          <w:tcPr>
            <w:tcW w:w="702" w:type="pct"/>
            <w:vAlign w:val="center"/>
          </w:tcPr>
          <w:p w14:paraId="00791731">
            <w:pPr>
              <w:pStyle w:val="26"/>
              <w:bidi w:val="0"/>
              <w:jc w:val="center"/>
            </w:pPr>
            <w:r>
              <w:rPr>
                <w:rFonts w:hint="eastAsia"/>
                <w:lang w:val="en-US" w:eastAsia="zh-CN"/>
              </w:rPr>
              <w:t>学校</w:t>
            </w:r>
          </w:p>
        </w:tc>
        <w:tc>
          <w:tcPr>
            <w:tcW w:w="893" w:type="pct"/>
            <w:vAlign w:val="center"/>
          </w:tcPr>
          <w:p w14:paraId="407B569E">
            <w:pPr>
              <w:pStyle w:val="48"/>
              <w:jc w:val="center"/>
              <w:rPr>
                <w:rFonts w:hint="default" w:eastAsia="宋体" w:cs="Times New Roman"/>
                <w:kern w:val="0"/>
                <w:lang w:val="en-US" w:eastAsia="zh-CN"/>
              </w:rPr>
            </w:pPr>
            <w:r>
              <w:rPr>
                <w:rFonts w:hint="eastAsia" w:cs="Times New Roman"/>
                <w:kern w:val="0"/>
                <w:lang w:val="en-US" w:eastAsia="zh-CN"/>
              </w:rPr>
              <w:t>约2000人</w:t>
            </w:r>
          </w:p>
        </w:tc>
        <w:tc>
          <w:tcPr>
            <w:tcW w:w="775" w:type="pct"/>
            <w:vAlign w:val="center"/>
          </w:tcPr>
          <w:p w14:paraId="56B6BE7E">
            <w:pPr>
              <w:pStyle w:val="48"/>
              <w:jc w:val="center"/>
              <w:rPr>
                <w:rFonts w:hint="eastAsia" w:eastAsia="宋体" w:cs="Times New Roman"/>
                <w:kern w:val="0"/>
                <w:lang w:val="en-US" w:eastAsia="zh-CN"/>
              </w:rPr>
            </w:pPr>
            <w:r>
              <w:rPr>
                <w:rFonts w:hint="eastAsia" w:cs="Times New Roman"/>
                <w:kern w:val="0"/>
                <w:lang w:val="en-US" w:eastAsia="zh-CN"/>
              </w:rPr>
              <w:t>ES</w:t>
            </w:r>
          </w:p>
        </w:tc>
        <w:tc>
          <w:tcPr>
            <w:tcW w:w="848" w:type="pct"/>
            <w:vAlign w:val="center"/>
          </w:tcPr>
          <w:p w14:paraId="3BB6DDF0">
            <w:pPr>
              <w:pStyle w:val="48"/>
              <w:jc w:val="center"/>
              <w:rPr>
                <w:rFonts w:hint="default" w:eastAsia="宋体" w:cs="Times New Roman"/>
                <w:kern w:val="0"/>
                <w:lang w:val="en-US" w:eastAsia="zh-CN"/>
              </w:rPr>
            </w:pPr>
            <w:r>
              <w:rPr>
                <w:rFonts w:hint="eastAsia" w:cs="Times New Roman"/>
                <w:kern w:val="0"/>
                <w:lang w:val="en-US" w:eastAsia="zh-CN"/>
              </w:rPr>
              <w:t>3600</w:t>
            </w:r>
          </w:p>
        </w:tc>
      </w:tr>
      <w:tr w14:paraId="119F9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3FEE3EA8">
            <w:pPr>
              <w:pStyle w:val="48"/>
              <w:jc w:val="center"/>
              <w:rPr>
                <w:rFonts w:cs="Times New Roman"/>
                <w:kern w:val="0"/>
              </w:rPr>
            </w:pPr>
            <w:r>
              <w:rPr>
                <w:rFonts w:hint="eastAsia" w:cs="Times New Roman"/>
                <w:kern w:val="0"/>
              </w:rPr>
              <w:t>1</w:t>
            </w:r>
            <w:r>
              <w:rPr>
                <w:rFonts w:cs="Times New Roman"/>
                <w:kern w:val="0"/>
              </w:rPr>
              <w:t>7</w:t>
            </w:r>
          </w:p>
        </w:tc>
        <w:tc>
          <w:tcPr>
            <w:tcW w:w="1071" w:type="pct"/>
            <w:vAlign w:val="center"/>
          </w:tcPr>
          <w:p w14:paraId="31E696E9">
            <w:pPr>
              <w:pStyle w:val="48"/>
              <w:jc w:val="center"/>
              <w:rPr>
                <w:rFonts w:hint="default" w:eastAsia="宋体" w:cs="Times New Roman"/>
                <w:kern w:val="0"/>
                <w:lang w:val="en-US" w:eastAsia="zh-CN"/>
              </w:rPr>
            </w:pPr>
            <w:r>
              <w:rPr>
                <w:rFonts w:hint="eastAsia" w:cs="Times New Roman"/>
                <w:kern w:val="0"/>
                <w:lang w:val="en-US" w:eastAsia="zh-CN"/>
              </w:rPr>
              <w:t>新安完小</w:t>
            </w:r>
          </w:p>
        </w:tc>
        <w:tc>
          <w:tcPr>
            <w:tcW w:w="702" w:type="pct"/>
            <w:vAlign w:val="center"/>
          </w:tcPr>
          <w:p w14:paraId="7638475A">
            <w:pPr>
              <w:pStyle w:val="26"/>
              <w:bidi w:val="0"/>
              <w:jc w:val="center"/>
            </w:pPr>
            <w:r>
              <w:rPr>
                <w:rFonts w:hint="eastAsia"/>
                <w:lang w:val="en-US" w:eastAsia="zh-CN"/>
              </w:rPr>
              <w:t>学校</w:t>
            </w:r>
          </w:p>
        </w:tc>
        <w:tc>
          <w:tcPr>
            <w:tcW w:w="893" w:type="pct"/>
            <w:vAlign w:val="center"/>
          </w:tcPr>
          <w:p w14:paraId="6816384F">
            <w:pPr>
              <w:pStyle w:val="48"/>
              <w:jc w:val="center"/>
              <w:rPr>
                <w:rFonts w:hint="default" w:eastAsia="宋体" w:cs="Times New Roman"/>
                <w:kern w:val="0"/>
                <w:lang w:val="en-US" w:eastAsia="zh-CN"/>
              </w:rPr>
            </w:pPr>
            <w:r>
              <w:rPr>
                <w:rFonts w:hint="eastAsia" w:cs="Times New Roman"/>
                <w:kern w:val="0"/>
                <w:lang w:val="en-US" w:eastAsia="zh-CN"/>
              </w:rPr>
              <w:t>约1000人</w:t>
            </w:r>
          </w:p>
        </w:tc>
        <w:tc>
          <w:tcPr>
            <w:tcW w:w="775" w:type="pct"/>
            <w:vAlign w:val="center"/>
          </w:tcPr>
          <w:p w14:paraId="377B2F34">
            <w:pPr>
              <w:pStyle w:val="48"/>
              <w:jc w:val="center"/>
              <w:rPr>
                <w:rFonts w:hint="eastAsia" w:eastAsia="宋体" w:cs="Times New Roman"/>
                <w:kern w:val="0"/>
                <w:lang w:val="en-US" w:eastAsia="zh-CN"/>
              </w:rPr>
            </w:pPr>
            <w:r>
              <w:rPr>
                <w:rFonts w:hint="eastAsia" w:cs="Times New Roman"/>
                <w:kern w:val="0"/>
                <w:lang w:val="en-US" w:eastAsia="zh-CN"/>
              </w:rPr>
              <w:t>ES</w:t>
            </w:r>
          </w:p>
        </w:tc>
        <w:tc>
          <w:tcPr>
            <w:tcW w:w="848" w:type="pct"/>
            <w:vAlign w:val="center"/>
          </w:tcPr>
          <w:p w14:paraId="0BCEA513">
            <w:pPr>
              <w:pStyle w:val="48"/>
              <w:jc w:val="center"/>
              <w:rPr>
                <w:rFonts w:hint="default" w:eastAsia="宋体" w:cs="Times New Roman"/>
                <w:kern w:val="0"/>
                <w:lang w:val="en-US" w:eastAsia="zh-CN"/>
              </w:rPr>
            </w:pPr>
            <w:r>
              <w:rPr>
                <w:rFonts w:hint="eastAsia" w:cs="Times New Roman"/>
                <w:kern w:val="0"/>
                <w:lang w:val="en-US" w:eastAsia="zh-CN"/>
              </w:rPr>
              <w:t>3500</w:t>
            </w:r>
          </w:p>
        </w:tc>
      </w:tr>
      <w:tr w14:paraId="68A5F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34A42863">
            <w:pPr>
              <w:pStyle w:val="48"/>
              <w:jc w:val="center"/>
              <w:rPr>
                <w:rFonts w:cs="Times New Roman"/>
                <w:kern w:val="0"/>
              </w:rPr>
            </w:pPr>
            <w:r>
              <w:rPr>
                <w:rFonts w:hint="eastAsia" w:cs="Times New Roman"/>
                <w:kern w:val="0"/>
              </w:rPr>
              <w:t>1</w:t>
            </w:r>
            <w:r>
              <w:rPr>
                <w:rFonts w:cs="Times New Roman"/>
                <w:kern w:val="0"/>
              </w:rPr>
              <w:t>8</w:t>
            </w:r>
          </w:p>
        </w:tc>
        <w:tc>
          <w:tcPr>
            <w:tcW w:w="1071" w:type="pct"/>
            <w:shd w:val="clear" w:color="auto" w:fill="auto"/>
            <w:vAlign w:val="center"/>
          </w:tcPr>
          <w:p w14:paraId="18AE31E3">
            <w:pPr>
              <w:pStyle w:val="48"/>
              <w:jc w:val="center"/>
              <w:rPr>
                <w:rFonts w:hint="default" w:ascii="Times New Roman" w:hAnsi="Times New Roman" w:eastAsia="宋体" w:cs="Times New Roman"/>
                <w:kern w:val="0"/>
                <w:sz w:val="21"/>
                <w:szCs w:val="32"/>
                <w:lang w:val="en-US" w:eastAsia="zh-CN" w:bidi="ar-SA"/>
              </w:rPr>
            </w:pPr>
            <w:r>
              <w:rPr>
                <w:rFonts w:hint="eastAsia" w:cs="Times New Roman"/>
                <w:kern w:val="0"/>
                <w:lang w:val="en-US" w:eastAsia="zh-CN"/>
              </w:rPr>
              <w:t>湖南环境生物职业技术学院</w:t>
            </w:r>
          </w:p>
        </w:tc>
        <w:tc>
          <w:tcPr>
            <w:tcW w:w="702" w:type="pct"/>
            <w:vAlign w:val="center"/>
          </w:tcPr>
          <w:p w14:paraId="6DBC95B9">
            <w:pPr>
              <w:pStyle w:val="26"/>
              <w:bidi w:val="0"/>
              <w:jc w:val="center"/>
            </w:pPr>
            <w:r>
              <w:rPr>
                <w:rFonts w:hint="eastAsia"/>
                <w:lang w:val="en-US" w:eastAsia="zh-CN"/>
              </w:rPr>
              <w:t>学校</w:t>
            </w:r>
          </w:p>
        </w:tc>
        <w:tc>
          <w:tcPr>
            <w:tcW w:w="893" w:type="pct"/>
            <w:vAlign w:val="center"/>
          </w:tcPr>
          <w:p w14:paraId="76C8C640">
            <w:pPr>
              <w:pStyle w:val="48"/>
              <w:jc w:val="center"/>
              <w:rPr>
                <w:rFonts w:hint="default" w:eastAsia="宋体" w:cs="Times New Roman"/>
                <w:kern w:val="0"/>
                <w:lang w:val="en-US" w:eastAsia="zh-CN"/>
              </w:rPr>
            </w:pPr>
            <w:r>
              <w:rPr>
                <w:rFonts w:hint="eastAsia" w:cs="Times New Roman"/>
                <w:kern w:val="0"/>
                <w:lang w:val="en-US" w:eastAsia="zh-CN"/>
              </w:rPr>
              <w:t>约8000人</w:t>
            </w:r>
          </w:p>
        </w:tc>
        <w:tc>
          <w:tcPr>
            <w:tcW w:w="775" w:type="pct"/>
            <w:vAlign w:val="center"/>
          </w:tcPr>
          <w:p w14:paraId="0F6A82C2">
            <w:pPr>
              <w:pStyle w:val="48"/>
              <w:jc w:val="center"/>
              <w:rPr>
                <w:rFonts w:hint="eastAsia" w:eastAsia="宋体" w:cs="Times New Roman"/>
                <w:kern w:val="0"/>
                <w:lang w:val="en-US" w:eastAsia="zh-CN"/>
              </w:rPr>
            </w:pPr>
            <w:r>
              <w:rPr>
                <w:rFonts w:hint="eastAsia" w:cs="Times New Roman"/>
                <w:kern w:val="0"/>
                <w:lang w:val="en-US" w:eastAsia="zh-CN"/>
              </w:rPr>
              <w:t>WS</w:t>
            </w:r>
          </w:p>
        </w:tc>
        <w:tc>
          <w:tcPr>
            <w:tcW w:w="848" w:type="pct"/>
            <w:vAlign w:val="center"/>
          </w:tcPr>
          <w:p w14:paraId="0427098C">
            <w:pPr>
              <w:pStyle w:val="48"/>
              <w:jc w:val="center"/>
              <w:rPr>
                <w:rFonts w:hint="default" w:eastAsia="宋体" w:cs="Times New Roman"/>
                <w:kern w:val="0"/>
                <w:lang w:val="en-US" w:eastAsia="zh-CN"/>
              </w:rPr>
            </w:pPr>
            <w:r>
              <w:rPr>
                <w:rFonts w:hint="eastAsia" w:cs="Times New Roman"/>
                <w:kern w:val="0"/>
                <w:lang w:val="en-US" w:eastAsia="zh-CN"/>
              </w:rPr>
              <w:t>1900</w:t>
            </w:r>
          </w:p>
        </w:tc>
      </w:tr>
      <w:tr w14:paraId="50D65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1A1DD71F">
            <w:pPr>
              <w:pStyle w:val="48"/>
              <w:jc w:val="center"/>
              <w:rPr>
                <w:rFonts w:cs="Times New Roman"/>
                <w:kern w:val="0"/>
              </w:rPr>
            </w:pPr>
            <w:r>
              <w:rPr>
                <w:rFonts w:hint="eastAsia" w:cs="Times New Roman"/>
                <w:kern w:val="0"/>
              </w:rPr>
              <w:t>1</w:t>
            </w:r>
            <w:r>
              <w:rPr>
                <w:rFonts w:cs="Times New Roman"/>
                <w:kern w:val="0"/>
              </w:rPr>
              <w:t>9</w:t>
            </w:r>
          </w:p>
        </w:tc>
        <w:tc>
          <w:tcPr>
            <w:tcW w:w="1071" w:type="pct"/>
            <w:shd w:val="clear" w:color="auto" w:fill="auto"/>
            <w:vAlign w:val="center"/>
          </w:tcPr>
          <w:p w14:paraId="05D289FF">
            <w:pPr>
              <w:pStyle w:val="48"/>
              <w:jc w:val="center"/>
              <w:rPr>
                <w:rFonts w:hint="default" w:ascii="Times New Roman" w:hAnsi="Times New Roman" w:eastAsia="宋体" w:cs="Times New Roman"/>
                <w:kern w:val="0"/>
                <w:sz w:val="21"/>
                <w:szCs w:val="32"/>
                <w:lang w:val="en-US" w:eastAsia="zh-CN" w:bidi="ar-SA"/>
              </w:rPr>
            </w:pPr>
            <w:r>
              <w:rPr>
                <w:rFonts w:hint="eastAsia" w:cs="Times New Roman"/>
                <w:kern w:val="0"/>
                <w:lang w:val="en-US" w:eastAsia="zh-CN"/>
              </w:rPr>
              <w:t>金源小学</w:t>
            </w:r>
          </w:p>
        </w:tc>
        <w:tc>
          <w:tcPr>
            <w:tcW w:w="702" w:type="pct"/>
            <w:vAlign w:val="center"/>
          </w:tcPr>
          <w:p w14:paraId="7904A4EB">
            <w:pPr>
              <w:pStyle w:val="26"/>
              <w:bidi w:val="0"/>
              <w:jc w:val="center"/>
            </w:pPr>
            <w:r>
              <w:rPr>
                <w:rFonts w:hint="eastAsia"/>
                <w:lang w:val="en-US" w:eastAsia="zh-CN"/>
              </w:rPr>
              <w:t>学校</w:t>
            </w:r>
          </w:p>
        </w:tc>
        <w:tc>
          <w:tcPr>
            <w:tcW w:w="893" w:type="pct"/>
            <w:vAlign w:val="center"/>
          </w:tcPr>
          <w:p w14:paraId="4237CECC">
            <w:pPr>
              <w:pStyle w:val="48"/>
              <w:jc w:val="center"/>
              <w:rPr>
                <w:rFonts w:hint="default" w:eastAsia="宋体" w:cs="Times New Roman"/>
                <w:kern w:val="0"/>
                <w:lang w:val="en-US" w:eastAsia="zh-CN"/>
              </w:rPr>
            </w:pPr>
            <w:r>
              <w:rPr>
                <w:rFonts w:hint="eastAsia" w:cs="Times New Roman"/>
                <w:kern w:val="0"/>
                <w:lang w:val="en-US" w:eastAsia="zh-CN"/>
              </w:rPr>
              <w:t>约600人</w:t>
            </w:r>
          </w:p>
        </w:tc>
        <w:tc>
          <w:tcPr>
            <w:tcW w:w="775" w:type="pct"/>
            <w:vAlign w:val="center"/>
          </w:tcPr>
          <w:p w14:paraId="720532A9">
            <w:pPr>
              <w:pStyle w:val="48"/>
              <w:jc w:val="center"/>
              <w:rPr>
                <w:rFonts w:hint="eastAsia" w:eastAsia="宋体" w:cs="Times New Roman"/>
                <w:kern w:val="0"/>
                <w:lang w:val="en-US" w:eastAsia="zh-CN"/>
              </w:rPr>
            </w:pPr>
            <w:r>
              <w:rPr>
                <w:rFonts w:hint="eastAsia" w:cs="Times New Roman"/>
                <w:kern w:val="0"/>
                <w:lang w:val="en-US" w:eastAsia="zh-CN"/>
              </w:rPr>
              <w:t>WS</w:t>
            </w:r>
          </w:p>
        </w:tc>
        <w:tc>
          <w:tcPr>
            <w:tcW w:w="848" w:type="pct"/>
            <w:vAlign w:val="center"/>
          </w:tcPr>
          <w:p w14:paraId="4C757355">
            <w:pPr>
              <w:pStyle w:val="48"/>
              <w:jc w:val="center"/>
              <w:rPr>
                <w:rFonts w:hint="default" w:eastAsia="宋体" w:cs="Times New Roman"/>
                <w:kern w:val="0"/>
                <w:lang w:val="en-US" w:eastAsia="zh-CN"/>
              </w:rPr>
            </w:pPr>
            <w:r>
              <w:rPr>
                <w:rFonts w:hint="eastAsia" w:cs="Times New Roman"/>
                <w:kern w:val="0"/>
                <w:lang w:val="en-US" w:eastAsia="zh-CN"/>
              </w:rPr>
              <w:t>4500</w:t>
            </w:r>
          </w:p>
        </w:tc>
      </w:tr>
      <w:tr w14:paraId="55CDC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14C3654D">
            <w:pPr>
              <w:pStyle w:val="48"/>
              <w:jc w:val="center"/>
              <w:rPr>
                <w:rFonts w:cs="Times New Roman"/>
                <w:kern w:val="0"/>
              </w:rPr>
            </w:pPr>
            <w:r>
              <w:rPr>
                <w:rFonts w:hint="eastAsia" w:cs="Times New Roman"/>
                <w:kern w:val="0"/>
              </w:rPr>
              <w:t>2</w:t>
            </w:r>
            <w:r>
              <w:rPr>
                <w:rFonts w:cs="Times New Roman"/>
                <w:kern w:val="0"/>
              </w:rPr>
              <w:t>0</w:t>
            </w:r>
          </w:p>
        </w:tc>
        <w:tc>
          <w:tcPr>
            <w:tcW w:w="1071" w:type="pct"/>
            <w:shd w:val="clear" w:color="auto" w:fill="auto"/>
            <w:vAlign w:val="center"/>
          </w:tcPr>
          <w:p w14:paraId="2711FD23">
            <w:pPr>
              <w:pStyle w:val="48"/>
              <w:jc w:val="center"/>
              <w:rPr>
                <w:rFonts w:hint="default" w:ascii="Arial" w:hAnsi="Arial" w:eastAsia="宋体" w:cs="Arial"/>
                <w:kern w:val="2"/>
                <w:sz w:val="20"/>
                <w:szCs w:val="20"/>
                <w:lang w:val="en-US" w:eastAsia="zh-CN" w:bidi="ar-SA"/>
              </w:rPr>
            </w:pPr>
            <w:r>
              <w:rPr>
                <w:rFonts w:hint="eastAsia" w:ascii="Arial" w:hAnsi="Arial" w:cs="Arial"/>
                <w:sz w:val="20"/>
                <w:szCs w:val="20"/>
                <w:lang w:val="en-US" w:eastAsia="zh-CN"/>
              </w:rPr>
              <w:t>樟木乡完全小学</w:t>
            </w:r>
          </w:p>
        </w:tc>
        <w:tc>
          <w:tcPr>
            <w:tcW w:w="702" w:type="pct"/>
            <w:vAlign w:val="center"/>
          </w:tcPr>
          <w:p w14:paraId="7828EA19">
            <w:pPr>
              <w:pStyle w:val="26"/>
              <w:bidi w:val="0"/>
              <w:jc w:val="center"/>
            </w:pPr>
            <w:r>
              <w:rPr>
                <w:rFonts w:hint="eastAsia"/>
                <w:lang w:val="en-US" w:eastAsia="zh-CN"/>
              </w:rPr>
              <w:t>学校</w:t>
            </w:r>
          </w:p>
        </w:tc>
        <w:tc>
          <w:tcPr>
            <w:tcW w:w="893" w:type="pct"/>
            <w:vAlign w:val="center"/>
          </w:tcPr>
          <w:p w14:paraId="54A9BEBC">
            <w:pPr>
              <w:pStyle w:val="48"/>
              <w:jc w:val="center"/>
              <w:rPr>
                <w:rFonts w:hint="default" w:eastAsia="宋体" w:cs="Times New Roman"/>
                <w:kern w:val="0"/>
                <w:lang w:val="en-US" w:eastAsia="zh-CN"/>
              </w:rPr>
            </w:pPr>
            <w:r>
              <w:rPr>
                <w:rFonts w:hint="eastAsia" w:cs="Times New Roman"/>
                <w:kern w:val="0"/>
                <w:lang w:val="en-US" w:eastAsia="zh-CN"/>
              </w:rPr>
              <w:t>约500人</w:t>
            </w:r>
          </w:p>
        </w:tc>
        <w:tc>
          <w:tcPr>
            <w:tcW w:w="775" w:type="pct"/>
            <w:vAlign w:val="center"/>
          </w:tcPr>
          <w:p w14:paraId="0F0723AB">
            <w:pPr>
              <w:pStyle w:val="48"/>
              <w:jc w:val="center"/>
              <w:rPr>
                <w:rFonts w:hint="eastAsia" w:eastAsia="宋体" w:cs="Times New Roman"/>
                <w:kern w:val="0"/>
                <w:lang w:val="en-US" w:eastAsia="zh-CN"/>
              </w:rPr>
            </w:pPr>
            <w:r>
              <w:rPr>
                <w:rFonts w:hint="eastAsia" w:cs="Times New Roman"/>
                <w:kern w:val="0"/>
                <w:lang w:val="en-US" w:eastAsia="zh-CN"/>
              </w:rPr>
              <w:t>EN</w:t>
            </w:r>
          </w:p>
        </w:tc>
        <w:tc>
          <w:tcPr>
            <w:tcW w:w="848" w:type="pct"/>
            <w:vAlign w:val="center"/>
          </w:tcPr>
          <w:p w14:paraId="1FF003C8">
            <w:pPr>
              <w:pStyle w:val="48"/>
              <w:jc w:val="center"/>
              <w:rPr>
                <w:rFonts w:hint="default" w:eastAsia="宋体" w:cs="Times New Roman"/>
                <w:kern w:val="0"/>
                <w:lang w:val="en-US" w:eastAsia="zh-CN"/>
              </w:rPr>
            </w:pPr>
            <w:r>
              <w:rPr>
                <w:rFonts w:hint="eastAsia" w:cs="Times New Roman"/>
                <w:kern w:val="0"/>
                <w:lang w:val="en-US" w:eastAsia="zh-CN"/>
              </w:rPr>
              <w:t>2100</w:t>
            </w:r>
          </w:p>
        </w:tc>
      </w:tr>
      <w:tr w14:paraId="5D9AE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334E6EFF">
            <w:pPr>
              <w:pStyle w:val="48"/>
              <w:jc w:val="center"/>
              <w:rPr>
                <w:rFonts w:cs="Times New Roman"/>
                <w:kern w:val="0"/>
              </w:rPr>
            </w:pPr>
            <w:r>
              <w:rPr>
                <w:rFonts w:hint="eastAsia" w:cs="Times New Roman"/>
                <w:kern w:val="0"/>
              </w:rPr>
              <w:t>2</w:t>
            </w:r>
            <w:r>
              <w:rPr>
                <w:rFonts w:cs="Times New Roman"/>
                <w:kern w:val="0"/>
              </w:rPr>
              <w:t>1</w:t>
            </w:r>
          </w:p>
        </w:tc>
        <w:tc>
          <w:tcPr>
            <w:tcW w:w="1071" w:type="pct"/>
            <w:shd w:val="clear" w:color="auto" w:fill="auto"/>
            <w:vAlign w:val="center"/>
          </w:tcPr>
          <w:p w14:paraId="6304F684">
            <w:pPr>
              <w:pStyle w:val="48"/>
              <w:jc w:val="center"/>
              <w:rPr>
                <w:rFonts w:hint="default" w:ascii="Arial" w:hAnsi="Arial" w:eastAsia="宋体" w:cs="Arial"/>
                <w:kern w:val="2"/>
                <w:sz w:val="20"/>
                <w:szCs w:val="20"/>
                <w:lang w:val="en-US" w:eastAsia="zh-CN" w:bidi="ar-SA"/>
              </w:rPr>
            </w:pPr>
            <w:r>
              <w:rPr>
                <w:rFonts w:hint="eastAsia" w:ascii="Arial" w:hAnsi="Arial" w:cs="Arial"/>
                <w:sz w:val="20"/>
                <w:szCs w:val="20"/>
                <w:lang w:val="en-US" w:eastAsia="zh-CN"/>
              </w:rPr>
              <w:t>松桂小学</w:t>
            </w:r>
          </w:p>
        </w:tc>
        <w:tc>
          <w:tcPr>
            <w:tcW w:w="702" w:type="pct"/>
            <w:vAlign w:val="center"/>
          </w:tcPr>
          <w:p w14:paraId="5072038A">
            <w:pPr>
              <w:pStyle w:val="26"/>
              <w:bidi w:val="0"/>
              <w:jc w:val="center"/>
            </w:pPr>
            <w:r>
              <w:rPr>
                <w:rFonts w:hint="eastAsia"/>
                <w:lang w:val="en-US" w:eastAsia="zh-CN"/>
              </w:rPr>
              <w:t>学校</w:t>
            </w:r>
          </w:p>
        </w:tc>
        <w:tc>
          <w:tcPr>
            <w:tcW w:w="893" w:type="pct"/>
            <w:vAlign w:val="center"/>
          </w:tcPr>
          <w:p w14:paraId="40FE99F4">
            <w:pPr>
              <w:pStyle w:val="48"/>
              <w:jc w:val="center"/>
              <w:rPr>
                <w:rFonts w:hint="default" w:eastAsia="宋体" w:cs="Times New Roman"/>
                <w:kern w:val="0"/>
                <w:lang w:val="en-US" w:eastAsia="zh-CN"/>
              </w:rPr>
            </w:pPr>
            <w:r>
              <w:rPr>
                <w:rFonts w:hint="eastAsia" w:cs="Times New Roman"/>
                <w:kern w:val="0"/>
                <w:lang w:val="en-US" w:eastAsia="zh-CN"/>
              </w:rPr>
              <w:t>约300人</w:t>
            </w:r>
          </w:p>
        </w:tc>
        <w:tc>
          <w:tcPr>
            <w:tcW w:w="775" w:type="pct"/>
            <w:vAlign w:val="center"/>
          </w:tcPr>
          <w:p w14:paraId="0264F0CC">
            <w:pPr>
              <w:pStyle w:val="48"/>
              <w:jc w:val="center"/>
              <w:rPr>
                <w:rFonts w:hint="eastAsia" w:eastAsia="宋体" w:cs="Times New Roman"/>
                <w:kern w:val="0"/>
                <w:lang w:val="en-US" w:eastAsia="zh-CN"/>
              </w:rPr>
            </w:pPr>
            <w:r>
              <w:rPr>
                <w:rFonts w:hint="eastAsia" w:cs="Times New Roman"/>
                <w:kern w:val="0"/>
                <w:lang w:val="en-US" w:eastAsia="zh-CN"/>
              </w:rPr>
              <w:t>WN</w:t>
            </w:r>
          </w:p>
        </w:tc>
        <w:tc>
          <w:tcPr>
            <w:tcW w:w="848" w:type="pct"/>
            <w:vAlign w:val="center"/>
          </w:tcPr>
          <w:p w14:paraId="75767CB3">
            <w:pPr>
              <w:pStyle w:val="48"/>
              <w:jc w:val="center"/>
              <w:rPr>
                <w:rFonts w:hint="default" w:eastAsia="宋体" w:cs="Times New Roman"/>
                <w:kern w:val="0"/>
                <w:lang w:val="en-US" w:eastAsia="zh-CN"/>
              </w:rPr>
            </w:pPr>
            <w:r>
              <w:rPr>
                <w:rFonts w:hint="eastAsia" w:cs="Times New Roman"/>
                <w:kern w:val="0"/>
                <w:lang w:val="en-US" w:eastAsia="zh-CN"/>
              </w:rPr>
              <w:t>4600</w:t>
            </w:r>
          </w:p>
        </w:tc>
      </w:tr>
      <w:tr w14:paraId="7045D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19B20044">
            <w:pPr>
              <w:pStyle w:val="48"/>
              <w:jc w:val="center"/>
              <w:rPr>
                <w:rFonts w:cs="Times New Roman"/>
                <w:kern w:val="0"/>
              </w:rPr>
            </w:pPr>
            <w:r>
              <w:rPr>
                <w:rFonts w:hint="eastAsia" w:cs="Times New Roman"/>
                <w:kern w:val="0"/>
              </w:rPr>
              <w:t>2</w:t>
            </w:r>
            <w:r>
              <w:rPr>
                <w:rFonts w:cs="Times New Roman"/>
                <w:kern w:val="0"/>
              </w:rPr>
              <w:t>2</w:t>
            </w:r>
          </w:p>
        </w:tc>
        <w:tc>
          <w:tcPr>
            <w:tcW w:w="1071" w:type="pct"/>
            <w:vAlign w:val="center"/>
          </w:tcPr>
          <w:p w14:paraId="5CC0F317">
            <w:pPr>
              <w:pStyle w:val="48"/>
              <w:jc w:val="center"/>
              <w:rPr>
                <w:rFonts w:hint="default" w:eastAsia="宋体" w:cs="Times New Roman"/>
                <w:kern w:val="0"/>
                <w:lang w:val="en-US" w:eastAsia="zh-CN"/>
              </w:rPr>
            </w:pPr>
            <w:r>
              <w:rPr>
                <w:rFonts w:hint="eastAsia" w:cs="Times New Roman"/>
                <w:kern w:val="0"/>
                <w:lang w:val="en-US" w:eastAsia="zh-CN"/>
              </w:rPr>
              <w:t>集兵镇中心医院</w:t>
            </w:r>
          </w:p>
        </w:tc>
        <w:tc>
          <w:tcPr>
            <w:tcW w:w="702" w:type="pct"/>
            <w:vAlign w:val="center"/>
          </w:tcPr>
          <w:p w14:paraId="713A90A5">
            <w:pPr>
              <w:pStyle w:val="48"/>
              <w:jc w:val="center"/>
              <w:rPr>
                <w:rFonts w:hint="eastAsia" w:eastAsia="宋体" w:cs="Times New Roman"/>
                <w:kern w:val="0"/>
                <w:lang w:val="en-US" w:eastAsia="zh-CN"/>
              </w:rPr>
            </w:pPr>
            <w:r>
              <w:rPr>
                <w:rFonts w:hint="eastAsia" w:cs="Times New Roman"/>
                <w:kern w:val="0"/>
                <w:lang w:val="en-US" w:eastAsia="zh-CN"/>
              </w:rPr>
              <w:t>医院</w:t>
            </w:r>
          </w:p>
        </w:tc>
        <w:tc>
          <w:tcPr>
            <w:tcW w:w="893" w:type="pct"/>
            <w:vAlign w:val="center"/>
          </w:tcPr>
          <w:p w14:paraId="6ECBFB3B">
            <w:pPr>
              <w:pStyle w:val="48"/>
              <w:jc w:val="center"/>
              <w:rPr>
                <w:rFonts w:hint="default" w:eastAsia="宋体" w:cs="Times New Roman"/>
                <w:kern w:val="0"/>
                <w:lang w:val="en-US" w:eastAsia="zh-CN"/>
              </w:rPr>
            </w:pPr>
            <w:r>
              <w:rPr>
                <w:rFonts w:hint="eastAsia" w:cs="Times New Roman"/>
                <w:kern w:val="0"/>
                <w:lang w:val="en-US" w:eastAsia="zh-CN"/>
              </w:rPr>
              <w:t>约50人</w:t>
            </w:r>
          </w:p>
        </w:tc>
        <w:tc>
          <w:tcPr>
            <w:tcW w:w="775" w:type="pct"/>
            <w:vAlign w:val="center"/>
          </w:tcPr>
          <w:p w14:paraId="2271F8DA">
            <w:pPr>
              <w:pStyle w:val="48"/>
              <w:jc w:val="center"/>
              <w:rPr>
                <w:rFonts w:hint="eastAsia" w:eastAsia="宋体" w:cs="Times New Roman"/>
                <w:kern w:val="0"/>
                <w:lang w:val="en-US" w:eastAsia="zh-CN"/>
              </w:rPr>
            </w:pPr>
            <w:r>
              <w:rPr>
                <w:rFonts w:hint="eastAsia" w:cs="Times New Roman"/>
                <w:kern w:val="0"/>
                <w:lang w:val="en-US" w:eastAsia="zh-CN"/>
              </w:rPr>
              <w:t>WN</w:t>
            </w:r>
          </w:p>
        </w:tc>
        <w:tc>
          <w:tcPr>
            <w:tcW w:w="848" w:type="pct"/>
            <w:vAlign w:val="center"/>
          </w:tcPr>
          <w:p w14:paraId="096484C3">
            <w:pPr>
              <w:pStyle w:val="48"/>
              <w:jc w:val="center"/>
              <w:rPr>
                <w:rFonts w:hint="default" w:eastAsia="宋体" w:cs="Times New Roman"/>
                <w:kern w:val="0"/>
                <w:lang w:val="en-US" w:eastAsia="zh-CN"/>
              </w:rPr>
            </w:pPr>
            <w:r>
              <w:rPr>
                <w:rFonts w:hint="eastAsia" w:cs="Times New Roman"/>
                <w:kern w:val="0"/>
                <w:lang w:val="en-US" w:eastAsia="zh-CN"/>
              </w:rPr>
              <w:t>4100</w:t>
            </w:r>
          </w:p>
        </w:tc>
      </w:tr>
      <w:tr w14:paraId="5FCB4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31B19A33">
            <w:pPr>
              <w:pStyle w:val="48"/>
              <w:jc w:val="center"/>
              <w:rPr>
                <w:rFonts w:hint="default" w:eastAsia="宋体" w:cs="Times New Roman"/>
                <w:kern w:val="0"/>
                <w:lang w:val="en-US" w:eastAsia="zh-CN"/>
              </w:rPr>
            </w:pPr>
            <w:r>
              <w:rPr>
                <w:rFonts w:hint="eastAsia" w:cs="Times New Roman"/>
                <w:kern w:val="0"/>
                <w:lang w:val="en-US" w:eastAsia="zh-CN"/>
              </w:rPr>
              <w:t>23</w:t>
            </w:r>
          </w:p>
        </w:tc>
        <w:tc>
          <w:tcPr>
            <w:tcW w:w="1071" w:type="pct"/>
            <w:vAlign w:val="center"/>
          </w:tcPr>
          <w:p w14:paraId="1E312746">
            <w:pPr>
              <w:pStyle w:val="48"/>
              <w:jc w:val="center"/>
              <w:rPr>
                <w:rFonts w:hint="default" w:cs="Times New Roman"/>
                <w:kern w:val="0"/>
                <w:lang w:val="en-US" w:eastAsia="zh-CN"/>
              </w:rPr>
            </w:pPr>
            <w:r>
              <w:rPr>
                <w:rFonts w:hint="eastAsia" w:cs="Times New Roman"/>
                <w:kern w:val="0"/>
                <w:lang w:val="en-US" w:eastAsia="zh-CN"/>
              </w:rPr>
              <w:t>集兵滩社区卫生室</w:t>
            </w:r>
          </w:p>
        </w:tc>
        <w:tc>
          <w:tcPr>
            <w:tcW w:w="702" w:type="pct"/>
            <w:vAlign w:val="center"/>
          </w:tcPr>
          <w:p w14:paraId="105C6518">
            <w:pPr>
              <w:pStyle w:val="48"/>
              <w:jc w:val="center"/>
              <w:rPr>
                <w:rFonts w:hint="eastAsia" w:eastAsia="宋体" w:cs="Times New Roman"/>
                <w:kern w:val="0"/>
                <w:lang w:val="en-US" w:eastAsia="zh-CN"/>
              </w:rPr>
            </w:pPr>
            <w:r>
              <w:rPr>
                <w:rFonts w:hint="eastAsia" w:cs="Times New Roman"/>
                <w:kern w:val="0"/>
                <w:lang w:val="en-US" w:eastAsia="zh-CN"/>
              </w:rPr>
              <w:t>医院</w:t>
            </w:r>
          </w:p>
        </w:tc>
        <w:tc>
          <w:tcPr>
            <w:tcW w:w="893" w:type="pct"/>
            <w:vAlign w:val="center"/>
          </w:tcPr>
          <w:p w14:paraId="67B04053">
            <w:pPr>
              <w:pStyle w:val="48"/>
              <w:jc w:val="center"/>
              <w:rPr>
                <w:rFonts w:hint="default" w:eastAsia="宋体" w:cs="Times New Roman"/>
                <w:kern w:val="0"/>
                <w:lang w:val="en-US" w:eastAsia="zh-CN"/>
              </w:rPr>
            </w:pPr>
            <w:r>
              <w:rPr>
                <w:rFonts w:hint="eastAsia" w:cs="Times New Roman"/>
                <w:kern w:val="0"/>
                <w:lang w:val="en-US" w:eastAsia="zh-CN"/>
              </w:rPr>
              <w:t>约10人</w:t>
            </w:r>
          </w:p>
        </w:tc>
        <w:tc>
          <w:tcPr>
            <w:tcW w:w="775" w:type="pct"/>
            <w:vAlign w:val="center"/>
          </w:tcPr>
          <w:p w14:paraId="319B692C">
            <w:pPr>
              <w:pStyle w:val="48"/>
              <w:jc w:val="center"/>
              <w:rPr>
                <w:rFonts w:hint="eastAsia" w:eastAsia="宋体" w:cs="Times New Roman"/>
                <w:kern w:val="0"/>
                <w:lang w:val="en-US" w:eastAsia="zh-CN"/>
              </w:rPr>
            </w:pPr>
            <w:r>
              <w:rPr>
                <w:rFonts w:hint="eastAsia" w:cs="Times New Roman"/>
                <w:kern w:val="0"/>
                <w:lang w:val="en-US" w:eastAsia="zh-CN"/>
              </w:rPr>
              <w:t>WN</w:t>
            </w:r>
          </w:p>
        </w:tc>
        <w:tc>
          <w:tcPr>
            <w:tcW w:w="848" w:type="pct"/>
            <w:vAlign w:val="center"/>
          </w:tcPr>
          <w:p w14:paraId="69911A02">
            <w:pPr>
              <w:pStyle w:val="48"/>
              <w:jc w:val="center"/>
              <w:rPr>
                <w:rFonts w:hint="default" w:eastAsia="宋体" w:cs="Times New Roman"/>
                <w:kern w:val="0"/>
                <w:lang w:val="en-US" w:eastAsia="zh-CN"/>
              </w:rPr>
            </w:pPr>
            <w:r>
              <w:rPr>
                <w:rFonts w:hint="eastAsia" w:cs="Times New Roman"/>
                <w:kern w:val="0"/>
                <w:lang w:val="en-US" w:eastAsia="zh-CN"/>
              </w:rPr>
              <w:t>3800</w:t>
            </w:r>
          </w:p>
        </w:tc>
      </w:tr>
      <w:tr w14:paraId="3D549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Merge w:val="restart"/>
            <w:vAlign w:val="center"/>
          </w:tcPr>
          <w:p w14:paraId="40030AC2">
            <w:pPr>
              <w:pStyle w:val="48"/>
              <w:jc w:val="center"/>
              <w:rPr>
                <w:rFonts w:hint="default" w:cs="Times New Roman"/>
                <w:color w:val="FF0000"/>
                <w:kern w:val="0"/>
                <w:lang w:val="en-US" w:eastAsia="zh-CN"/>
              </w:rPr>
            </w:pPr>
            <w:r>
              <w:rPr>
                <w:rFonts w:hint="eastAsia" w:cs="Times New Roman"/>
                <w:color w:val="FF0000"/>
                <w:kern w:val="0"/>
                <w:lang w:val="en-US" w:eastAsia="zh-CN"/>
              </w:rPr>
              <w:t>合计</w:t>
            </w:r>
          </w:p>
        </w:tc>
        <w:tc>
          <w:tcPr>
            <w:tcW w:w="1773" w:type="pct"/>
            <w:gridSpan w:val="2"/>
            <w:vAlign w:val="center"/>
          </w:tcPr>
          <w:p w14:paraId="4C32321C">
            <w:pPr>
              <w:pStyle w:val="48"/>
              <w:jc w:val="center"/>
              <w:rPr>
                <w:rFonts w:hint="eastAsia" w:cs="Times New Roman"/>
                <w:color w:val="FF0000"/>
                <w:kern w:val="0"/>
                <w:lang w:val="en-US" w:eastAsia="zh-CN"/>
              </w:rPr>
            </w:pPr>
            <w:r>
              <w:rPr>
                <w:rFonts w:hint="eastAsia" w:cs="Times New Roman"/>
                <w:color w:val="FF0000"/>
                <w:kern w:val="0"/>
                <w:lang w:val="en-US" w:eastAsia="zh-CN"/>
              </w:rPr>
              <w:t>周边500m范围内人数</w:t>
            </w:r>
          </w:p>
        </w:tc>
        <w:tc>
          <w:tcPr>
            <w:tcW w:w="893" w:type="pct"/>
            <w:vAlign w:val="center"/>
          </w:tcPr>
          <w:p w14:paraId="5E36E5C1">
            <w:pPr>
              <w:pStyle w:val="48"/>
              <w:jc w:val="center"/>
              <w:rPr>
                <w:rFonts w:hint="default" w:cs="Times New Roman"/>
                <w:color w:val="FF0000"/>
                <w:kern w:val="0"/>
                <w:lang w:val="en-US" w:eastAsia="zh-CN"/>
              </w:rPr>
            </w:pPr>
            <w:r>
              <w:rPr>
                <w:rFonts w:hint="eastAsia" w:cs="Times New Roman"/>
                <w:color w:val="FF0000"/>
                <w:kern w:val="0"/>
                <w:lang w:val="en-US" w:eastAsia="zh-CN"/>
              </w:rPr>
              <w:t>430人</w:t>
            </w:r>
          </w:p>
        </w:tc>
        <w:tc>
          <w:tcPr>
            <w:tcW w:w="775" w:type="pct"/>
            <w:vAlign w:val="center"/>
          </w:tcPr>
          <w:p w14:paraId="6A9CCB1F">
            <w:pPr>
              <w:pStyle w:val="48"/>
              <w:jc w:val="center"/>
              <w:rPr>
                <w:rFonts w:hint="default" w:cs="Times New Roman"/>
                <w:kern w:val="0"/>
                <w:lang w:val="en-US" w:eastAsia="zh-CN"/>
              </w:rPr>
            </w:pPr>
            <w:r>
              <w:rPr>
                <w:rFonts w:hint="eastAsia" w:cs="Times New Roman"/>
                <w:kern w:val="0"/>
                <w:lang w:val="en-US" w:eastAsia="zh-CN"/>
              </w:rPr>
              <w:t>/</w:t>
            </w:r>
          </w:p>
        </w:tc>
        <w:tc>
          <w:tcPr>
            <w:tcW w:w="848" w:type="pct"/>
            <w:vAlign w:val="center"/>
          </w:tcPr>
          <w:p w14:paraId="06788E9F">
            <w:pPr>
              <w:pStyle w:val="48"/>
              <w:jc w:val="center"/>
              <w:rPr>
                <w:rFonts w:hint="default" w:cs="Times New Roman"/>
                <w:kern w:val="0"/>
                <w:lang w:val="en-US" w:eastAsia="zh-CN"/>
              </w:rPr>
            </w:pPr>
            <w:r>
              <w:rPr>
                <w:rFonts w:hint="eastAsia" w:cs="Times New Roman"/>
                <w:kern w:val="0"/>
                <w:lang w:val="en-US" w:eastAsia="zh-CN"/>
              </w:rPr>
              <w:t>/</w:t>
            </w:r>
          </w:p>
        </w:tc>
      </w:tr>
      <w:tr w14:paraId="29656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Merge w:val="continue"/>
            <w:vAlign w:val="center"/>
          </w:tcPr>
          <w:p w14:paraId="6AE24000">
            <w:pPr>
              <w:pStyle w:val="48"/>
              <w:jc w:val="center"/>
              <w:rPr>
                <w:rFonts w:hint="eastAsia" w:cs="Times New Roman"/>
                <w:color w:val="FF0000"/>
                <w:kern w:val="0"/>
                <w:lang w:val="en-US" w:eastAsia="zh-CN"/>
              </w:rPr>
            </w:pPr>
          </w:p>
        </w:tc>
        <w:tc>
          <w:tcPr>
            <w:tcW w:w="1773" w:type="pct"/>
            <w:gridSpan w:val="2"/>
            <w:vAlign w:val="center"/>
          </w:tcPr>
          <w:p w14:paraId="7AD54360">
            <w:pPr>
              <w:pStyle w:val="48"/>
              <w:jc w:val="center"/>
              <w:rPr>
                <w:rFonts w:hint="default" w:cs="Times New Roman"/>
                <w:color w:val="FF0000"/>
                <w:kern w:val="0"/>
                <w:lang w:val="en-US" w:eastAsia="zh-CN"/>
              </w:rPr>
            </w:pPr>
            <w:r>
              <w:rPr>
                <w:rFonts w:hint="eastAsia" w:cs="Times New Roman"/>
                <w:color w:val="FF0000"/>
                <w:kern w:val="0"/>
                <w:lang w:val="en-US" w:eastAsia="zh-CN"/>
              </w:rPr>
              <w:t>周边5km范围内人数</w:t>
            </w:r>
          </w:p>
        </w:tc>
        <w:tc>
          <w:tcPr>
            <w:tcW w:w="893" w:type="pct"/>
            <w:vAlign w:val="center"/>
          </w:tcPr>
          <w:p w14:paraId="22C7BF29">
            <w:pPr>
              <w:pStyle w:val="48"/>
              <w:jc w:val="center"/>
              <w:rPr>
                <w:rFonts w:hint="default" w:cs="Times New Roman"/>
                <w:color w:val="FF0000"/>
                <w:kern w:val="0"/>
                <w:lang w:val="en-US" w:eastAsia="zh-CN"/>
              </w:rPr>
            </w:pPr>
            <w:r>
              <w:rPr>
                <w:rFonts w:hint="eastAsia" w:cs="Times New Roman"/>
                <w:color w:val="FF0000"/>
                <w:kern w:val="0"/>
                <w:lang w:val="en-US" w:eastAsia="zh-CN"/>
              </w:rPr>
              <w:t>40240人</w:t>
            </w:r>
          </w:p>
        </w:tc>
        <w:tc>
          <w:tcPr>
            <w:tcW w:w="775" w:type="pct"/>
            <w:vAlign w:val="center"/>
          </w:tcPr>
          <w:p w14:paraId="13921C4C">
            <w:pPr>
              <w:pStyle w:val="48"/>
              <w:jc w:val="center"/>
              <w:rPr>
                <w:rFonts w:hint="default" w:cs="Times New Roman"/>
                <w:kern w:val="0"/>
                <w:lang w:val="en-US" w:eastAsia="zh-CN"/>
              </w:rPr>
            </w:pPr>
            <w:r>
              <w:rPr>
                <w:rFonts w:hint="eastAsia" w:cs="Times New Roman"/>
                <w:kern w:val="0"/>
                <w:lang w:val="en-US" w:eastAsia="zh-CN"/>
              </w:rPr>
              <w:t>/</w:t>
            </w:r>
          </w:p>
        </w:tc>
        <w:tc>
          <w:tcPr>
            <w:tcW w:w="848" w:type="pct"/>
            <w:vAlign w:val="center"/>
          </w:tcPr>
          <w:p w14:paraId="38D1C722">
            <w:pPr>
              <w:pStyle w:val="48"/>
              <w:jc w:val="center"/>
              <w:rPr>
                <w:rFonts w:hint="default" w:cs="Times New Roman"/>
                <w:kern w:val="0"/>
                <w:lang w:val="en-US" w:eastAsia="zh-CN"/>
              </w:rPr>
            </w:pPr>
            <w:r>
              <w:rPr>
                <w:rFonts w:hint="eastAsia" w:cs="Times New Roman"/>
                <w:kern w:val="0"/>
                <w:lang w:val="en-US" w:eastAsia="zh-CN"/>
              </w:rPr>
              <w:t>/</w:t>
            </w:r>
          </w:p>
        </w:tc>
      </w:tr>
      <w:tr w14:paraId="4DA8D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14:paraId="435C795E">
            <w:pPr>
              <w:pStyle w:val="48"/>
              <w:jc w:val="center"/>
              <w:rPr>
                <w:rFonts w:cs="Times New Roman"/>
                <w:kern w:val="0"/>
              </w:rPr>
            </w:pPr>
            <w:r>
              <w:rPr>
                <w:rFonts w:hint="eastAsia" w:cs="Times New Roman"/>
                <w:kern w:val="0"/>
              </w:rPr>
              <w:t>地表水环境保护目标</w:t>
            </w:r>
          </w:p>
        </w:tc>
      </w:tr>
      <w:tr w14:paraId="5CC58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60B96E5C">
            <w:pPr>
              <w:pStyle w:val="48"/>
              <w:jc w:val="center"/>
              <w:rPr>
                <w:rFonts w:cs="Times New Roman"/>
                <w:kern w:val="0"/>
              </w:rPr>
            </w:pPr>
            <w:r>
              <w:rPr>
                <w:rFonts w:hint="eastAsia" w:cs="Times New Roman"/>
                <w:kern w:val="0"/>
              </w:rPr>
              <w:t>序号</w:t>
            </w:r>
          </w:p>
        </w:tc>
        <w:tc>
          <w:tcPr>
            <w:tcW w:w="2667" w:type="pct"/>
            <w:gridSpan w:val="3"/>
            <w:vAlign w:val="center"/>
          </w:tcPr>
          <w:p w14:paraId="44CBAE8A">
            <w:pPr>
              <w:pStyle w:val="48"/>
              <w:jc w:val="center"/>
              <w:rPr>
                <w:rFonts w:cs="Times New Roman"/>
                <w:kern w:val="0"/>
              </w:rPr>
            </w:pPr>
            <w:r>
              <w:rPr>
                <w:rFonts w:hint="eastAsia" w:cs="Times New Roman"/>
                <w:kern w:val="0"/>
              </w:rPr>
              <w:t>名称</w:t>
            </w:r>
          </w:p>
        </w:tc>
        <w:tc>
          <w:tcPr>
            <w:tcW w:w="775" w:type="pct"/>
            <w:vAlign w:val="center"/>
          </w:tcPr>
          <w:p w14:paraId="54F3CC48">
            <w:pPr>
              <w:pStyle w:val="48"/>
              <w:jc w:val="center"/>
              <w:rPr>
                <w:rFonts w:cs="Times New Roman"/>
                <w:kern w:val="0"/>
              </w:rPr>
            </w:pPr>
            <w:r>
              <w:rPr>
                <w:rFonts w:hint="eastAsia" w:cs="Times New Roman"/>
                <w:kern w:val="0"/>
              </w:rPr>
              <w:t>功能</w:t>
            </w:r>
          </w:p>
        </w:tc>
        <w:tc>
          <w:tcPr>
            <w:tcW w:w="848" w:type="pct"/>
            <w:vAlign w:val="center"/>
          </w:tcPr>
          <w:p w14:paraId="27F0D26E">
            <w:pPr>
              <w:pStyle w:val="48"/>
              <w:jc w:val="center"/>
              <w:rPr>
                <w:rFonts w:cs="Times New Roman"/>
                <w:kern w:val="0"/>
              </w:rPr>
            </w:pPr>
            <w:r>
              <w:rPr>
                <w:rFonts w:hint="eastAsia" w:cs="Times New Roman"/>
                <w:kern w:val="0"/>
              </w:rPr>
              <w:t>水质目标</w:t>
            </w:r>
          </w:p>
        </w:tc>
      </w:tr>
      <w:tr w14:paraId="745F0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637FC97B">
            <w:pPr>
              <w:pStyle w:val="48"/>
              <w:jc w:val="center"/>
              <w:rPr>
                <w:rFonts w:cs="Times New Roman"/>
                <w:kern w:val="0"/>
              </w:rPr>
            </w:pPr>
            <w:r>
              <w:rPr>
                <w:rFonts w:cs="Times New Roman"/>
                <w:kern w:val="0"/>
              </w:rPr>
              <w:t>1</w:t>
            </w:r>
          </w:p>
        </w:tc>
        <w:tc>
          <w:tcPr>
            <w:tcW w:w="2667" w:type="pct"/>
            <w:gridSpan w:val="3"/>
            <w:vAlign w:val="center"/>
          </w:tcPr>
          <w:p w14:paraId="38615DEF">
            <w:pPr>
              <w:pStyle w:val="48"/>
              <w:jc w:val="center"/>
              <w:rPr>
                <w:rFonts w:hint="default" w:eastAsia="宋体" w:cs="Times New Roman"/>
                <w:kern w:val="0"/>
                <w:lang w:val="en-US" w:eastAsia="zh-CN"/>
              </w:rPr>
            </w:pPr>
            <w:r>
              <w:rPr>
                <w:rFonts w:hint="eastAsia" w:cs="Times New Roman"/>
                <w:kern w:val="0"/>
                <w:lang w:val="en-US" w:eastAsia="zh-CN"/>
              </w:rPr>
              <w:t>横江铺河</w:t>
            </w:r>
          </w:p>
        </w:tc>
        <w:tc>
          <w:tcPr>
            <w:tcW w:w="775" w:type="pct"/>
            <w:vAlign w:val="center"/>
          </w:tcPr>
          <w:p w14:paraId="0A5D6308">
            <w:pPr>
              <w:pStyle w:val="48"/>
              <w:jc w:val="center"/>
              <w:rPr>
                <w:rFonts w:cs="Times New Roman"/>
                <w:kern w:val="0"/>
              </w:rPr>
            </w:pPr>
            <w:r>
              <w:rPr>
                <w:rFonts w:hint="eastAsia" w:cs="Times New Roman"/>
                <w:kern w:val="0"/>
              </w:rPr>
              <w:t>农业用水</w:t>
            </w:r>
          </w:p>
        </w:tc>
        <w:tc>
          <w:tcPr>
            <w:tcW w:w="848" w:type="pct"/>
            <w:vAlign w:val="center"/>
          </w:tcPr>
          <w:p w14:paraId="3BACEF24">
            <w:pPr>
              <w:pStyle w:val="48"/>
              <w:jc w:val="center"/>
              <w:rPr>
                <w:rFonts w:cs="Times New Roman"/>
                <w:kern w:val="0"/>
              </w:rPr>
            </w:pPr>
            <w:r>
              <w:rPr>
                <w:rFonts w:hint="eastAsia" w:cs="Times New Roman"/>
                <w:kern w:val="0"/>
              </w:rPr>
              <w:t>Ⅲ类</w:t>
            </w:r>
          </w:p>
        </w:tc>
      </w:tr>
      <w:tr w14:paraId="5D71F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5ACCF567">
            <w:pPr>
              <w:pStyle w:val="48"/>
              <w:jc w:val="center"/>
              <w:rPr>
                <w:rFonts w:hint="eastAsia" w:eastAsia="宋体" w:cs="Times New Roman"/>
                <w:kern w:val="0"/>
                <w:lang w:val="en-US" w:eastAsia="zh-CN"/>
              </w:rPr>
            </w:pPr>
            <w:r>
              <w:rPr>
                <w:rFonts w:hint="eastAsia" w:cs="Times New Roman"/>
                <w:kern w:val="0"/>
                <w:lang w:val="en-US" w:eastAsia="zh-CN"/>
              </w:rPr>
              <w:t>2</w:t>
            </w:r>
          </w:p>
        </w:tc>
        <w:tc>
          <w:tcPr>
            <w:tcW w:w="2667" w:type="pct"/>
            <w:gridSpan w:val="3"/>
            <w:vAlign w:val="center"/>
          </w:tcPr>
          <w:p w14:paraId="605E67AA">
            <w:pPr>
              <w:pStyle w:val="48"/>
              <w:jc w:val="center"/>
              <w:rPr>
                <w:rFonts w:hint="default" w:cs="Times New Roman"/>
                <w:kern w:val="0"/>
                <w:lang w:val="en-US" w:eastAsia="zh-CN"/>
              </w:rPr>
            </w:pPr>
            <w:r>
              <w:rPr>
                <w:rFonts w:hint="eastAsia" w:cs="Times New Roman"/>
                <w:kern w:val="0"/>
                <w:lang w:val="en-US" w:eastAsia="zh-CN"/>
              </w:rPr>
              <w:t>湘江</w:t>
            </w:r>
          </w:p>
        </w:tc>
        <w:tc>
          <w:tcPr>
            <w:tcW w:w="775" w:type="pct"/>
            <w:vAlign w:val="center"/>
          </w:tcPr>
          <w:p w14:paraId="19ED7920">
            <w:pPr>
              <w:pStyle w:val="48"/>
              <w:jc w:val="center"/>
              <w:rPr>
                <w:rFonts w:hint="eastAsia" w:eastAsia="宋体" w:cs="Times New Roman"/>
                <w:kern w:val="0"/>
                <w:lang w:val="en-US" w:eastAsia="zh-CN"/>
              </w:rPr>
            </w:pPr>
            <w:r>
              <w:rPr>
                <w:rFonts w:hint="eastAsia" w:cs="Times New Roman"/>
                <w:kern w:val="0"/>
                <w:lang w:val="en-US" w:eastAsia="zh-CN"/>
              </w:rPr>
              <w:t>工业用水区</w:t>
            </w:r>
          </w:p>
        </w:tc>
        <w:tc>
          <w:tcPr>
            <w:tcW w:w="848" w:type="pct"/>
            <w:vAlign w:val="center"/>
          </w:tcPr>
          <w:p w14:paraId="184BFDCC">
            <w:pPr>
              <w:pStyle w:val="48"/>
              <w:jc w:val="center"/>
              <w:rPr>
                <w:rFonts w:hint="eastAsia" w:cs="Times New Roman"/>
                <w:kern w:val="0"/>
              </w:rPr>
            </w:pPr>
            <w:r>
              <w:rPr>
                <w:rFonts w:hint="eastAsia" w:cs="Times New Roman"/>
                <w:kern w:val="0"/>
              </w:rPr>
              <w:t>Ⅲ类</w:t>
            </w:r>
          </w:p>
        </w:tc>
      </w:tr>
      <w:tr w14:paraId="2AEE5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14:paraId="7D4DC0E7">
            <w:pPr>
              <w:pStyle w:val="48"/>
              <w:jc w:val="center"/>
              <w:rPr>
                <w:rFonts w:cs="Times New Roman"/>
                <w:kern w:val="0"/>
              </w:rPr>
            </w:pPr>
            <w:r>
              <w:rPr>
                <w:rFonts w:hint="eastAsia" w:cs="Times New Roman"/>
                <w:kern w:val="0"/>
              </w:rPr>
              <w:t>地下水环境保护目标</w:t>
            </w:r>
          </w:p>
        </w:tc>
      </w:tr>
      <w:tr w14:paraId="4B0CC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15B49BFA">
            <w:pPr>
              <w:pStyle w:val="48"/>
              <w:jc w:val="center"/>
              <w:rPr>
                <w:rFonts w:cs="Times New Roman"/>
                <w:kern w:val="0"/>
              </w:rPr>
            </w:pPr>
            <w:r>
              <w:rPr>
                <w:rFonts w:hint="eastAsia" w:cs="Times New Roman"/>
                <w:kern w:val="0"/>
              </w:rPr>
              <w:t>序号</w:t>
            </w:r>
          </w:p>
        </w:tc>
        <w:tc>
          <w:tcPr>
            <w:tcW w:w="2667" w:type="pct"/>
            <w:gridSpan w:val="3"/>
            <w:vAlign w:val="center"/>
          </w:tcPr>
          <w:p w14:paraId="4CD08536">
            <w:pPr>
              <w:pStyle w:val="48"/>
              <w:jc w:val="center"/>
              <w:rPr>
                <w:rFonts w:cs="Times New Roman"/>
                <w:kern w:val="0"/>
              </w:rPr>
            </w:pPr>
            <w:r>
              <w:rPr>
                <w:rFonts w:hint="eastAsia" w:cs="Times New Roman"/>
                <w:kern w:val="0"/>
              </w:rPr>
              <w:t>名称</w:t>
            </w:r>
          </w:p>
        </w:tc>
        <w:tc>
          <w:tcPr>
            <w:tcW w:w="775" w:type="pct"/>
            <w:vAlign w:val="center"/>
          </w:tcPr>
          <w:p w14:paraId="769335B7">
            <w:pPr>
              <w:pStyle w:val="48"/>
              <w:jc w:val="center"/>
              <w:rPr>
                <w:rFonts w:cs="Times New Roman"/>
                <w:kern w:val="0"/>
              </w:rPr>
            </w:pPr>
            <w:r>
              <w:rPr>
                <w:rFonts w:hint="eastAsia" w:cs="Times New Roman"/>
                <w:kern w:val="0"/>
              </w:rPr>
              <w:t>功能</w:t>
            </w:r>
          </w:p>
        </w:tc>
        <w:tc>
          <w:tcPr>
            <w:tcW w:w="848" w:type="pct"/>
            <w:vAlign w:val="center"/>
          </w:tcPr>
          <w:p w14:paraId="0880AA2A">
            <w:pPr>
              <w:pStyle w:val="48"/>
              <w:jc w:val="center"/>
              <w:rPr>
                <w:rFonts w:cs="Times New Roman"/>
                <w:kern w:val="0"/>
              </w:rPr>
            </w:pPr>
            <w:r>
              <w:rPr>
                <w:rFonts w:hint="eastAsia" w:cs="Times New Roman"/>
                <w:kern w:val="0"/>
              </w:rPr>
              <w:t>水质目标</w:t>
            </w:r>
          </w:p>
        </w:tc>
      </w:tr>
      <w:tr w14:paraId="249DE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14:paraId="44BAAD6A">
            <w:pPr>
              <w:pStyle w:val="48"/>
              <w:jc w:val="center"/>
              <w:rPr>
                <w:rFonts w:cs="Times New Roman"/>
                <w:kern w:val="0"/>
              </w:rPr>
            </w:pPr>
            <w:r>
              <w:rPr>
                <w:rFonts w:hint="eastAsia" w:cs="Times New Roman"/>
                <w:kern w:val="0"/>
              </w:rPr>
              <w:t>1</w:t>
            </w:r>
          </w:p>
        </w:tc>
        <w:tc>
          <w:tcPr>
            <w:tcW w:w="2667" w:type="pct"/>
            <w:gridSpan w:val="3"/>
            <w:vAlign w:val="center"/>
          </w:tcPr>
          <w:p w14:paraId="489B9E7D">
            <w:pPr>
              <w:pStyle w:val="48"/>
              <w:jc w:val="center"/>
              <w:rPr>
                <w:rFonts w:cs="Times New Roman"/>
                <w:kern w:val="0"/>
              </w:rPr>
            </w:pPr>
            <w:r>
              <w:rPr>
                <w:rFonts w:hint="eastAsia" w:cs="Times New Roman"/>
                <w:kern w:val="0"/>
              </w:rPr>
              <w:t>区域地下水含水层</w:t>
            </w:r>
          </w:p>
        </w:tc>
        <w:tc>
          <w:tcPr>
            <w:tcW w:w="775" w:type="pct"/>
            <w:vAlign w:val="center"/>
          </w:tcPr>
          <w:p w14:paraId="151BF93B">
            <w:pPr>
              <w:pStyle w:val="48"/>
              <w:jc w:val="center"/>
              <w:rPr>
                <w:rFonts w:cs="Times New Roman"/>
                <w:kern w:val="0"/>
              </w:rPr>
            </w:pPr>
            <w:r>
              <w:rPr>
                <w:rFonts w:hint="eastAsia" w:cs="Times New Roman"/>
                <w:kern w:val="0"/>
              </w:rPr>
              <w:t>生活</w:t>
            </w:r>
          </w:p>
        </w:tc>
        <w:tc>
          <w:tcPr>
            <w:tcW w:w="848" w:type="pct"/>
            <w:vAlign w:val="center"/>
          </w:tcPr>
          <w:p w14:paraId="6D34FB69">
            <w:pPr>
              <w:pStyle w:val="48"/>
              <w:jc w:val="center"/>
              <w:rPr>
                <w:rFonts w:cs="Times New Roman"/>
                <w:kern w:val="0"/>
              </w:rPr>
            </w:pPr>
            <w:r>
              <w:rPr>
                <w:rFonts w:hint="eastAsia" w:cs="Times New Roman"/>
                <w:kern w:val="0"/>
              </w:rPr>
              <w:t>Ⅲ类</w:t>
            </w:r>
          </w:p>
        </w:tc>
      </w:tr>
    </w:tbl>
    <w:p w14:paraId="438AF734">
      <w:pPr>
        <w:pStyle w:val="29"/>
        <w:bidi w:val="0"/>
        <w:rPr>
          <w:rFonts w:hint="eastAsia"/>
          <w:lang w:val="en-US" w:eastAsia="zh-CN"/>
        </w:rPr>
      </w:pPr>
      <w:r>
        <w:rPr>
          <w:rFonts w:hint="eastAsia"/>
          <w:lang w:val="en-US" w:eastAsia="zh-CN"/>
        </w:rPr>
        <w:t>F2环境风险潜势初判与评价等级确定</w:t>
      </w:r>
    </w:p>
    <w:p w14:paraId="1403AF21">
      <w:pPr>
        <w:pStyle w:val="37"/>
        <w:bidi w:val="0"/>
        <w:rPr>
          <w:rFonts w:hint="eastAsia"/>
          <w:lang w:val="en-US" w:eastAsia="zh-CN"/>
        </w:rPr>
      </w:pPr>
      <w:r>
        <w:rPr>
          <w:rFonts w:hint="eastAsia"/>
          <w:lang w:val="en-US" w:eastAsia="zh-CN"/>
        </w:rPr>
        <w:t>F2.1环境风险潜势初判</w:t>
      </w:r>
    </w:p>
    <w:p w14:paraId="582E49C1">
      <w:pPr>
        <w:pStyle w:val="34"/>
        <w:bidi w:val="0"/>
        <w:rPr>
          <w:rFonts w:hint="eastAsia"/>
          <w:lang w:val="en-US" w:eastAsia="zh-CN"/>
        </w:rPr>
      </w:pPr>
      <w:r>
        <w:rPr>
          <w:rFonts w:hint="eastAsia"/>
          <w:lang w:val="en-US" w:eastAsia="zh-CN"/>
        </w:rPr>
        <w:t>F2.1.1P的等级确定</w:t>
      </w:r>
    </w:p>
    <w:p w14:paraId="0B5AEDCF">
      <w:pPr>
        <w:pStyle w:val="25"/>
        <w:bidi w:val="0"/>
      </w:pPr>
      <w:r>
        <w:rPr>
          <w:rFonts w:hint="eastAsia"/>
        </w:rPr>
        <w:t>（1）危险物质数量与临界量比值（Q）</w:t>
      </w:r>
    </w:p>
    <w:p w14:paraId="3A61DB57">
      <w:pPr>
        <w:pStyle w:val="25"/>
        <w:bidi w:val="0"/>
        <w:rPr>
          <w:color w:val="FF0000"/>
        </w:rPr>
      </w:pPr>
      <w:r>
        <w:rPr>
          <w:rFonts w:hint="eastAsia"/>
          <w:color w:val="FF0000"/>
          <w:lang w:val="en-US" w:eastAsia="zh-CN"/>
        </w:rPr>
        <w:t>本项目环境风险物质主要为液化石油气及残液</w:t>
      </w:r>
      <w:r>
        <w:rPr>
          <w:rFonts w:hint="eastAsia"/>
          <w:color w:val="FF0000"/>
        </w:rPr>
        <w:t>，具体如下：</w:t>
      </w:r>
    </w:p>
    <w:p w14:paraId="57287AD6">
      <w:pPr>
        <w:pStyle w:val="24"/>
        <w:bidi w:val="0"/>
      </w:pPr>
      <w:r>
        <w:rPr>
          <w:rFonts w:hint="eastAsia"/>
        </w:rPr>
        <w:t>表</w:t>
      </w:r>
      <w:r>
        <w:rPr>
          <w:rFonts w:hint="eastAsia"/>
          <w:lang w:val="en-US" w:eastAsia="zh-CN"/>
        </w:rPr>
        <w:t>F2-1</w:t>
      </w:r>
      <w:r>
        <w:t xml:space="preserve">  </w:t>
      </w:r>
      <w:r>
        <w:rPr>
          <w:rFonts w:hint="eastAsia"/>
        </w:rPr>
        <w:t>项目Q值计算表</w:t>
      </w:r>
    </w:p>
    <w:tbl>
      <w:tblPr>
        <w:tblStyle w:val="1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61"/>
        <w:gridCol w:w="2596"/>
        <w:gridCol w:w="1741"/>
        <w:gridCol w:w="1440"/>
      </w:tblGrid>
      <w:tr w14:paraId="4D6E6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pct"/>
          </w:tcPr>
          <w:p w14:paraId="7CF0E622">
            <w:pPr>
              <w:pStyle w:val="26"/>
              <w:bidi w:val="0"/>
            </w:pPr>
            <w:r>
              <w:rPr>
                <w:rFonts w:hint="eastAsia"/>
              </w:rPr>
              <w:t>风险物质</w:t>
            </w:r>
          </w:p>
        </w:tc>
        <w:tc>
          <w:tcPr>
            <w:tcW w:w="1405" w:type="pct"/>
          </w:tcPr>
          <w:p w14:paraId="2C03D519">
            <w:pPr>
              <w:pStyle w:val="26"/>
              <w:bidi w:val="0"/>
              <w:rPr>
                <w:rFonts w:hint="eastAsia" w:eastAsia="宋体"/>
                <w:lang w:val="en-US" w:eastAsia="zh-CN"/>
              </w:rPr>
            </w:pPr>
            <w:r>
              <w:rPr>
                <w:rFonts w:hint="eastAsia"/>
              </w:rPr>
              <w:t>最大贮存量</w:t>
            </w:r>
            <w:r>
              <w:rPr>
                <w:rFonts w:hint="eastAsia"/>
                <w:lang w:val="en-US" w:eastAsia="zh-CN"/>
              </w:rPr>
              <w:t>t</w:t>
            </w:r>
          </w:p>
        </w:tc>
        <w:tc>
          <w:tcPr>
            <w:tcW w:w="940" w:type="pct"/>
          </w:tcPr>
          <w:p w14:paraId="2A12E611">
            <w:pPr>
              <w:pStyle w:val="26"/>
              <w:bidi w:val="0"/>
              <w:rPr>
                <w:rFonts w:hint="eastAsia" w:eastAsia="宋体"/>
                <w:lang w:val="en-US" w:eastAsia="zh-CN"/>
              </w:rPr>
            </w:pPr>
            <w:r>
              <w:rPr>
                <w:rFonts w:hint="eastAsia"/>
              </w:rPr>
              <w:t>临界量</w:t>
            </w:r>
            <w:r>
              <w:rPr>
                <w:rFonts w:hint="eastAsia"/>
                <w:lang w:val="en-US" w:eastAsia="zh-CN"/>
              </w:rPr>
              <w:t>t</w:t>
            </w:r>
          </w:p>
        </w:tc>
        <w:tc>
          <w:tcPr>
            <w:tcW w:w="779" w:type="pct"/>
          </w:tcPr>
          <w:p w14:paraId="3210E6AE">
            <w:pPr>
              <w:pStyle w:val="26"/>
              <w:bidi w:val="0"/>
            </w:pPr>
            <w:r>
              <w:rPr>
                <w:rFonts w:hint="eastAsia"/>
              </w:rPr>
              <w:t>Q值</w:t>
            </w:r>
          </w:p>
        </w:tc>
      </w:tr>
      <w:tr w14:paraId="1963D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pct"/>
          </w:tcPr>
          <w:p w14:paraId="13615B97">
            <w:pPr>
              <w:pStyle w:val="26"/>
              <w:bidi w:val="0"/>
              <w:rPr>
                <w:rFonts w:hint="eastAsia"/>
                <w:lang w:val="en-US" w:eastAsia="zh-CN"/>
              </w:rPr>
            </w:pPr>
            <w:r>
              <w:rPr>
                <w:rFonts w:hint="eastAsia"/>
                <w:lang w:val="en-US" w:eastAsia="zh-CN"/>
              </w:rPr>
              <w:t>液化石油气</w:t>
            </w:r>
          </w:p>
        </w:tc>
        <w:tc>
          <w:tcPr>
            <w:tcW w:w="1405" w:type="pct"/>
          </w:tcPr>
          <w:p w14:paraId="31DE475D">
            <w:pPr>
              <w:pStyle w:val="26"/>
              <w:bidi w:val="0"/>
              <w:rPr>
                <w:rFonts w:hint="default" w:eastAsia="宋体"/>
                <w:lang w:val="en-US" w:eastAsia="zh-CN"/>
              </w:rPr>
            </w:pPr>
            <w:r>
              <w:rPr>
                <w:rFonts w:hint="eastAsia"/>
                <w:lang w:val="en-US" w:eastAsia="zh-CN"/>
              </w:rPr>
              <w:t>72.07</w:t>
            </w:r>
          </w:p>
        </w:tc>
        <w:tc>
          <w:tcPr>
            <w:tcW w:w="940" w:type="pct"/>
          </w:tcPr>
          <w:p w14:paraId="37648125">
            <w:pPr>
              <w:pStyle w:val="26"/>
              <w:bidi w:val="0"/>
              <w:rPr>
                <w:rFonts w:hint="default" w:eastAsia="宋体"/>
                <w:lang w:val="en-US" w:eastAsia="zh-CN"/>
              </w:rPr>
            </w:pPr>
            <w:r>
              <w:rPr>
                <w:rFonts w:hint="eastAsia"/>
                <w:lang w:val="en-US" w:eastAsia="zh-CN"/>
              </w:rPr>
              <w:t>10</w:t>
            </w:r>
          </w:p>
        </w:tc>
        <w:tc>
          <w:tcPr>
            <w:tcW w:w="779" w:type="pct"/>
          </w:tcPr>
          <w:p w14:paraId="25BB316C">
            <w:pPr>
              <w:pStyle w:val="26"/>
              <w:bidi w:val="0"/>
              <w:rPr>
                <w:rFonts w:hint="default" w:eastAsia="宋体"/>
                <w:lang w:val="en-US" w:eastAsia="zh-CN"/>
              </w:rPr>
            </w:pPr>
            <w:r>
              <w:rPr>
                <w:rFonts w:hint="eastAsia"/>
                <w:lang w:val="en-US" w:eastAsia="zh-CN"/>
              </w:rPr>
              <w:t>7.207</w:t>
            </w:r>
          </w:p>
        </w:tc>
      </w:tr>
      <w:tr w14:paraId="08B6D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pct"/>
          </w:tcPr>
          <w:p w14:paraId="79E34961">
            <w:pPr>
              <w:pStyle w:val="26"/>
              <w:bidi w:val="0"/>
              <w:rPr>
                <w:rFonts w:hint="eastAsia" w:eastAsia="宋体"/>
                <w:lang w:val="en-US" w:eastAsia="zh-CN"/>
              </w:rPr>
            </w:pPr>
            <w:r>
              <w:rPr>
                <w:rFonts w:hint="eastAsia"/>
                <w:lang w:val="en-US" w:eastAsia="zh-CN"/>
              </w:rPr>
              <w:t>残液</w:t>
            </w:r>
          </w:p>
        </w:tc>
        <w:tc>
          <w:tcPr>
            <w:tcW w:w="1405" w:type="pct"/>
          </w:tcPr>
          <w:p w14:paraId="037463DE">
            <w:pPr>
              <w:pStyle w:val="26"/>
              <w:bidi w:val="0"/>
              <w:rPr>
                <w:rFonts w:hint="default" w:eastAsia="宋体"/>
                <w:lang w:val="en-US" w:eastAsia="zh-CN"/>
              </w:rPr>
            </w:pPr>
            <w:r>
              <w:rPr>
                <w:rFonts w:hint="eastAsia"/>
                <w:lang w:val="en-US" w:eastAsia="zh-CN"/>
              </w:rPr>
              <w:t>22.5</w:t>
            </w:r>
          </w:p>
        </w:tc>
        <w:tc>
          <w:tcPr>
            <w:tcW w:w="940" w:type="pct"/>
          </w:tcPr>
          <w:p w14:paraId="2327DE44">
            <w:pPr>
              <w:pStyle w:val="26"/>
              <w:bidi w:val="0"/>
              <w:rPr>
                <w:rFonts w:hint="default" w:eastAsia="宋体"/>
                <w:lang w:val="en-US" w:eastAsia="zh-CN"/>
              </w:rPr>
            </w:pPr>
            <w:r>
              <w:rPr>
                <w:rFonts w:hint="eastAsia"/>
                <w:lang w:val="en-US" w:eastAsia="zh-CN"/>
              </w:rPr>
              <w:t>50</w:t>
            </w:r>
          </w:p>
        </w:tc>
        <w:tc>
          <w:tcPr>
            <w:tcW w:w="779" w:type="pct"/>
          </w:tcPr>
          <w:p w14:paraId="4B86AD65">
            <w:pPr>
              <w:pStyle w:val="26"/>
              <w:bidi w:val="0"/>
              <w:rPr>
                <w:rFonts w:hint="default" w:eastAsia="宋体"/>
                <w:lang w:val="en-US" w:eastAsia="zh-CN"/>
              </w:rPr>
            </w:pPr>
            <w:r>
              <w:rPr>
                <w:rFonts w:hint="eastAsia"/>
                <w:lang w:val="en-US" w:eastAsia="zh-CN"/>
              </w:rPr>
              <w:t>0.45</w:t>
            </w:r>
          </w:p>
        </w:tc>
      </w:tr>
      <w:tr w14:paraId="48CA6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0" w:type="pct"/>
            <w:gridSpan w:val="3"/>
          </w:tcPr>
          <w:p w14:paraId="463AAF55">
            <w:pPr>
              <w:pStyle w:val="26"/>
              <w:bidi w:val="0"/>
            </w:pPr>
            <w:r>
              <w:rPr>
                <w:rFonts w:hint="eastAsia"/>
                <w:lang w:val="en-US" w:eastAsia="zh-CN"/>
              </w:rPr>
              <w:t>合计</w:t>
            </w:r>
          </w:p>
        </w:tc>
        <w:tc>
          <w:tcPr>
            <w:tcW w:w="779" w:type="pct"/>
          </w:tcPr>
          <w:p w14:paraId="54652F09">
            <w:pPr>
              <w:pStyle w:val="26"/>
              <w:bidi w:val="0"/>
              <w:rPr>
                <w:rFonts w:hint="default" w:eastAsia="宋体"/>
                <w:lang w:val="en-US" w:eastAsia="zh-CN"/>
              </w:rPr>
            </w:pPr>
            <w:r>
              <w:rPr>
                <w:rFonts w:hint="eastAsia"/>
                <w:lang w:val="en-US" w:eastAsia="zh-CN"/>
              </w:rPr>
              <w:t>7.657</w:t>
            </w:r>
          </w:p>
        </w:tc>
      </w:tr>
    </w:tbl>
    <w:p w14:paraId="30188467">
      <w:pPr>
        <w:pStyle w:val="25"/>
        <w:bidi w:val="0"/>
        <w:rPr>
          <w:rFonts w:hint="default"/>
          <w:lang w:val="en-US"/>
        </w:rPr>
      </w:pPr>
      <w:r>
        <w:rPr>
          <w:rFonts w:hint="eastAsia"/>
        </w:rPr>
        <w:t>根据上表可知，项目Q值为</w:t>
      </w:r>
      <w:r>
        <w:rPr>
          <w:rFonts w:hint="eastAsia"/>
          <w:lang w:val="en-US" w:eastAsia="zh-CN"/>
        </w:rPr>
        <w:t>7.657，1≤Q＜10。</w:t>
      </w:r>
    </w:p>
    <w:p w14:paraId="379C2A73">
      <w:pPr>
        <w:pStyle w:val="25"/>
        <w:bidi w:val="0"/>
      </w:pPr>
      <w:r>
        <w:rPr>
          <w:rFonts w:hint="eastAsia"/>
        </w:rPr>
        <w:t>（2）行业及生产工艺M</w:t>
      </w:r>
    </w:p>
    <w:p w14:paraId="7D155F1B">
      <w:pPr>
        <w:pStyle w:val="25"/>
        <w:bidi w:val="0"/>
        <w:rPr>
          <w:color w:val="FF0000"/>
        </w:rPr>
      </w:pPr>
      <w:r>
        <w:rPr>
          <w:rFonts w:hint="eastAsia"/>
          <w:color w:val="FF0000"/>
        </w:rPr>
        <w:t>根据</w:t>
      </w:r>
      <w:r>
        <w:rPr>
          <w:color w:val="FF0000"/>
        </w:rPr>
        <w:t>《建设项目环境风险评价技术导则》（HJ169-2018）</w:t>
      </w:r>
      <w:r>
        <w:rPr>
          <w:rFonts w:hint="eastAsia"/>
          <w:color w:val="FF0000"/>
        </w:rPr>
        <w:t>附录表C</w:t>
      </w:r>
      <w:r>
        <w:rPr>
          <w:color w:val="FF0000"/>
        </w:rPr>
        <w:t>.1</w:t>
      </w:r>
      <w:r>
        <w:rPr>
          <w:rFonts w:hint="eastAsia"/>
          <w:color w:val="FF0000"/>
        </w:rPr>
        <w:t>可知，</w:t>
      </w:r>
      <w:r>
        <w:rPr>
          <w:rFonts w:hint="eastAsia"/>
          <w:color w:val="FF0000"/>
          <w:lang w:val="en-US" w:eastAsia="zh-CN"/>
        </w:rPr>
        <w:t>本项目不属于石化、化工、医药、有色冶炼、轻工、化纤等行业，不属于管道、港口/码头等行业，</w:t>
      </w:r>
      <w:r>
        <w:rPr>
          <w:rFonts w:hint="eastAsia"/>
          <w:color w:val="FF0000"/>
        </w:rPr>
        <w:t>，且涉及危险物质</w:t>
      </w:r>
      <w:r>
        <w:rPr>
          <w:rFonts w:hint="eastAsia"/>
          <w:color w:val="FF0000"/>
          <w:lang w:val="en-US" w:eastAsia="zh-CN"/>
        </w:rPr>
        <w:t>管道运输</w:t>
      </w:r>
      <w:r>
        <w:rPr>
          <w:rFonts w:hint="eastAsia"/>
          <w:color w:val="FF0000"/>
        </w:rPr>
        <w:t>，分值为</w:t>
      </w:r>
      <w:r>
        <w:rPr>
          <w:rFonts w:hint="eastAsia"/>
          <w:color w:val="FF0000"/>
          <w:lang w:val="en-US" w:eastAsia="zh-CN"/>
        </w:rPr>
        <w:t>5，M≤5</w:t>
      </w:r>
      <w:r>
        <w:rPr>
          <w:rFonts w:hint="eastAsia"/>
          <w:color w:val="FF0000"/>
        </w:rPr>
        <w:t>，判定为M</w:t>
      </w:r>
      <w:r>
        <w:rPr>
          <w:rFonts w:hint="eastAsia"/>
          <w:color w:val="FF0000"/>
          <w:lang w:val="en-US" w:eastAsia="zh-CN"/>
        </w:rPr>
        <w:t>4</w:t>
      </w:r>
      <w:r>
        <w:rPr>
          <w:rFonts w:hint="eastAsia"/>
          <w:color w:val="FF0000"/>
        </w:rPr>
        <w:t>。</w:t>
      </w:r>
    </w:p>
    <w:p w14:paraId="37EE8D23">
      <w:pPr>
        <w:pStyle w:val="24"/>
        <w:bidi w:val="0"/>
        <w:rPr>
          <w:color w:val="FF0000"/>
        </w:rPr>
      </w:pPr>
      <w:r>
        <w:rPr>
          <w:rFonts w:hint="eastAsia"/>
          <w:color w:val="FF0000"/>
        </w:rPr>
        <w:t>表</w:t>
      </w:r>
      <w:r>
        <w:rPr>
          <w:rFonts w:hint="eastAsia"/>
          <w:color w:val="FF0000"/>
          <w:lang w:val="en-US" w:eastAsia="zh-CN"/>
        </w:rPr>
        <w:t>F2-2</w:t>
      </w:r>
      <w:r>
        <w:rPr>
          <w:color w:val="FF0000"/>
        </w:rPr>
        <w:t xml:space="preserve">  </w:t>
      </w:r>
      <w:r>
        <w:rPr>
          <w:rFonts w:hint="eastAsia"/>
          <w:color w:val="FF0000"/>
        </w:rPr>
        <w:t>行业及生产工艺（M）</w:t>
      </w:r>
    </w:p>
    <w:tbl>
      <w:tblPr>
        <w:tblStyle w:val="67"/>
        <w:tblW w:w="500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47" w:type="dxa"/>
          <w:left w:w="5" w:type="dxa"/>
          <w:bottom w:w="0" w:type="dxa"/>
          <w:right w:w="0" w:type="dxa"/>
        </w:tblCellMar>
      </w:tblPr>
      <w:tblGrid>
        <w:gridCol w:w="1323"/>
        <w:gridCol w:w="4214"/>
        <w:gridCol w:w="942"/>
        <w:gridCol w:w="1468"/>
        <w:gridCol w:w="1093"/>
      </w:tblGrid>
      <w:tr w14:paraId="032BD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7" w:type="dxa"/>
            <w:left w:w="5" w:type="dxa"/>
            <w:bottom w:w="0" w:type="dxa"/>
            <w:right w:w="0" w:type="dxa"/>
          </w:tblCellMar>
        </w:tblPrEx>
        <w:trPr>
          <w:trHeight w:val="331" w:hRule="atLeast"/>
        </w:trPr>
        <w:tc>
          <w:tcPr>
            <w:tcW w:w="732" w:type="pct"/>
          </w:tcPr>
          <w:p w14:paraId="585C3499">
            <w:pPr>
              <w:pStyle w:val="48"/>
              <w:rPr>
                <w:color w:val="FF0000"/>
              </w:rPr>
            </w:pPr>
            <w:r>
              <w:rPr>
                <w:color w:val="FF0000"/>
              </w:rPr>
              <w:t xml:space="preserve">行业 </w:t>
            </w:r>
          </w:p>
        </w:tc>
        <w:tc>
          <w:tcPr>
            <w:tcW w:w="2331" w:type="pct"/>
          </w:tcPr>
          <w:p w14:paraId="645AB90E">
            <w:pPr>
              <w:pStyle w:val="48"/>
              <w:rPr>
                <w:color w:val="FF0000"/>
              </w:rPr>
            </w:pPr>
            <w:r>
              <w:rPr>
                <w:color w:val="FF0000"/>
              </w:rPr>
              <w:t xml:space="preserve">评估依据 </w:t>
            </w:r>
          </w:p>
        </w:tc>
        <w:tc>
          <w:tcPr>
            <w:tcW w:w="521" w:type="pct"/>
          </w:tcPr>
          <w:p w14:paraId="077A485F">
            <w:pPr>
              <w:pStyle w:val="48"/>
              <w:rPr>
                <w:color w:val="FF0000"/>
              </w:rPr>
            </w:pPr>
            <w:r>
              <w:rPr>
                <w:color w:val="FF0000"/>
              </w:rPr>
              <w:t xml:space="preserve">分值 </w:t>
            </w:r>
          </w:p>
        </w:tc>
        <w:tc>
          <w:tcPr>
            <w:tcW w:w="811" w:type="pct"/>
          </w:tcPr>
          <w:p w14:paraId="793728C5">
            <w:pPr>
              <w:pStyle w:val="48"/>
              <w:rPr>
                <w:color w:val="FF0000"/>
              </w:rPr>
            </w:pPr>
            <w:r>
              <w:rPr>
                <w:color w:val="FF0000"/>
              </w:rPr>
              <w:t xml:space="preserve">项目涉及类别 </w:t>
            </w:r>
          </w:p>
        </w:tc>
        <w:tc>
          <w:tcPr>
            <w:tcW w:w="603" w:type="pct"/>
          </w:tcPr>
          <w:p w14:paraId="5423F99D">
            <w:pPr>
              <w:pStyle w:val="48"/>
              <w:rPr>
                <w:color w:val="FF0000"/>
              </w:rPr>
            </w:pPr>
            <w:r>
              <w:rPr>
                <w:color w:val="FF0000"/>
              </w:rPr>
              <w:t xml:space="preserve">项目分值 </w:t>
            </w:r>
          </w:p>
        </w:tc>
      </w:tr>
      <w:tr w14:paraId="5BDFD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7" w:type="dxa"/>
            <w:left w:w="5" w:type="dxa"/>
            <w:bottom w:w="0" w:type="dxa"/>
            <w:right w:w="0" w:type="dxa"/>
          </w:tblCellMar>
        </w:tblPrEx>
        <w:trPr>
          <w:trHeight w:val="1882" w:hRule="atLeast"/>
        </w:trPr>
        <w:tc>
          <w:tcPr>
            <w:tcW w:w="732" w:type="pct"/>
            <w:vMerge w:val="restart"/>
            <w:vAlign w:val="center"/>
          </w:tcPr>
          <w:p w14:paraId="435148B4">
            <w:pPr>
              <w:pStyle w:val="48"/>
              <w:rPr>
                <w:color w:val="FF0000"/>
              </w:rPr>
            </w:pPr>
            <w:r>
              <w:rPr>
                <w:color w:val="FF0000"/>
              </w:rPr>
              <w:t xml:space="preserve">石化、化工、医药、有色冶炼、轻工、化纤等 </w:t>
            </w:r>
          </w:p>
        </w:tc>
        <w:tc>
          <w:tcPr>
            <w:tcW w:w="2331" w:type="pct"/>
          </w:tcPr>
          <w:p w14:paraId="205EF5B1">
            <w:pPr>
              <w:pStyle w:val="48"/>
              <w:rPr>
                <w:color w:val="FF0000"/>
              </w:rPr>
            </w:pPr>
            <w:r>
              <w:rPr>
                <w:color w:val="FF0000"/>
              </w:rPr>
              <w:t xml:space="preserve">涉及光气及光气化工艺、电解工艺（氯碱）、氯化工艺、硝化工艺、合成氨工艺、裂解（裂化）工艺、氟化工艺、加氢工艺、重氮化工艺、氧化工艺、过氧化工艺、胺基化工艺、磺化工艺、聚合工艺、烷基化工艺、新型煤化工工艺、电石生产工艺、偶氮化工艺 </w:t>
            </w:r>
          </w:p>
        </w:tc>
        <w:tc>
          <w:tcPr>
            <w:tcW w:w="521" w:type="pct"/>
            <w:vAlign w:val="center"/>
          </w:tcPr>
          <w:p w14:paraId="760438AD">
            <w:pPr>
              <w:pStyle w:val="48"/>
              <w:rPr>
                <w:color w:val="FF0000"/>
              </w:rPr>
            </w:pPr>
            <w:r>
              <w:rPr>
                <w:color w:val="FF0000"/>
              </w:rPr>
              <w:t xml:space="preserve">10/每套 </w:t>
            </w:r>
          </w:p>
        </w:tc>
        <w:tc>
          <w:tcPr>
            <w:tcW w:w="811" w:type="pct"/>
            <w:vMerge w:val="restart"/>
            <w:vAlign w:val="center"/>
          </w:tcPr>
          <w:p w14:paraId="1AFF3997">
            <w:pPr>
              <w:pStyle w:val="48"/>
              <w:rPr>
                <w:rFonts w:hint="default" w:eastAsia="宋体"/>
                <w:color w:val="FF0000"/>
                <w:lang w:val="en-US" w:eastAsia="zh-CN"/>
              </w:rPr>
            </w:pPr>
            <w:r>
              <w:rPr>
                <w:rFonts w:hint="eastAsia"/>
                <w:color w:val="FF0000"/>
                <w:lang w:val="en-US" w:eastAsia="zh-CN"/>
              </w:rPr>
              <w:t>不属于所列行业</w:t>
            </w:r>
          </w:p>
        </w:tc>
        <w:tc>
          <w:tcPr>
            <w:tcW w:w="603" w:type="pct"/>
            <w:vAlign w:val="center"/>
          </w:tcPr>
          <w:p w14:paraId="4C510955">
            <w:pPr>
              <w:pStyle w:val="48"/>
              <w:rPr>
                <w:color w:val="FF0000"/>
              </w:rPr>
            </w:pPr>
            <w:r>
              <w:rPr>
                <w:color w:val="FF0000"/>
              </w:rPr>
              <w:t xml:space="preserve">0 </w:t>
            </w:r>
          </w:p>
        </w:tc>
      </w:tr>
      <w:tr w14:paraId="65F72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7" w:type="dxa"/>
            <w:left w:w="5" w:type="dxa"/>
            <w:bottom w:w="0" w:type="dxa"/>
            <w:right w:w="0" w:type="dxa"/>
          </w:tblCellMar>
        </w:tblPrEx>
        <w:trPr>
          <w:trHeight w:val="325" w:hRule="atLeast"/>
        </w:trPr>
        <w:tc>
          <w:tcPr>
            <w:tcW w:w="732" w:type="pct"/>
            <w:vMerge w:val="continue"/>
          </w:tcPr>
          <w:p w14:paraId="34C3A19D">
            <w:pPr>
              <w:pStyle w:val="48"/>
              <w:rPr>
                <w:color w:val="FF0000"/>
              </w:rPr>
            </w:pPr>
          </w:p>
        </w:tc>
        <w:tc>
          <w:tcPr>
            <w:tcW w:w="2331" w:type="pct"/>
          </w:tcPr>
          <w:p w14:paraId="501BD242">
            <w:pPr>
              <w:pStyle w:val="48"/>
              <w:rPr>
                <w:color w:val="FF0000"/>
              </w:rPr>
            </w:pPr>
            <w:r>
              <w:rPr>
                <w:color w:val="FF0000"/>
              </w:rPr>
              <w:t xml:space="preserve">无机酸制酸工艺、焦化工艺 </w:t>
            </w:r>
          </w:p>
        </w:tc>
        <w:tc>
          <w:tcPr>
            <w:tcW w:w="521" w:type="pct"/>
          </w:tcPr>
          <w:p w14:paraId="565E2017">
            <w:pPr>
              <w:pStyle w:val="48"/>
              <w:rPr>
                <w:color w:val="FF0000"/>
              </w:rPr>
            </w:pPr>
            <w:r>
              <w:rPr>
                <w:color w:val="FF0000"/>
              </w:rPr>
              <w:t xml:space="preserve">5/每套 </w:t>
            </w:r>
          </w:p>
        </w:tc>
        <w:tc>
          <w:tcPr>
            <w:tcW w:w="811" w:type="pct"/>
            <w:vMerge w:val="continue"/>
          </w:tcPr>
          <w:p w14:paraId="740204B1">
            <w:pPr>
              <w:pStyle w:val="48"/>
              <w:rPr>
                <w:color w:val="FF0000"/>
              </w:rPr>
            </w:pPr>
          </w:p>
        </w:tc>
        <w:tc>
          <w:tcPr>
            <w:tcW w:w="603" w:type="pct"/>
          </w:tcPr>
          <w:p w14:paraId="0C7B018D">
            <w:pPr>
              <w:pStyle w:val="48"/>
              <w:rPr>
                <w:color w:val="FF0000"/>
              </w:rPr>
            </w:pPr>
            <w:r>
              <w:rPr>
                <w:color w:val="FF0000"/>
              </w:rPr>
              <w:t xml:space="preserve">0 </w:t>
            </w:r>
          </w:p>
        </w:tc>
      </w:tr>
      <w:tr w14:paraId="47AAC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7" w:type="dxa"/>
            <w:left w:w="5" w:type="dxa"/>
            <w:bottom w:w="0" w:type="dxa"/>
            <w:right w:w="0" w:type="dxa"/>
          </w:tblCellMar>
        </w:tblPrEx>
        <w:trPr>
          <w:trHeight w:val="634" w:hRule="atLeast"/>
        </w:trPr>
        <w:tc>
          <w:tcPr>
            <w:tcW w:w="732" w:type="pct"/>
            <w:vMerge w:val="continue"/>
          </w:tcPr>
          <w:p w14:paraId="56713AC0">
            <w:pPr>
              <w:pStyle w:val="48"/>
              <w:rPr>
                <w:color w:val="FF0000"/>
              </w:rPr>
            </w:pPr>
          </w:p>
        </w:tc>
        <w:tc>
          <w:tcPr>
            <w:tcW w:w="2331" w:type="pct"/>
          </w:tcPr>
          <w:p w14:paraId="50E7C512">
            <w:pPr>
              <w:pStyle w:val="48"/>
              <w:rPr>
                <w:color w:val="FF0000"/>
              </w:rPr>
            </w:pPr>
            <w:r>
              <w:rPr>
                <w:color w:val="FF0000"/>
              </w:rPr>
              <w:t>其他高温或高压，且涉及危险物质的工艺过程</w:t>
            </w:r>
            <w:r>
              <w:rPr>
                <w:color w:val="FF0000"/>
                <w:vertAlign w:val="superscript"/>
              </w:rPr>
              <w:t>a</w:t>
            </w:r>
            <w:r>
              <w:rPr>
                <w:color w:val="FF0000"/>
              </w:rPr>
              <w:t>或危险物质储存罐区</w:t>
            </w:r>
          </w:p>
        </w:tc>
        <w:tc>
          <w:tcPr>
            <w:tcW w:w="521" w:type="pct"/>
          </w:tcPr>
          <w:p w14:paraId="66801DE7">
            <w:pPr>
              <w:pStyle w:val="48"/>
              <w:rPr>
                <w:color w:val="FF0000"/>
              </w:rPr>
            </w:pPr>
            <w:r>
              <w:rPr>
                <w:color w:val="FF0000"/>
              </w:rPr>
              <w:t xml:space="preserve">5/每套（罐区） </w:t>
            </w:r>
          </w:p>
        </w:tc>
        <w:tc>
          <w:tcPr>
            <w:tcW w:w="811" w:type="pct"/>
            <w:vMerge w:val="continue"/>
          </w:tcPr>
          <w:p w14:paraId="5C080301">
            <w:pPr>
              <w:pStyle w:val="48"/>
              <w:rPr>
                <w:color w:val="FF0000"/>
              </w:rPr>
            </w:pPr>
          </w:p>
        </w:tc>
        <w:tc>
          <w:tcPr>
            <w:tcW w:w="603" w:type="pct"/>
            <w:vAlign w:val="center"/>
          </w:tcPr>
          <w:p w14:paraId="3A682045">
            <w:pPr>
              <w:pStyle w:val="48"/>
              <w:rPr>
                <w:color w:val="FF0000"/>
              </w:rPr>
            </w:pPr>
            <w:r>
              <w:rPr>
                <w:color w:val="FF0000"/>
              </w:rPr>
              <w:t xml:space="preserve">0 </w:t>
            </w:r>
          </w:p>
        </w:tc>
      </w:tr>
      <w:tr w14:paraId="1D9E9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7" w:type="dxa"/>
            <w:left w:w="5" w:type="dxa"/>
            <w:bottom w:w="0" w:type="dxa"/>
            <w:right w:w="0" w:type="dxa"/>
          </w:tblCellMar>
        </w:tblPrEx>
        <w:trPr>
          <w:trHeight w:val="634" w:hRule="atLeast"/>
        </w:trPr>
        <w:tc>
          <w:tcPr>
            <w:tcW w:w="732" w:type="pct"/>
          </w:tcPr>
          <w:p w14:paraId="7DC43578">
            <w:pPr>
              <w:pStyle w:val="48"/>
              <w:rPr>
                <w:color w:val="FF0000"/>
              </w:rPr>
            </w:pPr>
            <w:r>
              <w:rPr>
                <w:color w:val="FF0000"/>
              </w:rPr>
              <w:t xml:space="preserve">管道、港口/ 码头等 </w:t>
            </w:r>
          </w:p>
        </w:tc>
        <w:tc>
          <w:tcPr>
            <w:tcW w:w="2331" w:type="pct"/>
            <w:vAlign w:val="center"/>
          </w:tcPr>
          <w:p w14:paraId="6B443826">
            <w:pPr>
              <w:pStyle w:val="48"/>
              <w:rPr>
                <w:color w:val="FF0000"/>
              </w:rPr>
            </w:pPr>
            <w:r>
              <w:rPr>
                <w:color w:val="FF0000"/>
              </w:rPr>
              <w:t xml:space="preserve">涉及危险物质管道运输项目、港口/码头等 </w:t>
            </w:r>
          </w:p>
        </w:tc>
        <w:tc>
          <w:tcPr>
            <w:tcW w:w="521" w:type="pct"/>
            <w:vAlign w:val="center"/>
          </w:tcPr>
          <w:p w14:paraId="332AF7E0">
            <w:pPr>
              <w:pStyle w:val="48"/>
              <w:rPr>
                <w:color w:val="FF0000"/>
              </w:rPr>
            </w:pPr>
            <w:r>
              <w:rPr>
                <w:color w:val="FF0000"/>
              </w:rPr>
              <w:t xml:space="preserve">10 </w:t>
            </w:r>
          </w:p>
        </w:tc>
        <w:tc>
          <w:tcPr>
            <w:tcW w:w="811" w:type="pct"/>
            <w:vAlign w:val="center"/>
          </w:tcPr>
          <w:p w14:paraId="12741FC6">
            <w:pPr>
              <w:pStyle w:val="48"/>
              <w:rPr>
                <w:rFonts w:hint="default" w:eastAsia="宋体"/>
                <w:color w:val="FF0000"/>
                <w:lang w:val="en-US" w:eastAsia="zh-CN"/>
              </w:rPr>
            </w:pPr>
            <w:r>
              <w:rPr>
                <w:rFonts w:hint="eastAsia"/>
                <w:color w:val="FF0000"/>
                <w:lang w:val="en-US" w:eastAsia="zh-CN"/>
              </w:rPr>
              <w:t>不属于所列行业</w:t>
            </w:r>
          </w:p>
        </w:tc>
        <w:tc>
          <w:tcPr>
            <w:tcW w:w="603" w:type="pct"/>
            <w:vAlign w:val="center"/>
          </w:tcPr>
          <w:p w14:paraId="0BF3A8C7">
            <w:pPr>
              <w:pStyle w:val="48"/>
              <w:rPr>
                <w:color w:val="FF0000"/>
              </w:rPr>
            </w:pPr>
            <w:r>
              <w:rPr>
                <w:rFonts w:hint="eastAsia"/>
                <w:color w:val="FF0000"/>
                <w:lang w:val="en-US" w:eastAsia="zh-CN"/>
              </w:rPr>
              <w:t>0</w:t>
            </w:r>
            <w:r>
              <w:rPr>
                <w:color w:val="FF0000"/>
              </w:rPr>
              <w:t xml:space="preserve"> </w:t>
            </w:r>
          </w:p>
        </w:tc>
      </w:tr>
      <w:tr w14:paraId="4C3F0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7" w:type="dxa"/>
            <w:left w:w="5" w:type="dxa"/>
            <w:bottom w:w="0" w:type="dxa"/>
            <w:right w:w="0" w:type="dxa"/>
          </w:tblCellMar>
        </w:tblPrEx>
        <w:trPr>
          <w:trHeight w:val="946" w:hRule="atLeast"/>
        </w:trPr>
        <w:tc>
          <w:tcPr>
            <w:tcW w:w="732" w:type="pct"/>
            <w:vAlign w:val="center"/>
          </w:tcPr>
          <w:p w14:paraId="67FF013C">
            <w:pPr>
              <w:pStyle w:val="48"/>
              <w:rPr>
                <w:color w:val="FF0000"/>
              </w:rPr>
            </w:pPr>
            <w:r>
              <w:rPr>
                <w:color w:val="FF0000"/>
              </w:rPr>
              <w:t xml:space="preserve">石油天然气 </w:t>
            </w:r>
          </w:p>
        </w:tc>
        <w:tc>
          <w:tcPr>
            <w:tcW w:w="2331" w:type="pct"/>
          </w:tcPr>
          <w:p w14:paraId="3CDF48DE">
            <w:pPr>
              <w:pStyle w:val="48"/>
              <w:rPr>
                <w:color w:val="FF0000"/>
              </w:rPr>
            </w:pPr>
            <w:r>
              <w:rPr>
                <w:color w:val="FF0000"/>
              </w:rPr>
              <w:t xml:space="preserve">石油、天然气、页岩气开采（含净化），气库（不含加气站的气库），油库（不含加气站的气库）、油气管线 b （不含城镇燃气管线） </w:t>
            </w:r>
          </w:p>
        </w:tc>
        <w:tc>
          <w:tcPr>
            <w:tcW w:w="521" w:type="pct"/>
            <w:vAlign w:val="center"/>
          </w:tcPr>
          <w:p w14:paraId="5CFB3FF8">
            <w:pPr>
              <w:pStyle w:val="48"/>
              <w:rPr>
                <w:color w:val="FF0000"/>
              </w:rPr>
            </w:pPr>
            <w:r>
              <w:rPr>
                <w:color w:val="FF0000"/>
              </w:rPr>
              <w:t xml:space="preserve">10 </w:t>
            </w:r>
          </w:p>
        </w:tc>
        <w:tc>
          <w:tcPr>
            <w:tcW w:w="811" w:type="pct"/>
            <w:vAlign w:val="center"/>
          </w:tcPr>
          <w:p w14:paraId="2DD1E656">
            <w:pPr>
              <w:pStyle w:val="48"/>
              <w:rPr>
                <w:rFonts w:hint="default" w:eastAsia="宋体"/>
                <w:color w:val="FF0000"/>
                <w:lang w:val="en-US" w:eastAsia="zh-CN"/>
              </w:rPr>
            </w:pPr>
            <w:r>
              <w:rPr>
                <w:rFonts w:hint="eastAsia"/>
                <w:color w:val="FF0000"/>
                <w:lang w:val="en-US" w:eastAsia="zh-CN"/>
              </w:rPr>
              <w:t>不涉及石油天然气等开采，不涉及油库，不涉及油气管线</w:t>
            </w:r>
          </w:p>
        </w:tc>
        <w:tc>
          <w:tcPr>
            <w:tcW w:w="603" w:type="pct"/>
            <w:vAlign w:val="center"/>
          </w:tcPr>
          <w:p w14:paraId="687E3187">
            <w:pPr>
              <w:pStyle w:val="48"/>
              <w:rPr>
                <w:color w:val="FF0000"/>
              </w:rPr>
            </w:pPr>
            <w:r>
              <w:rPr>
                <w:color w:val="FF0000"/>
              </w:rPr>
              <w:t xml:space="preserve">0 </w:t>
            </w:r>
          </w:p>
        </w:tc>
      </w:tr>
      <w:tr w14:paraId="51167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7" w:type="dxa"/>
            <w:left w:w="5" w:type="dxa"/>
            <w:bottom w:w="0" w:type="dxa"/>
            <w:right w:w="0" w:type="dxa"/>
          </w:tblCellMar>
        </w:tblPrEx>
        <w:trPr>
          <w:trHeight w:val="322" w:hRule="atLeast"/>
        </w:trPr>
        <w:tc>
          <w:tcPr>
            <w:tcW w:w="732" w:type="pct"/>
            <w:vAlign w:val="center"/>
          </w:tcPr>
          <w:p w14:paraId="284BF4A6">
            <w:pPr>
              <w:pStyle w:val="48"/>
              <w:jc w:val="center"/>
              <w:rPr>
                <w:color w:val="FF0000"/>
              </w:rPr>
            </w:pPr>
            <w:r>
              <w:rPr>
                <w:color w:val="FF0000"/>
              </w:rPr>
              <w:t>其它</w:t>
            </w:r>
          </w:p>
        </w:tc>
        <w:tc>
          <w:tcPr>
            <w:tcW w:w="2331" w:type="pct"/>
            <w:vAlign w:val="center"/>
          </w:tcPr>
          <w:p w14:paraId="04F545DF">
            <w:pPr>
              <w:pStyle w:val="48"/>
              <w:jc w:val="center"/>
              <w:rPr>
                <w:color w:val="FF0000"/>
              </w:rPr>
            </w:pPr>
            <w:r>
              <w:rPr>
                <w:color w:val="FF0000"/>
              </w:rPr>
              <w:t>涉及危险物质储存、使用的项目</w:t>
            </w:r>
          </w:p>
        </w:tc>
        <w:tc>
          <w:tcPr>
            <w:tcW w:w="521" w:type="pct"/>
            <w:vAlign w:val="center"/>
          </w:tcPr>
          <w:p w14:paraId="50862D04">
            <w:pPr>
              <w:pStyle w:val="48"/>
              <w:jc w:val="center"/>
              <w:rPr>
                <w:color w:val="FF0000"/>
              </w:rPr>
            </w:pPr>
            <w:r>
              <w:rPr>
                <w:color w:val="FF0000"/>
              </w:rPr>
              <w:t>5</w:t>
            </w:r>
          </w:p>
        </w:tc>
        <w:tc>
          <w:tcPr>
            <w:tcW w:w="811" w:type="pct"/>
            <w:vAlign w:val="center"/>
          </w:tcPr>
          <w:p w14:paraId="4679C45A">
            <w:pPr>
              <w:pStyle w:val="48"/>
              <w:jc w:val="center"/>
              <w:rPr>
                <w:rFonts w:hint="default" w:eastAsia="宋体"/>
                <w:color w:val="FF0000"/>
                <w:lang w:val="en-US" w:eastAsia="zh-CN"/>
              </w:rPr>
            </w:pPr>
            <w:r>
              <w:rPr>
                <w:rFonts w:hint="eastAsia"/>
                <w:color w:val="FF0000"/>
                <w:lang w:val="en-US" w:eastAsia="zh-CN"/>
              </w:rPr>
              <w:t>涉及危险物质的贮存</w:t>
            </w:r>
          </w:p>
        </w:tc>
        <w:tc>
          <w:tcPr>
            <w:tcW w:w="603" w:type="pct"/>
            <w:vAlign w:val="center"/>
          </w:tcPr>
          <w:p w14:paraId="486E78A0">
            <w:pPr>
              <w:pStyle w:val="48"/>
              <w:jc w:val="center"/>
              <w:rPr>
                <w:color w:val="FF0000"/>
              </w:rPr>
            </w:pPr>
            <w:r>
              <w:rPr>
                <w:rFonts w:hint="eastAsia"/>
                <w:color w:val="FF0000"/>
                <w:lang w:val="en-US" w:eastAsia="zh-CN"/>
              </w:rPr>
              <w:t>5</w:t>
            </w:r>
          </w:p>
        </w:tc>
      </w:tr>
      <w:tr w14:paraId="79C77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7" w:type="dxa"/>
            <w:left w:w="5" w:type="dxa"/>
            <w:bottom w:w="0" w:type="dxa"/>
            <w:right w:w="0" w:type="dxa"/>
          </w:tblCellMar>
        </w:tblPrEx>
        <w:trPr>
          <w:trHeight w:val="322" w:hRule="atLeast"/>
        </w:trPr>
        <w:tc>
          <w:tcPr>
            <w:tcW w:w="4396" w:type="pct"/>
            <w:gridSpan w:val="4"/>
          </w:tcPr>
          <w:p w14:paraId="66609B92">
            <w:pPr>
              <w:pStyle w:val="48"/>
              <w:rPr>
                <w:color w:val="FF0000"/>
              </w:rPr>
            </w:pPr>
            <w:r>
              <w:rPr>
                <w:color w:val="FF0000"/>
              </w:rPr>
              <w:t xml:space="preserve">合计 </w:t>
            </w:r>
          </w:p>
        </w:tc>
        <w:tc>
          <w:tcPr>
            <w:tcW w:w="603" w:type="pct"/>
          </w:tcPr>
          <w:p w14:paraId="233D17D1">
            <w:pPr>
              <w:pStyle w:val="48"/>
              <w:rPr>
                <w:color w:val="FF0000"/>
              </w:rPr>
            </w:pPr>
            <w:r>
              <w:rPr>
                <w:color w:val="FF0000"/>
              </w:rPr>
              <w:t xml:space="preserve">10 </w:t>
            </w:r>
          </w:p>
        </w:tc>
      </w:tr>
      <w:tr w14:paraId="09A24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7" w:type="dxa"/>
            <w:left w:w="5" w:type="dxa"/>
            <w:bottom w:w="0" w:type="dxa"/>
            <w:right w:w="0" w:type="dxa"/>
          </w:tblCellMar>
        </w:tblPrEx>
        <w:trPr>
          <w:trHeight w:val="646" w:hRule="atLeast"/>
        </w:trPr>
        <w:tc>
          <w:tcPr>
            <w:tcW w:w="5000" w:type="pct"/>
            <w:gridSpan w:val="5"/>
          </w:tcPr>
          <w:p w14:paraId="74145B32">
            <w:pPr>
              <w:pStyle w:val="48"/>
              <w:rPr>
                <w:color w:val="FF0000"/>
              </w:rPr>
            </w:pPr>
            <w:r>
              <w:rPr>
                <w:color w:val="FF0000"/>
              </w:rPr>
              <w:t xml:space="preserve">a.高温指工艺温度≥300C，高压指压力容器的设计压力(p) 210.0Mpa: </w:t>
            </w:r>
          </w:p>
          <w:p w14:paraId="4BFB7AC9">
            <w:pPr>
              <w:pStyle w:val="48"/>
              <w:rPr>
                <w:color w:val="FF0000"/>
              </w:rPr>
            </w:pPr>
            <w:r>
              <w:rPr>
                <w:color w:val="FF0000"/>
              </w:rPr>
              <w:t xml:space="preserve">b.长输管道运输项目应按站场、管线分段进行评价 </w:t>
            </w:r>
          </w:p>
        </w:tc>
      </w:tr>
    </w:tbl>
    <w:p w14:paraId="5D1A75B4">
      <w:pPr>
        <w:pStyle w:val="25"/>
        <w:bidi w:val="0"/>
      </w:pPr>
      <w:r>
        <w:rPr>
          <w:rFonts w:hint="eastAsia"/>
        </w:rPr>
        <w:t>（3）P的分级</w:t>
      </w:r>
    </w:p>
    <w:p w14:paraId="5B225D5F">
      <w:pPr>
        <w:pStyle w:val="25"/>
        <w:bidi w:val="0"/>
        <w:rPr>
          <w:rFonts w:hint="eastAsia"/>
        </w:rPr>
      </w:pPr>
      <w:r>
        <w:rPr>
          <w:rFonts w:hint="eastAsia"/>
        </w:rPr>
        <w:t>根据</w:t>
      </w:r>
      <w:r>
        <w:t>《建设项目环境风险评价技术导则》（HJ169-2018）</w:t>
      </w:r>
      <w:r>
        <w:rPr>
          <w:rFonts w:hint="eastAsia"/>
        </w:rPr>
        <w:t>附录表C</w:t>
      </w:r>
      <w:r>
        <w:t>.2</w:t>
      </w:r>
      <w:r>
        <w:rPr>
          <w:rFonts w:hint="eastAsia"/>
        </w:rPr>
        <w:t>可知，本项目</w:t>
      </w:r>
      <w:r>
        <w:rPr>
          <w:rFonts w:hint="eastAsia"/>
          <w:color w:val="FF0000"/>
          <w:lang w:val="en-US" w:eastAsia="zh-CN"/>
        </w:rPr>
        <w:t>1≤Q＜10</w:t>
      </w:r>
      <w:r>
        <w:rPr>
          <w:rFonts w:hint="eastAsia"/>
          <w:color w:val="FF0000"/>
        </w:rPr>
        <w:t>，M</w:t>
      </w:r>
      <w:r>
        <w:rPr>
          <w:rFonts w:hint="eastAsia"/>
        </w:rPr>
        <w:t>为M</w:t>
      </w:r>
      <w:r>
        <w:rPr>
          <w:rFonts w:hint="eastAsia"/>
          <w:lang w:val="en-US" w:eastAsia="zh-CN"/>
        </w:rPr>
        <w:t>3</w:t>
      </w:r>
      <w:r>
        <w:rPr>
          <w:rFonts w:hint="eastAsia"/>
        </w:rPr>
        <w:t>，则可判定P等级为P</w:t>
      </w:r>
      <w:r>
        <w:rPr>
          <w:rFonts w:hint="eastAsia"/>
          <w:lang w:val="en-US" w:eastAsia="zh-CN"/>
        </w:rPr>
        <w:t>4</w:t>
      </w:r>
      <w:r>
        <w:rPr>
          <w:rFonts w:hint="eastAsia"/>
        </w:rPr>
        <w:t>。</w:t>
      </w:r>
    </w:p>
    <w:p w14:paraId="5064DD54">
      <w:pPr>
        <w:pStyle w:val="63"/>
        <w:bidi w:val="0"/>
      </w:pPr>
      <w:r>
        <w:rPr>
          <w:rFonts w:hint="eastAsia"/>
        </w:rPr>
        <w:t>表</w:t>
      </w:r>
      <w:r>
        <w:rPr>
          <w:rFonts w:hint="eastAsia"/>
          <w:lang w:val="en-US" w:eastAsia="zh-CN"/>
        </w:rPr>
        <w:t>F2-3</w:t>
      </w:r>
      <w:r>
        <w:t xml:space="preserve"> </w:t>
      </w:r>
      <w:r>
        <w:rPr>
          <w:rFonts w:hint="eastAsia"/>
        </w:rPr>
        <w:t>危险物质及工艺系统危险性等级判断（P）</w:t>
      </w:r>
    </w:p>
    <w:tbl>
      <w:tblPr>
        <w:tblStyle w:val="6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825"/>
        <w:gridCol w:w="1815"/>
        <w:gridCol w:w="1815"/>
        <w:gridCol w:w="1811"/>
        <w:gridCol w:w="1816"/>
      </w:tblGrid>
      <w:tr w14:paraId="5B5C1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1005" w:type="pct"/>
            <w:vMerge w:val="restart"/>
            <w:vAlign w:val="center"/>
          </w:tcPr>
          <w:p w14:paraId="0A8B3E09">
            <w:pPr>
              <w:pStyle w:val="48"/>
            </w:pPr>
            <w:r>
              <w:t>危险物质数量与临界量比值 Q</w:t>
            </w:r>
          </w:p>
        </w:tc>
        <w:tc>
          <w:tcPr>
            <w:tcW w:w="3995" w:type="pct"/>
            <w:gridSpan w:val="4"/>
            <w:vAlign w:val="center"/>
          </w:tcPr>
          <w:p w14:paraId="1AD7942C">
            <w:pPr>
              <w:pStyle w:val="48"/>
            </w:pPr>
            <w:r>
              <w:t>所属行业及生产工艺特点（M）</w:t>
            </w:r>
          </w:p>
        </w:tc>
      </w:tr>
      <w:tr w14:paraId="0E24B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1005" w:type="pct"/>
            <w:vMerge w:val="continue"/>
            <w:vAlign w:val="center"/>
          </w:tcPr>
          <w:p w14:paraId="7728A3C2">
            <w:pPr>
              <w:pStyle w:val="48"/>
            </w:pPr>
          </w:p>
        </w:tc>
        <w:tc>
          <w:tcPr>
            <w:tcW w:w="999" w:type="pct"/>
            <w:vAlign w:val="center"/>
          </w:tcPr>
          <w:p w14:paraId="6D1F452E">
            <w:pPr>
              <w:pStyle w:val="48"/>
            </w:pPr>
            <w:r>
              <w:t>M1</w:t>
            </w:r>
          </w:p>
        </w:tc>
        <w:tc>
          <w:tcPr>
            <w:tcW w:w="999" w:type="pct"/>
            <w:vAlign w:val="center"/>
          </w:tcPr>
          <w:p w14:paraId="63ADF1B7">
            <w:pPr>
              <w:pStyle w:val="48"/>
            </w:pPr>
            <w:r>
              <w:t>M2</w:t>
            </w:r>
          </w:p>
        </w:tc>
        <w:tc>
          <w:tcPr>
            <w:tcW w:w="997" w:type="pct"/>
            <w:vAlign w:val="center"/>
          </w:tcPr>
          <w:p w14:paraId="231EEB00">
            <w:pPr>
              <w:pStyle w:val="48"/>
            </w:pPr>
            <w:r>
              <w:t>M3</w:t>
            </w:r>
          </w:p>
        </w:tc>
        <w:tc>
          <w:tcPr>
            <w:tcW w:w="1000" w:type="pct"/>
            <w:vAlign w:val="center"/>
          </w:tcPr>
          <w:p w14:paraId="742A1997">
            <w:pPr>
              <w:pStyle w:val="48"/>
            </w:pPr>
            <w:r>
              <w:t>M4</w:t>
            </w:r>
          </w:p>
        </w:tc>
      </w:tr>
      <w:tr w14:paraId="474EC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1005" w:type="pct"/>
            <w:vAlign w:val="center"/>
          </w:tcPr>
          <w:p w14:paraId="31A86C5A">
            <w:pPr>
              <w:pStyle w:val="48"/>
            </w:pPr>
            <w:r>
              <w:rPr>
                <w:rFonts w:hint="eastAsia"/>
              </w:rPr>
              <w:t>Q≥</w:t>
            </w:r>
            <w:r>
              <w:t>100</w:t>
            </w:r>
          </w:p>
        </w:tc>
        <w:tc>
          <w:tcPr>
            <w:tcW w:w="999" w:type="pct"/>
            <w:vAlign w:val="center"/>
          </w:tcPr>
          <w:p w14:paraId="25518B1E">
            <w:pPr>
              <w:pStyle w:val="48"/>
            </w:pPr>
            <w:r>
              <w:t>P1</w:t>
            </w:r>
          </w:p>
        </w:tc>
        <w:tc>
          <w:tcPr>
            <w:tcW w:w="999" w:type="pct"/>
            <w:vAlign w:val="center"/>
          </w:tcPr>
          <w:p w14:paraId="4452D03F">
            <w:pPr>
              <w:pStyle w:val="48"/>
            </w:pPr>
            <w:r>
              <w:t>P1</w:t>
            </w:r>
          </w:p>
        </w:tc>
        <w:tc>
          <w:tcPr>
            <w:tcW w:w="997" w:type="pct"/>
            <w:vAlign w:val="center"/>
          </w:tcPr>
          <w:p w14:paraId="380BCC44">
            <w:pPr>
              <w:pStyle w:val="48"/>
            </w:pPr>
            <w:r>
              <w:t>P2</w:t>
            </w:r>
          </w:p>
        </w:tc>
        <w:tc>
          <w:tcPr>
            <w:tcW w:w="1000" w:type="pct"/>
            <w:vAlign w:val="center"/>
          </w:tcPr>
          <w:p w14:paraId="37A81C34">
            <w:pPr>
              <w:pStyle w:val="48"/>
            </w:pPr>
            <w:r>
              <w:t>P3</w:t>
            </w:r>
          </w:p>
        </w:tc>
      </w:tr>
      <w:tr w14:paraId="60AD0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1005" w:type="pct"/>
            <w:vAlign w:val="center"/>
          </w:tcPr>
          <w:p w14:paraId="340F5A1A">
            <w:pPr>
              <w:pStyle w:val="48"/>
            </w:pPr>
            <w:r>
              <w:rPr>
                <w:rFonts w:hint="eastAsia"/>
              </w:rPr>
              <w:t>1</w:t>
            </w:r>
            <w:r>
              <w:t>0</w:t>
            </w:r>
            <w:r>
              <w:rPr>
                <w:rFonts w:hint="eastAsia"/>
              </w:rPr>
              <w:t>≤Q＜1</w:t>
            </w:r>
            <w:r>
              <w:t>00</w:t>
            </w:r>
          </w:p>
        </w:tc>
        <w:tc>
          <w:tcPr>
            <w:tcW w:w="999" w:type="pct"/>
            <w:vAlign w:val="center"/>
          </w:tcPr>
          <w:p w14:paraId="4C005855">
            <w:pPr>
              <w:pStyle w:val="48"/>
            </w:pPr>
            <w:r>
              <w:t>P1</w:t>
            </w:r>
          </w:p>
        </w:tc>
        <w:tc>
          <w:tcPr>
            <w:tcW w:w="999" w:type="pct"/>
            <w:vAlign w:val="center"/>
          </w:tcPr>
          <w:p w14:paraId="44499A42">
            <w:pPr>
              <w:pStyle w:val="48"/>
            </w:pPr>
            <w:r>
              <w:t>P2</w:t>
            </w:r>
          </w:p>
        </w:tc>
        <w:tc>
          <w:tcPr>
            <w:tcW w:w="997" w:type="pct"/>
            <w:vAlign w:val="center"/>
          </w:tcPr>
          <w:p w14:paraId="56AFA699">
            <w:pPr>
              <w:pStyle w:val="48"/>
            </w:pPr>
            <w:r>
              <w:t>P3</w:t>
            </w:r>
          </w:p>
        </w:tc>
        <w:tc>
          <w:tcPr>
            <w:tcW w:w="1000" w:type="pct"/>
            <w:vAlign w:val="center"/>
          </w:tcPr>
          <w:p w14:paraId="2B972682">
            <w:pPr>
              <w:pStyle w:val="48"/>
            </w:pPr>
            <w:r>
              <w:t>P4</w:t>
            </w:r>
          </w:p>
        </w:tc>
      </w:tr>
      <w:tr w14:paraId="68ED0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1005" w:type="pct"/>
            <w:vAlign w:val="center"/>
          </w:tcPr>
          <w:p w14:paraId="688F69BD">
            <w:pPr>
              <w:pStyle w:val="48"/>
            </w:pPr>
            <w:r>
              <w:rPr>
                <w:rFonts w:hint="eastAsia"/>
              </w:rPr>
              <w:t>1≤Q＜1</w:t>
            </w:r>
            <w:r>
              <w:t>0</w:t>
            </w:r>
          </w:p>
        </w:tc>
        <w:tc>
          <w:tcPr>
            <w:tcW w:w="999" w:type="pct"/>
            <w:vAlign w:val="center"/>
          </w:tcPr>
          <w:p w14:paraId="60D874F0">
            <w:pPr>
              <w:pStyle w:val="48"/>
            </w:pPr>
            <w:r>
              <w:t>P2</w:t>
            </w:r>
          </w:p>
        </w:tc>
        <w:tc>
          <w:tcPr>
            <w:tcW w:w="999" w:type="pct"/>
            <w:vAlign w:val="center"/>
          </w:tcPr>
          <w:p w14:paraId="6B0B1000">
            <w:pPr>
              <w:pStyle w:val="48"/>
            </w:pPr>
            <w:r>
              <w:t>P3</w:t>
            </w:r>
          </w:p>
        </w:tc>
        <w:tc>
          <w:tcPr>
            <w:tcW w:w="997" w:type="pct"/>
            <w:vAlign w:val="center"/>
          </w:tcPr>
          <w:p w14:paraId="2271B0A9">
            <w:pPr>
              <w:pStyle w:val="48"/>
            </w:pPr>
            <w:r>
              <w:t>P4</w:t>
            </w:r>
          </w:p>
        </w:tc>
        <w:tc>
          <w:tcPr>
            <w:tcW w:w="1000" w:type="pct"/>
            <w:vAlign w:val="center"/>
          </w:tcPr>
          <w:p w14:paraId="7E930328">
            <w:pPr>
              <w:pStyle w:val="48"/>
            </w:pPr>
            <w:r>
              <w:t>P4</w:t>
            </w:r>
          </w:p>
        </w:tc>
      </w:tr>
    </w:tbl>
    <w:p w14:paraId="26AABFC6">
      <w:pPr>
        <w:pStyle w:val="34"/>
        <w:bidi w:val="0"/>
        <w:rPr>
          <w:rFonts w:hint="eastAsia"/>
          <w:lang w:val="en-US" w:eastAsia="zh-CN"/>
        </w:rPr>
      </w:pPr>
      <w:r>
        <w:rPr>
          <w:rFonts w:hint="eastAsia"/>
          <w:lang w:val="en-US" w:eastAsia="zh-CN"/>
        </w:rPr>
        <w:t>F2.1.2E的分级确定</w:t>
      </w:r>
    </w:p>
    <w:p w14:paraId="2CC572E2">
      <w:pPr>
        <w:pStyle w:val="30"/>
        <w:ind w:firstLine="480"/>
      </w:pPr>
      <w:r>
        <w:rPr>
          <w:rFonts w:hint="eastAsia"/>
        </w:rPr>
        <w:t>（1）大气环境</w:t>
      </w:r>
    </w:p>
    <w:p w14:paraId="2DD52637">
      <w:pPr>
        <w:pStyle w:val="25"/>
        <w:bidi w:val="0"/>
      </w:pPr>
      <w:r>
        <w:rPr>
          <w:rFonts w:hint="eastAsia"/>
        </w:rPr>
        <w:t>本项目周边5</w:t>
      </w:r>
      <w:r>
        <w:t>00</w:t>
      </w:r>
      <w:r>
        <w:rPr>
          <w:rFonts w:hint="eastAsia"/>
        </w:rPr>
        <w:t>m范围内人口数量约为</w:t>
      </w:r>
      <w:r>
        <w:rPr>
          <w:rFonts w:hint="eastAsia"/>
          <w:lang w:val="en-US" w:eastAsia="zh-CN"/>
        </w:rPr>
        <w:t>430</w:t>
      </w:r>
      <w:r>
        <w:rPr>
          <w:rFonts w:hint="eastAsia"/>
        </w:rPr>
        <w:t>人，</w:t>
      </w:r>
      <w:r>
        <w:rPr>
          <w:rFonts w:hint="eastAsia"/>
          <w:color w:val="FF0000"/>
        </w:rPr>
        <w:t>周边</w:t>
      </w:r>
      <w:r>
        <w:rPr>
          <w:color w:val="FF0000"/>
        </w:rPr>
        <w:t>5</w:t>
      </w:r>
      <w:r>
        <w:rPr>
          <w:rFonts w:hint="eastAsia"/>
          <w:color w:val="FF0000"/>
        </w:rPr>
        <w:t>km范围内约为</w:t>
      </w:r>
      <w:r>
        <w:rPr>
          <w:rFonts w:hint="eastAsia"/>
          <w:color w:val="FF0000"/>
          <w:lang w:val="en-US" w:eastAsia="zh-CN"/>
        </w:rPr>
        <w:t>4..02</w:t>
      </w:r>
      <w:r>
        <w:rPr>
          <w:rFonts w:hint="eastAsia"/>
          <w:color w:val="FF0000"/>
        </w:rPr>
        <w:t>万人，</w:t>
      </w:r>
      <w:r>
        <w:rPr>
          <w:rFonts w:hint="eastAsia"/>
        </w:rPr>
        <w:t>根据</w:t>
      </w:r>
      <w:r>
        <w:t>《建设项目环境风险评价技术导则》（HJ169-2018）</w:t>
      </w:r>
      <w:r>
        <w:rPr>
          <w:rFonts w:hint="eastAsia"/>
        </w:rPr>
        <w:t>附录D</w:t>
      </w:r>
      <w:r>
        <w:t>.1</w:t>
      </w:r>
      <w:r>
        <w:rPr>
          <w:rFonts w:hint="eastAsia"/>
        </w:rPr>
        <w:t>可知，项目大气环境敏感程度为E</w:t>
      </w:r>
      <w:r>
        <w:rPr>
          <w:rFonts w:hint="eastAsia"/>
          <w:lang w:val="en-US" w:eastAsia="zh-CN"/>
        </w:rPr>
        <w:t>2</w:t>
      </w:r>
      <w:r>
        <w:rPr>
          <w:rFonts w:hint="eastAsia"/>
        </w:rPr>
        <w:t>。</w:t>
      </w:r>
    </w:p>
    <w:p w14:paraId="322C42C9">
      <w:pPr>
        <w:pStyle w:val="24"/>
        <w:bidi w:val="0"/>
      </w:pPr>
      <w:r>
        <w:rPr>
          <w:rFonts w:hint="eastAsia"/>
        </w:rPr>
        <w:t>表</w:t>
      </w:r>
      <w:r>
        <w:rPr>
          <w:rFonts w:hint="eastAsia"/>
          <w:lang w:val="en-US" w:eastAsia="zh-CN"/>
        </w:rPr>
        <w:t>F2-4</w:t>
      </w:r>
      <w:r>
        <w:t xml:space="preserve">  </w:t>
      </w:r>
      <w:r>
        <w:rPr>
          <w:rFonts w:hint="eastAsia"/>
        </w:rPr>
        <w:t>大气环境敏感程度分级</w:t>
      </w:r>
    </w:p>
    <w:tbl>
      <w:tblPr>
        <w:tblStyle w:val="1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3"/>
        <w:gridCol w:w="7667"/>
      </w:tblGrid>
      <w:tr w14:paraId="0E0D4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1" w:type="pct"/>
            <w:vAlign w:val="center"/>
          </w:tcPr>
          <w:p w14:paraId="4D98D639">
            <w:pPr>
              <w:pStyle w:val="48"/>
              <w:rPr>
                <w:rFonts w:cs="Times New Roman"/>
              </w:rPr>
            </w:pPr>
            <w:r>
              <w:rPr>
                <w:rFonts w:hint="eastAsia" w:cs="Times New Roman"/>
              </w:rPr>
              <w:t>分级</w:t>
            </w:r>
          </w:p>
        </w:tc>
        <w:tc>
          <w:tcPr>
            <w:tcW w:w="4148" w:type="pct"/>
            <w:vAlign w:val="center"/>
          </w:tcPr>
          <w:p w14:paraId="7B5F31FA">
            <w:pPr>
              <w:pStyle w:val="48"/>
              <w:rPr>
                <w:rFonts w:cs="Times New Roman"/>
              </w:rPr>
            </w:pPr>
            <w:r>
              <w:rPr>
                <w:rFonts w:hint="eastAsia" w:cs="Times New Roman"/>
              </w:rPr>
              <w:t>大气环境敏感性</w:t>
            </w:r>
          </w:p>
        </w:tc>
      </w:tr>
      <w:tr w14:paraId="2CD32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pct"/>
            <w:vAlign w:val="center"/>
          </w:tcPr>
          <w:p w14:paraId="2F253E46">
            <w:pPr>
              <w:pStyle w:val="48"/>
              <w:rPr>
                <w:rFonts w:cs="Times New Roman"/>
              </w:rPr>
            </w:pPr>
            <w:r>
              <w:rPr>
                <w:rFonts w:hint="eastAsia" w:cs="Times New Roman"/>
              </w:rPr>
              <w:t>E</w:t>
            </w:r>
            <w:r>
              <w:rPr>
                <w:rFonts w:cs="Times New Roman"/>
              </w:rPr>
              <w:t>1</w:t>
            </w:r>
          </w:p>
        </w:tc>
        <w:tc>
          <w:tcPr>
            <w:tcW w:w="4148" w:type="pct"/>
            <w:vAlign w:val="center"/>
          </w:tcPr>
          <w:p w14:paraId="42D2D21B">
            <w:pPr>
              <w:pStyle w:val="48"/>
              <w:rPr>
                <w:rFonts w:cs="Times New Roman"/>
              </w:rPr>
            </w:pPr>
            <w:r>
              <w:rPr>
                <w:rFonts w:hint="eastAsia" w:cs="Times New Roman"/>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14:paraId="6D045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pct"/>
            <w:vAlign w:val="center"/>
          </w:tcPr>
          <w:p w14:paraId="3B3F9757">
            <w:pPr>
              <w:pStyle w:val="48"/>
              <w:rPr>
                <w:rFonts w:cs="Times New Roman"/>
              </w:rPr>
            </w:pPr>
            <w:r>
              <w:rPr>
                <w:rFonts w:hint="eastAsia" w:cs="Times New Roman"/>
              </w:rPr>
              <w:t>E</w:t>
            </w:r>
            <w:r>
              <w:rPr>
                <w:rFonts w:cs="Times New Roman"/>
              </w:rPr>
              <w:t>2</w:t>
            </w:r>
          </w:p>
        </w:tc>
        <w:tc>
          <w:tcPr>
            <w:tcW w:w="4148" w:type="pct"/>
            <w:vAlign w:val="center"/>
          </w:tcPr>
          <w:p w14:paraId="119DC7BD">
            <w:pPr>
              <w:pStyle w:val="48"/>
              <w:rPr>
                <w:rFonts w:cs="Times New Roman"/>
              </w:rPr>
            </w:pPr>
            <w:r>
              <w:rPr>
                <w:rFonts w:hint="eastAsia" w:cs="Times New Roman"/>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14:paraId="66E7D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pct"/>
            <w:vAlign w:val="center"/>
          </w:tcPr>
          <w:p w14:paraId="5B7288D3">
            <w:pPr>
              <w:pStyle w:val="48"/>
              <w:rPr>
                <w:rFonts w:cs="Times New Roman"/>
              </w:rPr>
            </w:pPr>
            <w:r>
              <w:rPr>
                <w:rFonts w:hint="eastAsia" w:cs="Times New Roman"/>
              </w:rPr>
              <w:t>E</w:t>
            </w:r>
            <w:r>
              <w:rPr>
                <w:rFonts w:cs="Times New Roman"/>
              </w:rPr>
              <w:t>3</w:t>
            </w:r>
          </w:p>
        </w:tc>
        <w:tc>
          <w:tcPr>
            <w:tcW w:w="4148" w:type="pct"/>
            <w:vAlign w:val="center"/>
          </w:tcPr>
          <w:p w14:paraId="53F7DD0B">
            <w:pPr>
              <w:pStyle w:val="48"/>
              <w:rPr>
                <w:rFonts w:cs="Times New Roman"/>
              </w:rPr>
            </w:pPr>
            <w:r>
              <w:rPr>
                <w:rFonts w:hint="eastAsia" w:cs="Times New Roman"/>
              </w:rPr>
              <w:t>周边5km范围内居住区、医疗卫生、文化教育、科研、行政办公等机构人口总数小于1万人；或周边500m范围内人口总数小于500人；油气、化学品输送管线管段周边200m范围内，每千米管段人口数小于100人</w:t>
            </w:r>
          </w:p>
        </w:tc>
      </w:tr>
    </w:tbl>
    <w:p w14:paraId="29E2D5CB">
      <w:pPr>
        <w:pStyle w:val="25"/>
        <w:bidi w:val="0"/>
      </w:pPr>
      <w:r>
        <w:rPr>
          <w:rFonts w:hint="eastAsia"/>
        </w:rPr>
        <w:t>（2）地表水</w:t>
      </w:r>
    </w:p>
    <w:p w14:paraId="7E309F77">
      <w:pPr>
        <w:pStyle w:val="25"/>
        <w:bidi w:val="0"/>
        <w:rPr>
          <w:rFonts w:hint="eastAsia"/>
        </w:rPr>
      </w:pPr>
      <w:r>
        <w:rPr>
          <w:rFonts w:hint="eastAsia"/>
        </w:rPr>
        <w:t>地表水敏感程度分级按照地表水功能敏感性分区和环境敏感目标分级来确定，项目区域雨水排放口注入</w:t>
      </w:r>
      <w:r>
        <w:rPr>
          <w:rFonts w:hint="eastAsia"/>
          <w:lang w:val="en-US" w:eastAsia="zh-CN"/>
        </w:rPr>
        <w:t>东侧G107国道排水沟</w:t>
      </w:r>
      <w:r>
        <w:rPr>
          <w:rFonts w:hint="eastAsia"/>
        </w:rPr>
        <w:t>，</w:t>
      </w:r>
      <w:r>
        <w:rPr>
          <w:rFonts w:hint="eastAsia"/>
          <w:lang w:val="en-US" w:eastAsia="zh-CN"/>
        </w:rPr>
        <w:t>之后汇入横江铺河，经过3km后汇入湘江</w:t>
      </w:r>
      <w:r>
        <w:rPr>
          <w:rFonts w:hint="eastAsia"/>
        </w:rPr>
        <w:t>，</w:t>
      </w:r>
      <w:r>
        <w:rPr>
          <w:rFonts w:hint="eastAsia"/>
          <w:lang w:val="en-US" w:eastAsia="zh-CN"/>
        </w:rPr>
        <w:t>横江浦河</w:t>
      </w:r>
      <w:r>
        <w:rPr>
          <w:rFonts w:hint="eastAsia"/>
        </w:rPr>
        <w:t>目前尚未进行水环境功能区划，其水环境功能按Ⅲ类考虑，因此其属于较敏感F</w:t>
      </w:r>
      <w:r>
        <w:t>2.</w:t>
      </w:r>
      <w:r>
        <w:rPr>
          <w:rFonts w:hint="eastAsia"/>
        </w:rPr>
        <w:t>。</w:t>
      </w:r>
      <w:r>
        <w:rPr>
          <w:rFonts w:hint="eastAsia"/>
          <w:lang w:val="en-US" w:eastAsia="zh-CN"/>
        </w:rPr>
        <w:t>项目雨水排口下游10km（横江浦河3km，湘江7km）范围内无集中式饮用水水源保护区，但涉及水产种质资源保护区（衡阳四大家鱼种质资源保护区），因此环境敏感目标分级为S1</w:t>
      </w:r>
      <w:r>
        <w:rPr>
          <w:rFonts w:hint="eastAsia"/>
        </w:rPr>
        <w:t>；最终确定地表水敏感程度分级为E</w:t>
      </w:r>
      <w:r>
        <w:rPr>
          <w:rFonts w:hint="eastAsia"/>
          <w:lang w:val="en-US" w:eastAsia="zh-CN"/>
        </w:rPr>
        <w:t>1</w:t>
      </w:r>
      <w:r>
        <w:rPr>
          <w:rFonts w:hint="eastAsia"/>
        </w:rPr>
        <w:t>。</w:t>
      </w:r>
    </w:p>
    <w:p w14:paraId="2A628674">
      <w:pPr>
        <w:pStyle w:val="63"/>
        <w:bidi w:val="0"/>
      </w:pPr>
      <w:r>
        <w:rPr>
          <w:rFonts w:hint="eastAsia"/>
        </w:rPr>
        <w:t>表</w:t>
      </w:r>
      <w:r>
        <w:rPr>
          <w:rFonts w:hint="eastAsia"/>
          <w:lang w:val="en-US" w:eastAsia="zh-CN"/>
        </w:rPr>
        <w:t>F2-5</w:t>
      </w:r>
      <w:r>
        <w:t xml:space="preserve">  </w:t>
      </w:r>
      <w:r>
        <w:rPr>
          <w:rFonts w:hint="eastAsia"/>
        </w:rPr>
        <w:t>地表水环境敏感程度分级</w:t>
      </w:r>
    </w:p>
    <w:tbl>
      <w:tblPr>
        <w:tblStyle w:val="6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28" w:type="dxa"/>
          <w:bottom w:w="0" w:type="dxa"/>
          <w:right w:w="28" w:type="dxa"/>
        </w:tblCellMar>
      </w:tblPr>
      <w:tblGrid>
        <w:gridCol w:w="4038"/>
        <w:gridCol w:w="1673"/>
        <w:gridCol w:w="1702"/>
        <w:gridCol w:w="1669"/>
      </w:tblGrid>
      <w:tr w14:paraId="70BEE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2223" w:type="pct"/>
            <w:vMerge w:val="restart"/>
            <w:shd w:val="clear" w:color="auto" w:fill="auto"/>
            <w:vAlign w:val="center"/>
          </w:tcPr>
          <w:p w14:paraId="228E1929">
            <w:pPr>
              <w:pStyle w:val="48"/>
            </w:pPr>
            <w:r>
              <w:t xml:space="preserve">环境敏感目标 </w:t>
            </w:r>
          </w:p>
        </w:tc>
        <w:tc>
          <w:tcPr>
            <w:tcW w:w="2777" w:type="pct"/>
            <w:gridSpan w:val="3"/>
            <w:shd w:val="clear" w:color="auto" w:fill="auto"/>
          </w:tcPr>
          <w:p w14:paraId="4067FF6E">
            <w:pPr>
              <w:pStyle w:val="48"/>
            </w:pPr>
            <w:r>
              <w:t xml:space="preserve">地表水功能敏感性 </w:t>
            </w:r>
          </w:p>
        </w:tc>
      </w:tr>
      <w:tr w14:paraId="5258A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2223" w:type="pct"/>
            <w:vMerge w:val="continue"/>
            <w:shd w:val="clear" w:color="auto" w:fill="auto"/>
          </w:tcPr>
          <w:p w14:paraId="66D7BF1D">
            <w:pPr>
              <w:pStyle w:val="48"/>
            </w:pPr>
          </w:p>
        </w:tc>
        <w:tc>
          <w:tcPr>
            <w:tcW w:w="921" w:type="pct"/>
            <w:shd w:val="clear" w:color="auto" w:fill="auto"/>
          </w:tcPr>
          <w:p w14:paraId="7DCB9778">
            <w:pPr>
              <w:pStyle w:val="48"/>
            </w:pPr>
            <w:r>
              <w:t xml:space="preserve">F1 </w:t>
            </w:r>
          </w:p>
        </w:tc>
        <w:tc>
          <w:tcPr>
            <w:tcW w:w="937" w:type="pct"/>
            <w:shd w:val="clear" w:color="auto" w:fill="auto"/>
          </w:tcPr>
          <w:p w14:paraId="067ED1EE">
            <w:pPr>
              <w:pStyle w:val="48"/>
            </w:pPr>
            <w:r>
              <w:t xml:space="preserve">F2 </w:t>
            </w:r>
          </w:p>
        </w:tc>
        <w:tc>
          <w:tcPr>
            <w:tcW w:w="920" w:type="pct"/>
            <w:shd w:val="clear" w:color="auto" w:fill="auto"/>
          </w:tcPr>
          <w:p w14:paraId="4A484A56">
            <w:pPr>
              <w:pStyle w:val="48"/>
            </w:pPr>
            <w:r>
              <w:t xml:space="preserve">F3 </w:t>
            </w:r>
          </w:p>
        </w:tc>
      </w:tr>
      <w:tr w14:paraId="7FCF5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2223" w:type="pct"/>
            <w:shd w:val="clear" w:color="auto" w:fill="auto"/>
          </w:tcPr>
          <w:p w14:paraId="2EC74430">
            <w:pPr>
              <w:pStyle w:val="48"/>
            </w:pPr>
            <w:r>
              <w:t xml:space="preserve">S1 </w:t>
            </w:r>
          </w:p>
        </w:tc>
        <w:tc>
          <w:tcPr>
            <w:tcW w:w="921" w:type="pct"/>
            <w:shd w:val="clear" w:color="auto" w:fill="auto"/>
          </w:tcPr>
          <w:p w14:paraId="2D8FB0AB">
            <w:pPr>
              <w:pStyle w:val="48"/>
            </w:pPr>
            <w:r>
              <w:t xml:space="preserve">E1 </w:t>
            </w:r>
          </w:p>
        </w:tc>
        <w:tc>
          <w:tcPr>
            <w:tcW w:w="937" w:type="pct"/>
            <w:shd w:val="clear" w:color="auto" w:fill="auto"/>
          </w:tcPr>
          <w:p w14:paraId="7C7951AE">
            <w:pPr>
              <w:pStyle w:val="48"/>
            </w:pPr>
            <w:r>
              <w:t xml:space="preserve">E1 </w:t>
            </w:r>
          </w:p>
        </w:tc>
        <w:tc>
          <w:tcPr>
            <w:tcW w:w="920" w:type="pct"/>
            <w:shd w:val="clear" w:color="auto" w:fill="auto"/>
          </w:tcPr>
          <w:p w14:paraId="553F7DF1">
            <w:pPr>
              <w:pStyle w:val="48"/>
            </w:pPr>
            <w:r>
              <w:t xml:space="preserve">E2 </w:t>
            </w:r>
          </w:p>
        </w:tc>
      </w:tr>
      <w:tr w14:paraId="00271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2223" w:type="pct"/>
            <w:shd w:val="clear" w:color="auto" w:fill="auto"/>
          </w:tcPr>
          <w:p w14:paraId="5086BB73">
            <w:pPr>
              <w:pStyle w:val="48"/>
            </w:pPr>
            <w:r>
              <w:t xml:space="preserve">S2 </w:t>
            </w:r>
          </w:p>
        </w:tc>
        <w:tc>
          <w:tcPr>
            <w:tcW w:w="921" w:type="pct"/>
            <w:shd w:val="clear" w:color="auto" w:fill="auto"/>
          </w:tcPr>
          <w:p w14:paraId="5BD20AE9">
            <w:pPr>
              <w:pStyle w:val="48"/>
            </w:pPr>
            <w:r>
              <w:t xml:space="preserve">E1 </w:t>
            </w:r>
          </w:p>
        </w:tc>
        <w:tc>
          <w:tcPr>
            <w:tcW w:w="937" w:type="pct"/>
            <w:shd w:val="clear" w:color="auto" w:fill="auto"/>
          </w:tcPr>
          <w:p w14:paraId="23F96835">
            <w:pPr>
              <w:pStyle w:val="48"/>
            </w:pPr>
            <w:r>
              <w:t xml:space="preserve">E2 </w:t>
            </w:r>
          </w:p>
        </w:tc>
        <w:tc>
          <w:tcPr>
            <w:tcW w:w="920" w:type="pct"/>
            <w:shd w:val="clear" w:color="auto" w:fill="auto"/>
          </w:tcPr>
          <w:p w14:paraId="321F91BF">
            <w:pPr>
              <w:pStyle w:val="48"/>
            </w:pPr>
            <w:r>
              <w:t xml:space="preserve">E3 </w:t>
            </w:r>
          </w:p>
        </w:tc>
      </w:tr>
      <w:tr w14:paraId="513DC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2223" w:type="pct"/>
            <w:shd w:val="clear" w:color="auto" w:fill="auto"/>
          </w:tcPr>
          <w:p w14:paraId="762C50AF">
            <w:pPr>
              <w:pStyle w:val="48"/>
            </w:pPr>
            <w:r>
              <w:t xml:space="preserve">S3 </w:t>
            </w:r>
          </w:p>
        </w:tc>
        <w:tc>
          <w:tcPr>
            <w:tcW w:w="921" w:type="pct"/>
            <w:shd w:val="clear" w:color="auto" w:fill="auto"/>
          </w:tcPr>
          <w:p w14:paraId="1D20376C">
            <w:pPr>
              <w:pStyle w:val="48"/>
            </w:pPr>
            <w:r>
              <w:t xml:space="preserve">E1 </w:t>
            </w:r>
          </w:p>
        </w:tc>
        <w:tc>
          <w:tcPr>
            <w:tcW w:w="937" w:type="pct"/>
            <w:shd w:val="clear" w:color="auto" w:fill="auto"/>
          </w:tcPr>
          <w:p w14:paraId="77FAF708">
            <w:pPr>
              <w:pStyle w:val="48"/>
            </w:pPr>
            <w:r>
              <w:t xml:space="preserve">E2 </w:t>
            </w:r>
          </w:p>
        </w:tc>
        <w:tc>
          <w:tcPr>
            <w:tcW w:w="920" w:type="pct"/>
            <w:shd w:val="clear" w:color="auto" w:fill="auto"/>
          </w:tcPr>
          <w:p w14:paraId="71E3F513">
            <w:pPr>
              <w:pStyle w:val="48"/>
            </w:pPr>
            <w:r>
              <w:t xml:space="preserve">E3 </w:t>
            </w:r>
          </w:p>
        </w:tc>
      </w:tr>
    </w:tbl>
    <w:p w14:paraId="2255FE64">
      <w:pPr>
        <w:pStyle w:val="24"/>
        <w:bidi w:val="0"/>
        <w:rPr>
          <w:rFonts w:hint="eastAsia"/>
        </w:rPr>
      </w:pPr>
    </w:p>
    <w:p w14:paraId="6B98C923">
      <w:pPr>
        <w:pStyle w:val="24"/>
        <w:bidi w:val="0"/>
      </w:pPr>
      <w:r>
        <w:rPr>
          <w:rFonts w:hint="eastAsia"/>
        </w:rPr>
        <w:t>表</w:t>
      </w:r>
      <w:r>
        <w:rPr>
          <w:rFonts w:hint="eastAsia"/>
          <w:lang w:val="en-US" w:eastAsia="zh-CN"/>
        </w:rPr>
        <w:t>F2-6</w:t>
      </w:r>
      <w:r>
        <w:t xml:space="preserve">  </w:t>
      </w:r>
      <w:r>
        <w:rPr>
          <w:rFonts w:hint="eastAsia"/>
        </w:rPr>
        <w:t>环境敏感目标分级</w:t>
      </w:r>
    </w:p>
    <w:tbl>
      <w:tblPr>
        <w:tblStyle w:val="1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573"/>
        <w:gridCol w:w="7667"/>
      </w:tblGrid>
      <w:tr w14:paraId="28760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851" w:type="pct"/>
            <w:shd w:val="clear" w:color="auto" w:fill="auto"/>
            <w:vAlign w:val="center"/>
          </w:tcPr>
          <w:p w14:paraId="5DCF62DC">
            <w:pPr>
              <w:pStyle w:val="48"/>
              <w:rPr>
                <w:rFonts w:cs="Times New Roman"/>
              </w:rPr>
            </w:pPr>
            <w:r>
              <w:rPr>
                <w:rFonts w:hint="eastAsia" w:cs="Times New Roman"/>
              </w:rPr>
              <w:t>分级</w:t>
            </w:r>
          </w:p>
        </w:tc>
        <w:tc>
          <w:tcPr>
            <w:tcW w:w="4148" w:type="pct"/>
            <w:shd w:val="clear" w:color="auto" w:fill="auto"/>
            <w:vAlign w:val="center"/>
          </w:tcPr>
          <w:p w14:paraId="78106816">
            <w:pPr>
              <w:pStyle w:val="48"/>
              <w:rPr>
                <w:rFonts w:cs="Times New Roman"/>
              </w:rPr>
            </w:pPr>
            <w:r>
              <w:rPr>
                <w:rFonts w:hint="eastAsia" w:cs="Times New Roman"/>
              </w:rPr>
              <w:t>环境敏感目标</w:t>
            </w:r>
          </w:p>
        </w:tc>
      </w:tr>
      <w:tr w14:paraId="0C74E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851" w:type="pct"/>
            <w:shd w:val="clear" w:color="auto" w:fill="auto"/>
            <w:vAlign w:val="center"/>
          </w:tcPr>
          <w:p w14:paraId="544ADB69">
            <w:pPr>
              <w:pStyle w:val="48"/>
              <w:rPr>
                <w:rFonts w:cs="Times New Roman"/>
              </w:rPr>
            </w:pPr>
            <w:r>
              <w:rPr>
                <w:rFonts w:hint="eastAsia" w:cs="Times New Roman"/>
              </w:rPr>
              <w:t>S</w:t>
            </w:r>
            <w:r>
              <w:rPr>
                <w:rFonts w:cs="Times New Roman"/>
              </w:rPr>
              <w:t>1</w:t>
            </w:r>
          </w:p>
        </w:tc>
        <w:tc>
          <w:tcPr>
            <w:tcW w:w="4148" w:type="pct"/>
            <w:shd w:val="clear" w:color="auto" w:fill="auto"/>
            <w:vAlign w:val="center"/>
          </w:tcPr>
          <w:p w14:paraId="56D03458">
            <w:pPr>
              <w:pStyle w:val="48"/>
              <w:rPr>
                <w:rFonts w:cs="Times New Roman"/>
              </w:rPr>
            </w:pPr>
            <w:r>
              <w:rPr>
                <w:rFonts w:hint="eastAsia" w:cs="Times New Roman"/>
              </w:rPr>
              <w:t>发生事故时，危险物质泄漏到内陆水体的排放点下游（顺水流向）10km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w:t>
            </w:r>
            <w:r>
              <w:rPr>
                <w:rFonts w:hint="eastAsia" w:cs="Times New Roman"/>
              </w:rPr>
              <w:cr/>
            </w:r>
            <w:r>
              <w:rPr>
                <w:rFonts w:hint="eastAsia" w:cs="Times New Roman"/>
              </w:rPr>
              <w:t>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4B705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851" w:type="pct"/>
            <w:shd w:val="clear" w:color="auto" w:fill="auto"/>
            <w:vAlign w:val="center"/>
          </w:tcPr>
          <w:p w14:paraId="7CF66E51">
            <w:pPr>
              <w:pStyle w:val="48"/>
              <w:rPr>
                <w:rFonts w:cs="Times New Roman"/>
              </w:rPr>
            </w:pPr>
            <w:r>
              <w:rPr>
                <w:rFonts w:hint="eastAsia" w:cs="Times New Roman"/>
              </w:rPr>
              <w:t>S2</w:t>
            </w:r>
          </w:p>
        </w:tc>
        <w:tc>
          <w:tcPr>
            <w:tcW w:w="4148" w:type="pct"/>
            <w:shd w:val="clear" w:color="auto" w:fill="auto"/>
            <w:vAlign w:val="center"/>
          </w:tcPr>
          <w:p w14:paraId="14F30E18">
            <w:pPr>
              <w:pStyle w:val="48"/>
              <w:rPr>
                <w:rFonts w:cs="Times New Roman"/>
              </w:rPr>
            </w:pPr>
            <w:r>
              <w:rPr>
                <w:rFonts w:hint="eastAsia" w:cs="Times New Roman"/>
              </w:rPr>
              <w:t>发生事故时，危险物质泄漏到内陆水体的排放点下游（顺水流向）10km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14:paraId="2D46C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pct"/>
            <w:shd w:val="clear" w:color="auto" w:fill="auto"/>
            <w:vAlign w:val="center"/>
          </w:tcPr>
          <w:p w14:paraId="3065B5FE">
            <w:pPr>
              <w:pStyle w:val="48"/>
              <w:rPr>
                <w:rFonts w:cs="Times New Roman"/>
              </w:rPr>
            </w:pPr>
            <w:r>
              <w:rPr>
                <w:rFonts w:hint="eastAsia" w:cs="Times New Roman"/>
              </w:rPr>
              <w:t>S</w:t>
            </w:r>
            <w:r>
              <w:rPr>
                <w:rFonts w:cs="Times New Roman"/>
              </w:rPr>
              <w:t>3</w:t>
            </w:r>
          </w:p>
        </w:tc>
        <w:tc>
          <w:tcPr>
            <w:tcW w:w="4148" w:type="pct"/>
            <w:shd w:val="clear" w:color="auto" w:fill="auto"/>
            <w:vAlign w:val="center"/>
          </w:tcPr>
          <w:p w14:paraId="4903AE69">
            <w:pPr>
              <w:pStyle w:val="48"/>
              <w:rPr>
                <w:rFonts w:cs="Times New Roman"/>
              </w:rPr>
            </w:pPr>
            <w:r>
              <w:rPr>
                <w:rFonts w:hint="eastAsia" w:cs="Times New Roman"/>
              </w:rPr>
              <w:t>排放点下游（顺水流向）10km范围、近岸海域一个潮周期水质点可能达到的最大水平距离的两倍范围内无上述类型1和类型2包括的敏感保护目标</w:t>
            </w:r>
          </w:p>
        </w:tc>
      </w:tr>
    </w:tbl>
    <w:p w14:paraId="6009D209">
      <w:pPr>
        <w:pStyle w:val="24"/>
        <w:bidi w:val="0"/>
      </w:pPr>
      <w:r>
        <w:rPr>
          <w:rFonts w:hint="eastAsia"/>
        </w:rPr>
        <w:t>表</w:t>
      </w:r>
      <w:r>
        <w:rPr>
          <w:rFonts w:hint="eastAsia"/>
          <w:lang w:val="en-US" w:eastAsia="zh-CN"/>
        </w:rPr>
        <w:t xml:space="preserve">F2-7 </w:t>
      </w:r>
      <w:r>
        <w:t xml:space="preserve">  </w:t>
      </w:r>
      <w:r>
        <w:rPr>
          <w:rFonts w:hint="eastAsia"/>
        </w:rPr>
        <w:t>地表水功能敏感性分区</w:t>
      </w:r>
    </w:p>
    <w:tbl>
      <w:tblPr>
        <w:tblStyle w:val="1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3"/>
        <w:gridCol w:w="7667"/>
      </w:tblGrid>
      <w:tr w14:paraId="663B4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1" w:type="pct"/>
            <w:vAlign w:val="center"/>
          </w:tcPr>
          <w:p w14:paraId="0D39FE96">
            <w:pPr>
              <w:pStyle w:val="48"/>
              <w:rPr>
                <w:rFonts w:cs="Times New Roman"/>
              </w:rPr>
            </w:pPr>
            <w:r>
              <w:rPr>
                <w:rFonts w:hint="eastAsia" w:cs="Times New Roman"/>
              </w:rPr>
              <w:t>敏感性</w:t>
            </w:r>
          </w:p>
        </w:tc>
        <w:tc>
          <w:tcPr>
            <w:tcW w:w="4148" w:type="pct"/>
            <w:vAlign w:val="center"/>
          </w:tcPr>
          <w:p w14:paraId="04E87E20">
            <w:pPr>
              <w:pStyle w:val="48"/>
              <w:rPr>
                <w:rFonts w:cs="Times New Roman"/>
              </w:rPr>
            </w:pPr>
            <w:r>
              <w:rPr>
                <w:rFonts w:hint="eastAsia" w:cs="Times New Roman"/>
              </w:rPr>
              <w:t>地表水环境敏感特征</w:t>
            </w:r>
          </w:p>
        </w:tc>
      </w:tr>
      <w:tr w14:paraId="65E73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pct"/>
            <w:vAlign w:val="center"/>
          </w:tcPr>
          <w:p w14:paraId="0A42BEC8">
            <w:pPr>
              <w:pStyle w:val="48"/>
              <w:rPr>
                <w:rFonts w:cs="Times New Roman"/>
              </w:rPr>
            </w:pPr>
            <w:r>
              <w:rPr>
                <w:rFonts w:hint="eastAsia" w:cs="Times New Roman"/>
              </w:rPr>
              <w:t>敏感F</w:t>
            </w:r>
            <w:r>
              <w:rPr>
                <w:rFonts w:cs="Times New Roman"/>
              </w:rPr>
              <w:t>1</w:t>
            </w:r>
          </w:p>
        </w:tc>
        <w:tc>
          <w:tcPr>
            <w:tcW w:w="4148" w:type="pct"/>
            <w:vAlign w:val="center"/>
          </w:tcPr>
          <w:p w14:paraId="3D9DB2F5">
            <w:pPr>
              <w:pStyle w:val="48"/>
              <w:rPr>
                <w:rFonts w:cs="Times New Roman"/>
              </w:rPr>
            </w:pPr>
            <w:r>
              <w:rPr>
                <w:rFonts w:hint="eastAsia" w:cs="Times New Roman"/>
              </w:rPr>
              <w:t>排放点进入地表水水域环境功能为Ⅱ类及以上，或海水水质分类第一类；或以发生事故时，危险物质泄漏到水体的排放点算起，排放进入受纳河流最大流速时，24h流经范围内涉跨国界的</w:t>
            </w:r>
          </w:p>
        </w:tc>
      </w:tr>
      <w:tr w14:paraId="2EE7A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1" w:type="pct"/>
            <w:vAlign w:val="center"/>
          </w:tcPr>
          <w:p w14:paraId="718D105D">
            <w:pPr>
              <w:pStyle w:val="48"/>
              <w:rPr>
                <w:rFonts w:cs="Times New Roman"/>
              </w:rPr>
            </w:pPr>
            <w:r>
              <w:rPr>
                <w:rFonts w:hint="eastAsia" w:cs="Times New Roman"/>
              </w:rPr>
              <w:t>较敏感F</w:t>
            </w:r>
            <w:r>
              <w:rPr>
                <w:rFonts w:cs="Times New Roman"/>
              </w:rPr>
              <w:t>2</w:t>
            </w:r>
          </w:p>
        </w:tc>
        <w:tc>
          <w:tcPr>
            <w:tcW w:w="4148" w:type="pct"/>
            <w:vAlign w:val="center"/>
          </w:tcPr>
          <w:p w14:paraId="4BB9B87F">
            <w:pPr>
              <w:pStyle w:val="48"/>
              <w:rPr>
                <w:rFonts w:cs="Times New Roman"/>
              </w:rPr>
            </w:pPr>
            <w:r>
              <w:rPr>
                <w:rFonts w:hint="eastAsia" w:cs="Times New Roman"/>
              </w:rPr>
              <w:t>排放点进入地表水水域环境功能为Ⅲ类，或海水水质分类第二类；或以发生事故时，危险物质泄漏到水体的排放点算起，排放进入受纳河流最大流速时，24h流经范围内涉跨省界的</w:t>
            </w:r>
          </w:p>
        </w:tc>
      </w:tr>
      <w:tr w14:paraId="51D10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1" w:type="pct"/>
            <w:vAlign w:val="center"/>
          </w:tcPr>
          <w:p w14:paraId="08AE9654">
            <w:pPr>
              <w:pStyle w:val="48"/>
              <w:rPr>
                <w:rFonts w:cs="Times New Roman"/>
              </w:rPr>
            </w:pPr>
            <w:r>
              <w:rPr>
                <w:rFonts w:hint="eastAsia" w:cs="Times New Roman"/>
              </w:rPr>
              <w:t>低敏感F</w:t>
            </w:r>
            <w:r>
              <w:rPr>
                <w:rFonts w:cs="Times New Roman"/>
              </w:rPr>
              <w:t>3</w:t>
            </w:r>
          </w:p>
        </w:tc>
        <w:tc>
          <w:tcPr>
            <w:tcW w:w="4148" w:type="pct"/>
            <w:vAlign w:val="center"/>
          </w:tcPr>
          <w:p w14:paraId="2CC9B928">
            <w:pPr>
              <w:pStyle w:val="48"/>
              <w:rPr>
                <w:rFonts w:cs="Times New Roman"/>
              </w:rPr>
            </w:pPr>
            <w:r>
              <w:rPr>
                <w:rFonts w:hint="eastAsia" w:cs="Times New Roman"/>
              </w:rPr>
              <w:t>上述地区之外的其他地区</w:t>
            </w:r>
          </w:p>
        </w:tc>
      </w:tr>
    </w:tbl>
    <w:p w14:paraId="6431A2D0">
      <w:pPr>
        <w:pStyle w:val="25"/>
        <w:bidi w:val="0"/>
      </w:pPr>
      <w:r>
        <w:rPr>
          <w:rFonts w:hint="eastAsia"/>
        </w:rPr>
        <w:t>（3）地下水环境</w:t>
      </w:r>
    </w:p>
    <w:p w14:paraId="5F3FE266">
      <w:pPr>
        <w:pStyle w:val="25"/>
        <w:bidi w:val="0"/>
      </w:pPr>
      <w:r>
        <w:rPr>
          <w:rFonts w:hint="eastAsia"/>
        </w:rPr>
        <w:t>地下水环境敏感程度分级通过地下水功能敏感性和包气带防污性能判定，项目所在区域不涉及集中式饮用水水源保护区及补给径流区，且不涉及其他地下水环境敏感目标，敏感程度为不敏感G</w:t>
      </w:r>
      <w:r>
        <w:t>3</w:t>
      </w:r>
      <w:r>
        <w:rPr>
          <w:rFonts w:hint="eastAsia"/>
        </w:rPr>
        <w:t>；根据区域现有地勘数据，区域包气带沿途的渗透性能为Mb≥1</w:t>
      </w:r>
      <w:r>
        <w:t>0</w:t>
      </w:r>
      <w:r>
        <w:rPr>
          <w:rFonts w:hint="eastAsia"/>
        </w:rPr>
        <w:t>m，1</w:t>
      </w:r>
      <w:r>
        <w:t>.0</w:t>
      </w:r>
      <w:r>
        <w:rPr>
          <w:rFonts w:hint="eastAsia"/>
        </w:rPr>
        <w:t>×</w:t>
      </w:r>
      <w:r>
        <w:t>10</w:t>
      </w:r>
      <w:r>
        <w:rPr>
          <w:vertAlign w:val="superscript"/>
        </w:rPr>
        <w:t>-6</w:t>
      </w:r>
      <w:r>
        <w:rPr>
          <w:rFonts w:hint="eastAsia"/>
        </w:rPr>
        <w:t>＜K≤</w:t>
      </w:r>
      <w:r>
        <w:t>1.0</w:t>
      </w:r>
      <w:r>
        <w:rPr>
          <w:rFonts w:hint="eastAsia"/>
        </w:rPr>
        <w:t>×</w:t>
      </w:r>
      <w:r>
        <w:t>10</w:t>
      </w:r>
      <w:r>
        <w:rPr>
          <w:vertAlign w:val="superscript"/>
        </w:rPr>
        <w:t>-4</w:t>
      </w:r>
      <w:r>
        <w:rPr>
          <w:rFonts w:hint="eastAsia"/>
        </w:rPr>
        <w:t>cm</w:t>
      </w:r>
      <w:r>
        <w:t>/s</w:t>
      </w:r>
      <w:r>
        <w:rPr>
          <w:rFonts w:hint="eastAsia"/>
        </w:rPr>
        <w:t>，且分布连续稳定，包气带防污性能分级为D</w:t>
      </w:r>
      <w:r>
        <w:t>2</w:t>
      </w:r>
      <w:r>
        <w:rPr>
          <w:rFonts w:hint="eastAsia"/>
        </w:rPr>
        <w:t>，因此确定地下水环境敏感程度为E</w:t>
      </w:r>
      <w:r>
        <w:t>3</w:t>
      </w:r>
      <w:r>
        <w:rPr>
          <w:rFonts w:hint="eastAsia"/>
        </w:rPr>
        <w:t>。</w:t>
      </w:r>
    </w:p>
    <w:p w14:paraId="30DD3EEB">
      <w:pPr>
        <w:pStyle w:val="63"/>
        <w:bidi w:val="0"/>
      </w:pPr>
      <w:r>
        <w:rPr>
          <w:rFonts w:hint="eastAsia"/>
        </w:rPr>
        <w:t>表</w:t>
      </w:r>
      <w:r>
        <w:rPr>
          <w:rFonts w:hint="eastAsia"/>
          <w:lang w:val="en-US" w:eastAsia="zh-CN"/>
        </w:rPr>
        <w:t>F2-8</w:t>
      </w:r>
      <w:r>
        <w:t xml:space="preserve">  </w:t>
      </w:r>
      <w:r>
        <w:rPr>
          <w:rFonts w:hint="eastAsia"/>
        </w:rPr>
        <w:t>地下水环境敏感程度分级</w:t>
      </w:r>
    </w:p>
    <w:tbl>
      <w:tblPr>
        <w:tblStyle w:val="6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57" w:type="dxa"/>
          <w:bottom w:w="0" w:type="dxa"/>
          <w:right w:w="57" w:type="dxa"/>
        </w:tblCellMar>
      </w:tblPr>
      <w:tblGrid>
        <w:gridCol w:w="3964"/>
        <w:gridCol w:w="1726"/>
        <w:gridCol w:w="1726"/>
        <w:gridCol w:w="1724"/>
      </w:tblGrid>
      <w:tr w14:paraId="495C0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20" w:hRule="atLeast"/>
        </w:trPr>
        <w:tc>
          <w:tcPr>
            <w:tcW w:w="2169" w:type="pct"/>
            <w:vMerge w:val="restart"/>
            <w:shd w:val="clear" w:color="auto" w:fill="auto"/>
            <w:vAlign w:val="center"/>
          </w:tcPr>
          <w:p w14:paraId="154D96CA">
            <w:pPr>
              <w:pStyle w:val="48"/>
            </w:pPr>
            <w:r>
              <w:t xml:space="preserve">环境敏感目标 </w:t>
            </w:r>
          </w:p>
        </w:tc>
        <w:tc>
          <w:tcPr>
            <w:tcW w:w="2831" w:type="pct"/>
            <w:gridSpan w:val="3"/>
            <w:shd w:val="clear" w:color="auto" w:fill="auto"/>
          </w:tcPr>
          <w:p w14:paraId="5C9E8B8A">
            <w:pPr>
              <w:pStyle w:val="48"/>
            </w:pPr>
            <w:r>
              <w:t xml:space="preserve">地下水功能敏感性 </w:t>
            </w:r>
          </w:p>
        </w:tc>
      </w:tr>
      <w:tr w14:paraId="3A8A8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0" w:hRule="atLeast"/>
        </w:trPr>
        <w:tc>
          <w:tcPr>
            <w:tcW w:w="2169" w:type="pct"/>
            <w:vMerge w:val="continue"/>
            <w:shd w:val="clear" w:color="auto" w:fill="auto"/>
          </w:tcPr>
          <w:p w14:paraId="6A0E756E">
            <w:pPr>
              <w:pStyle w:val="48"/>
            </w:pPr>
          </w:p>
        </w:tc>
        <w:tc>
          <w:tcPr>
            <w:tcW w:w="944" w:type="pct"/>
            <w:shd w:val="clear" w:color="auto" w:fill="auto"/>
          </w:tcPr>
          <w:p w14:paraId="47BBE5DC">
            <w:pPr>
              <w:pStyle w:val="48"/>
            </w:pPr>
            <w:r>
              <w:t xml:space="preserve">G1 </w:t>
            </w:r>
          </w:p>
        </w:tc>
        <w:tc>
          <w:tcPr>
            <w:tcW w:w="944" w:type="pct"/>
            <w:shd w:val="clear" w:color="auto" w:fill="auto"/>
          </w:tcPr>
          <w:p w14:paraId="0E6E0E27">
            <w:pPr>
              <w:pStyle w:val="48"/>
            </w:pPr>
            <w:r>
              <w:t xml:space="preserve">G2 </w:t>
            </w:r>
          </w:p>
        </w:tc>
        <w:tc>
          <w:tcPr>
            <w:tcW w:w="943" w:type="pct"/>
            <w:shd w:val="clear" w:color="auto" w:fill="auto"/>
          </w:tcPr>
          <w:p w14:paraId="2F21B0DB">
            <w:pPr>
              <w:pStyle w:val="48"/>
            </w:pPr>
            <w:r>
              <w:t xml:space="preserve">G3 </w:t>
            </w:r>
          </w:p>
        </w:tc>
      </w:tr>
      <w:tr w14:paraId="17E5A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0" w:hRule="atLeast"/>
        </w:trPr>
        <w:tc>
          <w:tcPr>
            <w:tcW w:w="2169" w:type="pct"/>
            <w:shd w:val="clear" w:color="auto" w:fill="auto"/>
          </w:tcPr>
          <w:p w14:paraId="7084403A">
            <w:pPr>
              <w:pStyle w:val="48"/>
            </w:pPr>
            <w:r>
              <w:t xml:space="preserve">D1 </w:t>
            </w:r>
          </w:p>
        </w:tc>
        <w:tc>
          <w:tcPr>
            <w:tcW w:w="944" w:type="pct"/>
            <w:shd w:val="clear" w:color="auto" w:fill="auto"/>
          </w:tcPr>
          <w:p w14:paraId="1CA0E4FD">
            <w:pPr>
              <w:pStyle w:val="48"/>
            </w:pPr>
            <w:r>
              <w:t xml:space="preserve">E1 </w:t>
            </w:r>
          </w:p>
        </w:tc>
        <w:tc>
          <w:tcPr>
            <w:tcW w:w="944" w:type="pct"/>
            <w:shd w:val="clear" w:color="auto" w:fill="auto"/>
          </w:tcPr>
          <w:p w14:paraId="637D7162">
            <w:pPr>
              <w:pStyle w:val="48"/>
            </w:pPr>
            <w:r>
              <w:t xml:space="preserve">E1 </w:t>
            </w:r>
          </w:p>
        </w:tc>
        <w:tc>
          <w:tcPr>
            <w:tcW w:w="943" w:type="pct"/>
            <w:shd w:val="clear" w:color="auto" w:fill="auto"/>
          </w:tcPr>
          <w:p w14:paraId="5E73B4A3">
            <w:pPr>
              <w:pStyle w:val="48"/>
            </w:pPr>
            <w:r>
              <w:t xml:space="preserve">E2 </w:t>
            </w:r>
          </w:p>
        </w:tc>
      </w:tr>
      <w:tr w14:paraId="45BDC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0" w:hRule="atLeast"/>
        </w:trPr>
        <w:tc>
          <w:tcPr>
            <w:tcW w:w="2169" w:type="pct"/>
            <w:shd w:val="clear" w:color="auto" w:fill="auto"/>
          </w:tcPr>
          <w:p w14:paraId="60CECA88">
            <w:pPr>
              <w:pStyle w:val="48"/>
            </w:pPr>
            <w:r>
              <w:t xml:space="preserve">D2 </w:t>
            </w:r>
          </w:p>
        </w:tc>
        <w:tc>
          <w:tcPr>
            <w:tcW w:w="944" w:type="pct"/>
            <w:shd w:val="clear" w:color="auto" w:fill="auto"/>
          </w:tcPr>
          <w:p w14:paraId="783CB585">
            <w:pPr>
              <w:pStyle w:val="48"/>
            </w:pPr>
            <w:r>
              <w:t xml:space="preserve">E1 </w:t>
            </w:r>
          </w:p>
        </w:tc>
        <w:tc>
          <w:tcPr>
            <w:tcW w:w="944" w:type="pct"/>
            <w:shd w:val="clear" w:color="auto" w:fill="auto"/>
          </w:tcPr>
          <w:p w14:paraId="4C0CA1A8">
            <w:pPr>
              <w:pStyle w:val="48"/>
            </w:pPr>
            <w:r>
              <w:t xml:space="preserve">E2 </w:t>
            </w:r>
          </w:p>
        </w:tc>
        <w:tc>
          <w:tcPr>
            <w:tcW w:w="943" w:type="pct"/>
            <w:shd w:val="clear" w:color="auto" w:fill="auto"/>
          </w:tcPr>
          <w:p w14:paraId="1BA28B11">
            <w:pPr>
              <w:pStyle w:val="48"/>
            </w:pPr>
            <w:r>
              <w:t xml:space="preserve">E3 </w:t>
            </w:r>
          </w:p>
        </w:tc>
      </w:tr>
      <w:tr w14:paraId="487A2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0" w:hRule="atLeast"/>
        </w:trPr>
        <w:tc>
          <w:tcPr>
            <w:tcW w:w="2169" w:type="pct"/>
            <w:shd w:val="clear" w:color="auto" w:fill="auto"/>
          </w:tcPr>
          <w:p w14:paraId="1C926F78">
            <w:pPr>
              <w:pStyle w:val="48"/>
            </w:pPr>
            <w:r>
              <w:t xml:space="preserve">D3 </w:t>
            </w:r>
          </w:p>
        </w:tc>
        <w:tc>
          <w:tcPr>
            <w:tcW w:w="944" w:type="pct"/>
            <w:shd w:val="clear" w:color="auto" w:fill="auto"/>
          </w:tcPr>
          <w:p w14:paraId="38CB1A6C">
            <w:pPr>
              <w:pStyle w:val="48"/>
            </w:pPr>
            <w:r>
              <w:t xml:space="preserve">E1 </w:t>
            </w:r>
          </w:p>
        </w:tc>
        <w:tc>
          <w:tcPr>
            <w:tcW w:w="944" w:type="pct"/>
            <w:shd w:val="clear" w:color="auto" w:fill="auto"/>
          </w:tcPr>
          <w:p w14:paraId="62C1742E">
            <w:pPr>
              <w:pStyle w:val="48"/>
            </w:pPr>
            <w:r>
              <w:t xml:space="preserve">E2 </w:t>
            </w:r>
          </w:p>
        </w:tc>
        <w:tc>
          <w:tcPr>
            <w:tcW w:w="943" w:type="pct"/>
            <w:shd w:val="clear" w:color="auto" w:fill="auto"/>
          </w:tcPr>
          <w:p w14:paraId="3292E579">
            <w:pPr>
              <w:pStyle w:val="48"/>
            </w:pPr>
            <w:r>
              <w:t xml:space="preserve">E3 </w:t>
            </w:r>
          </w:p>
        </w:tc>
      </w:tr>
    </w:tbl>
    <w:p w14:paraId="12C698BA">
      <w:pPr>
        <w:pStyle w:val="63"/>
        <w:bidi w:val="0"/>
      </w:pPr>
      <w:r>
        <w:rPr>
          <w:rFonts w:hint="eastAsia"/>
        </w:rPr>
        <w:t>表</w:t>
      </w:r>
      <w:r>
        <w:rPr>
          <w:rFonts w:hint="eastAsia"/>
          <w:lang w:val="en-US" w:eastAsia="zh-CN"/>
        </w:rPr>
        <w:t>F2-9</w:t>
      </w:r>
      <w:r>
        <w:t xml:space="preserve">  </w:t>
      </w:r>
      <w:r>
        <w:rPr>
          <w:rFonts w:hint="eastAsia"/>
        </w:rPr>
        <w:t>地下水功能敏感性分区</w:t>
      </w:r>
    </w:p>
    <w:tbl>
      <w:tblPr>
        <w:tblStyle w:val="1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573"/>
        <w:gridCol w:w="7667"/>
      </w:tblGrid>
      <w:tr w14:paraId="4D09B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c>
          <w:tcPr>
            <w:tcW w:w="851" w:type="pct"/>
            <w:shd w:val="clear" w:color="auto" w:fill="auto"/>
          </w:tcPr>
          <w:p w14:paraId="21D9028E">
            <w:pPr>
              <w:pStyle w:val="48"/>
              <w:rPr>
                <w:rFonts w:cs="Times New Roman"/>
              </w:rPr>
            </w:pPr>
            <w:r>
              <w:rPr>
                <w:rFonts w:hint="eastAsia" w:cs="Times New Roman"/>
              </w:rPr>
              <w:t>敏感性</w:t>
            </w:r>
          </w:p>
        </w:tc>
        <w:tc>
          <w:tcPr>
            <w:tcW w:w="4148" w:type="pct"/>
            <w:shd w:val="clear" w:color="auto" w:fill="auto"/>
          </w:tcPr>
          <w:p w14:paraId="1D43CC85">
            <w:pPr>
              <w:pStyle w:val="48"/>
              <w:rPr>
                <w:rFonts w:cs="Times New Roman"/>
              </w:rPr>
            </w:pPr>
            <w:r>
              <w:rPr>
                <w:rFonts w:hint="eastAsia" w:cs="Times New Roman"/>
              </w:rPr>
              <w:t>地下水环境敏感特征</w:t>
            </w:r>
          </w:p>
        </w:tc>
      </w:tr>
      <w:tr w14:paraId="415C8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pct"/>
            <w:shd w:val="clear" w:color="auto" w:fill="auto"/>
          </w:tcPr>
          <w:p w14:paraId="096B3A5E">
            <w:pPr>
              <w:pStyle w:val="48"/>
              <w:rPr>
                <w:rFonts w:cs="Times New Roman"/>
              </w:rPr>
            </w:pPr>
            <w:r>
              <w:rPr>
                <w:rFonts w:hint="eastAsia" w:cs="Times New Roman"/>
              </w:rPr>
              <w:t>敏感G</w:t>
            </w:r>
            <w:r>
              <w:rPr>
                <w:rFonts w:cs="Times New Roman"/>
              </w:rPr>
              <w:t>1</w:t>
            </w:r>
          </w:p>
        </w:tc>
        <w:tc>
          <w:tcPr>
            <w:tcW w:w="4148" w:type="pct"/>
            <w:shd w:val="clear" w:color="auto" w:fill="auto"/>
          </w:tcPr>
          <w:p w14:paraId="71AAD28E">
            <w:pPr>
              <w:pStyle w:val="48"/>
              <w:rPr>
                <w:rFonts w:cs="Times New Roman"/>
              </w:rPr>
            </w:pPr>
            <w:r>
              <w:rPr>
                <w:rFonts w:hint="eastAsia" w:cs="Times New Roman"/>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3B6F9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pct"/>
            <w:shd w:val="clear" w:color="auto" w:fill="auto"/>
          </w:tcPr>
          <w:p w14:paraId="163810CE">
            <w:pPr>
              <w:pStyle w:val="48"/>
              <w:rPr>
                <w:rFonts w:cs="Times New Roman"/>
              </w:rPr>
            </w:pPr>
            <w:r>
              <w:rPr>
                <w:rFonts w:hint="eastAsia" w:cs="Times New Roman"/>
              </w:rPr>
              <w:t>较敏感G</w:t>
            </w:r>
            <w:r>
              <w:rPr>
                <w:rFonts w:cs="Times New Roman"/>
              </w:rPr>
              <w:t>2</w:t>
            </w:r>
          </w:p>
        </w:tc>
        <w:tc>
          <w:tcPr>
            <w:tcW w:w="4148" w:type="pct"/>
            <w:shd w:val="clear" w:color="auto" w:fill="auto"/>
          </w:tcPr>
          <w:p w14:paraId="7FE97D0F">
            <w:pPr>
              <w:pStyle w:val="48"/>
              <w:rPr>
                <w:rFonts w:cs="Times New Roman"/>
              </w:rPr>
            </w:pPr>
            <w:r>
              <w:rPr>
                <w:rFonts w:hint="eastAsia" w:cs="Times New Roman"/>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a</w:t>
            </w:r>
          </w:p>
        </w:tc>
      </w:tr>
      <w:tr w14:paraId="12FE8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pct"/>
            <w:shd w:val="clear" w:color="auto" w:fill="auto"/>
          </w:tcPr>
          <w:p w14:paraId="438978BA">
            <w:pPr>
              <w:pStyle w:val="48"/>
              <w:rPr>
                <w:rFonts w:cs="Times New Roman"/>
              </w:rPr>
            </w:pPr>
            <w:r>
              <w:rPr>
                <w:rFonts w:hint="eastAsia" w:cs="Times New Roman"/>
              </w:rPr>
              <w:t>不敏感G</w:t>
            </w:r>
            <w:r>
              <w:rPr>
                <w:rFonts w:cs="Times New Roman"/>
              </w:rPr>
              <w:t>3</w:t>
            </w:r>
          </w:p>
        </w:tc>
        <w:tc>
          <w:tcPr>
            <w:tcW w:w="4148" w:type="pct"/>
            <w:shd w:val="clear" w:color="auto" w:fill="auto"/>
          </w:tcPr>
          <w:p w14:paraId="0BE95F6D">
            <w:pPr>
              <w:pStyle w:val="48"/>
              <w:rPr>
                <w:rFonts w:cs="Times New Roman"/>
              </w:rPr>
            </w:pPr>
            <w:r>
              <w:rPr>
                <w:rFonts w:hint="eastAsia" w:cs="Times New Roman"/>
              </w:rPr>
              <w:t>上述地区之外的其他地区</w:t>
            </w:r>
          </w:p>
        </w:tc>
      </w:tr>
      <w:tr w14:paraId="479F7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shd w:val="clear" w:color="auto" w:fill="auto"/>
          </w:tcPr>
          <w:p w14:paraId="48E656DE">
            <w:pPr>
              <w:pStyle w:val="48"/>
              <w:rPr>
                <w:rFonts w:cs="Times New Roman"/>
              </w:rPr>
            </w:pPr>
            <w:r>
              <w:rPr>
                <w:rFonts w:hint="eastAsia" w:cs="Times New Roman"/>
              </w:rPr>
              <w:t>a“环境敏感区”是指《建设项目环境影响评价分类管理名录》中所界定的涉及地下水的环境敏感区</w:t>
            </w:r>
          </w:p>
        </w:tc>
      </w:tr>
    </w:tbl>
    <w:p w14:paraId="4289DF9E">
      <w:pPr>
        <w:pStyle w:val="63"/>
        <w:bidi w:val="0"/>
      </w:pPr>
      <w:r>
        <w:rPr>
          <w:rFonts w:hint="eastAsia"/>
        </w:rPr>
        <w:t>表</w:t>
      </w:r>
      <w:r>
        <w:rPr>
          <w:rFonts w:hint="eastAsia"/>
          <w:lang w:val="en-US" w:eastAsia="zh-CN"/>
        </w:rPr>
        <w:t>F2-10</w:t>
      </w:r>
      <w:r>
        <w:t xml:space="preserve"> </w:t>
      </w:r>
      <w:r>
        <w:rPr>
          <w:rFonts w:hint="eastAsia"/>
        </w:rPr>
        <w:t>包气带防污性能分级</w:t>
      </w:r>
    </w:p>
    <w:tbl>
      <w:tblPr>
        <w:tblStyle w:val="1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573"/>
        <w:gridCol w:w="7667"/>
      </w:tblGrid>
      <w:tr w14:paraId="05D44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c>
          <w:tcPr>
            <w:tcW w:w="851" w:type="pct"/>
            <w:shd w:val="clear" w:color="auto" w:fill="auto"/>
          </w:tcPr>
          <w:p w14:paraId="28A5329D">
            <w:pPr>
              <w:pStyle w:val="48"/>
              <w:rPr>
                <w:rFonts w:cs="Times New Roman"/>
              </w:rPr>
            </w:pPr>
            <w:r>
              <w:rPr>
                <w:rFonts w:hint="eastAsia" w:cs="Times New Roman"/>
              </w:rPr>
              <w:t>分级</w:t>
            </w:r>
          </w:p>
        </w:tc>
        <w:tc>
          <w:tcPr>
            <w:tcW w:w="4148" w:type="pct"/>
            <w:shd w:val="clear" w:color="auto" w:fill="auto"/>
          </w:tcPr>
          <w:p w14:paraId="6493669B">
            <w:pPr>
              <w:pStyle w:val="48"/>
              <w:rPr>
                <w:rFonts w:cs="Times New Roman"/>
              </w:rPr>
            </w:pPr>
            <w:r>
              <w:rPr>
                <w:rFonts w:hint="eastAsia" w:cs="Times New Roman"/>
              </w:rPr>
              <w:t>包气带岩土的渗透性能</w:t>
            </w:r>
          </w:p>
        </w:tc>
      </w:tr>
      <w:tr w14:paraId="5D91A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pct"/>
            <w:shd w:val="clear" w:color="auto" w:fill="auto"/>
          </w:tcPr>
          <w:p w14:paraId="3B33C3AB">
            <w:pPr>
              <w:pStyle w:val="48"/>
              <w:rPr>
                <w:rFonts w:cs="Times New Roman"/>
              </w:rPr>
            </w:pPr>
            <w:r>
              <w:rPr>
                <w:rFonts w:hint="eastAsia" w:cs="Times New Roman"/>
              </w:rPr>
              <w:t>D</w:t>
            </w:r>
            <w:r>
              <w:rPr>
                <w:rFonts w:cs="Times New Roman"/>
              </w:rPr>
              <w:t>3</w:t>
            </w:r>
          </w:p>
        </w:tc>
        <w:tc>
          <w:tcPr>
            <w:tcW w:w="4148" w:type="pct"/>
            <w:shd w:val="clear" w:color="auto" w:fill="auto"/>
          </w:tcPr>
          <w:p w14:paraId="4BE64FD6">
            <w:pPr>
              <w:pStyle w:val="48"/>
              <w:rPr>
                <w:rFonts w:cs="Times New Roman"/>
              </w:rPr>
            </w:pPr>
            <w:r>
              <w:rPr>
                <w:rFonts w:hint="eastAsia" w:cs="Times New Roman"/>
              </w:rPr>
              <w:t>Mb≥1</w:t>
            </w:r>
            <w:r>
              <w:rPr>
                <w:rFonts w:cs="Times New Roman"/>
              </w:rPr>
              <w:t>.0</w:t>
            </w:r>
            <w:r>
              <w:rPr>
                <w:rFonts w:hint="eastAsia" w:cs="Times New Roman"/>
              </w:rPr>
              <w:t>m，K≤</w:t>
            </w:r>
            <w:r>
              <w:rPr>
                <w:rFonts w:cs="Times New Roman"/>
              </w:rPr>
              <w:t>10</w:t>
            </w:r>
            <w:r>
              <w:rPr>
                <w:rFonts w:hint="eastAsia" w:cs="Times New Roman"/>
              </w:rPr>
              <w:t>×</w:t>
            </w:r>
            <w:r>
              <w:rPr>
                <w:rFonts w:cs="Times New Roman"/>
              </w:rPr>
              <w:t>10</w:t>
            </w:r>
            <w:r>
              <w:rPr>
                <w:rFonts w:cs="Times New Roman"/>
                <w:vertAlign w:val="superscript"/>
              </w:rPr>
              <w:t>-6</w:t>
            </w:r>
            <w:r>
              <w:rPr>
                <w:rFonts w:hint="eastAsia" w:cs="Times New Roman"/>
              </w:rPr>
              <w:t>cm</w:t>
            </w:r>
            <w:r>
              <w:rPr>
                <w:rFonts w:cs="Times New Roman"/>
              </w:rPr>
              <w:t>/s</w:t>
            </w:r>
            <w:r>
              <w:rPr>
                <w:rFonts w:hint="eastAsia" w:cs="Times New Roman"/>
              </w:rPr>
              <w:t>，且分布连续、稳定</w:t>
            </w:r>
          </w:p>
        </w:tc>
      </w:tr>
      <w:tr w14:paraId="043FA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pct"/>
            <w:shd w:val="clear" w:color="auto" w:fill="auto"/>
          </w:tcPr>
          <w:p w14:paraId="36D987AA">
            <w:pPr>
              <w:pStyle w:val="48"/>
              <w:rPr>
                <w:rFonts w:cs="Times New Roman"/>
              </w:rPr>
            </w:pPr>
            <w:r>
              <w:rPr>
                <w:rFonts w:hint="eastAsia" w:cs="Times New Roman"/>
              </w:rPr>
              <w:t>D</w:t>
            </w:r>
            <w:r>
              <w:rPr>
                <w:rFonts w:cs="Times New Roman"/>
              </w:rPr>
              <w:t>2</w:t>
            </w:r>
          </w:p>
        </w:tc>
        <w:tc>
          <w:tcPr>
            <w:tcW w:w="4148" w:type="pct"/>
            <w:shd w:val="clear" w:color="auto" w:fill="auto"/>
          </w:tcPr>
          <w:p w14:paraId="52364D5D">
            <w:pPr>
              <w:pStyle w:val="48"/>
              <w:rPr>
                <w:rFonts w:cs="Times New Roman"/>
              </w:rPr>
            </w:pPr>
            <w:r>
              <w:rPr>
                <w:rFonts w:hint="eastAsia" w:cs="Times New Roman"/>
              </w:rPr>
              <w:t>0</w:t>
            </w:r>
            <w:r>
              <w:rPr>
                <w:rFonts w:cs="Times New Roman"/>
              </w:rPr>
              <w:t>.5</w:t>
            </w:r>
            <w:r>
              <w:rPr>
                <w:rFonts w:hint="eastAsia" w:cs="Times New Roman"/>
              </w:rPr>
              <w:t>m≤Mb＜1</w:t>
            </w:r>
            <w:r>
              <w:rPr>
                <w:rFonts w:cs="Times New Roman"/>
              </w:rPr>
              <w:t>.0</w:t>
            </w:r>
            <w:r>
              <w:rPr>
                <w:rFonts w:hint="eastAsia" w:cs="Times New Roman"/>
              </w:rPr>
              <w:t>m，K≤</w:t>
            </w:r>
            <w:r>
              <w:rPr>
                <w:rFonts w:cs="Times New Roman"/>
              </w:rPr>
              <w:t>1.0</w:t>
            </w:r>
            <w:r>
              <w:rPr>
                <w:rFonts w:hint="eastAsia" w:cs="Times New Roman"/>
              </w:rPr>
              <w:t>×</w:t>
            </w:r>
            <w:r>
              <w:rPr>
                <w:rFonts w:cs="Times New Roman"/>
              </w:rPr>
              <w:t>10</w:t>
            </w:r>
            <w:r>
              <w:rPr>
                <w:rFonts w:cs="Times New Roman"/>
                <w:vertAlign w:val="superscript"/>
              </w:rPr>
              <w:t>-6</w:t>
            </w:r>
            <w:r>
              <w:rPr>
                <w:rFonts w:hint="eastAsia" w:cs="Times New Roman"/>
              </w:rPr>
              <w:t>cm</w:t>
            </w:r>
            <w:r>
              <w:rPr>
                <w:rFonts w:cs="Times New Roman"/>
              </w:rPr>
              <w:t>/s</w:t>
            </w:r>
            <w:r>
              <w:rPr>
                <w:rFonts w:hint="eastAsia" w:cs="Times New Roman"/>
              </w:rPr>
              <w:t>，且分布连续、稳定</w:t>
            </w:r>
          </w:p>
          <w:p w14:paraId="0842C301">
            <w:pPr>
              <w:pStyle w:val="48"/>
              <w:rPr>
                <w:rFonts w:cs="Times New Roman"/>
              </w:rPr>
            </w:pPr>
            <w:r>
              <w:rPr>
                <w:rFonts w:hint="eastAsia" w:cs="Times New Roman"/>
              </w:rPr>
              <w:t>Mb≥1</w:t>
            </w:r>
            <w:r>
              <w:rPr>
                <w:rFonts w:cs="Times New Roman"/>
              </w:rPr>
              <w:t>.0</w:t>
            </w:r>
            <w:r>
              <w:rPr>
                <w:rFonts w:hint="eastAsia" w:cs="Times New Roman"/>
              </w:rPr>
              <w:t>m，1</w:t>
            </w:r>
            <w:r>
              <w:rPr>
                <w:rFonts w:cs="Times New Roman"/>
              </w:rPr>
              <w:t>.0</w:t>
            </w:r>
            <w:r>
              <w:rPr>
                <w:rFonts w:hint="eastAsia" w:cs="Times New Roman"/>
              </w:rPr>
              <w:t>×</w:t>
            </w:r>
            <w:r>
              <w:rPr>
                <w:rFonts w:cs="Times New Roman"/>
              </w:rPr>
              <w:t>10</w:t>
            </w:r>
            <w:r>
              <w:rPr>
                <w:rFonts w:cs="Times New Roman"/>
                <w:vertAlign w:val="superscript"/>
              </w:rPr>
              <w:t>-6</w:t>
            </w:r>
            <w:r>
              <w:rPr>
                <w:rFonts w:hint="eastAsia" w:cs="Times New Roman"/>
              </w:rPr>
              <w:t>cm</w:t>
            </w:r>
            <w:r>
              <w:rPr>
                <w:rFonts w:cs="Times New Roman"/>
              </w:rPr>
              <w:t>/s</w:t>
            </w:r>
            <w:r>
              <w:rPr>
                <w:rFonts w:hint="eastAsia" w:cs="Times New Roman"/>
              </w:rPr>
              <w:t>≤K≤</w:t>
            </w:r>
            <w:r>
              <w:rPr>
                <w:rFonts w:cs="Times New Roman"/>
              </w:rPr>
              <w:t>1.0</w:t>
            </w:r>
            <w:r>
              <w:rPr>
                <w:rFonts w:hint="eastAsia" w:cs="Times New Roman"/>
              </w:rPr>
              <w:t>×</w:t>
            </w:r>
            <w:r>
              <w:rPr>
                <w:rFonts w:cs="Times New Roman"/>
              </w:rPr>
              <w:t>10</w:t>
            </w:r>
            <w:r>
              <w:rPr>
                <w:rFonts w:cs="Times New Roman"/>
                <w:vertAlign w:val="superscript"/>
              </w:rPr>
              <w:t>-4</w:t>
            </w:r>
            <w:r>
              <w:rPr>
                <w:rFonts w:hint="eastAsia" w:cs="Times New Roman"/>
              </w:rPr>
              <w:t>cm</w:t>
            </w:r>
            <w:r>
              <w:rPr>
                <w:rFonts w:cs="Times New Roman"/>
              </w:rPr>
              <w:t>/s</w:t>
            </w:r>
            <w:r>
              <w:rPr>
                <w:rFonts w:hint="eastAsia" w:cs="Times New Roman"/>
              </w:rPr>
              <w:t>，且分布连续、稳定</w:t>
            </w:r>
          </w:p>
        </w:tc>
      </w:tr>
      <w:tr w14:paraId="0047C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pct"/>
            <w:shd w:val="clear" w:color="auto" w:fill="auto"/>
          </w:tcPr>
          <w:p w14:paraId="18AF8DF4">
            <w:pPr>
              <w:pStyle w:val="48"/>
              <w:rPr>
                <w:rFonts w:cs="Times New Roman"/>
              </w:rPr>
            </w:pPr>
            <w:r>
              <w:rPr>
                <w:rFonts w:hint="eastAsia" w:cs="Times New Roman"/>
              </w:rPr>
              <w:t>D</w:t>
            </w:r>
            <w:r>
              <w:rPr>
                <w:rFonts w:cs="Times New Roman"/>
              </w:rPr>
              <w:t>1</w:t>
            </w:r>
          </w:p>
        </w:tc>
        <w:tc>
          <w:tcPr>
            <w:tcW w:w="4148" w:type="pct"/>
            <w:shd w:val="clear" w:color="auto" w:fill="auto"/>
          </w:tcPr>
          <w:p w14:paraId="21E599BE">
            <w:pPr>
              <w:pStyle w:val="48"/>
              <w:rPr>
                <w:rFonts w:cs="Times New Roman"/>
              </w:rPr>
            </w:pPr>
            <w:r>
              <w:rPr>
                <w:rFonts w:hint="eastAsia" w:cs="Times New Roman"/>
              </w:rPr>
              <w:t>岩土层不满足上述“D</w:t>
            </w:r>
            <w:r>
              <w:rPr>
                <w:rFonts w:cs="Times New Roman"/>
              </w:rPr>
              <w:t>2</w:t>
            </w:r>
            <w:r>
              <w:rPr>
                <w:rFonts w:hint="eastAsia" w:cs="Times New Roman"/>
              </w:rPr>
              <w:t>”和“D</w:t>
            </w:r>
            <w:r>
              <w:rPr>
                <w:rFonts w:cs="Times New Roman"/>
              </w:rPr>
              <w:t>3</w:t>
            </w:r>
            <w:r>
              <w:rPr>
                <w:rFonts w:hint="eastAsia" w:cs="Times New Roman"/>
              </w:rPr>
              <w:t>”条件</w:t>
            </w:r>
          </w:p>
        </w:tc>
      </w:tr>
      <w:tr w14:paraId="3D01C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shd w:val="clear" w:color="auto" w:fill="auto"/>
          </w:tcPr>
          <w:p w14:paraId="5CD6F1A9">
            <w:pPr>
              <w:pStyle w:val="48"/>
              <w:rPr>
                <w:rFonts w:cs="Times New Roman"/>
              </w:rPr>
            </w:pPr>
            <w:r>
              <w:rPr>
                <w:rFonts w:hint="eastAsia" w:cs="Times New Roman"/>
              </w:rPr>
              <w:t>Mb：岩土层单层厚度。K：渗透系数。</w:t>
            </w:r>
          </w:p>
        </w:tc>
      </w:tr>
    </w:tbl>
    <w:p w14:paraId="4D114EC7">
      <w:pPr>
        <w:pStyle w:val="62"/>
        <w:bidi w:val="0"/>
      </w:pPr>
      <w:r>
        <w:rPr>
          <w:rFonts w:hint="eastAsia"/>
        </w:rPr>
        <w:t>（4）E的分级确定</w:t>
      </w:r>
    </w:p>
    <w:p w14:paraId="6D7FBD37">
      <w:pPr>
        <w:pStyle w:val="62"/>
        <w:bidi w:val="0"/>
        <w:rPr>
          <w:rFonts w:hint="eastAsia"/>
        </w:rPr>
      </w:pPr>
      <w:r>
        <w:rPr>
          <w:rFonts w:hint="eastAsia"/>
        </w:rPr>
        <w:t>本次综合大气、地表水、地下水的环境敏感程度分级，取其中级别最高的，确定本项目的环境敏感程度，确定为E</w:t>
      </w:r>
      <w:r>
        <w:t>1</w:t>
      </w:r>
      <w:r>
        <w:rPr>
          <w:rFonts w:hint="eastAsia"/>
        </w:rPr>
        <w:t>环境高度敏感区。</w:t>
      </w:r>
    </w:p>
    <w:p w14:paraId="7421AC2B">
      <w:pPr>
        <w:pStyle w:val="34"/>
        <w:bidi w:val="0"/>
        <w:rPr>
          <w:rFonts w:hint="eastAsia"/>
          <w:lang w:val="en-US" w:eastAsia="zh-CN"/>
        </w:rPr>
      </w:pPr>
      <w:r>
        <w:rPr>
          <w:rFonts w:hint="eastAsia"/>
          <w:lang w:val="en-US" w:eastAsia="zh-CN"/>
        </w:rPr>
        <w:t>F2.1.3风险潜势划分</w:t>
      </w:r>
    </w:p>
    <w:p w14:paraId="75129953">
      <w:pPr>
        <w:pStyle w:val="25"/>
        <w:bidi w:val="0"/>
      </w:pPr>
      <w:r>
        <w:rPr>
          <w:rFonts w:hint="eastAsia"/>
        </w:rPr>
        <w:t>本项目区域大气环境属于</w:t>
      </w:r>
      <w:r>
        <w:rPr>
          <w:rFonts w:hint="eastAsia"/>
          <w:lang w:val="en-US" w:eastAsia="zh-CN"/>
        </w:rPr>
        <w:t>中</w:t>
      </w:r>
      <w:r>
        <w:rPr>
          <w:rFonts w:hint="eastAsia"/>
        </w:rPr>
        <w:t>度敏感区（E</w:t>
      </w:r>
      <w:r>
        <w:rPr>
          <w:rFonts w:hint="eastAsia"/>
          <w:lang w:val="en-US" w:eastAsia="zh-CN"/>
        </w:rPr>
        <w:t>2</w:t>
      </w:r>
      <w:r>
        <w:rPr>
          <w:rFonts w:hint="eastAsia"/>
        </w:rPr>
        <w:t>）、地表水环境属于</w:t>
      </w:r>
      <w:r>
        <w:rPr>
          <w:rFonts w:hint="eastAsia"/>
          <w:lang w:val="en-US" w:eastAsia="zh-CN"/>
        </w:rPr>
        <w:t>高</w:t>
      </w:r>
      <w:r>
        <w:rPr>
          <w:rFonts w:hint="eastAsia"/>
        </w:rPr>
        <w:t>度敏感区（E</w:t>
      </w:r>
      <w:r>
        <w:rPr>
          <w:rFonts w:hint="eastAsia"/>
          <w:lang w:val="en-US" w:eastAsia="zh-CN"/>
        </w:rPr>
        <w:t>1</w:t>
      </w:r>
      <w:r>
        <w:rPr>
          <w:rFonts w:hint="eastAsia"/>
        </w:rPr>
        <w:t>）、地下水属于低度敏感区（E</w:t>
      </w:r>
      <w:r>
        <w:t>3</w:t>
      </w:r>
      <w:r>
        <w:rPr>
          <w:rFonts w:hint="eastAsia"/>
        </w:rPr>
        <w:t>），危险物质及工艺系统危险性（P）属于</w:t>
      </w:r>
      <w:r>
        <w:rPr>
          <w:rFonts w:hint="eastAsia"/>
          <w:lang w:val="en-US" w:eastAsia="zh-CN"/>
        </w:rPr>
        <w:t>轻</w:t>
      </w:r>
      <w:r>
        <w:rPr>
          <w:rFonts w:hint="eastAsia"/>
        </w:rPr>
        <w:t>度危害（P</w:t>
      </w:r>
      <w:r>
        <w:rPr>
          <w:rFonts w:hint="eastAsia"/>
          <w:lang w:val="en-US" w:eastAsia="zh-CN"/>
        </w:rPr>
        <w:t>4</w:t>
      </w:r>
      <w:r>
        <w:rPr>
          <w:rFonts w:hint="eastAsia"/>
        </w:rPr>
        <w:t>），因此本次大气环境风险潜势为</w:t>
      </w:r>
      <w:r>
        <w:rPr>
          <w:rFonts w:hint="eastAsia"/>
          <w:lang w:val="en-US" w:eastAsia="zh-CN"/>
        </w:rPr>
        <w:t>Ⅱ</w:t>
      </w:r>
      <w:r>
        <w:rPr>
          <w:rFonts w:hint="eastAsia"/>
        </w:rPr>
        <w:t>级，地表水环境风险潜势为Ⅲ级，地下水环境风险潜势为</w:t>
      </w:r>
      <w:r>
        <w:rPr>
          <w:rFonts w:hint="eastAsia"/>
          <w:lang w:val="en-US" w:eastAsia="zh-CN"/>
        </w:rPr>
        <w:t>Ⅰ</w:t>
      </w:r>
      <w:r>
        <w:rPr>
          <w:rFonts w:hint="eastAsia"/>
        </w:rPr>
        <w:t>级，本次评价取最高风险潜势，项目风险潜势为Ⅲ级。</w:t>
      </w:r>
    </w:p>
    <w:p w14:paraId="659106ED">
      <w:pPr>
        <w:pStyle w:val="24"/>
        <w:bidi w:val="0"/>
      </w:pPr>
      <w:r>
        <w:rPr>
          <w:rFonts w:hint="eastAsia"/>
        </w:rPr>
        <w:t>表</w:t>
      </w:r>
      <w:r>
        <w:rPr>
          <w:rFonts w:hint="eastAsia"/>
          <w:lang w:val="en-US" w:eastAsia="zh-CN"/>
        </w:rPr>
        <w:t>F2-11</w:t>
      </w:r>
      <w:r>
        <w:t xml:space="preserve">  </w:t>
      </w:r>
      <w:r>
        <w:rPr>
          <w:rFonts w:hint="eastAsia"/>
        </w:rPr>
        <w:t>风险潜势划分</w:t>
      </w:r>
    </w:p>
    <w:tbl>
      <w:tblPr>
        <w:tblStyle w:val="6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2366"/>
        <w:gridCol w:w="1668"/>
        <w:gridCol w:w="1668"/>
        <w:gridCol w:w="1668"/>
        <w:gridCol w:w="1666"/>
      </w:tblGrid>
      <w:tr w14:paraId="237B8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309" w:type="pct"/>
            <w:vMerge w:val="restart"/>
            <w:shd w:val="clear" w:color="auto" w:fill="auto"/>
            <w:vAlign w:val="center"/>
          </w:tcPr>
          <w:p w14:paraId="0A016D1A">
            <w:pPr>
              <w:pStyle w:val="48"/>
            </w:pPr>
            <w:r>
              <w:t>环境敏感程度（E）</w:t>
            </w:r>
          </w:p>
        </w:tc>
        <w:tc>
          <w:tcPr>
            <w:tcW w:w="3691" w:type="pct"/>
            <w:gridSpan w:val="4"/>
            <w:shd w:val="clear" w:color="auto" w:fill="auto"/>
            <w:vAlign w:val="center"/>
          </w:tcPr>
          <w:p w14:paraId="73C33956">
            <w:pPr>
              <w:pStyle w:val="48"/>
            </w:pPr>
            <w:r>
              <w:t>危险物质及工艺系统危险性（P）</w:t>
            </w:r>
          </w:p>
        </w:tc>
      </w:tr>
      <w:tr w14:paraId="26D6F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0" w:hRule="atLeast"/>
        </w:trPr>
        <w:tc>
          <w:tcPr>
            <w:tcW w:w="1309" w:type="pct"/>
            <w:vMerge w:val="continue"/>
            <w:shd w:val="clear" w:color="auto" w:fill="auto"/>
            <w:vAlign w:val="center"/>
          </w:tcPr>
          <w:p w14:paraId="5640EE6C">
            <w:pPr>
              <w:pStyle w:val="48"/>
            </w:pPr>
          </w:p>
        </w:tc>
        <w:tc>
          <w:tcPr>
            <w:tcW w:w="923" w:type="pct"/>
            <w:shd w:val="clear" w:color="auto" w:fill="auto"/>
            <w:vAlign w:val="center"/>
          </w:tcPr>
          <w:p w14:paraId="14077928">
            <w:pPr>
              <w:pStyle w:val="48"/>
            </w:pPr>
            <w:r>
              <w:t>极高危害（P1）</w:t>
            </w:r>
          </w:p>
        </w:tc>
        <w:tc>
          <w:tcPr>
            <w:tcW w:w="923" w:type="pct"/>
            <w:shd w:val="clear" w:color="auto" w:fill="auto"/>
            <w:vAlign w:val="center"/>
          </w:tcPr>
          <w:p w14:paraId="7DBFB7CA">
            <w:pPr>
              <w:pStyle w:val="48"/>
            </w:pPr>
            <w:r>
              <w:t>高度危害（P2）</w:t>
            </w:r>
          </w:p>
        </w:tc>
        <w:tc>
          <w:tcPr>
            <w:tcW w:w="923" w:type="pct"/>
            <w:shd w:val="clear" w:color="auto" w:fill="auto"/>
            <w:vAlign w:val="center"/>
          </w:tcPr>
          <w:p w14:paraId="3EFAAC6E">
            <w:pPr>
              <w:pStyle w:val="48"/>
            </w:pPr>
            <w:r>
              <w:t>中度危害（P3）</w:t>
            </w:r>
          </w:p>
        </w:tc>
        <w:tc>
          <w:tcPr>
            <w:tcW w:w="923" w:type="pct"/>
            <w:shd w:val="clear" w:color="auto" w:fill="auto"/>
            <w:vAlign w:val="center"/>
          </w:tcPr>
          <w:p w14:paraId="31B5CF1B">
            <w:pPr>
              <w:pStyle w:val="48"/>
            </w:pPr>
            <w:r>
              <w:t>轻度危害（P4）</w:t>
            </w:r>
          </w:p>
        </w:tc>
      </w:tr>
      <w:tr w14:paraId="252AB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0" w:hRule="atLeast"/>
        </w:trPr>
        <w:tc>
          <w:tcPr>
            <w:tcW w:w="1309" w:type="pct"/>
            <w:shd w:val="clear" w:color="auto" w:fill="auto"/>
            <w:vAlign w:val="center"/>
          </w:tcPr>
          <w:p w14:paraId="2086BBC5">
            <w:pPr>
              <w:pStyle w:val="48"/>
            </w:pPr>
            <w:r>
              <w:t>环境高度敏感区（E1）</w:t>
            </w:r>
          </w:p>
        </w:tc>
        <w:tc>
          <w:tcPr>
            <w:tcW w:w="923" w:type="pct"/>
            <w:shd w:val="clear" w:color="auto" w:fill="auto"/>
            <w:vAlign w:val="center"/>
          </w:tcPr>
          <w:p w14:paraId="6BDE354D">
            <w:pPr>
              <w:pStyle w:val="48"/>
            </w:pPr>
            <w:r>
              <w:t>Ⅳ+</w:t>
            </w:r>
          </w:p>
        </w:tc>
        <w:tc>
          <w:tcPr>
            <w:tcW w:w="923" w:type="pct"/>
            <w:shd w:val="clear" w:color="auto" w:fill="auto"/>
            <w:vAlign w:val="center"/>
          </w:tcPr>
          <w:p w14:paraId="46AFC8C7">
            <w:pPr>
              <w:pStyle w:val="48"/>
            </w:pPr>
            <w:r>
              <w:t>Ⅳ</w:t>
            </w:r>
          </w:p>
        </w:tc>
        <w:tc>
          <w:tcPr>
            <w:tcW w:w="923" w:type="pct"/>
            <w:shd w:val="clear" w:color="auto" w:fill="auto"/>
            <w:vAlign w:val="center"/>
          </w:tcPr>
          <w:p w14:paraId="60B6533B">
            <w:pPr>
              <w:pStyle w:val="48"/>
            </w:pPr>
            <w:r>
              <w:t>Ⅲ</w:t>
            </w:r>
          </w:p>
        </w:tc>
        <w:tc>
          <w:tcPr>
            <w:tcW w:w="923" w:type="pct"/>
            <w:shd w:val="clear" w:color="auto" w:fill="auto"/>
            <w:vAlign w:val="center"/>
          </w:tcPr>
          <w:p w14:paraId="4DA3EF93">
            <w:pPr>
              <w:pStyle w:val="48"/>
            </w:pPr>
            <w:r>
              <w:t>Ⅲ</w:t>
            </w:r>
          </w:p>
        </w:tc>
      </w:tr>
      <w:tr w14:paraId="5475E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0" w:hRule="atLeast"/>
        </w:trPr>
        <w:tc>
          <w:tcPr>
            <w:tcW w:w="1309" w:type="pct"/>
            <w:shd w:val="clear" w:color="auto" w:fill="auto"/>
            <w:vAlign w:val="center"/>
          </w:tcPr>
          <w:p w14:paraId="73E9ADD4">
            <w:pPr>
              <w:pStyle w:val="48"/>
            </w:pPr>
            <w:r>
              <w:t>环境中度敏感区（E2）</w:t>
            </w:r>
          </w:p>
        </w:tc>
        <w:tc>
          <w:tcPr>
            <w:tcW w:w="923" w:type="pct"/>
            <w:shd w:val="clear" w:color="auto" w:fill="auto"/>
            <w:vAlign w:val="center"/>
          </w:tcPr>
          <w:p w14:paraId="66BE9407">
            <w:pPr>
              <w:pStyle w:val="48"/>
            </w:pPr>
            <w:r>
              <w:t>Ⅳ</w:t>
            </w:r>
          </w:p>
        </w:tc>
        <w:tc>
          <w:tcPr>
            <w:tcW w:w="923" w:type="pct"/>
            <w:shd w:val="clear" w:color="auto" w:fill="auto"/>
            <w:vAlign w:val="center"/>
          </w:tcPr>
          <w:p w14:paraId="3841ADAE">
            <w:pPr>
              <w:pStyle w:val="48"/>
            </w:pPr>
            <w:r>
              <w:t>Ⅲ</w:t>
            </w:r>
          </w:p>
        </w:tc>
        <w:tc>
          <w:tcPr>
            <w:tcW w:w="923" w:type="pct"/>
            <w:shd w:val="clear" w:color="auto" w:fill="auto"/>
            <w:vAlign w:val="center"/>
          </w:tcPr>
          <w:p w14:paraId="4AB0BD95">
            <w:pPr>
              <w:pStyle w:val="48"/>
            </w:pPr>
            <w:r>
              <w:t>Ⅲ</w:t>
            </w:r>
          </w:p>
        </w:tc>
        <w:tc>
          <w:tcPr>
            <w:tcW w:w="923" w:type="pct"/>
            <w:shd w:val="clear" w:color="auto" w:fill="auto"/>
            <w:vAlign w:val="center"/>
          </w:tcPr>
          <w:p w14:paraId="7965E101">
            <w:pPr>
              <w:pStyle w:val="48"/>
            </w:pPr>
            <w:r>
              <w:t>Ⅱ</w:t>
            </w:r>
          </w:p>
        </w:tc>
      </w:tr>
      <w:tr w14:paraId="3AD5D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0" w:hRule="atLeast"/>
        </w:trPr>
        <w:tc>
          <w:tcPr>
            <w:tcW w:w="1309" w:type="pct"/>
            <w:shd w:val="clear" w:color="auto" w:fill="auto"/>
            <w:vAlign w:val="center"/>
          </w:tcPr>
          <w:p w14:paraId="4A62DAF1">
            <w:pPr>
              <w:pStyle w:val="48"/>
            </w:pPr>
            <w:r>
              <w:t>环境低度敏感区（E3）</w:t>
            </w:r>
          </w:p>
        </w:tc>
        <w:tc>
          <w:tcPr>
            <w:tcW w:w="923" w:type="pct"/>
            <w:shd w:val="clear" w:color="auto" w:fill="auto"/>
            <w:vAlign w:val="center"/>
          </w:tcPr>
          <w:p w14:paraId="4D76299D">
            <w:pPr>
              <w:pStyle w:val="48"/>
            </w:pPr>
            <w:r>
              <w:t>Ⅲ</w:t>
            </w:r>
          </w:p>
        </w:tc>
        <w:tc>
          <w:tcPr>
            <w:tcW w:w="923" w:type="pct"/>
            <w:shd w:val="clear" w:color="auto" w:fill="auto"/>
            <w:vAlign w:val="center"/>
          </w:tcPr>
          <w:p w14:paraId="4927529D">
            <w:pPr>
              <w:pStyle w:val="48"/>
            </w:pPr>
            <w:r>
              <w:t>Ⅲ</w:t>
            </w:r>
          </w:p>
        </w:tc>
        <w:tc>
          <w:tcPr>
            <w:tcW w:w="923" w:type="pct"/>
            <w:shd w:val="clear" w:color="auto" w:fill="auto"/>
            <w:vAlign w:val="center"/>
          </w:tcPr>
          <w:p w14:paraId="04991E11">
            <w:pPr>
              <w:pStyle w:val="48"/>
            </w:pPr>
            <w:r>
              <w:t>Ⅱ</w:t>
            </w:r>
          </w:p>
        </w:tc>
        <w:tc>
          <w:tcPr>
            <w:tcW w:w="923" w:type="pct"/>
            <w:shd w:val="clear" w:color="auto" w:fill="auto"/>
            <w:vAlign w:val="center"/>
          </w:tcPr>
          <w:p w14:paraId="01231B2A">
            <w:pPr>
              <w:pStyle w:val="48"/>
            </w:pPr>
            <w:r>
              <w:t>Ⅰ</w:t>
            </w:r>
          </w:p>
        </w:tc>
      </w:tr>
      <w:tr w14:paraId="60309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0" w:hRule="atLeast"/>
        </w:trPr>
        <w:tc>
          <w:tcPr>
            <w:tcW w:w="5000" w:type="pct"/>
            <w:gridSpan w:val="5"/>
            <w:shd w:val="clear" w:color="auto" w:fill="auto"/>
            <w:vAlign w:val="center"/>
          </w:tcPr>
          <w:p w14:paraId="39507F4E">
            <w:pPr>
              <w:pStyle w:val="48"/>
            </w:pPr>
            <w:r>
              <w:t>注：Ⅳ+为极高环境风险</w:t>
            </w:r>
          </w:p>
        </w:tc>
      </w:tr>
    </w:tbl>
    <w:p w14:paraId="7751A006">
      <w:pPr>
        <w:pStyle w:val="37"/>
      </w:pPr>
      <w:bookmarkStart w:id="7" w:name="_Toc115365978"/>
      <w:r>
        <w:rPr>
          <w:rFonts w:hint="eastAsia"/>
          <w:lang w:val="en-US" w:eastAsia="zh-CN"/>
        </w:rPr>
        <w:t>F</w:t>
      </w:r>
      <w:r>
        <w:rPr>
          <w:rFonts w:hint="eastAsia"/>
        </w:rPr>
        <w:t>2</w:t>
      </w:r>
      <w:r>
        <w:t>.2</w:t>
      </w:r>
      <w:r>
        <w:rPr>
          <w:rFonts w:hint="eastAsia"/>
        </w:rPr>
        <w:t>评价工作等级确定</w:t>
      </w:r>
      <w:bookmarkEnd w:id="7"/>
    </w:p>
    <w:p w14:paraId="117502A4">
      <w:pPr>
        <w:pStyle w:val="34"/>
      </w:pPr>
      <w:bookmarkStart w:id="8" w:name="_Toc115365979"/>
      <w:r>
        <w:rPr>
          <w:rFonts w:hint="eastAsia"/>
          <w:lang w:val="en-US" w:eastAsia="zh-CN"/>
        </w:rPr>
        <w:t>F</w:t>
      </w:r>
      <w:r>
        <w:rPr>
          <w:rFonts w:hint="eastAsia"/>
        </w:rPr>
        <w:t>2</w:t>
      </w:r>
      <w:r>
        <w:t>.2.1</w:t>
      </w:r>
      <w:r>
        <w:rPr>
          <w:rFonts w:hint="eastAsia"/>
        </w:rPr>
        <w:t>评价工作等级</w:t>
      </w:r>
      <w:bookmarkEnd w:id="8"/>
    </w:p>
    <w:p w14:paraId="50F2F5D0">
      <w:pPr>
        <w:pStyle w:val="62"/>
        <w:bidi w:val="0"/>
      </w:pPr>
      <w:r>
        <w:rPr>
          <w:rFonts w:hint="eastAsia"/>
        </w:rPr>
        <w:t>本项风险潜势划分为Ⅲ级，因此评价等级为二级评价。</w:t>
      </w:r>
    </w:p>
    <w:p w14:paraId="13CD1B29">
      <w:pPr>
        <w:pStyle w:val="63"/>
        <w:bidi w:val="0"/>
      </w:pPr>
      <w:r>
        <w:rPr>
          <w:rFonts w:hint="eastAsia"/>
        </w:rPr>
        <w:t>表</w:t>
      </w:r>
      <w:r>
        <w:rPr>
          <w:rFonts w:hint="eastAsia"/>
          <w:lang w:val="en-US" w:eastAsia="zh-CN"/>
        </w:rPr>
        <w:t xml:space="preserve">F2-12  </w:t>
      </w:r>
      <w:r>
        <w:t xml:space="preserve"> </w:t>
      </w:r>
      <w:r>
        <w:rPr>
          <w:rFonts w:hint="eastAsia"/>
        </w:rPr>
        <w:t>评价工作等级划分</w:t>
      </w:r>
    </w:p>
    <w:tbl>
      <w:tblPr>
        <w:tblStyle w:val="6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57" w:type="dxa"/>
          <w:bottom w:w="0" w:type="dxa"/>
          <w:right w:w="57" w:type="dxa"/>
        </w:tblCellMar>
      </w:tblPr>
      <w:tblGrid>
        <w:gridCol w:w="1832"/>
        <w:gridCol w:w="1826"/>
        <w:gridCol w:w="1826"/>
        <w:gridCol w:w="1826"/>
        <w:gridCol w:w="1830"/>
      </w:tblGrid>
      <w:tr w14:paraId="6ED1F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334" w:hRule="atLeast"/>
        </w:trPr>
        <w:tc>
          <w:tcPr>
            <w:tcW w:w="1002" w:type="pct"/>
            <w:shd w:val="clear" w:color="auto" w:fill="auto"/>
            <w:vAlign w:val="center"/>
          </w:tcPr>
          <w:p w14:paraId="5163DD51">
            <w:pPr>
              <w:pStyle w:val="48"/>
            </w:pPr>
            <w:r>
              <w:t>环境风险潜势</w:t>
            </w:r>
          </w:p>
        </w:tc>
        <w:tc>
          <w:tcPr>
            <w:tcW w:w="999" w:type="pct"/>
            <w:shd w:val="clear" w:color="auto" w:fill="auto"/>
            <w:vAlign w:val="center"/>
          </w:tcPr>
          <w:p w14:paraId="7F2E3F38">
            <w:pPr>
              <w:pStyle w:val="48"/>
            </w:pPr>
            <w:r>
              <w:t>Ⅳ、Ⅳ+</w:t>
            </w:r>
          </w:p>
        </w:tc>
        <w:tc>
          <w:tcPr>
            <w:tcW w:w="999" w:type="pct"/>
            <w:shd w:val="clear" w:color="auto" w:fill="auto"/>
            <w:vAlign w:val="center"/>
          </w:tcPr>
          <w:p w14:paraId="2C3C3C88">
            <w:pPr>
              <w:pStyle w:val="48"/>
            </w:pPr>
            <w:r>
              <w:t>Ⅲ</w:t>
            </w:r>
          </w:p>
        </w:tc>
        <w:tc>
          <w:tcPr>
            <w:tcW w:w="999" w:type="pct"/>
            <w:shd w:val="clear" w:color="auto" w:fill="auto"/>
            <w:vAlign w:val="center"/>
          </w:tcPr>
          <w:p w14:paraId="1DEB0A8B">
            <w:pPr>
              <w:pStyle w:val="48"/>
            </w:pPr>
            <w:r>
              <w:t>Ⅱ</w:t>
            </w:r>
          </w:p>
        </w:tc>
        <w:tc>
          <w:tcPr>
            <w:tcW w:w="1002" w:type="pct"/>
            <w:shd w:val="clear" w:color="auto" w:fill="auto"/>
            <w:vAlign w:val="center"/>
          </w:tcPr>
          <w:p w14:paraId="5D0047DE">
            <w:pPr>
              <w:pStyle w:val="48"/>
            </w:pPr>
            <w:r>
              <w:t>Ⅰ</w:t>
            </w:r>
          </w:p>
        </w:tc>
      </w:tr>
      <w:tr w14:paraId="62D5F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6" w:hRule="atLeast"/>
        </w:trPr>
        <w:tc>
          <w:tcPr>
            <w:tcW w:w="1002" w:type="pct"/>
            <w:shd w:val="clear" w:color="auto" w:fill="auto"/>
            <w:vAlign w:val="center"/>
          </w:tcPr>
          <w:p w14:paraId="077860C2">
            <w:pPr>
              <w:pStyle w:val="48"/>
            </w:pPr>
            <w:r>
              <w:t>评价工作等级</w:t>
            </w:r>
          </w:p>
        </w:tc>
        <w:tc>
          <w:tcPr>
            <w:tcW w:w="999" w:type="pct"/>
            <w:shd w:val="clear" w:color="auto" w:fill="auto"/>
            <w:vAlign w:val="center"/>
          </w:tcPr>
          <w:p w14:paraId="3024965E">
            <w:pPr>
              <w:pStyle w:val="48"/>
            </w:pPr>
            <w:r>
              <w:t>一</w:t>
            </w:r>
          </w:p>
        </w:tc>
        <w:tc>
          <w:tcPr>
            <w:tcW w:w="999" w:type="pct"/>
            <w:shd w:val="clear" w:color="auto" w:fill="auto"/>
            <w:vAlign w:val="center"/>
          </w:tcPr>
          <w:p w14:paraId="06A96E37">
            <w:pPr>
              <w:pStyle w:val="48"/>
            </w:pPr>
            <w:r>
              <w:t>二</w:t>
            </w:r>
          </w:p>
        </w:tc>
        <w:tc>
          <w:tcPr>
            <w:tcW w:w="999" w:type="pct"/>
            <w:shd w:val="clear" w:color="auto" w:fill="auto"/>
            <w:vAlign w:val="center"/>
          </w:tcPr>
          <w:p w14:paraId="2CF5F432">
            <w:pPr>
              <w:pStyle w:val="48"/>
            </w:pPr>
            <w:r>
              <w:t>三</w:t>
            </w:r>
          </w:p>
        </w:tc>
        <w:tc>
          <w:tcPr>
            <w:tcW w:w="1002" w:type="pct"/>
            <w:shd w:val="clear" w:color="auto" w:fill="auto"/>
            <w:vAlign w:val="center"/>
          </w:tcPr>
          <w:p w14:paraId="72A5EF30">
            <w:pPr>
              <w:pStyle w:val="48"/>
            </w:pPr>
            <w:r>
              <w:t>简单分析</w:t>
            </w:r>
          </w:p>
        </w:tc>
      </w:tr>
    </w:tbl>
    <w:p w14:paraId="12A69BC8">
      <w:pPr>
        <w:pStyle w:val="34"/>
      </w:pPr>
      <w:bookmarkStart w:id="9" w:name="_Toc115365980"/>
      <w:r>
        <w:rPr>
          <w:rFonts w:hint="eastAsia"/>
          <w:lang w:val="en-US" w:eastAsia="zh-CN"/>
        </w:rPr>
        <w:t>F</w:t>
      </w:r>
      <w:r>
        <w:rPr>
          <w:rFonts w:hint="eastAsia"/>
        </w:rPr>
        <w:t>2</w:t>
      </w:r>
      <w:r>
        <w:t>.2.2</w:t>
      </w:r>
      <w:r>
        <w:rPr>
          <w:rFonts w:hint="eastAsia"/>
        </w:rPr>
        <w:t>评价工作范围</w:t>
      </w:r>
      <w:bookmarkEnd w:id="9"/>
    </w:p>
    <w:p w14:paraId="1CB30300">
      <w:pPr>
        <w:pStyle w:val="62"/>
        <w:bidi w:val="0"/>
      </w:pPr>
      <w:r>
        <w:rPr>
          <w:rFonts w:hint="eastAsia"/>
        </w:rPr>
        <w:t>（1）大气环境风险评价范围</w:t>
      </w:r>
    </w:p>
    <w:p w14:paraId="1A86EB72">
      <w:pPr>
        <w:pStyle w:val="62"/>
        <w:bidi w:val="0"/>
      </w:pPr>
      <w:r>
        <w:rPr>
          <w:rFonts w:hint="eastAsia"/>
        </w:rPr>
        <w:t>项目环境风险评价工作等级为二级，根据</w:t>
      </w:r>
      <w:r>
        <w:t>《建设项目环境风险评价技术导则》（HJ169-2018）</w:t>
      </w:r>
      <w:r>
        <w:rPr>
          <w:rFonts w:hint="eastAsia"/>
        </w:rPr>
        <w:t>要求，评价范围设定为距离项目边界5km的范围。</w:t>
      </w:r>
    </w:p>
    <w:p w14:paraId="45034317">
      <w:pPr>
        <w:pStyle w:val="62"/>
        <w:bidi w:val="0"/>
      </w:pPr>
      <w:r>
        <w:rPr>
          <w:rFonts w:hint="eastAsia"/>
        </w:rPr>
        <w:t>（2）地表水环境风险评价范围</w:t>
      </w:r>
    </w:p>
    <w:p w14:paraId="2931988E">
      <w:pPr>
        <w:pStyle w:val="62"/>
        <w:bidi w:val="0"/>
      </w:pPr>
      <w:r>
        <w:rPr>
          <w:rFonts w:hint="eastAsia"/>
        </w:rPr>
        <w:t>参照《环境影响评价技术导则 地面水环境》（HJ</w:t>
      </w:r>
      <w:r>
        <w:t>2.3-2018</w:t>
      </w:r>
      <w:r>
        <w:rPr>
          <w:rFonts w:hint="eastAsia"/>
        </w:rPr>
        <w:t>），确定地表水环境风险评价范围为项目区域雨水排入</w:t>
      </w:r>
      <w:r>
        <w:rPr>
          <w:rFonts w:hint="eastAsia"/>
          <w:lang w:val="en-US" w:eastAsia="zh-CN"/>
        </w:rPr>
        <w:t>横江浦河口</w:t>
      </w:r>
      <w:r>
        <w:rPr>
          <w:rFonts w:hint="eastAsia"/>
        </w:rPr>
        <w:t>，至</w:t>
      </w:r>
      <w:r>
        <w:rPr>
          <w:rFonts w:hint="eastAsia"/>
          <w:lang w:val="en-US" w:eastAsia="zh-CN"/>
        </w:rPr>
        <w:t>汇入湘江口，湘江口至下游7km</w:t>
      </w:r>
      <w:r>
        <w:rPr>
          <w:rFonts w:hint="eastAsia"/>
        </w:rPr>
        <w:t>，全长</w:t>
      </w:r>
      <w:r>
        <w:rPr>
          <w:rFonts w:hint="eastAsia"/>
          <w:lang w:val="en-US" w:eastAsia="zh-CN"/>
        </w:rPr>
        <w:t>10</w:t>
      </w:r>
      <w:r>
        <w:rPr>
          <w:rFonts w:hint="eastAsia"/>
        </w:rPr>
        <w:t>km。</w:t>
      </w:r>
    </w:p>
    <w:p w14:paraId="6EB65933">
      <w:pPr>
        <w:pStyle w:val="62"/>
        <w:bidi w:val="0"/>
      </w:pPr>
      <w:r>
        <w:rPr>
          <w:rFonts w:hint="eastAsia"/>
        </w:rPr>
        <w:t>（3）地下水环境风险评价范围</w:t>
      </w:r>
    </w:p>
    <w:p w14:paraId="708F5899">
      <w:pPr>
        <w:pStyle w:val="62"/>
        <w:bidi w:val="0"/>
        <w:rPr>
          <w:rFonts w:hint="eastAsia"/>
        </w:rPr>
      </w:pPr>
      <w:r>
        <w:rPr>
          <w:rFonts w:hint="eastAsia"/>
        </w:rPr>
        <w:t>参照《环境影响评价技术导则 地下水环境》（HJ</w:t>
      </w:r>
      <w:r>
        <w:t>610-2016</w:t>
      </w:r>
      <w:r>
        <w:rPr>
          <w:rFonts w:hint="eastAsia"/>
        </w:rPr>
        <w:t>），确定地下水环境风险评价范围为6km</w:t>
      </w:r>
      <w:r>
        <w:rPr>
          <w:vertAlign w:val="superscript"/>
        </w:rPr>
        <w:t>2</w:t>
      </w:r>
      <w:r>
        <w:rPr>
          <w:rFonts w:hint="eastAsia"/>
        </w:rPr>
        <w:t>，以项目场址为中心，沿区域地下水流向为轴线（</w:t>
      </w:r>
      <w:r>
        <w:rPr>
          <w:rFonts w:hint="eastAsia"/>
          <w:lang w:val="en-US" w:eastAsia="zh-CN"/>
        </w:rPr>
        <w:t>自西向东</w:t>
      </w:r>
      <w:r>
        <w:rPr>
          <w:rFonts w:hint="eastAsia"/>
        </w:rPr>
        <w:t>），上游1km、下游2km、左右两侧各1km的范围。</w:t>
      </w:r>
    </w:p>
    <w:p w14:paraId="69098F50">
      <w:pPr>
        <w:pStyle w:val="29"/>
        <w:bidi w:val="0"/>
        <w:rPr>
          <w:rFonts w:hint="eastAsia"/>
          <w:lang w:val="en-US" w:eastAsia="zh-CN"/>
        </w:rPr>
      </w:pPr>
      <w:r>
        <w:rPr>
          <w:rFonts w:hint="eastAsia"/>
          <w:lang w:val="en-US" w:eastAsia="zh-CN"/>
        </w:rPr>
        <w:t>F3环境风险识别</w:t>
      </w:r>
    </w:p>
    <w:p w14:paraId="5E756B98">
      <w:pPr>
        <w:pStyle w:val="37"/>
        <w:bidi w:val="0"/>
        <w:rPr>
          <w:rFonts w:hint="eastAsia"/>
          <w:lang w:val="en-US" w:eastAsia="zh-CN"/>
        </w:rPr>
      </w:pPr>
      <w:r>
        <w:rPr>
          <w:rFonts w:hint="eastAsia"/>
          <w:lang w:val="en-US" w:eastAsia="zh-CN"/>
        </w:rPr>
        <w:t>F3.1物质危险性识别</w:t>
      </w:r>
    </w:p>
    <w:p w14:paraId="57B20F9E">
      <w:pPr>
        <w:pStyle w:val="62"/>
        <w:bidi w:val="0"/>
      </w:pPr>
      <w:r>
        <w:rPr>
          <w:rFonts w:hint="eastAsia"/>
        </w:rPr>
        <w:t>物质危险性识别，包括主要原辅材料、燃料、中间产品、副产品、最终产品、污染物、火灾和爆炸伴生/次生物等。</w:t>
      </w:r>
    </w:p>
    <w:p w14:paraId="650E1223">
      <w:pPr>
        <w:pStyle w:val="62"/>
        <w:bidi w:val="0"/>
      </w:pPr>
      <w:r>
        <w:rPr>
          <w:rFonts w:hint="eastAsia"/>
        </w:rPr>
        <w:t>本项目并非生产类型项目，根据前文风险源调查，主要风险源为</w:t>
      </w:r>
      <w:r>
        <w:rPr>
          <w:rFonts w:hint="eastAsia"/>
          <w:lang w:val="en-US" w:eastAsia="zh-CN"/>
        </w:rPr>
        <w:t>储罐区（贮存液化石油气及残液）、灌瓶间（涉及液化石油气灌装及残液收集）</w:t>
      </w:r>
      <w:r>
        <w:rPr>
          <w:rFonts w:hint="eastAsia"/>
        </w:rPr>
        <w:t>，主要涉及的风险物质</w:t>
      </w:r>
      <w:r>
        <w:rPr>
          <w:rFonts w:hint="eastAsia"/>
          <w:lang w:val="en-US" w:eastAsia="zh-CN"/>
        </w:rPr>
        <w:t>主要为液化石油气和残液</w:t>
      </w:r>
      <w:r>
        <w:rPr>
          <w:rFonts w:hint="eastAsia"/>
        </w:rPr>
        <w:t>，根据项目贮存风险物质分析可知，项目火灾和爆炸伴生/次生物主要包括CO、非甲烷总烃等污染物。项目物质危险性识别结果详见下表：</w:t>
      </w:r>
    </w:p>
    <w:p w14:paraId="5DC41CD3">
      <w:pPr>
        <w:pStyle w:val="63"/>
        <w:bidi w:val="0"/>
        <w:rPr>
          <w:rFonts w:hint="eastAsia"/>
          <w:lang w:val="en-US" w:eastAsia="zh-CN"/>
        </w:rPr>
      </w:pPr>
      <w:r>
        <w:rPr>
          <w:rFonts w:hint="eastAsia"/>
          <w:lang w:val="en-US" w:eastAsia="zh-CN"/>
        </w:rPr>
        <w:t>表F3-1  液化石油气理化性质及危险特性表</w:t>
      </w:r>
    </w:p>
    <w:tbl>
      <w:tblPr>
        <w:tblStyle w:val="18"/>
        <w:tblW w:w="493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17"/>
        <w:gridCol w:w="1263"/>
        <w:gridCol w:w="7036"/>
      </w:tblGrid>
      <w:tr w14:paraId="1EA06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8" w:type="pct"/>
            <w:shd w:val="clear" w:color="auto" w:fill="auto"/>
            <w:noWrap/>
            <w:vAlign w:val="center"/>
          </w:tcPr>
          <w:p w14:paraId="66B46A0F">
            <w:pPr>
              <w:pStyle w:val="26"/>
              <w:bidi w:val="0"/>
              <w:rPr>
                <w:rFonts w:hint="eastAsia"/>
              </w:rPr>
            </w:pPr>
            <w:r>
              <w:rPr>
                <w:rFonts w:hint="eastAsia"/>
                <w:lang w:val="en-US" w:eastAsia="zh-CN"/>
              </w:rPr>
              <w:t xml:space="preserve">项目类别 </w:t>
            </w:r>
          </w:p>
        </w:tc>
        <w:tc>
          <w:tcPr>
            <w:tcW w:w="692" w:type="pct"/>
            <w:shd w:val="clear" w:color="auto" w:fill="auto"/>
            <w:noWrap/>
            <w:vAlign w:val="center"/>
          </w:tcPr>
          <w:p w14:paraId="4E08FC87">
            <w:pPr>
              <w:pStyle w:val="26"/>
              <w:bidi w:val="0"/>
              <w:rPr>
                <w:rFonts w:hint="eastAsia"/>
              </w:rPr>
            </w:pPr>
            <w:r>
              <w:rPr>
                <w:rFonts w:hint="eastAsia"/>
                <w:lang w:val="en-US" w:eastAsia="zh-CN"/>
              </w:rPr>
              <w:t xml:space="preserve">项目名称 </w:t>
            </w:r>
          </w:p>
        </w:tc>
        <w:tc>
          <w:tcPr>
            <w:tcW w:w="3858" w:type="pct"/>
            <w:shd w:val="clear" w:color="auto" w:fill="auto"/>
            <w:noWrap/>
            <w:vAlign w:val="center"/>
          </w:tcPr>
          <w:p w14:paraId="59F249D0">
            <w:pPr>
              <w:pStyle w:val="26"/>
              <w:bidi w:val="0"/>
              <w:rPr>
                <w:rFonts w:hint="eastAsia"/>
              </w:rPr>
            </w:pPr>
            <w:r>
              <w:rPr>
                <w:rFonts w:hint="eastAsia"/>
                <w:lang w:val="en-US" w:eastAsia="zh-CN"/>
              </w:rPr>
              <w:t xml:space="preserve">具体内容 </w:t>
            </w:r>
          </w:p>
        </w:tc>
      </w:tr>
      <w:tr w14:paraId="36E05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restart"/>
            <w:shd w:val="clear" w:color="auto" w:fill="auto"/>
            <w:noWrap/>
            <w:vAlign w:val="center"/>
          </w:tcPr>
          <w:p w14:paraId="72314311">
            <w:pPr>
              <w:pStyle w:val="26"/>
              <w:bidi w:val="0"/>
              <w:rPr>
                <w:rFonts w:hint="default" w:eastAsia="宋体"/>
                <w:lang w:val="en-US" w:eastAsia="zh-CN"/>
              </w:rPr>
            </w:pPr>
            <w:r>
              <w:rPr>
                <w:rFonts w:hint="eastAsia"/>
                <w:lang w:val="en-US" w:eastAsia="zh-CN"/>
              </w:rPr>
              <w:t>理化性质</w:t>
            </w:r>
          </w:p>
        </w:tc>
        <w:tc>
          <w:tcPr>
            <w:tcW w:w="692" w:type="pct"/>
            <w:shd w:val="clear" w:color="auto" w:fill="auto"/>
            <w:noWrap/>
            <w:vAlign w:val="center"/>
          </w:tcPr>
          <w:p w14:paraId="65367B06">
            <w:pPr>
              <w:pStyle w:val="26"/>
              <w:bidi w:val="0"/>
              <w:rPr>
                <w:rFonts w:hint="eastAsia"/>
                <w:lang w:val="en-US" w:eastAsia="zh-CN"/>
              </w:rPr>
            </w:pPr>
            <w:r>
              <w:rPr>
                <w:rFonts w:hint="eastAsia"/>
                <w:lang w:val="en-US" w:eastAsia="zh-CN"/>
              </w:rPr>
              <w:t>外观</w:t>
            </w:r>
          </w:p>
          <w:p w14:paraId="265A76D1">
            <w:pPr>
              <w:pStyle w:val="26"/>
              <w:bidi w:val="0"/>
              <w:rPr>
                <w:rFonts w:hint="eastAsia"/>
              </w:rPr>
            </w:pPr>
            <w:r>
              <w:rPr>
                <w:rFonts w:hint="eastAsia"/>
                <w:lang w:val="en-US" w:eastAsia="zh-CN"/>
              </w:rPr>
              <w:t>与性状</w:t>
            </w:r>
          </w:p>
        </w:tc>
        <w:tc>
          <w:tcPr>
            <w:tcW w:w="3858" w:type="pct"/>
            <w:shd w:val="clear" w:color="auto" w:fill="auto"/>
            <w:noWrap/>
            <w:vAlign w:val="center"/>
          </w:tcPr>
          <w:p w14:paraId="452F45E7">
            <w:pPr>
              <w:pStyle w:val="26"/>
              <w:bidi w:val="0"/>
              <w:rPr>
                <w:rFonts w:hint="eastAsia"/>
              </w:rPr>
            </w:pPr>
            <w:r>
              <w:rPr>
                <w:rFonts w:hint="eastAsia"/>
                <w:lang w:val="en-US" w:eastAsia="zh-CN"/>
              </w:rPr>
              <w:t>无色气体或黄棕色油状液体，有特殊臭味。</w:t>
            </w:r>
          </w:p>
        </w:tc>
      </w:tr>
      <w:tr w14:paraId="3AA51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536DE44C">
            <w:pPr>
              <w:pStyle w:val="26"/>
              <w:bidi w:val="0"/>
              <w:rPr>
                <w:rFonts w:hint="eastAsia"/>
              </w:rPr>
            </w:pPr>
          </w:p>
        </w:tc>
        <w:tc>
          <w:tcPr>
            <w:tcW w:w="692" w:type="pct"/>
            <w:shd w:val="clear" w:color="auto" w:fill="auto"/>
            <w:noWrap/>
            <w:vAlign w:val="center"/>
          </w:tcPr>
          <w:p w14:paraId="5C5687D5">
            <w:pPr>
              <w:pStyle w:val="26"/>
              <w:bidi w:val="0"/>
              <w:rPr>
                <w:rFonts w:hint="eastAsia"/>
              </w:rPr>
            </w:pPr>
            <w:r>
              <w:rPr>
                <w:rFonts w:hint="eastAsia"/>
                <w:lang w:val="en-US" w:eastAsia="zh-CN"/>
              </w:rPr>
              <w:t>成分</w:t>
            </w:r>
          </w:p>
        </w:tc>
        <w:tc>
          <w:tcPr>
            <w:tcW w:w="3858" w:type="pct"/>
            <w:shd w:val="clear" w:color="auto" w:fill="auto"/>
            <w:noWrap/>
            <w:vAlign w:val="center"/>
          </w:tcPr>
          <w:p w14:paraId="225BA4D0">
            <w:pPr>
              <w:pStyle w:val="26"/>
              <w:bidi w:val="0"/>
              <w:rPr>
                <w:rFonts w:hint="eastAsia"/>
              </w:rPr>
            </w:pPr>
            <w:r>
              <w:rPr>
                <w:rFonts w:hint="eastAsia"/>
                <w:lang w:val="en-US" w:eastAsia="zh-CN"/>
              </w:rPr>
              <w:t>主要成分为丙烷（C</w:t>
            </w:r>
            <w:r>
              <w:rPr>
                <w:rFonts w:hint="eastAsia"/>
                <w:vertAlign w:val="subscript"/>
                <w:lang w:val="en-US" w:eastAsia="zh-CN"/>
              </w:rPr>
              <w:t>3</w:t>
            </w:r>
            <w:r>
              <w:rPr>
                <w:rFonts w:hint="eastAsia"/>
                <w:lang w:val="en-US" w:eastAsia="zh-CN"/>
              </w:rPr>
              <w:t>H</w:t>
            </w:r>
            <w:r>
              <w:rPr>
                <w:rFonts w:hint="eastAsia"/>
                <w:vertAlign w:val="subscript"/>
                <w:lang w:val="en-US" w:eastAsia="zh-CN"/>
              </w:rPr>
              <w:t>8</w:t>
            </w:r>
            <w:r>
              <w:rPr>
                <w:rFonts w:hint="eastAsia"/>
                <w:lang w:val="en-US" w:eastAsia="zh-CN"/>
              </w:rPr>
              <w:t>）、丁烷（C</w:t>
            </w:r>
            <w:r>
              <w:rPr>
                <w:rFonts w:hint="eastAsia"/>
                <w:vertAlign w:val="subscript"/>
                <w:lang w:val="en-US" w:eastAsia="zh-CN"/>
              </w:rPr>
              <w:t>4</w:t>
            </w:r>
            <w:r>
              <w:rPr>
                <w:rFonts w:hint="eastAsia"/>
                <w:lang w:val="en-US" w:eastAsia="zh-CN"/>
              </w:rPr>
              <w:t>H</w:t>
            </w:r>
            <w:r>
              <w:rPr>
                <w:rFonts w:hint="eastAsia"/>
                <w:vertAlign w:val="subscript"/>
                <w:lang w:val="en-US" w:eastAsia="zh-CN"/>
              </w:rPr>
              <w:t>10</w:t>
            </w:r>
            <w:r>
              <w:rPr>
                <w:rFonts w:hint="eastAsia"/>
                <w:lang w:val="en-US" w:eastAsia="zh-CN"/>
              </w:rPr>
              <w:t>）等低级烷烃和烯烃组成的混合物。</w:t>
            </w:r>
          </w:p>
        </w:tc>
      </w:tr>
      <w:tr w14:paraId="762E2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62CC2A32">
            <w:pPr>
              <w:pStyle w:val="26"/>
              <w:bidi w:val="0"/>
              <w:rPr>
                <w:rFonts w:hint="eastAsia"/>
              </w:rPr>
            </w:pPr>
          </w:p>
        </w:tc>
        <w:tc>
          <w:tcPr>
            <w:tcW w:w="692" w:type="pct"/>
            <w:shd w:val="clear" w:color="auto" w:fill="auto"/>
            <w:noWrap/>
            <w:vAlign w:val="center"/>
          </w:tcPr>
          <w:p w14:paraId="0B75119D">
            <w:pPr>
              <w:pStyle w:val="26"/>
              <w:bidi w:val="0"/>
              <w:rPr>
                <w:rFonts w:hint="eastAsia"/>
              </w:rPr>
            </w:pPr>
            <w:r>
              <w:rPr>
                <w:rFonts w:hint="eastAsia"/>
                <w:lang w:val="en-US" w:eastAsia="zh-CN"/>
              </w:rPr>
              <w:t>沸点</w:t>
            </w:r>
          </w:p>
        </w:tc>
        <w:tc>
          <w:tcPr>
            <w:tcW w:w="3858" w:type="pct"/>
            <w:shd w:val="clear" w:color="auto" w:fill="auto"/>
            <w:noWrap/>
            <w:vAlign w:val="center"/>
          </w:tcPr>
          <w:p w14:paraId="3396C02B">
            <w:pPr>
              <w:pStyle w:val="26"/>
              <w:bidi w:val="0"/>
              <w:rPr>
                <w:rFonts w:hint="eastAsia"/>
              </w:rPr>
            </w:pPr>
            <w:r>
              <w:rPr>
                <w:rFonts w:hint="eastAsia"/>
                <w:lang w:val="en-US" w:eastAsia="zh-CN"/>
              </w:rPr>
              <w:t>约-42℃（丙烷）。</w:t>
            </w:r>
          </w:p>
        </w:tc>
      </w:tr>
      <w:tr w14:paraId="43E0D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024C8128">
            <w:pPr>
              <w:pStyle w:val="26"/>
              <w:bidi w:val="0"/>
              <w:rPr>
                <w:rFonts w:hint="eastAsia"/>
              </w:rPr>
            </w:pPr>
          </w:p>
        </w:tc>
        <w:tc>
          <w:tcPr>
            <w:tcW w:w="692" w:type="pct"/>
            <w:shd w:val="clear" w:color="auto" w:fill="auto"/>
            <w:noWrap/>
            <w:vAlign w:val="center"/>
          </w:tcPr>
          <w:p w14:paraId="07CAFE74">
            <w:pPr>
              <w:pStyle w:val="26"/>
              <w:bidi w:val="0"/>
              <w:rPr>
                <w:rFonts w:hint="eastAsia"/>
              </w:rPr>
            </w:pPr>
            <w:r>
              <w:rPr>
                <w:rFonts w:hint="eastAsia"/>
                <w:lang w:val="en-US" w:eastAsia="zh-CN"/>
              </w:rPr>
              <w:t>密度</w:t>
            </w:r>
          </w:p>
        </w:tc>
        <w:tc>
          <w:tcPr>
            <w:tcW w:w="3858" w:type="pct"/>
            <w:shd w:val="clear" w:color="auto" w:fill="auto"/>
            <w:noWrap/>
            <w:vAlign w:val="center"/>
          </w:tcPr>
          <w:p w14:paraId="668D0244">
            <w:pPr>
              <w:pStyle w:val="26"/>
              <w:bidi w:val="0"/>
              <w:rPr>
                <w:rFonts w:hint="eastAsia"/>
              </w:rPr>
            </w:pPr>
            <w:r>
              <w:rPr>
                <w:rFonts w:hint="eastAsia"/>
                <w:lang w:val="en-US" w:eastAsia="zh-CN"/>
              </w:rPr>
              <w:t>液态密度约 0.51 g/cm³，气态密度约为空气的1.5～2倍。</w:t>
            </w:r>
          </w:p>
        </w:tc>
      </w:tr>
      <w:tr w14:paraId="188C1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076B8349">
            <w:pPr>
              <w:pStyle w:val="26"/>
              <w:bidi w:val="0"/>
              <w:rPr>
                <w:rFonts w:hint="eastAsia"/>
              </w:rPr>
            </w:pPr>
          </w:p>
        </w:tc>
        <w:tc>
          <w:tcPr>
            <w:tcW w:w="692" w:type="pct"/>
            <w:shd w:val="clear" w:color="auto" w:fill="auto"/>
            <w:noWrap/>
            <w:vAlign w:val="center"/>
          </w:tcPr>
          <w:p w14:paraId="43F3C81E">
            <w:pPr>
              <w:pStyle w:val="26"/>
              <w:bidi w:val="0"/>
              <w:rPr>
                <w:rFonts w:hint="eastAsia"/>
                <w:lang w:val="en-US" w:eastAsia="zh-CN"/>
              </w:rPr>
            </w:pPr>
            <w:r>
              <w:rPr>
                <w:rFonts w:hint="eastAsia"/>
                <w:lang w:val="en-US" w:eastAsia="zh-CN"/>
              </w:rPr>
              <w:t>饱和</w:t>
            </w:r>
          </w:p>
          <w:p w14:paraId="0CFD25AC">
            <w:pPr>
              <w:pStyle w:val="26"/>
              <w:bidi w:val="0"/>
              <w:rPr>
                <w:rFonts w:hint="eastAsia"/>
              </w:rPr>
            </w:pPr>
            <w:r>
              <w:rPr>
                <w:rFonts w:hint="eastAsia"/>
                <w:lang w:val="en-US" w:eastAsia="zh-CN"/>
              </w:rPr>
              <w:t xml:space="preserve">蒸气压 </w:t>
            </w:r>
          </w:p>
        </w:tc>
        <w:tc>
          <w:tcPr>
            <w:tcW w:w="3858" w:type="pct"/>
            <w:shd w:val="clear" w:color="auto" w:fill="auto"/>
            <w:noWrap/>
            <w:vAlign w:val="center"/>
          </w:tcPr>
          <w:p w14:paraId="6D62A4F3">
            <w:pPr>
              <w:pStyle w:val="26"/>
              <w:bidi w:val="0"/>
              <w:rPr>
                <w:rFonts w:hint="eastAsia"/>
              </w:rPr>
            </w:pPr>
            <w:r>
              <w:rPr>
                <w:rFonts w:hint="eastAsia"/>
                <w:lang w:val="en-US" w:eastAsia="zh-CN"/>
              </w:rPr>
              <w:t>1380kPa（37.8℃）。</w:t>
            </w:r>
          </w:p>
        </w:tc>
      </w:tr>
      <w:tr w14:paraId="7C670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3BCA2F46">
            <w:pPr>
              <w:pStyle w:val="26"/>
              <w:bidi w:val="0"/>
              <w:rPr>
                <w:rFonts w:hint="eastAsia"/>
              </w:rPr>
            </w:pPr>
          </w:p>
        </w:tc>
        <w:tc>
          <w:tcPr>
            <w:tcW w:w="692" w:type="pct"/>
            <w:shd w:val="clear" w:color="auto" w:fill="auto"/>
            <w:noWrap/>
            <w:vAlign w:val="center"/>
          </w:tcPr>
          <w:p w14:paraId="25244ADA">
            <w:pPr>
              <w:pStyle w:val="26"/>
              <w:bidi w:val="0"/>
              <w:rPr>
                <w:rFonts w:hint="eastAsia"/>
              </w:rPr>
            </w:pPr>
            <w:r>
              <w:rPr>
                <w:rFonts w:hint="eastAsia"/>
                <w:lang w:val="en-US" w:eastAsia="zh-CN"/>
              </w:rPr>
              <w:t xml:space="preserve">燃点 </w:t>
            </w:r>
          </w:p>
        </w:tc>
        <w:tc>
          <w:tcPr>
            <w:tcW w:w="3858" w:type="pct"/>
            <w:shd w:val="clear" w:color="auto" w:fill="auto"/>
            <w:noWrap/>
            <w:vAlign w:val="center"/>
          </w:tcPr>
          <w:p w14:paraId="69E63604">
            <w:pPr>
              <w:pStyle w:val="26"/>
              <w:bidi w:val="0"/>
              <w:rPr>
                <w:rFonts w:hint="eastAsia"/>
              </w:rPr>
            </w:pPr>
            <w:r>
              <w:rPr>
                <w:rFonts w:hint="eastAsia"/>
                <w:lang w:val="en-US" w:eastAsia="zh-CN"/>
              </w:rPr>
              <w:t>约-195℃。</w:t>
            </w:r>
          </w:p>
        </w:tc>
      </w:tr>
      <w:tr w14:paraId="3B801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70F8D336">
            <w:pPr>
              <w:pStyle w:val="26"/>
              <w:bidi w:val="0"/>
              <w:rPr>
                <w:rFonts w:hint="eastAsia"/>
              </w:rPr>
            </w:pPr>
          </w:p>
        </w:tc>
        <w:tc>
          <w:tcPr>
            <w:tcW w:w="692" w:type="pct"/>
            <w:shd w:val="clear" w:color="auto" w:fill="auto"/>
            <w:noWrap/>
            <w:vAlign w:val="center"/>
          </w:tcPr>
          <w:p w14:paraId="632EEB93">
            <w:pPr>
              <w:pStyle w:val="26"/>
              <w:bidi w:val="0"/>
              <w:rPr>
                <w:rFonts w:hint="eastAsia"/>
              </w:rPr>
            </w:pPr>
            <w:r>
              <w:rPr>
                <w:rFonts w:hint="eastAsia"/>
                <w:lang w:val="en-US" w:eastAsia="zh-CN"/>
              </w:rPr>
              <w:t xml:space="preserve">自燃温度 </w:t>
            </w:r>
          </w:p>
        </w:tc>
        <w:tc>
          <w:tcPr>
            <w:tcW w:w="3858" w:type="pct"/>
            <w:shd w:val="clear" w:color="auto" w:fill="auto"/>
            <w:noWrap/>
            <w:vAlign w:val="center"/>
          </w:tcPr>
          <w:p w14:paraId="1509812F">
            <w:pPr>
              <w:pStyle w:val="26"/>
              <w:bidi w:val="0"/>
              <w:rPr>
                <w:rFonts w:hint="eastAsia"/>
              </w:rPr>
            </w:pPr>
            <w:r>
              <w:rPr>
                <w:rFonts w:hint="eastAsia"/>
                <w:lang w:val="en-US" w:eastAsia="zh-CN"/>
              </w:rPr>
              <w:t>450℃左右。</w:t>
            </w:r>
          </w:p>
        </w:tc>
      </w:tr>
      <w:tr w14:paraId="7C7D3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719233EA">
            <w:pPr>
              <w:pStyle w:val="26"/>
              <w:bidi w:val="0"/>
              <w:rPr>
                <w:rFonts w:hint="eastAsia"/>
              </w:rPr>
            </w:pPr>
          </w:p>
        </w:tc>
        <w:tc>
          <w:tcPr>
            <w:tcW w:w="692" w:type="pct"/>
            <w:shd w:val="clear" w:color="auto" w:fill="auto"/>
            <w:noWrap/>
            <w:vAlign w:val="center"/>
          </w:tcPr>
          <w:p w14:paraId="4087079E">
            <w:pPr>
              <w:pStyle w:val="26"/>
              <w:bidi w:val="0"/>
              <w:rPr>
                <w:rFonts w:hint="eastAsia"/>
              </w:rPr>
            </w:pPr>
            <w:r>
              <w:rPr>
                <w:rFonts w:hint="eastAsia"/>
                <w:lang w:val="en-US" w:eastAsia="zh-CN"/>
              </w:rPr>
              <w:t xml:space="preserve">闪点 </w:t>
            </w:r>
          </w:p>
        </w:tc>
        <w:tc>
          <w:tcPr>
            <w:tcW w:w="3858" w:type="pct"/>
            <w:shd w:val="clear" w:color="auto" w:fill="auto"/>
            <w:noWrap/>
            <w:vAlign w:val="center"/>
          </w:tcPr>
          <w:p w14:paraId="73D80497">
            <w:pPr>
              <w:pStyle w:val="26"/>
              <w:bidi w:val="0"/>
              <w:rPr>
                <w:rFonts w:hint="eastAsia"/>
              </w:rPr>
            </w:pPr>
            <w:r>
              <w:rPr>
                <w:rFonts w:hint="eastAsia"/>
                <w:lang w:val="en-US" w:eastAsia="zh-CN"/>
              </w:rPr>
              <w:t>-74℃。</w:t>
            </w:r>
          </w:p>
        </w:tc>
      </w:tr>
      <w:tr w14:paraId="52F47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23B23949">
            <w:pPr>
              <w:pStyle w:val="26"/>
              <w:bidi w:val="0"/>
              <w:rPr>
                <w:rFonts w:hint="eastAsia"/>
              </w:rPr>
            </w:pPr>
          </w:p>
        </w:tc>
        <w:tc>
          <w:tcPr>
            <w:tcW w:w="692" w:type="pct"/>
            <w:shd w:val="clear" w:color="auto" w:fill="auto"/>
            <w:noWrap/>
            <w:vAlign w:val="center"/>
          </w:tcPr>
          <w:p w14:paraId="40924B72">
            <w:pPr>
              <w:pStyle w:val="26"/>
              <w:bidi w:val="0"/>
              <w:rPr>
                <w:rFonts w:hint="eastAsia"/>
              </w:rPr>
            </w:pPr>
            <w:r>
              <w:rPr>
                <w:rFonts w:hint="eastAsia"/>
                <w:lang w:val="en-US" w:eastAsia="zh-CN"/>
              </w:rPr>
              <w:t xml:space="preserve">爆炸上限 </w:t>
            </w:r>
          </w:p>
        </w:tc>
        <w:tc>
          <w:tcPr>
            <w:tcW w:w="3858" w:type="pct"/>
            <w:shd w:val="clear" w:color="auto" w:fill="auto"/>
            <w:noWrap/>
            <w:vAlign w:val="center"/>
          </w:tcPr>
          <w:p w14:paraId="003A554B">
            <w:pPr>
              <w:pStyle w:val="26"/>
              <w:bidi w:val="0"/>
              <w:rPr>
                <w:rFonts w:hint="eastAsia"/>
              </w:rPr>
            </w:pPr>
            <w:r>
              <w:rPr>
                <w:rFonts w:hint="eastAsia"/>
                <w:lang w:val="en-US" w:eastAsia="zh-CN"/>
              </w:rPr>
              <w:t>9.5%（体积分数）。</w:t>
            </w:r>
          </w:p>
        </w:tc>
      </w:tr>
      <w:tr w14:paraId="1F023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0DDA52CC">
            <w:pPr>
              <w:pStyle w:val="26"/>
              <w:bidi w:val="0"/>
              <w:rPr>
                <w:rFonts w:hint="eastAsia"/>
              </w:rPr>
            </w:pPr>
          </w:p>
        </w:tc>
        <w:tc>
          <w:tcPr>
            <w:tcW w:w="692" w:type="pct"/>
            <w:shd w:val="clear" w:color="auto" w:fill="auto"/>
            <w:noWrap/>
            <w:vAlign w:val="center"/>
          </w:tcPr>
          <w:p w14:paraId="1679D16B">
            <w:pPr>
              <w:pStyle w:val="26"/>
              <w:bidi w:val="0"/>
              <w:rPr>
                <w:rFonts w:hint="eastAsia"/>
              </w:rPr>
            </w:pPr>
            <w:r>
              <w:rPr>
                <w:rFonts w:hint="eastAsia"/>
                <w:lang w:val="en-US" w:eastAsia="zh-CN"/>
              </w:rPr>
              <w:t>爆炸下限</w:t>
            </w:r>
          </w:p>
        </w:tc>
        <w:tc>
          <w:tcPr>
            <w:tcW w:w="3858" w:type="pct"/>
            <w:shd w:val="clear" w:color="auto" w:fill="auto"/>
            <w:noWrap/>
            <w:vAlign w:val="center"/>
          </w:tcPr>
          <w:p w14:paraId="20DE3359">
            <w:pPr>
              <w:pStyle w:val="26"/>
              <w:bidi w:val="0"/>
              <w:rPr>
                <w:rFonts w:hint="eastAsia"/>
              </w:rPr>
            </w:pPr>
            <w:r>
              <w:rPr>
                <w:rFonts w:hint="eastAsia"/>
                <w:lang w:val="en-US" w:eastAsia="zh-CN"/>
              </w:rPr>
              <w:t>2%（体积分数）。</w:t>
            </w:r>
          </w:p>
        </w:tc>
      </w:tr>
      <w:tr w14:paraId="52B02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restart"/>
            <w:shd w:val="clear" w:color="auto" w:fill="auto"/>
            <w:noWrap/>
            <w:vAlign w:val="center"/>
          </w:tcPr>
          <w:p w14:paraId="3BD1CBCA">
            <w:pPr>
              <w:pStyle w:val="26"/>
              <w:bidi w:val="0"/>
              <w:rPr>
                <w:rFonts w:hint="eastAsia" w:eastAsia="宋体"/>
                <w:lang w:val="en-US" w:eastAsia="zh-CN"/>
              </w:rPr>
            </w:pPr>
            <w:r>
              <w:rPr>
                <w:rFonts w:hint="eastAsia"/>
                <w:lang w:val="en-US" w:eastAsia="zh-CN"/>
              </w:rPr>
              <w:t>危险特性</w:t>
            </w:r>
          </w:p>
        </w:tc>
        <w:tc>
          <w:tcPr>
            <w:tcW w:w="692" w:type="pct"/>
            <w:shd w:val="clear" w:color="auto" w:fill="auto"/>
            <w:noWrap/>
            <w:vAlign w:val="center"/>
          </w:tcPr>
          <w:p w14:paraId="4AE47B03">
            <w:pPr>
              <w:pStyle w:val="26"/>
              <w:bidi w:val="0"/>
              <w:rPr>
                <w:rFonts w:hint="eastAsia"/>
                <w:lang w:val="en-US" w:eastAsia="zh-CN"/>
              </w:rPr>
            </w:pPr>
            <w:r>
              <w:rPr>
                <w:rFonts w:hint="eastAsia"/>
                <w:lang w:val="en-US" w:eastAsia="zh-CN"/>
              </w:rPr>
              <w:t>燃烧爆</w:t>
            </w:r>
          </w:p>
          <w:p w14:paraId="40221F0A">
            <w:pPr>
              <w:pStyle w:val="26"/>
              <w:bidi w:val="0"/>
              <w:rPr>
                <w:rFonts w:hint="eastAsia"/>
              </w:rPr>
            </w:pPr>
            <w:r>
              <w:rPr>
                <w:rFonts w:hint="eastAsia"/>
                <w:lang w:val="en-US" w:eastAsia="zh-CN"/>
              </w:rPr>
              <w:t>炸危险</w:t>
            </w:r>
          </w:p>
        </w:tc>
        <w:tc>
          <w:tcPr>
            <w:tcW w:w="3858" w:type="pct"/>
            <w:shd w:val="clear" w:color="auto" w:fill="auto"/>
            <w:noWrap/>
            <w:vAlign w:val="center"/>
          </w:tcPr>
          <w:p w14:paraId="7E8EA880">
            <w:pPr>
              <w:pStyle w:val="26"/>
              <w:bidi w:val="0"/>
              <w:rPr>
                <w:rFonts w:hint="eastAsia"/>
              </w:rPr>
            </w:pPr>
            <w:r>
              <w:rPr>
                <w:rFonts w:hint="eastAsia"/>
                <w:lang w:val="en-US" w:eastAsia="zh-CN"/>
              </w:rPr>
              <w:t>极易燃，与空气混合能形成爆炸性混合物，遇明火、高热极易燃烧爆炸，爆炸极限为1.63%～9.43%。</w:t>
            </w:r>
          </w:p>
        </w:tc>
      </w:tr>
      <w:tr w14:paraId="3C59D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5B53500F">
            <w:pPr>
              <w:pStyle w:val="26"/>
              <w:bidi w:val="0"/>
              <w:rPr>
                <w:rFonts w:hint="eastAsia"/>
              </w:rPr>
            </w:pPr>
          </w:p>
        </w:tc>
        <w:tc>
          <w:tcPr>
            <w:tcW w:w="692" w:type="pct"/>
            <w:shd w:val="clear" w:color="auto" w:fill="auto"/>
            <w:noWrap/>
            <w:vAlign w:val="center"/>
          </w:tcPr>
          <w:p w14:paraId="54CF705F">
            <w:pPr>
              <w:pStyle w:val="26"/>
              <w:bidi w:val="0"/>
              <w:rPr>
                <w:rFonts w:hint="eastAsia"/>
              </w:rPr>
            </w:pPr>
            <w:r>
              <w:rPr>
                <w:rFonts w:hint="eastAsia"/>
                <w:lang w:val="en-US" w:eastAsia="zh-CN"/>
              </w:rPr>
              <w:t>健康危害</w:t>
            </w:r>
          </w:p>
        </w:tc>
        <w:tc>
          <w:tcPr>
            <w:tcW w:w="3858" w:type="pct"/>
            <w:shd w:val="clear" w:color="auto" w:fill="auto"/>
            <w:noWrap/>
            <w:vAlign w:val="center"/>
          </w:tcPr>
          <w:p w14:paraId="48B2AF08">
            <w:pPr>
              <w:pStyle w:val="26"/>
              <w:bidi w:val="0"/>
              <w:rPr>
                <w:rFonts w:hint="eastAsia"/>
              </w:rPr>
            </w:pPr>
            <w:r>
              <w:rPr>
                <w:rFonts w:hint="eastAsia"/>
                <w:lang w:val="en-US" w:eastAsia="zh-CN"/>
              </w:rPr>
              <w:t>有麻醉作用，中毒症状有头晕、头痛、兴奋或嗜睡、恶心、呕吐等，长期接触低浓度者，可出现头痛、头晕等症状。</w:t>
            </w:r>
          </w:p>
        </w:tc>
      </w:tr>
      <w:tr w14:paraId="31B15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71EDB624">
            <w:pPr>
              <w:pStyle w:val="26"/>
              <w:bidi w:val="0"/>
              <w:rPr>
                <w:rFonts w:hint="eastAsia"/>
              </w:rPr>
            </w:pPr>
          </w:p>
        </w:tc>
        <w:tc>
          <w:tcPr>
            <w:tcW w:w="692" w:type="pct"/>
            <w:shd w:val="clear" w:color="auto" w:fill="auto"/>
            <w:noWrap/>
            <w:vAlign w:val="center"/>
          </w:tcPr>
          <w:p w14:paraId="37DD805B">
            <w:pPr>
              <w:pStyle w:val="26"/>
              <w:bidi w:val="0"/>
              <w:rPr>
                <w:rFonts w:hint="eastAsia"/>
              </w:rPr>
            </w:pPr>
            <w:r>
              <w:rPr>
                <w:rFonts w:hint="eastAsia"/>
                <w:lang w:val="en-US" w:eastAsia="zh-CN"/>
              </w:rPr>
              <w:t>活性反应</w:t>
            </w:r>
          </w:p>
        </w:tc>
        <w:tc>
          <w:tcPr>
            <w:tcW w:w="3858" w:type="pct"/>
            <w:shd w:val="clear" w:color="auto" w:fill="auto"/>
            <w:noWrap/>
            <w:vAlign w:val="center"/>
          </w:tcPr>
          <w:p w14:paraId="2F4AFF08">
            <w:pPr>
              <w:pStyle w:val="26"/>
              <w:bidi w:val="0"/>
              <w:rPr>
                <w:rFonts w:hint="eastAsia"/>
              </w:rPr>
            </w:pPr>
            <w:r>
              <w:rPr>
                <w:rFonts w:hint="eastAsia"/>
                <w:lang w:val="en-US" w:eastAsia="zh-CN"/>
              </w:rPr>
              <w:t>与氟、氯等接触会发生剧烈的化学反应，其蒸气比空气重，能在较低处扩散到相当远的地方，遇明火会引着回燃。</w:t>
            </w:r>
          </w:p>
        </w:tc>
      </w:tr>
    </w:tbl>
    <w:p w14:paraId="0E9C4710">
      <w:pPr>
        <w:pStyle w:val="24"/>
        <w:bidi w:val="0"/>
        <w:rPr>
          <w:rFonts w:hint="eastAsia"/>
          <w:lang w:val="en-US" w:eastAsia="zh-CN"/>
        </w:rPr>
      </w:pPr>
      <w:r>
        <w:rPr>
          <w:rFonts w:hint="eastAsia"/>
          <w:lang w:val="en-US" w:eastAsia="zh-CN"/>
        </w:rPr>
        <w:t>表F3-2  残液理化性质及危险特性表</w:t>
      </w:r>
    </w:p>
    <w:tbl>
      <w:tblPr>
        <w:tblStyle w:val="18"/>
        <w:tblW w:w="493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17"/>
        <w:gridCol w:w="1263"/>
        <w:gridCol w:w="7036"/>
      </w:tblGrid>
      <w:tr w14:paraId="5F658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48" w:type="pct"/>
            <w:shd w:val="clear" w:color="auto" w:fill="auto"/>
            <w:noWrap/>
            <w:vAlign w:val="center"/>
          </w:tcPr>
          <w:p w14:paraId="7F9C6DE4">
            <w:pPr>
              <w:pStyle w:val="26"/>
              <w:bidi w:val="0"/>
              <w:rPr>
                <w:rFonts w:hint="eastAsia"/>
              </w:rPr>
            </w:pPr>
            <w:r>
              <w:rPr>
                <w:rFonts w:hint="eastAsia"/>
                <w:lang w:val="en-US" w:eastAsia="zh-CN"/>
              </w:rPr>
              <w:t xml:space="preserve">项目类别 </w:t>
            </w:r>
          </w:p>
        </w:tc>
        <w:tc>
          <w:tcPr>
            <w:tcW w:w="692" w:type="pct"/>
            <w:shd w:val="clear" w:color="auto" w:fill="auto"/>
            <w:noWrap/>
            <w:vAlign w:val="center"/>
          </w:tcPr>
          <w:p w14:paraId="266B5AD1">
            <w:pPr>
              <w:pStyle w:val="26"/>
              <w:bidi w:val="0"/>
              <w:rPr>
                <w:rFonts w:hint="eastAsia"/>
              </w:rPr>
            </w:pPr>
            <w:r>
              <w:rPr>
                <w:rFonts w:hint="eastAsia"/>
                <w:lang w:val="en-US" w:eastAsia="zh-CN"/>
              </w:rPr>
              <w:t xml:space="preserve">项目名称 </w:t>
            </w:r>
          </w:p>
        </w:tc>
        <w:tc>
          <w:tcPr>
            <w:tcW w:w="3858" w:type="pct"/>
            <w:shd w:val="clear" w:color="auto" w:fill="auto"/>
            <w:noWrap/>
            <w:vAlign w:val="center"/>
          </w:tcPr>
          <w:p w14:paraId="6D90200F">
            <w:pPr>
              <w:pStyle w:val="26"/>
              <w:bidi w:val="0"/>
              <w:rPr>
                <w:rFonts w:hint="eastAsia"/>
              </w:rPr>
            </w:pPr>
            <w:r>
              <w:rPr>
                <w:rFonts w:hint="eastAsia"/>
                <w:lang w:val="en-US" w:eastAsia="zh-CN"/>
              </w:rPr>
              <w:t xml:space="preserve">具体内容 </w:t>
            </w:r>
          </w:p>
        </w:tc>
      </w:tr>
      <w:tr w14:paraId="625CA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restart"/>
            <w:shd w:val="clear" w:color="auto" w:fill="auto"/>
            <w:noWrap/>
            <w:vAlign w:val="center"/>
          </w:tcPr>
          <w:p w14:paraId="351F725E">
            <w:pPr>
              <w:pStyle w:val="26"/>
              <w:bidi w:val="0"/>
              <w:rPr>
                <w:rFonts w:hint="default" w:eastAsia="宋体"/>
                <w:lang w:val="en-US" w:eastAsia="zh-CN"/>
              </w:rPr>
            </w:pPr>
            <w:r>
              <w:rPr>
                <w:rFonts w:hint="eastAsia"/>
                <w:lang w:val="en-US" w:eastAsia="zh-CN"/>
              </w:rPr>
              <w:t>理化性质</w:t>
            </w:r>
          </w:p>
        </w:tc>
        <w:tc>
          <w:tcPr>
            <w:tcW w:w="692" w:type="pct"/>
            <w:shd w:val="clear" w:color="auto" w:fill="auto"/>
            <w:noWrap/>
            <w:vAlign w:val="center"/>
          </w:tcPr>
          <w:p w14:paraId="64E763F9">
            <w:pPr>
              <w:pStyle w:val="26"/>
              <w:bidi w:val="0"/>
              <w:rPr>
                <w:rFonts w:hint="eastAsia"/>
                <w:lang w:val="en-US" w:eastAsia="zh-CN"/>
              </w:rPr>
            </w:pPr>
            <w:r>
              <w:rPr>
                <w:rFonts w:hint="eastAsia"/>
                <w:lang w:val="en-US" w:eastAsia="zh-CN"/>
              </w:rPr>
              <w:t>外观</w:t>
            </w:r>
          </w:p>
          <w:p w14:paraId="5F3E0448">
            <w:pPr>
              <w:pStyle w:val="26"/>
              <w:bidi w:val="0"/>
              <w:rPr>
                <w:rFonts w:hint="eastAsia"/>
              </w:rPr>
            </w:pPr>
            <w:r>
              <w:rPr>
                <w:rFonts w:hint="eastAsia"/>
                <w:lang w:val="en-US" w:eastAsia="zh-CN"/>
              </w:rPr>
              <w:t>与性状</w:t>
            </w:r>
          </w:p>
        </w:tc>
        <w:tc>
          <w:tcPr>
            <w:tcW w:w="3858" w:type="pct"/>
            <w:shd w:val="clear" w:color="auto" w:fill="auto"/>
            <w:noWrap/>
            <w:vAlign w:val="center"/>
          </w:tcPr>
          <w:p w14:paraId="75EB0A3A">
            <w:pPr>
              <w:pStyle w:val="26"/>
              <w:bidi w:val="0"/>
              <w:rPr>
                <w:rFonts w:hint="eastAsia"/>
              </w:rPr>
            </w:pPr>
            <w:r>
              <w:rPr>
                <w:rFonts w:ascii="Segoe UI" w:hAnsi="Segoe UI" w:eastAsia="Segoe UI" w:cs="Segoe UI"/>
                <w:i w:val="0"/>
                <w:iCs w:val="0"/>
                <w:caps w:val="0"/>
                <w:spacing w:val="8"/>
                <w:sz w:val="21"/>
                <w:szCs w:val="21"/>
                <w:shd w:val="clear" w:fill="FFFFFF"/>
              </w:rPr>
              <w:t>无色气体或油状液体，有特殊臭味，其蒸汽比空气重，易扩散</w:t>
            </w:r>
          </w:p>
        </w:tc>
      </w:tr>
      <w:tr w14:paraId="34A5C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346793A0">
            <w:pPr>
              <w:pStyle w:val="26"/>
              <w:bidi w:val="0"/>
              <w:rPr>
                <w:rFonts w:hint="eastAsia"/>
              </w:rPr>
            </w:pPr>
          </w:p>
        </w:tc>
        <w:tc>
          <w:tcPr>
            <w:tcW w:w="692" w:type="pct"/>
            <w:shd w:val="clear" w:color="auto" w:fill="auto"/>
            <w:noWrap/>
            <w:vAlign w:val="center"/>
          </w:tcPr>
          <w:p w14:paraId="0E8E93CC">
            <w:pPr>
              <w:pStyle w:val="26"/>
              <w:bidi w:val="0"/>
              <w:rPr>
                <w:rFonts w:hint="eastAsia"/>
              </w:rPr>
            </w:pPr>
            <w:r>
              <w:rPr>
                <w:rFonts w:hint="eastAsia"/>
                <w:lang w:val="en-US" w:eastAsia="zh-CN"/>
              </w:rPr>
              <w:t>成分</w:t>
            </w:r>
          </w:p>
        </w:tc>
        <w:tc>
          <w:tcPr>
            <w:tcW w:w="3858" w:type="pct"/>
            <w:shd w:val="clear" w:color="auto" w:fill="auto"/>
            <w:noWrap/>
            <w:vAlign w:val="center"/>
          </w:tcPr>
          <w:p w14:paraId="42FA2485">
            <w:pPr>
              <w:pStyle w:val="26"/>
              <w:bidi w:val="0"/>
              <w:rPr>
                <w:rFonts w:hint="eastAsia"/>
              </w:rPr>
            </w:pPr>
            <w:r>
              <w:rPr>
                <w:rFonts w:ascii="Segoe UI" w:hAnsi="Segoe UI" w:eastAsia="Segoe UI" w:cs="Segoe UI"/>
                <w:i w:val="0"/>
                <w:iCs w:val="0"/>
                <w:caps w:val="0"/>
                <w:spacing w:val="8"/>
                <w:sz w:val="21"/>
                <w:szCs w:val="21"/>
                <w:shd w:val="clear" w:fill="FFFFFF"/>
              </w:rPr>
              <w:t>戊烯和比戊烷重的烃类物质，含有少量硫化物和水分</w:t>
            </w:r>
          </w:p>
        </w:tc>
      </w:tr>
      <w:tr w14:paraId="18BF8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4BBA010E">
            <w:pPr>
              <w:pStyle w:val="26"/>
              <w:bidi w:val="0"/>
              <w:rPr>
                <w:rFonts w:hint="eastAsia"/>
              </w:rPr>
            </w:pPr>
          </w:p>
        </w:tc>
        <w:tc>
          <w:tcPr>
            <w:tcW w:w="692" w:type="pct"/>
            <w:shd w:val="clear" w:color="auto" w:fill="auto"/>
            <w:noWrap/>
            <w:vAlign w:val="center"/>
          </w:tcPr>
          <w:p w14:paraId="0A3C3F40">
            <w:pPr>
              <w:pStyle w:val="26"/>
              <w:bidi w:val="0"/>
              <w:rPr>
                <w:rFonts w:hint="eastAsia"/>
              </w:rPr>
            </w:pPr>
            <w:r>
              <w:rPr>
                <w:rFonts w:hint="eastAsia"/>
                <w:lang w:val="en-US" w:eastAsia="zh-CN"/>
              </w:rPr>
              <w:t>沸点</w:t>
            </w:r>
          </w:p>
        </w:tc>
        <w:tc>
          <w:tcPr>
            <w:tcW w:w="3858" w:type="pct"/>
            <w:shd w:val="clear" w:color="auto" w:fill="auto"/>
            <w:noWrap/>
            <w:vAlign w:val="center"/>
          </w:tcPr>
          <w:p w14:paraId="5990DE9D">
            <w:pPr>
              <w:pStyle w:val="26"/>
              <w:bidi w:val="0"/>
              <w:rPr>
                <w:rFonts w:hint="eastAsia"/>
              </w:rPr>
            </w:pPr>
            <w:r>
              <w:rPr>
                <w:rFonts w:ascii="Segoe UI" w:hAnsi="Segoe UI" w:eastAsia="Segoe UI" w:cs="Segoe UI"/>
                <w:i w:val="0"/>
                <w:iCs w:val="0"/>
                <w:caps w:val="0"/>
                <w:spacing w:val="8"/>
                <w:sz w:val="21"/>
                <w:szCs w:val="21"/>
                <w:shd w:val="clear" w:fill="FFFFFF"/>
              </w:rPr>
              <w:t>沸点从 - 42℃到 0.5℃</w:t>
            </w:r>
          </w:p>
        </w:tc>
      </w:tr>
      <w:tr w14:paraId="77CD1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6F9D5042">
            <w:pPr>
              <w:pStyle w:val="26"/>
              <w:bidi w:val="0"/>
              <w:rPr>
                <w:rFonts w:hint="eastAsia"/>
              </w:rPr>
            </w:pPr>
          </w:p>
        </w:tc>
        <w:tc>
          <w:tcPr>
            <w:tcW w:w="692" w:type="pct"/>
            <w:shd w:val="clear" w:color="auto" w:fill="auto"/>
            <w:noWrap/>
            <w:vAlign w:val="center"/>
          </w:tcPr>
          <w:p w14:paraId="13EF8C89">
            <w:pPr>
              <w:pStyle w:val="26"/>
              <w:bidi w:val="0"/>
              <w:rPr>
                <w:rFonts w:hint="eastAsia"/>
              </w:rPr>
            </w:pPr>
            <w:r>
              <w:rPr>
                <w:rFonts w:hint="eastAsia"/>
                <w:lang w:val="en-US" w:eastAsia="zh-CN"/>
              </w:rPr>
              <w:t>密度</w:t>
            </w:r>
          </w:p>
        </w:tc>
        <w:tc>
          <w:tcPr>
            <w:tcW w:w="3858" w:type="pct"/>
            <w:shd w:val="clear" w:color="auto" w:fill="auto"/>
            <w:noWrap/>
            <w:vAlign w:val="center"/>
          </w:tcPr>
          <w:p w14:paraId="236535A8">
            <w:pPr>
              <w:pStyle w:val="26"/>
              <w:bidi w:val="0"/>
              <w:rPr>
                <w:rFonts w:hint="eastAsia"/>
              </w:rPr>
            </w:pPr>
            <w:r>
              <w:rPr>
                <w:rFonts w:ascii="Segoe UI" w:hAnsi="Segoe UI" w:eastAsia="Segoe UI" w:cs="Segoe UI"/>
                <w:i w:val="0"/>
                <w:iCs w:val="0"/>
                <w:caps w:val="0"/>
                <w:spacing w:val="8"/>
                <w:sz w:val="21"/>
                <w:szCs w:val="21"/>
                <w:shd w:val="clear" w:fill="FFFFFF"/>
              </w:rPr>
              <w:t>相对密度（水 = 1）0.5 - 0.6</w:t>
            </w:r>
          </w:p>
        </w:tc>
      </w:tr>
      <w:tr w14:paraId="63CFE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7E954737">
            <w:pPr>
              <w:pStyle w:val="26"/>
              <w:bidi w:val="0"/>
              <w:rPr>
                <w:rFonts w:hint="eastAsia"/>
              </w:rPr>
            </w:pPr>
          </w:p>
        </w:tc>
        <w:tc>
          <w:tcPr>
            <w:tcW w:w="692" w:type="pct"/>
            <w:shd w:val="clear" w:color="auto" w:fill="auto"/>
            <w:noWrap/>
            <w:vAlign w:val="center"/>
          </w:tcPr>
          <w:p w14:paraId="67B645E4">
            <w:pPr>
              <w:pStyle w:val="26"/>
              <w:bidi w:val="0"/>
              <w:rPr>
                <w:rFonts w:hint="eastAsia"/>
                <w:lang w:val="en-US" w:eastAsia="zh-CN"/>
              </w:rPr>
            </w:pPr>
            <w:r>
              <w:rPr>
                <w:rFonts w:hint="eastAsia"/>
                <w:lang w:val="en-US" w:eastAsia="zh-CN"/>
              </w:rPr>
              <w:t>饱和</w:t>
            </w:r>
          </w:p>
          <w:p w14:paraId="2DB12C23">
            <w:pPr>
              <w:pStyle w:val="26"/>
              <w:bidi w:val="0"/>
              <w:rPr>
                <w:rFonts w:hint="eastAsia"/>
              </w:rPr>
            </w:pPr>
            <w:r>
              <w:rPr>
                <w:rFonts w:hint="eastAsia"/>
                <w:lang w:val="en-US" w:eastAsia="zh-CN"/>
              </w:rPr>
              <w:t xml:space="preserve">蒸气压 </w:t>
            </w:r>
          </w:p>
        </w:tc>
        <w:tc>
          <w:tcPr>
            <w:tcW w:w="3858" w:type="pct"/>
            <w:shd w:val="clear" w:color="auto" w:fill="auto"/>
            <w:noWrap/>
            <w:vAlign w:val="center"/>
          </w:tcPr>
          <w:p w14:paraId="632FD441">
            <w:pPr>
              <w:pStyle w:val="26"/>
              <w:bidi w:val="0"/>
              <w:rPr>
                <w:rFonts w:hint="eastAsia" w:eastAsia="宋体"/>
                <w:lang w:val="en-US" w:eastAsia="zh-CN"/>
              </w:rPr>
            </w:pPr>
            <w:r>
              <w:rPr>
                <w:rFonts w:hint="eastAsia"/>
                <w:lang w:val="en-US" w:eastAsia="zh-CN"/>
              </w:rPr>
              <w:t>/</w:t>
            </w:r>
          </w:p>
        </w:tc>
      </w:tr>
      <w:tr w14:paraId="7AEE1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688D6FE5">
            <w:pPr>
              <w:pStyle w:val="26"/>
              <w:bidi w:val="0"/>
              <w:rPr>
                <w:rFonts w:hint="eastAsia"/>
              </w:rPr>
            </w:pPr>
          </w:p>
        </w:tc>
        <w:tc>
          <w:tcPr>
            <w:tcW w:w="692" w:type="pct"/>
            <w:shd w:val="clear" w:color="auto" w:fill="auto"/>
            <w:noWrap/>
            <w:vAlign w:val="center"/>
          </w:tcPr>
          <w:p w14:paraId="683F4CA6">
            <w:pPr>
              <w:pStyle w:val="26"/>
              <w:bidi w:val="0"/>
              <w:rPr>
                <w:rFonts w:hint="eastAsia"/>
              </w:rPr>
            </w:pPr>
            <w:r>
              <w:rPr>
                <w:rFonts w:hint="eastAsia"/>
                <w:lang w:val="en-US" w:eastAsia="zh-CN"/>
              </w:rPr>
              <w:t xml:space="preserve">燃点 </w:t>
            </w:r>
          </w:p>
        </w:tc>
        <w:tc>
          <w:tcPr>
            <w:tcW w:w="3858" w:type="pct"/>
            <w:shd w:val="clear" w:color="auto" w:fill="auto"/>
            <w:noWrap/>
            <w:vAlign w:val="center"/>
          </w:tcPr>
          <w:p w14:paraId="131D0EE9">
            <w:pPr>
              <w:pStyle w:val="26"/>
              <w:bidi w:val="0"/>
              <w:rPr>
                <w:rFonts w:hint="eastAsia"/>
              </w:rPr>
            </w:pPr>
            <w:r>
              <w:rPr>
                <w:rFonts w:ascii="Segoe UI" w:hAnsi="Segoe UI" w:eastAsia="Segoe UI" w:cs="Segoe UI"/>
                <w:i w:val="0"/>
                <w:iCs w:val="0"/>
                <w:caps w:val="0"/>
                <w:spacing w:val="8"/>
                <w:sz w:val="21"/>
                <w:szCs w:val="21"/>
                <w:shd w:val="clear" w:fill="FFFFFF"/>
              </w:rPr>
              <w:t>426℃ - 537℃</w:t>
            </w:r>
          </w:p>
        </w:tc>
      </w:tr>
      <w:tr w14:paraId="45DFC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448" w:type="pct"/>
            <w:vMerge w:val="continue"/>
            <w:shd w:val="clear" w:color="auto" w:fill="auto"/>
            <w:noWrap/>
            <w:vAlign w:val="center"/>
          </w:tcPr>
          <w:p w14:paraId="7817E396">
            <w:pPr>
              <w:pStyle w:val="26"/>
              <w:bidi w:val="0"/>
              <w:rPr>
                <w:rFonts w:hint="eastAsia"/>
              </w:rPr>
            </w:pPr>
          </w:p>
        </w:tc>
        <w:tc>
          <w:tcPr>
            <w:tcW w:w="692" w:type="pct"/>
            <w:shd w:val="clear" w:color="auto" w:fill="auto"/>
            <w:noWrap/>
            <w:vAlign w:val="center"/>
          </w:tcPr>
          <w:p w14:paraId="0EBD47B8">
            <w:pPr>
              <w:pStyle w:val="26"/>
              <w:bidi w:val="0"/>
              <w:rPr>
                <w:rFonts w:hint="eastAsia"/>
              </w:rPr>
            </w:pPr>
            <w:r>
              <w:rPr>
                <w:rFonts w:hint="eastAsia"/>
                <w:lang w:val="en-US" w:eastAsia="zh-CN"/>
              </w:rPr>
              <w:t xml:space="preserve">自燃温度 </w:t>
            </w:r>
          </w:p>
        </w:tc>
        <w:tc>
          <w:tcPr>
            <w:tcW w:w="3858" w:type="pct"/>
            <w:shd w:val="clear" w:color="auto" w:fill="auto"/>
            <w:noWrap/>
            <w:vAlign w:val="center"/>
          </w:tcPr>
          <w:p w14:paraId="405C65EC">
            <w:pPr>
              <w:pStyle w:val="26"/>
              <w:bidi w:val="0"/>
              <w:rPr>
                <w:rFonts w:hint="eastAsia" w:eastAsia="宋体"/>
                <w:lang w:val="en-US" w:eastAsia="zh-CN"/>
              </w:rPr>
            </w:pPr>
            <w:r>
              <w:rPr>
                <w:rFonts w:hint="eastAsia"/>
                <w:lang w:val="en-US" w:eastAsia="zh-CN"/>
              </w:rPr>
              <w:t>/</w:t>
            </w:r>
          </w:p>
        </w:tc>
      </w:tr>
      <w:tr w14:paraId="1C06E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533DE16A">
            <w:pPr>
              <w:pStyle w:val="26"/>
              <w:bidi w:val="0"/>
              <w:rPr>
                <w:rFonts w:hint="eastAsia"/>
              </w:rPr>
            </w:pPr>
          </w:p>
        </w:tc>
        <w:tc>
          <w:tcPr>
            <w:tcW w:w="692" w:type="pct"/>
            <w:shd w:val="clear" w:color="auto" w:fill="auto"/>
            <w:noWrap/>
            <w:vAlign w:val="center"/>
          </w:tcPr>
          <w:p w14:paraId="782BF496">
            <w:pPr>
              <w:pStyle w:val="26"/>
              <w:bidi w:val="0"/>
              <w:rPr>
                <w:rFonts w:hint="eastAsia"/>
              </w:rPr>
            </w:pPr>
            <w:r>
              <w:rPr>
                <w:rFonts w:hint="eastAsia"/>
                <w:lang w:val="en-US" w:eastAsia="zh-CN"/>
              </w:rPr>
              <w:t xml:space="preserve">闪点 </w:t>
            </w:r>
          </w:p>
        </w:tc>
        <w:tc>
          <w:tcPr>
            <w:tcW w:w="3858" w:type="pct"/>
            <w:shd w:val="clear" w:color="auto" w:fill="auto"/>
            <w:noWrap/>
            <w:vAlign w:val="center"/>
          </w:tcPr>
          <w:p w14:paraId="77BBF977">
            <w:pPr>
              <w:pStyle w:val="26"/>
              <w:bidi w:val="0"/>
              <w:rPr>
                <w:rFonts w:hint="eastAsia"/>
              </w:rPr>
            </w:pPr>
            <w:r>
              <w:rPr>
                <w:rFonts w:ascii="Segoe UI" w:hAnsi="Segoe UI" w:eastAsia="Segoe UI" w:cs="Segoe UI"/>
                <w:i w:val="0"/>
                <w:iCs w:val="0"/>
                <w:caps w:val="0"/>
                <w:spacing w:val="8"/>
                <w:sz w:val="21"/>
                <w:szCs w:val="21"/>
                <w:shd w:val="clear" w:fill="FFFFFF"/>
              </w:rPr>
              <w:t>- 74℃</w:t>
            </w:r>
          </w:p>
        </w:tc>
      </w:tr>
      <w:tr w14:paraId="69D9F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478CDA6B">
            <w:pPr>
              <w:pStyle w:val="26"/>
              <w:bidi w:val="0"/>
              <w:rPr>
                <w:rFonts w:hint="eastAsia"/>
              </w:rPr>
            </w:pPr>
          </w:p>
        </w:tc>
        <w:tc>
          <w:tcPr>
            <w:tcW w:w="692" w:type="pct"/>
            <w:shd w:val="clear" w:color="auto" w:fill="auto"/>
            <w:noWrap/>
            <w:vAlign w:val="center"/>
          </w:tcPr>
          <w:p w14:paraId="0186998D">
            <w:pPr>
              <w:pStyle w:val="26"/>
              <w:bidi w:val="0"/>
              <w:rPr>
                <w:rFonts w:hint="eastAsia"/>
              </w:rPr>
            </w:pPr>
            <w:r>
              <w:rPr>
                <w:rFonts w:hint="eastAsia"/>
                <w:lang w:val="en-US" w:eastAsia="zh-CN"/>
              </w:rPr>
              <w:t xml:space="preserve">爆炸上限 </w:t>
            </w:r>
          </w:p>
        </w:tc>
        <w:tc>
          <w:tcPr>
            <w:tcW w:w="3858" w:type="pct"/>
            <w:shd w:val="clear" w:color="auto" w:fill="auto"/>
            <w:noWrap/>
            <w:vAlign w:val="center"/>
          </w:tcPr>
          <w:p w14:paraId="2DE7738E">
            <w:pPr>
              <w:pStyle w:val="26"/>
              <w:bidi w:val="0"/>
              <w:rPr>
                <w:rFonts w:hint="eastAsia" w:eastAsia="宋体"/>
                <w:lang w:val="en-US" w:eastAsia="zh-CN"/>
              </w:rPr>
            </w:pPr>
            <w:r>
              <w:rPr>
                <w:rFonts w:hint="eastAsia"/>
                <w:lang w:val="en-US" w:eastAsia="zh-CN"/>
              </w:rPr>
              <w:t>/</w:t>
            </w:r>
          </w:p>
        </w:tc>
      </w:tr>
      <w:tr w14:paraId="656AC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6CC81461">
            <w:pPr>
              <w:pStyle w:val="26"/>
              <w:bidi w:val="0"/>
              <w:rPr>
                <w:rFonts w:hint="eastAsia"/>
              </w:rPr>
            </w:pPr>
          </w:p>
        </w:tc>
        <w:tc>
          <w:tcPr>
            <w:tcW w:w="692" w:type="pct"/>
            <w:shd w:val="clear" w:color="auto" w:fill="auto"/>
            <w:noWrap/>
            <w:vAlign w:val="center"/>
          </w:tcPr>
          <w:p w14:paraId="728B680D">
            <w:pPr>
              <w:pStyle w:val="26"/>
              <w:bidi w:val="0"/>
              <w:rPr>
                <w:rFonts w:hint="eastAsia"/>
              </w:rPr>
            </w:pPr>
            <w:r>
              <w:rPr>
                <w:rFonts w:hint="eastAsia"/>
                <w:lang w:val="en-US" w:eastAsia="zh-CN"/>
              </w:rPr>
              <w:t>爆炸下限</w:t>
            </w:r>
          </w:p>
        </w:tc>
        <w:tc>
          <w:tcPr>
            <w:tcW w:w="3858" w:type="pct"/>
            <w:shd w:val="clear" w:color="auto" w:fill="auto"/>
            <w:noWrap/>
            <w:vAlign w:val="center"/>
          </w:tcPr>
          <w:p w14:paraId="0933E36F">
            <w:pPr>
              <w:pStyle w:val="26"/>
              <w:bidi w:val="0"/>
              <w:rPr>
                <w:rFonts w:hint="eastAsia" w:eastAsia="宋体"/>
                <w:lang w:val="en-US" w:eastAsia="zh-CN"/>
              </w:rPr>
            </w:pPr>
            <w:r>
              <w:rPr>
                <w:rFonts w:hint="eastAsia"/>
                <w:lang w:val="en-US" w:eastAsia="zh-CN"/>
              </w:rPr>
              <w:t>/</w:t>
            </w:r>
          </w:p>
        </w:tc>
      </w:tr>
      <w:tr w14:paraId="4CEA6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restart"/>
            <w:shd w:val="clear" w:color="auto" w:fill="auto"/>
            <w:noWrap/>
            <w:vAlign w:val="center"/>
          </w:tcPr>
          <w:p w14:paraId="0242ED7A">
            <w:pPr>
              <w:pStyle w:val="26"/>
              <w:bidi w:val="0"/>
              <w:rPr>
                <w:rFonts w:hint="eastAsia" w:eastAsia="宋体"/>
                <w:lang w:val="en-US" w:eastAsia="zh-CN"/>
              </w:rPr>
            </w:pPr>
            <w:r>
              <w:rPr>
                <w:rFonts w:hint="eastAsia"/>
                <w:lang w:val="en-US" w:eastAsia="zh-CN"/>
              </w:rPr>
              <w:t>危险特性</w:t>
            </w:r>
          </w:p>
        </w:tc>
        <w:tc>
          <w:tcPr>
            <w:tcW w:w="692" w:type="pct"/>
            <w:shd w:val="clear" w:color="auto" w:fill="auto"/>
            <w:noWrap/>
            <w:vAlign w:val="center"/>
          </w:tcPr>
          <w:p w14:paraId="57E5A810">
            <w:pPr>
              <w:pStyle w:val="26"/>
              <w:bidi w:val="0"/>
              <w:rPr>
                <w:rFonts w:hint="eastAsia"/>
                <w:lang w:val="en-US" w:eastAsia="zh-CN"/>
              </w:rPr>
            </w:pPr>
            <w:r>
              <w:rPr>
                <w:rFonts w:hint="eastAsia"/>
                <w:lang w:val="en-US" w:eastAsia="zh-CN"/>
              </w:rPr>
              <w:t>燃烧爆</w:t>
            </w:r>
          </w:p>
          <w:p w14:paraId="0C9EB21F">
            <w:pPr>
              <w:pStyle w:val="26"/>
              <w:bidi w:val="0"/>
              <w:rPr>
                <w:rFonts w:hint="eastAsia"/>
              </w:rPr>
            </w:pPr>
            <w:r>
              <w:rPr>
                <w:rFonts w:hint="eastAsia"/>
                <w:lang w:val="en-US" w:eastAsia="zh-CN"/>
              </w:rPr>
              <w:t>炸危险</w:t>
            </w:r>
          </w:p>
        </w:tc>
        <w:tc>
          <w:tcPr>
            <w:tcW w:w="3858" w:type="pct"/>
            <w:shd w:val="clear" w:color="auto" w:fill="auto"/>
            <w:noWrap/>
            <w:vAlign w:val="center"/>
          </w:tcPr>
          <w:p w14:paraId="6EF98DB5">
            <w:pPr>
              <w:pStyle w:val="26"/>
              <w:bidi w:val="0"/>
              <w:rPr>
                <w:rFonts w:hint="eastAsia" w:eastAsia="宋体"/>
                <w:lang w:eastAsia="zh-CN"/>
              </w:rPr>
            </w:pPr>
            <w:r>
              <w:rPr>
                <w:rFonts w:ascii="Segoe UI" w:hAnsi="Segoe UI" w:eastAsia="Segoe UI" w:cs="Segoe UI"/>
                <w:i w:val="0"/>
                <w:iCs w:val="0"/>
                <w:caps w:val="0"/>
                <w:spacing w:val="8"/>
                <w:sz w:val="21"/>
                <w:szCs w:val="21"/>
                <w:shd w:val="clear" w:fill="FFFFFF"/>
              </w:rPr>
              <w:t>属于第 2.1 类易燃气体，极度易燃，受热、遇明火或火花可引起燃烧</w:t>
            </w:r>
            <w:r>
              <w:rPr>
                <w:rFonts w:hint="eastAsia" w:ascii="Segoe UI" w:hAnsi="Segoe UI" w:eastAsia="宋体" w:cs="Segoe UI"/>
                <w:i w:val="0"/>
                <w:iCs w:val="0"/>
                <w:caps w:val="0"/>
                <w:spacing w:val="8"/>
                <w:sz w:val="21"/>
                <w:szCs w:val="21"/>
                <w:shd w:val="clear" w:fill="FFFFFF"/>
                <w:lang w:eastAsia="zh-CN"/>
              </w:rPr>
              <w:t>，</w:t>
            </w:r>
            <w:r>
              <w:rPr>
                <w:rFonts w:ascii="Segoe UI" w:hAnsi="Segoe UI" w:eastAsia="Segoe UI" w:cs="Segoe UI"/>
                <w:i w:val="0"/>
                <w:iCs w:val="0"/>
                <w:caps w:val="0"/>
                <w:spacing w:val="8"/>
                <w:sz w:val="21"/>
                <w:szCs w:val="21"/>
                <w:shd w:val="clear" w:fill="FFFFFF"/>
              </w:rPr>
              <w:t>与空气能形成爆炸性混合物，爆炸下限 2%，爆炸上限 9.5%；蒸气比空气重，可沿地面扩散，蒸气扩散后遇火源着火回燃；包装容器受热后可发生爆炸，破裂的钢瓶具有飞射危险</w:t>
            </w:r>
          </w:p>
        </w:tc>
      </w:tr>
      <w:tr w14:paraId="1A027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2159D9F1">
            <w:pPr>
              <w:pStyle w:val="26"/>
              <w:bidi w:val="0"/>
              <w:rPr>
                <w:rFonts w:hint="eastAsia"/>
              </w:rPr>
            </w:pPr>
          </w:p>
        </w:tc>
        <w:tc>
          <w:tcPr>
            <w:tcW w:w="692" w:type="pct"/>
            <w:shd w:val="clear" w:color="auto" w:fill="auto"/>
            <w:noWrap/>
            <w:vAlign w:val="center"/>
          </w:tcPr>
          <w:p w14:paraId="43EC7DC0">
            <w:pPr>
              <w:pStyle w:val="26"/>
              <w:bidi w:val="0"/>
              <w:rPr>
                <w:rFonts w:hint="eastAsia"/>
              </w:rPr>
            </w:pPr>
            <w:r>
              <w:rPr>
                <w:rFonts w:hint="eastAsia"/>
                <w:lang w:val="en-US" w:eastAsia="zh-CN"/>
              </w:rPr>
              <w:t>健康危害</w:t>
            </w:r>
          </w:p>
        </w:tc>
        <w:tc>
          <w:tcPr>
            <w:tcW w:w="3858" w:type="pct"/>
            <w:shd w:val="clear" w:color="auto" w:fill="auto"/>
            <w:noWrap/>
            <w:vAlign w:val="center"/>
          </w:tcPr>
          <w:p w14:paraId="1CD9BACB">
            <w:pPr>
              <w:pStyle w:val="26"/>
              <w:bidi w:val="0"/>
              <w:rPr>
                <w:rFonts w:hint="eastAsia" w:eastAsia="宋体"/>
                <w:lang w:eastAsia="zh-CN"/>
              </w:rPr>
            </w:pPr>
            <w:r>
              <w:rPr>
                <w:rFonts w:ascii="Segoe UI" w:hAnsi="Segoe UI" w:eastAsia="Segoe UI" w:cs="Segoe UI"/>
                <w:i w:val="0"/>
                <w:iCs w:val="0"/>
                <w:caps w:val="0"/>
                <w:spacing w:val="8"/>
                <w:sz w:val="21"/>
                <w:szCs w:val="21"/>
                <w:shd w:val="clear" w:fill="FFFFFF"/>
              </w:rPr>
              <w:t>有麻醉作用，急性中毒可致头晕、头痛、兴奋或嗜睡、恶心呕吐、脉缓等，重症者可突然倒下，尿失禁，意识丧失，甚至呼吸停止；直接接触液体或其射流可引起冻伤；长期接触低浓度者出现头痛、头晕、睡眠不佳等慢性影响</w:t>
            </w:r>
            <w:r>
              <w:rPr>
                <w:rFonts w:hint="eastAsia" w:ascii="Segoe UI" w:hAnsi="Segoe UI" w:eastAsia="宋体" w:cs="Segoe UI"/>
                <w:i w:val="0"/>
                <w:iCs w:val="0"/>
                <w:caps w:val="0"/>
                <w:spacing w:val="8"/>
                <w:sz w:val="21"/>
                <w:szCs w:val="21"/>
                <w:shd w:val="clear" w:fill="FFFFFF"/>
                <w:lang w:eastAsia="zh-CN"/>
              </w:rPr>
              <w:t>。</w:t>
            </w:r>
          </w:p>
        </w:tc>
      </w:tr>
      <w:tr w14:paraId="08821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8" w:type="pct"/>
            <w:vMerge w:val="continue"/>
            <w:shd w:val="clear" w:color="auto" w:fill="auto"/>
            <w:noWrap/>
            <w:vAlign w:val="center"/>
          </w:tcPr>
          <w:p w14:paraId="6CED0571">
            <w:pPr>
              <w:pStyle w:val="26"/>
              <w:bidi w:val="0"/>
              <w:rPr>
                <w:rFonts w:hint="eastAsia"/>
              </w:rPr>
            </w:pPr>
          </w:p>
        </w:tc>
        <w:tc>
          <w:tcPr>
            <w:tcW w:w="692" w:type="pct"/>
            <w:shd w:val="clear" w:color="auto" w:fill="auto"/>
            <w:noWrap/>
            <w:vAlign w:val="center"/>
          </w:tcPr>
          <w:p w14:paraId="2E5F9238">
            <w:pPr>
              <w:pStyle w:val="26"/>
              <w:bidi w:val="0"/>
              <w:rPr>
                <w:rFonts w:hint="eastAsia"/>
              </w:rPr>
            </w:pPr>
            <w:r>
              <w:rPr>
                <w:rFonts w:hint="eastAsia"/>
                <w:lang w:val="en-US" w:eastAsia="zh-CN"/>
              </w:rPr>
              <w:t>活性反应</w:t>
            </w:r>
          </w:p>
        </w:tc>
        <w:tc>
          <w:tcPr>
            <w:tcW w:w="3858" w:type="pct"/>
            <w:shd w:val="clear" w:color="auto" w:fill="auto"/>
            <w:noWrap/>
            <w:vAlign w:val="center"/>
          </w:tcPr>
          <w:p w14:paraId="62595EEC">
            <w:pPr>
              <w:pStyle w:val="26"/>
              <w:bidi w:val="0"/>
              <w:rPr>
                <w:rFonts w:hint="eastAsia"/>
              </w:rPr>
            </w:pPr>
            <w:r>
              <w:rPr>
                <w:rFonts w:ascii="Segoe UI" w:hAnsi="Segoe UI" w:eastAsia="Segoe UI" w:cs="Segoe UI"/>
                <w:i w:val="0"/>
                <w:iCs w:val="0"/>
                <w:caps w:val="0"/>
                <w:spacing w:val="8"/>
                <w:sz w:val="21"/>
                <w:szCs w:val="21"/>
                <w:shd w:val="clear" w:fill="FFFFFF"/>
              </w:rPr>
              <w:t>强氧化剂、卤素</w:t>
            </w:r>
            <w:r>
              <w:rPr>
                <w:rFonts w:hint="eastAsia"/>
                <w:lang w:val="en-US" w:eastAsia="zh-CN"/>
              </w:rPr>
              <w:t>接触会发生剧烈的化学反应，其蒸气比空气重，能在较低处扩散到相当远的地方，遇明火会引着回燃。</w:t>
            </w:r>
          </w:p>
        </w:tc>
      </w:tr>
    </w:tbl>
    <w:p w14:paraId="14D8C458">
      <w:pPr>
        <w:pStyle w:val="37"/>
        <w:bidi w:val="0"/>
        <w:rPr>
          <w:rFonts w:hint="eastAsia"/>
          <w:lang w:val="en-US" w:eastAsia="zh-CN"/>
        </w:rPr>
      </w:pPr>
      <w:r>
        <w:rPr>
          <w:rFonts w:hint="eastAsia"/>
          <w:lang w:val="en-US" w:eastAsia="zh-CN"/>
        </w:rPr>
        <w:t>F3.2生产系统危险性识别</w:t>
      </w:r>
    </w:p>
    <w:p w14:paraId="69882D82">
      <w:pPr>
        <w:pStyle w:val="62"/>
        <w:bidi w:val="0"/>
      </w:pPr>
      <w:r>
        <w:rPr>
          <w:rFonts w:hint="eastAsia"/>
        </w:rPr>
        <w:t>生产系统危险性识别包括主要生产装置、储运设施、公用工程和辅助生产设施，以及环境保护设施等。</w:t>
      </w:r>
    </w:p>
    <w:p w14:paraId="43D38506">
      <w:pPr>
        <w:pStyle w:val="62"/>
        <w:bidi w:val="0"/>
        <w:rPr>
          <w:rFonts w:hint="eastAsia"/>
        </w:rPr>
      </w:pPr>
      <w:r>
        <w:rPr>
          <w:rFonts w:hint="eastAsia"/>
        </w:rPr>
        <w:t>本项目属于</w:t>
      </w:r>
      <w:r>
        <w:rPr>
          <w:rFonts w:hint="eastAsia"/>
          <w:lang w:val="en-US" w:eastAsia="zh-CN"/>
        </w:rPr>
        <w:t>液化石油气充装站，主要从事液化石油气的贮存及分装</w:t>
      </w:r>
      <w:r>
        <w:rPr>
          <w:rFonts w:hint="eastAsia"/>
        </w:rPr>
        <w:t>，不涉及生产，不涉及高温高压等危险性生产工艺，在项目运行过程中主要可能发生的风险事件主要包括</w:t>
      </w:r>
      <w:r>
        <w:rPr>
          <w:rFonts w:hint="eastAsia"/>
          <w:lang w:val="en-US" w:eastAsia="zh-CN"/>
        </w:rPr>
        <w:t>液化石油气储罐/残液储罐</w:t>
      </w:r>
      <w:r>
        <w:rPr>
          <w:rFonts w:hint="eastAsia"/>
        </w:rPr>
        <w:t>泄漏、</w:t>
      </w:r>
      <w:r>
        <w:rPr>
          <w:rFonts w:hint="eastAsia"/>
          <w:lang w:val="en-US" w:eastAsia="zh-CN"/>
        </w:rPr>
        <w:t>充装过程液化石油气</w:t>
      </w:r>
      <w:r>
        <w:rPr>
          <w:rFonts w:hint="eastAsia"/>
        </w:rPr>
        <w:t>泄漏、火灾/爆炸伴生/次生环境事件等。</w:t>
      </w:r>
    </w:p>
    <w:p w14:paraId="63914924">
      <w:pPr>
        <w:pStyle w:val="37"/>
        <w:bidi w:val="0"/>
        <w:rPr>
          <w:rFonts w:hint="default"/>
          <w:lang w:val="en-US" w:eastAsia="zh-CN"/>
        </w:rPr>
      </w:pPr>
      <w:r>
        <w:rPr>
          <w:rFonts w:hint="eastAsia"/>
          <w:lang w:val="en-US" w:eastAsia="zh-CN"/>
        </w:rPr>
        <w:t>F3.3危险物质向环境转移途径识别</w:t>
      </w:r>
    </w:p>
    <w:p w14:paraId="4407E0B5">
      <w:pPr>
        <w:pStyle w:val="63"/>
        <w:bidi w:val="0"/>
        <w:rPr>
          <w:rFonts w:hint="eastAsia"/>
          <w:lang w:val="en-US" w:eastAsia="zh-CN"/>
        </w:rPr>
      </w:pPr>
      <w:r>
        <w:rPr>
          <w:rFonts w:hint="eastAsia"/>
          <w:lang w:val="en-US" w:eastAsia="zh-CN"/>
        </w:rPr>
        <w:t>表F3-3  危险物质向环境转移的途径识别表</w:t>
      </w:r>
    </w:p>
    <w:tbl>
      <w:tblPr>
        <w:tblStyle w:val="1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7"/>
        <w:gridCol w:w="1022"/>
        <w:gridCol w:w="1706"/>
        <w:gridCol w:w="3333"/>
        <w:gridCol w:w="1898"/>
      </w:tblGrid>
      <w:tr w14:paraId="15CE8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91" w:type="pct"/>
            <w:vAlign w:val="center"/>
          </w:tcPr>
          <w:p w14:paraId="21D11903">
            <w:pPr>
              <w:pStyle w:val="48"/>
              <w:rPr>
                <w:rFonts w:cs="Times New Roman"/>
                <w:kern w:val="0"/>
              </w:rPr>
            </w:pPr>
            <w:r>
              <w:rPr>
                <w:rFonts w:hint="eastAsia" w:cs="Times New Roman"/>
                <w:kern w:val="0"/>
              </w:rPr>
              <w:t>风险源</w:t>
            </w:r>
          </w:p>
        </w:tc>
        <w:tc>
          <w:tcPr>
            <w:tcW w:w="553" w:type="pct"/>
            <w:vAlign w:val="center"/>
          </w:tcPr>
          <w:p w14:paraId="6DB95B7C">
            <w:pPr>
              <w:pStyle w:val="48"/>
              <w:rPr>
                <w:rFonts w:cs="Times New Roman"/>
                <w:kern w:val="0"/>
              </w:rPr>
            </w:pPr>
            <w:r>
              <w:rPr>
                <w:rFonts w:hint="eastAsia" w:cs="Times New Roman"/>
                <w:kern w:val="0"/>
              </w:rPr>
              <w:t>风险类型</w:t>
            </w:r>
          </w:p>
        </w:tc>
        <w:tc>
          <w:tcPr>
            <w:tcW w:w="923" w:type="pct"/>
            <w:vAlign w:val="center"/>
          </w:tcPr>
          <w:p w14:paraId="7AF78440">
            <w:pPr>
              <w:pStyle w:val="48"/>
              <w:rPr>
                <w:rFonts w:cs="Times New Roman"/>
                <w:kern w:val="0"/>
              </w:rPr>
            </w:pPr>
            <w:r>
              <w:rPr>
                <w:rFonts w:hint="eastAsia" w:cs="Times New Roman"/>
                <w:kern w:val="0"/>
              </w:rPr>
              <w:t>涉及风险物质</w:t>
            </w:r>
          </w:p>
        </w:tc>
        <w:tc>
          <w:tcPr>
            <w:tcW w:w="1803" w:type="pct"/>
            <w:vAlign w:val="center"/>
          </w:tcPr>
          <w:p w14:paraId="04999426">
            <w:pPr>
              <w:pStyle w:val="48"/>
              <w:rPr>
                <w:rFonts w:cs="Times New Roman"/>
                <w:kern w:val="0"/>
              </w:rPr>
            </w:pPr>
            <w:r>
              <w:rPr>
                <w:rFonts w:hint="eastAsia" w:cs="Times New Roman"/>
                <w:kern w:val="0"/>
              </w:rPr>
              <w:t>转移途径</w:t>
            </w:r>
          </w:p>
        </w:tc>
        <w:tc>
          <w:tcPr>
            <w:tcW w:w="1027" w:type="pct"/>
          </w:tcPr>
          <w:p w14:paraId="12D523E4">
            <w:pPr>
              <w:pStyle w:val="48"/>
              <w:rPr>
                <w:rFonts w:cs="Times New Roman"/>
                <w:kern w:val="0"/>
              </w:rPr>
            </w:pPr>
            <w:r>
              <w:rPr>
                <w:rFonts w:hint="eastAsia" w:cs="Times New Roman"/>
                <w:kern w:val="0"/>
              </w:rPr>
              <w:t>可能受影响的环境敏感目标</w:t>
            </w:r>
          </w:p>
        </w:tc>
      </w:tr>
      <w:tr w14:paraId="3CC6E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1" w:type="pct"/>
            <w:vAlign w:val="center"/>
          </w:tcPr>
          <w:p w14:paraId="2F965647">
            <w:pPr>
              <w:pStyle w:val="48"/>
              <w:jc w:val="center"/>
              <w:rPr>
                <w:rFonts w:hint="default" w:eastAsia="宋体" w:cs="Times New Roman"/>
                <w:kern w:val="0"/>
                <w:lang w:val="en-US" w:eastAsia="zh-CN"/>
              </w:rPr>
            </w:pPr>
            <w:r>
              <w:rPr>
                <w:rFonts w:hint="eastAsia" w:cs="Times New Roman"/>
                <w:kern w:val="0"/>
                <w:lang w:val="en-US" w:eastAsia="zh-CN"/>
              </w:rPr>
              <w:t>液化气储罐、液化气管道、液化气钢瓶及充装设施</w:t>
            </w:r>
          </w:p>
        </w:tc>
        <w:tc>
          <w:tcPr>
            <w:tcW w:w="553" w:type="pct"/>
            <w:vAlign w:val="center"/>
          </w:tcPr>
          <w:p w14:paraId="3578BB68">
            <w:pPr>
              <w:pStyle w:val="48"/>
              <w:jc w:val="center"/>
              <w:rPr>
                <w:rFonts w:hint="eastAsia" w:eastAsia="宋体" w:cs="Times New Roman"/>
                <w:kern w:val="0"/>
                <w:lang w:val="en-US" w:eastAsia="zh-CN"/>
              </w:rPr>
            </w:pPr>
            <w:r>
              <w:rPr>
                <w:rFonts w:hint="eastAsia" w:cs="Times New Roman"/>
                <w:kern w:val="0"/>
                <w:lang w:val="en-US" w:eastAsia="zh-CN"/>
              </w:rPr>
              <w:t>泄漏</w:t>
            </w:r>
          </w:p>
        </w:tc>
        <w:tc>
          <w:tcPr>
            <w:tcW w:w="923" w:type="pct"/>
            <w:vAlign w:val="center"/>
          </w:tcPr>
          <w:p w14:paraId="73BA67E9">
            <w:pPr>
              <w:pStyle w:val="48"/>
              <w:jc w:val="center"/>
              <w:rPr>
                <w:rFonts w:hint="eastAsia" w:eastAsia="宋体" w:cs="Times New Roman"/>
                <w:kern w:val="0"/>
                <w:lang w:val="en-US" w:eastAsia="zh-CN"/>
              </w:rPr>
            </w:pPr>
            <w:r>
              <w:rPr>
                <w:rFonts w:hint="eastAsia" w:cs="Times New Roman"/>
                <w:kern w:val="0"/>
                <w:lang w:val="en-US" w:eastAsia="zh-CN"/>
              </w:rPr>
              <w:t>液化石油气</w:t>
            </w:r>
          </w:p>
        </w:tc>
        <w:tc>
          <w:tcPr>
            <w:tcW w:w="1803" w:type="pct"/>
            <w:vAlign w:val="center"/>
          </w:tcPr>
          <w:p w14:paraId="51313B65">
            <w:pPr>
              <w:pStyle w:val="48"/>
              <w:jc w:val="center"/>
              <w:rPr>
                <w:rFonts w:hint="default" w:eastAsia="宋体" w:cs="Times New Roman"/>
                <w:kern w:val="0"/>
                <w:lang w:val="en-US" w:eastAsia="zh-CN"/>
              </w:rPr>
            </w:pPr>
            <w:r>
              <w:rPr>
                <w:rFonts w:hint="eastAsia" w:cs="Times New Roman"/>
                <w:kern w:val="0"/>
                <w:lang w:val="en-US" w:eastAsia="zh-CN"/>
              </w:rPr>
              <w:t>泄漏后挥发至空气中污染空气</w:t>
            </w:r>
          </w:p>
        </w:tc>
        <w:tc>
          <w:tcPr>
            <w:tcW w:w="1027" w:type="pct"/>
            <w:vAlign w:val="center"/>
          </w:tcPr>
          <w:p w14:paraId="68C0854E">
            <w:pPr>
              <w:pStyle w:val="48"/>
              <w:jc w:val="center"/>
              <w:rPr>
                <w:rFonts w:hint="default" w:eastAsia="宋体" w:cs="Times New Roman"/>
                <w:kern w:val="0"/>
                <w:lang w:val="en-US" w:eastAsia="zh-CN"/>
              </w:rPr>
            </w:pPr>
            <w:r>
              <w:rPr>
                <w:rFonts w:hint="eastAsia" w:cs="Times New Roman"/>
                <w:kern w:val="0"/>
                <w:lang w:val="en-US" w:eastAsia="zh-CN"/>
              </w:rPr>
              <w:t>环境空气及周边居民</w:t>
            </w:r>
          </w:p>
        </w:tc>
      </w:tr>
      <w:tr w14:paraId="3BFE1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1" w:type="pct"/>
            <w:vAlign w:val="center"/>
          </w:tcPr>
          <w:p w14:paraId="3562AD0B">
            <w:pPr>
              <w:pStyle w:val="48"/>
              <w:rPr>
                <w:rFonts w:hint="default" w:eastAsia="宋体" w:cs="Times New Roman"/>
                <w:kern w:val="0"/>
                <w:lang w:val="en-US" w:eastAsia="zh-CN"/>
              </w:rPr>
            </w:pPr>
            <w:r>
              <w:rPr>
                <w:rFonts w:hint="eastAsia" w:cs="Times New Roman"/>
                <w:kern w:val="0"/>
                <w:lang w:val="en-US" w:eastAsia="zh-CN"/>
              </w:rPr>
              <w:t>残液罐及残液收集设施</w:t>
            </w:r>
          </w:p>
        </w:tc>
        <w:tc>
          <w:tcPr>
            <w:tcW w:w="553" w:type="pct"/>
            <w:vAlign w:val="center"/>
          </w:tcPr>
          <w:p w14:paraId="25955B03">
            <w:pPr>
              <w:pStyle w:val="48"/>
              <w:rPr>
                <w:rFonts w:hint="eastAsia" w:eastAsia="宋体" w:cs="Times New Roman"/>
                <w:kern w:val="0"/>
                <w:lang w:val="en-US" w:eastAsia="zh-CN"/>
              </w:rPr>
            </w:pPr>
            <w:r>
              <w:rPr>
                <w:rFonts w:hint="eastAsia" w:cs="Times New Roman"/>
                <w:kern w:val="0"/>
                <w:lang w:val="en-US" w:eastAsia="zh-CN"/>
              </w:rPr>
              <w:t>泄漏</w:t>
            </w:r>
          </w:p>
        </w:tc>
        <w:tc>
          <w:tcPr>
            <w:tcW w:w="923" w:type="pct"/>
            <w:vAlign w:val="center"/>
          </w:tcPr>
          <w:p w14:paraId="6DD137A9">
            <w:pPr>
              <w:pStyle w:val="48"/>
              <w:rPr>
                <w:rFonts w:hint="eastAsia" w:eastAsia="宋体" w:cs="Times New Roman"/>
                <w:kern w:val="0"/>
                <w:lang w:val="en-US" w:eastAsia="zh-CN"/>
              </w:rPr>
            </w:pPr>
            <w:r>
              <w:rPr>
                <w:rFonts w:hint="eastAsia" w:cs="Times New Roman"/>
                <w:kern w:val="0"/>
                <w:lang w:val="en-US" w:eastAsia="zh-CN"/>
              </w:rPr>
              <w:t>残液</w:t>
            </w:r>
          </w:p>
        </w:tc>
        <w:tc>
          <w:tcPr>
            <w:tcW w:w="1803" w:type="pct"/>
            <w:vAlign w:val="center"/>
          </w:tcPr>
          <w:p w14:paraId="0E5149BB">
            <w:pPr>
              <w:pStyle w:val="48"/>
              <w:rPr>
                <w:rFonts w:hint="default" w:eastAsia="宋体" w:cs="Times New Roman"/>
                <w:kern w:val="0"/>
                <w:lang w:val="en-US" w:eastAsia="zh-CN"/>
              </w:rPr>
            </w:pPr>
            <w:r>
              <w:rPr>
                <w:rFonts w:hint="eastAsia" w:cs="Times New Roman"/>
                <w:kern w:val="0"/>
                <w:lang w:val="en-US" w:eastAsia="zh-CN"/>
              </w:rPr>
              <w:t>泄漏后挥发至空气中污染空气；泄漏至地面可能通过漫流污染地表水；可能通过下渗污染土壤和地下水</w:t>
            </w:r>
          </w:p>
        </w:tc>
        <w:tc>
          <w:tcPr>
            <w:tcW w:w="1027" w:type="pct"/>
          </w:tcPr>
          <w:p w14:paraId="5F863DCF">
            <w:pPr>
              <w:pStyle w:val="48"/>
              <w:rPr>
                <w:rFonts w:hint="default" w:eastAsia="宋体" w:cs="Times New Roman"/>
                <w:kern w:val="0"/>
                <w:lang w:val="en-US" w:eastAsia="zh-CN"/>
              </w:rPr>
            </w:pPr>
            <w:r>
              <w:rPr>
                <w:rFonts w:hint="eastAsia" w:cs="Times New Roman"/>
                <w:kern w:val="0"/>
                <w:lang w:val="en-US" w:eastAsia="zh-CN"/>
              </w:rPr>
              <w:t>环境空气、横江铺河、湘江、周边居民、周边土壤及地下水</w:t>
            </w:r>
          </w:p>
        </w:tc>
      </w:tr>
      <w:tr w14:paraId="4A384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1" w:type="pct"/>
            <w:vMerge w:val="restart"/>
            <w:vAlign w:val="center"/>
          </w:tcPr>
          <w:p w14:paraId="1D72C331">
            <w:pPr>
              <w:pStyle w:val="48"/>
              <w:rPr>
                <w:rFonts w:hint="default" w:eastAsia="宋体" w:cs="Times New Roman"/>
                <w:kern w:val="0"/>
                <w:lang w:val="en-US" w:eastAsia="zh-CN"/>
              </w:rPr>
            </w:pPr>
            <w:r>
              <w:rPr>
                <w:rFonts w:hint="eastAsia" w:cs="Times New Roman"/>
                <w:kern w:val="0"/>
                <w:lang w:val="en-US" w:eastAsia="zh-CN"/>
              </w:rPr>
              <w:t>全厂</w:t>
            </w:r>
          </w:p>
        </w:tc>
        <w:tc>
          <w:tcPr>
            <w:tcW w:w="553" w:type="pct"/>
            <w:vMerge w:val="restart"/>
            <w:vAlign w:val="center"/>
          </w:tcPr>
          <w:p w14:paraId="56B6FA07">
            <w:pPr>
              <w:pStyle w:val="48"/>
              <w:rPr>
                <w:rFonts w:hint="default" w:eastAsia="宋体" w:cs="Times New Roman"/>
                <w:kern w:val="0"/>
                <w:lang w:val="en-US" w:eastAsia="zh-CN"/>
              </w:rPr>
            </w:pPr>
            <w:r>
              <w:rPr>
                <w:rFonts w:hint="eastAsia" w:cs="Times New Roman"/>
                <w:kern w:val="0"/>
                <w:lang w:val="en-US" w:eastAsia="zh-CN"/>
              </w:rPr>
              <w:t>火灾/爆炸</w:t>
            </w:r>
          </w:p>
        </w:tc>
        <w:tc>
          <w:tcPr>
            <w:tcW w:w="923" w:type="pct"/>
            <w:shd w:val="clear" w:color="auto" w:fill="auto"/>
            <w:vAlign w:val="center"/>
          </w:tcPr>
          <w:p w14:paraId="44A2C678">
            <w:pPr>
              <w:pStyle w:val="48"/>
              <w:rPr>
                <w:rFonts w:ascii="Times New Roman" w:hAnsi="Times New Roman" w:eastAsia="宋体" w:cs="Times New Roman"/>
                <w:kern w:val="0"/>
                <w:sz w:val="21"/>
                <w:szCs w:val="32"/>
                <w:lang w:val="en-US" w:eastAsia="zh-CN" w:bidi="ar-SA"/>
              </w:rPr>
            </w:pPr>
            <w:r>
              <w:rPr>
                <w:rFonts w:hint="eastAsia" w:cs="Times New Roman"/>
                <w:kern w:val="0"/>
              </w:rPr>
              <w:t>CO、NMHC</w:t>
            </w:r>
          </w:p>
        </w:tc>
        <w:tc>
          <w:tcPr>
            <w:tcW w:w="1803" w:type="pct"/>
            <w:shd w:val="clear" w:color="auto" w:fill="auto"/>
            <w:vAlign w:val="center"/>
          </w:tcPr>
          <w:p w14:paraId="33A4C0F6">
            <w:pPr>
              <w:pStyle w:val="48"/>
              <w:rPr>
                <w:rFonts w:ascii="Times New Roman" w:hAnsi="Times New Roman" w:eastAsia="宋体" w:cs="Times New Roman"/>
                <w:kern w:val="0"/>
                <w:sz w:val="21"/>
                <w:szCs w:val="32"/>
                <w:lang w:val="en-US" w:eastAsia="zh-CN" w:bidi="ar-SA"/>
              </w:rPr>
            </w:pPr>
            <w:r>
              <w:rPr>
                <w:rFonts w:hint="eastAsia" w:cs="Times New Roman"/>
                <w:kern w:val="0"/>
              </w:rPr>
              <w:t>进入大气，污染周边环境空气</w:t>
            </w:r>
          </w:p>
        </w:tc>
        <w:tc>
          <w:tcPr>
            <w:tcW w:w="1027" w:type="pct"/>
            <w:shd w:val="clear" w:color="auto" w:fill="auto"/>
            <w:vAlign w:val="top"/>
          </w:tcPr>
          <w:p w14:paraId="528B6F43">
            <w:pPr>
              <w:pStyle w:val="48"/>
              <w:rPr>
                <w:rFonts w:ascii="Times New Roman" w:hAnsi="Times New Roman" w:eastAsia="宋体" w:cs="Times New Roman"/>
                <w:kern w:val="0"/>
                <w:sz w:val="21"/>
                <w:szCs w:val="32"/>
                <w:lang w:val="en-US" w:eastAsia="zh-CN" w:bidi="ar-SA"/>
              </w:rPr>
            </w:pPr>
            <w:r>
              <w:rPr>
                <w:rFonts w:hint="eastAsia" w:cs="Times New Roman"/>
                <w:kern w:val="0"/>
              </w:rPr>
              <w:t>周边居民、学校、医院、</w:t>
            </w:r>
            <w:r>
              <w:rPr>
                <w:rFonts w:hint="eastAsia" w:cs="Times New Roman"/>
              </w:rPr>
              <w:t>小河沟</w:t>
            </w:r>
            <w:r>
              <w:rPr>
                <w:rFonts w:hint="eastAsia" w:cs="Times New Roman"/>
                <w:kern w:val="0"/>
              </w:rPr>
              <w:t>等</w:t>
            </w:r>
          </w:p>
        </w:tc>
      </w:tr>
      <w:tr w14:paraId="1F311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1" w:type="pct"/>
            <w:vMerge w:val="continue"/>
            <w:vAlign w:val="center"/>
          </w:tcPr>
          <w:p w14:paraId="0A9CADD7">
            <w:pPr>
              <w:pStyle w:val="48"/>
              <w:rPr>
                <w:rFonts w:hint="eastAsia" w:cs="Times New Roman"/>
                <w:kern w:val="0"/>
                <w:lang w:val="en-US" w:eastAsia="zh-CN"/>
              </w:rPr>
            </w:pPr>
          </w:p>
        </w:tc>
        <w:tc>
          <w:tcPr>
            <w:tcW w:w="553" w:type="pct"/>
            <w:vMerge w:val="continue"/>
            <w:vAlign w:val="center"/>
          </w:tcPr>
          <w:p w14:paraId="406AB48E">
            <w:pPr>
              <w:pStyle w:val="48"/>
              <w:rPr>
                <w:rFonts w:hint="eastAsia" w:cs="Times New Roman"/>
                <w:kern w:val="0"/>
                <w:lang w:val="en-US" w:eastAsia="zh-CN"/>
              </w:rPr>
            </w:pPr>
          </w:p>
        </w:tc>
        <w:tc>
          <w:tcPr>
            <w:tcW w:w="923" w:type="pct"/>
            <w:shd w:val="clear" w:color="auto" w:fill="auto"/>
            <w:vAlign w:val="center"/>
          </w:tcPr>
          <w:p w14:paraId="08218F7E">
            <w:pPr>
              <w:pStyle w:val="48"/>
              <w:rPr>
                <w:rFonts w:hint="default" w:eastAsia="宋体" w:cs="Times New Roman"/>
                <w:kern w:val="0"/>
                <w:lang w:val="en-US" w:eastAsia="zh-CN"/>
              </w:rPr>
            </w:pPr>
            <w:r>
              <w:rPr>
                <w:rFonts w:hint="eastAsia" w:cs="Times New Roman"/>
                <w:kern w:val="0"/>
                <w:lang w:val="en-US" w:eastAsia="zh-CN"/>
              </w:rPr>
              <w:t>消防废水</w:t>
            </w:r>
          </w:p>
        </w:tc>
        <w:tc>
          <w:tcPr>
            <w:tcW w:w="1803" w:type="pct"/>
            <w:shd w:val="clear" w:color="auto" w:fill="auto"/>
            <w:vAlign w:val="center"/>
          </w:tcPr>
          <w:p w14:paraId="182F015D">
            <w:pPr>
              <w:pStyle w:val="48"/>
              <w:rPr>
                <w:rFonts w:hint="default" w:eastAsia="宋体" w:cs="Times New Roman"/>
                <w:kern w:val="0"/>
                <w:lang w:val="en-US" w:eastAsia="zh-CN"/>
              </w:rPr>
            </w:pPr>
            <w:r>
              <w:rPr>
                <w:rFonts w:hint="eastAsia" w:cs="Times New Roman"/>
                <w:kern w:val="0"/>
                <w:lang w:val="en-US" w:eastAsia="zh-CN"/>
              </w:rPr>
              <w:t>漫流污染地表水，下渗污染地下水及土壤</w:t>
            </w:r>
          </w:p>
        </w:tc>
        <w:tc>
          <w:tcPr>
            <w:tcW w:w="1027" w:type="pct"/>
            <w:shd w:val="clear" w:color="auto" w:fill="auto"/>
            <w:vAlign w:val="top"/>
          </w:tcPr>
          <w:p w14:paraId="44507EC2">
            <w:pPr>
              <w:pStyle w:val="48"/>
              <w:rPr>
                <w:rFonts w:hint="eastAsia" w:cs="Times New Roman"/>
                <w:kern w:val="0"/>
              </w:rPr>
            </w:pPr>
            <w:r>
              <w:rPr>
                <w:rFonts w:hint="eastAsia" w:cs="Times New Roman"/>
                <w:kern w:val="0"/>
                <w:lang w:val="en-US" w:eastAsia="zh-CN"/>
              </w:rPr>
              <w:t>横江铺河、湘江、周边土壤及地下水</w:t>
            </w:r>
          </w:p>
        </w:tc>
      </w:tr>
    </w:tbl>
    <w:p w14:paraId="74D2A3E9">
      <w:pPr>
        <w:pStyle w:val="29"/>
        <w:bidi w:val="0"/>
        <w:rPr>
          <w:rFonts w:hint="eastAsia"/>
          <w:lang w:val="en-US" w:eastAsia="zh-CN"/>
        </w:rPr>
      </w:pPr>
      <w:r>
        <w:rPr>
          <w:rFonts w:hint="eastAsia"/>
          <w:lang w:val="en-US" w:eastAsia="zh-CN"/>
        </w:rPr>
        <w:t>F4风险事故情形分析</w:t>
      </w:r>
    </w:p>
    <w:p w14:paraId="7809B48D">
      <w:pPr>
        <w:pStyle w:val="37"/>
        <w:bidi w:val="0"/>
        <w:rPr>
          <w:rFonts w:hint="default"/>
          <w:lang w:val="en-US" w:eastAsia="zh-CN"/>
        </w:rPr>
      </w:pPr>
      <w:r>
        <w:rPr>
          <w:rFonts w:hint="eastAsia"/>
          <w:lang w:val="en-US" w:eastAsia="zh-CN"/>
        </w:rPr>
        <w:t>F4.1风险事故情形设定</w:t>
      </w:r>
    </w:p>
    <w:p w14:paraId="463713EB">
      <w:pPr>
        <w:pStyle w:val="62"/>
        <w:bidi w:val="0"/>
      </w:pPr>
      <w:r>
        <w:t>根据项目风险识别结果，结合相同行业及危险物质风险事故资料收集及统计结果，按照《建设项目环境风险评价技术导则》中对风险类型的确定分为危险物质泄漏， 以及火灾、爆炸等引起的伴生/次生污染物排放。一般不考虑自然灾害如地震、洪水、 台风等引起的事故风险。</w:t>
      </w:r>
    </w:p>
    <w:p w14:paraId="21EC29D7">
      <w:pPr>
        <w:pStyle w:val="62"/>
        <w:bidi w:val="0"/>
        <w:rPr>
          <w:rFonts w:hint="default"/>
          <w:lang w:val="en-US" w:eastAsia="zh-CN"/>
        </w:rPr>
      </w:pPr>
      <w:r>
        <w:t>根据拟建项目的工程特性，项目运行过程中存在的风险类型主要包括污染物的事 故排放、运输、生产过程中出现的物料泄漏，以及因此而造成的事故等，主要包括以下几种：</w:t>
      </w:r>
    </w:p>
    <w:p w14:paraId="1A5C4554">
      <w:pPr>
        <w:pStyle w:val="62"/>
        <w:bidi w:val="0"/>
        <w:rPr>
          <w:rFonts w:hint="eastAsia"/>
          <w:lang w:val="en-US" w:eastAsia="zh-CN"/>
        </w:rPr>
      </w:pPr>
      <w:r>
        <w:rPr>
          <w:rFonts w:hint="eastAsia"/>
          <w:lang w:val="en-US" w:eastAsia="zh-CN"/>
        </w:rPr>
        <w:t>（1）装卸时，装卸臂破裂，导致液化石油气泄漏；</w:t>
      </w:r>
    </w:p>
    <w:p w14:paraId="136F1F78">
      <w:pPr>
        <w:pStyle w:val="62"/>
        <w:bidi w:val="0"/>
        <w:rPr>
          <w:rFonts w:hint="eastAsia"/>
          <w:lang w:val="en-US" w:eastAsia="zh-CN"/>
        </w:rPr>
      </w:pPr>
      <w:r>
        <w:rPr>
          <w:rFonts w:hint="eastAsia"/>
          <w:lang w:val="en-US" w:eastAsia="zh-CN"/>
        </w:rPr>
        <w:t>（2）液化石油气储罐破裂，导致液化石油气泄漏；</w:t>
      </w:r>
    </w:p>
    <w:p w14:paraId="246AE449">
      <w:pPr>
        <w:pStyle w:val="62"/>
        <w:bidi w:val="0"/>
        <w:rPr>
          <w:rFonts w:hint="eastAsia"/>
          <w:lang w:val="en-US" w:eastAsia="zh-CN"/>
        </w:rPr>
      </w:pPr>
      <w:r>
        <w:rPr>
          <w:rFonts w:hint="eastAsia"/>
          <w:lang w:val="en-US" w:eastAsia="zh-CN"/>
        </w:rPr>
        <w:t>（3）充装作业时，液化石油气管道泄漏，导致液化石油气泄漏；</w:t>
      </w:r>
    </w:p>
    <w:p w14:paraId="343F9B21">
      <w:pPr>
        <w:pStyle w:val="62"/>
        <w:bidi w:val="0"/>
        <w:rPr>
          <w:rFonts w:hint="eastAsia"/>
          <w:lang w:val="en-US" w:eastAsia="zh-CN"/>
        </w:rPr>
      </w:pPr>
      <w:r>
        <w:rPr>
          <w:rFonts w:hint="eastAsia"/>
          <w:lang w:val="en-US" w:eastAsia="zh-CN"/>
        </w:rPr>
        <w:t>（4）充装好的液化石油气钢瓶破裂，导致液化石油气泄漏；</w:t>
      </w:r>
    </w:p>
    <w:p w14:paraId="686E8C94">
      <w:pPr>
        <w:pStyle w:val="62"/>
        <w:bidi w:val="0"/>
        <w:rPr>
          <w:rFonts w:hint="eastAsia"/>
          <w:lang w:val="en-US" w:eastAsia="zh-CN"/>
        </w:rPr>
      </w:pPr>
      <w:r>
        <w:rPr>
          <w:rFonts w:hint="eastAsia"/>
          <w:lang w:val="en-US" w:eastAsia="zh-CN"/>
        </w:rPr>
        <w:t>（5）倒残液作业时，残液泄漏；</w:t>
      </w:r>
    </w:p>
    <w:p w14:paraId="7584B0DE">
      <w:pPr>
        <w:pStyle w:val="62"/>
        <w:bidi w:val="0"/>
        <w:rPr>
          <w:rFonts w:hint="eastAsia"/>
          <w:lang w:val="en-US" w:eastAsia="zh-CN"/>
        </w:rPr>
      </w:pPr>
      <w:r>
        <w:rPr>
          <w:rFonts w:hint="eastAsia"/>
          <w:lang w:val="en-US" w:eastAsia="zh-CN"/>
        </w:rPr>
        <w:t>（6）残液管道破裂，导致残液泄漏；</w:t>
      </w:r>
    </w:p>
    <w:p w14:paraId="41A53A6F">
      <w:pPr>
        <w:pStyle w:val="62"/>
        <w:bidi w:val="0"/>
        <w:rPr>
          <w:rFonts w:hint="eastAsia"/>
          <w:lang w:val="en-US" w:eastAsia="zh-CN"/>
        </w:rPr>
      </w:pPr>
      <w:r>
        <w:rPr>
          <w:rFonts w:hint="eastAsia"/>
          <w:lang w:val="en-US" w:eastAsia="zh-CN"/>
        </w:rPr>
        <w:t>（7）残液储罐破裂，导致残液泄漏；</w:t>
      </w:r>
    </w:p>
    <w:p w14:paraId="0F91F020">
      <w:pPr>
        <w:pStyle w:val="62"/>
        <w:bidi w:val="0"/>
        <w:rPr>
          <w:rFonts w:hint="eastAsia"/>
          <w:lang w:val="en-US" w:eastAsia="zh-CN"/>
        </w:rPr>
      </w:pPr>
      <w:r>
        <w:rPr>
          <w:rFonts w:hint="eastAsia"/>
          <w:lang w:val="en-US" w:eastAsia="zh-CN"/>
        </w:rPr>
        <w:t>（8）厂区发生火灾次生环境风险事件，产生CO等物质污染及消防废水污染。</w:t>
      </w:r>
    </w:p>
    <w:p w14:paraId="08CFEC69">
      <w:pPr>
        <w:pStyle w:val="25"/>
        <w:bidi w:val="0"/>
      </w:pPr>
      <w:r>
        <w:t>根据设定的风险源项，参考《建设项目环境风险评价技术导则》（HJ 169-2018）附录E，确定本项目最大可信事故概率。最大可信事故是事故概率大于 10-6且危害较</w:t>
      </w:r>
      <w:r>
        <w:rPr>
          <w:rFonts w:hint="eastAsia"/>
          <w:lang w:eastAsia="zh-CN"/>
        </w:rPr>
        <w:t>大</w:t>
      </w:r>
      <w:r>
        <w:t>的事故。</w:t>
      </w:r>
    </w:p>
    <w:p w14:paraId="2BAD2AB9">
      <w:pPr>
        <w:pStyle w:val="63"/>
        <w:bidi w:val="0"/>
      </w:pPr>
      <w:r>
        <w:rPr>
          <w:rFonts w:hint="eastAsia"/>
        </w:rPr>
        <w:t>表</w:t>
      </w:r>
      <w:r>
        <w:rPr>
          <w:rFonts w:hint="eastAsia"/>
          <w:lang w:val="en-US" w:eastAsia="zh-CN"/>
        </w:rPr>
        <w:t>F4-1</w:t>
      </w:r>
      <w:r>
        <w:t xml:space="preserve">  </w:t>
      </w:r>
      <w:r>
        <w:rPr>
          <w:rFonts w:hint="eastAsia"/>
        </w:rPr>
        <w:t>项目最大可信事故及概率一览表</w:t>
      </w:r>
    </w:p>
    <w:tbl>
      <w:tblPr>
        <w:tblStyle w:val="19"/>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8"/>
        <w:gridCol w:w="3005"/>
        <w:gridCol w:w="1846"/>
        <w:gridCol w:w="1848"/>
        <w:gridCol w:w="1848"/>
      </w:tblGrid>
      <w:tr w14:paraId="3BCF7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72" w:type="pct"/>
            <w:vAlign w:val="center"/>
          </w:tcPr>
          <w:p w14:paraId="2D4CC5FD">
            <w:pPr>
              <w:pStyle w:val="48"/>
              <w:rPr>
                <w:rFonts w:cs="Times New Roman"/>
                <w:kern w:val="0"/>
              </w:rPr>
            </w:pPr>
            <w:r>
              <w:rPr>
                <w:rFonts w:hint="eastAsia" w:cs="Times New Roman"/>
                <w:kern w:val="0"/>
              </w:rPr>
              <w:t>序号</w:t>
            </w:r>
          </w:p>
        </w:tc>
        <w:tc>
          <w:tcPr>
            <w:tcW w:w="1626" w:type="pct"/>
            <w:vAlign w:val="center"/>
          </w:tcPr>
          <w:p w14:paraId="75543906">
            <w:pPr>
              <w:pStyle w:val="48"/>
              <w:rPr>
                <w:rFonts w:cs="Times New Roman"/>
                <w:kern w:val="0"/>
              </w:rPr>
            </w:pPr>
            <w:r>
              <w:rPr>
                <w:rFonts w:hint="eastAsia" w:cs="Times New Roman"/>
                <w:kern w:val="0"/>
              </w:rPr>
              <w:t>最大可信事故情景描述</w:t>
            </w:r>
          </w:p>
        </w:tc>
        <w:tc>
          <w:tcPr>
            <w:tcW w:w="999" w:type="pct"/>
            <w:vAlign w:val="center"/>
          </w:tcPr>
          <w:p w14:paraId="3B1C8B46">
            <w:pPr>
              <w:pStyle w:val="48"/>
              <w:rPr>
                <w:rFonts w:cs="Times New Roman"/>
                <w:kern w:val="0"/>
              </w:rPr>
            </w:pPr>
            <w:r>
              <w:rPr>
                <w:rFonts w:hint="eastAsia" w:cs="Times New Roman"/>
                <w:kern w:val="0"/>
              </w:rPr>
              <w:t>风险物质</w:t>
            </w:r>
          </w:p>
        </w:tc>
        <w:tc>
          <w:tcPr>
            <w:tcW w:w="1000" w:type="pct"/>
            <w:vAlign w:val="center"/>
          </w:tcPr>
          <w:p w14:paraId="5117CC14">
            <w:pPr>
              <w:pStyle w:val="48"/>
              <w:rPr>
                <w:rFonts w:cs="Times New Roman"/>
                <w:kern w:val="0"/>
              </w:rPr>
            </w:pPr>
            <w:r>
              <w:rPr>
                <w:rFonts w:hint="eastAsia" w:cs="Times New Roman"/>
                <w:kern w:val="0"/>
              </w:rPr>
              <w:t>事故概率</w:t>
            </w:r>
          </w:p>
        </w:tc>
        <w:tc>
          <w:tcPr>
            <w:tcW w:w="1000" w:type="pct"/>
            <w:vAlign w:val="center"/>
          </w:tcPr>
          <w:p w14:paraId="18FCF854">
            <w:pPr>
              <w:pStyle w:val="48"/>
              <w:rPr>
                <w:rFonts w:cs="Times New Roman"/>
                <w:kern w:val="0"/>
              </w:rPr>
            </w:pPr>
            <w:r>
              <w:rPr>
                <w:rFonts w:hint="eastAsia" w:cs="Times New Roman"/>
                <w:kern w:val="0"/>
              </w:rPr>
              <w:t>事故类型</w:t>
            </w:r>
          </w:p>
        </w:tc>
      </w:tr>
      <w:tr w14:paraId="7275A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Align w:val="center"/>
          </w:tcPr>
          <w:p w14:paraId="215EB760">
            <w:pPr>
              <w:pStyle w:val="48"/>
              <w:rPr>
                <w:rFonts w:hint="eastAsia" w:eastAsia="宋体" w:cs="Times New Roman"/>
                <w:kern w:val="0"/>
                <w:lang w:val="en-US" w:eastAsia="zh-CN"/>
              </w:rPr>
            </w:pPr>
            <w:r>
              <w:rPr>
                <w:rFonts w:hint="eastAsia" w:cs="Times New Roman"/>
                <w:kern w:val="0"/>
                <w:lang w:val="en-US" w:eastAsia="zh-CN"/>
              </w:rPr>
              <w:t>情形1</w:t>
            </w:r>
          </w:p>
        </w:tc>
        <w:tc>
          <w:tcPr>
            <w:tcW w:w="1626" w:type="pct"/>
            <w:vAlign w:val="center"/>
          </w:tcPr>
          <w:p w14:paraId="49AD95D9">
            <w:pPr>
              <w:pStyle w:val="48"/>
              <w:rPr>
                <w:rFonts w:hint="default" w:eastAsia="宋体" w:cs="Times New Roman"/>
                <w:kern w:val="0"/>
                <w:lang w:val="en-US" w:eastAsia="zh-CN"/>
              </w:rPr>
            </w:pPr>
            <w:r>
              <w:rPr>
                <w:rFonts w:hint="eastAsia" w:cs="Times New Roman"/>
                <w:kern w:val="0"/>
                <w:lang w:val="en-US" w:eastAsia="zh-CN"/>
              </w:rPr>
              <w:t>液化石油气储罐泄漏，泄漏孔径为10mm孔径</w:t>
            </w:r>
          </w:p>
        </w:tc>
        <w:tc>
          <w:tcPr>
            <w:tcW w:w="999" w:type="pct"/>
            <w:vAlign w:val="center"/>
          </w:tcPr>
          <w:p w14:paraId="235A739C">
            <w:pPr>
              <w:pStyle w:val="48"/>
              <w:rPr>
                <w:rFonts w:hint="eastAsia" w:eastAsia="宋体" w:cs="Times New Roman"/>
                <w:kern w:val="0"/>
                <w:lang w:val="en-US" w:eastAsia="zh-CN"/>
              </w:rPr>
            </w:pPr>
            <w:r>
              <w:rPr>
                <w:rFonts w:hint="eastAsia" w:cs="Times New Roman"/>
                <w:kern w:val="0"/>
                <w:lang w:val="en-US" w:eastAsia="zh-CN"/>
              </w:rPr>
              <w:t>液化石油气</w:t>
            </w:r>
          </w:p>
        </w:tc>
        <w:tc>
          <w:tcPr>
            <w:tcW w:w="1000" w:type="pct"/>
            <w:vAlign w:val="center"/>
          </w:tcPr>
          <w:p w14:paraId="6011EFFA">
            <w:pPr>
              <w:pStyle w:val="48"/>
              <w:rPr>
                <w:rFonts w:hint="default" w:eastAsia="宋体" w:cs="Times New Roman"/>
                <w:kern w:val="0"/>
                <w:vertAlign w:val="baseline"/>
                <w:lang w:val="en-US" w:eastAsia="zh-CN"/>
              </w:rPr>
            </w:pPr>
            <w:r>
              <w:rPr>
                <w:rFonts w:hint="eastAsia" w:cs="Times New Roman"/>
                <w:kern w:val="0"/>
                <w:lang w:val="en-US" w:eastAsia="zh-CN"/>
              </w:rPr>
              <w:t>1.00×10</w:t>
            </w:r>
            <w:r>
              <w:rPr>
                <w:rFonts w:hint="eastAsia" w:cs="Times New Roman"/>
                <w:kern w:val="0"/>
                <w:vertAlign w:val="superscript"/>
                <w:lang w:val="en-US" w:eastAsia="zh-CN"/>
              </w:rPr>
              <w:t>-4</w:t>
            </w:r>
            <w:r>
              <w:rPr>
                <w:rFonts w:hint="eastAsia" w:cs="Times New Roman"/>
                <w:kern w:val="0"/>
                <w:vertAlign w:val="baseline"/>
                <w:lang w:val="en-US" w:eastAsia="zh-CN"/>
              </w:rPr>
              <w:t>/a</w:t>
            </w:r>
          </w:p>
        </w:tc>
        <w:tc>
          <w:tcPr>
            <w:tcW w:w="1000" w:type="pct"/>
            <w:vAlign w:val="center"/>
          </w:tcPr>
          <w:p w14:paraId="2B302E87">
            <w:pPr>
              <w:pStyle w:val="48"/>
              <w:rPr>
                <w:rFonts w:hint="eastAsia" w:eastAsia="宋体" w:cs="Times New Roman"/>
                <w:kern w:val="0"/>
                <w:lang w:val="en-US" w:eastAsia="zh-CN"/>
              </w:rPr>
            </w:pPr>
            <w:r>
              <w:rPr>
                <w:rFonts w:hint="eastAsia" w:cs="Times New Roman"/>
                <w:kern w:val="0"/>
                <w:lang w:val="en-US" w:eastAsia="zh-CN"/>
              </w:rPr>
              <w:t>泄漏</w:t>
            </w:r>
          </w:p>
        </w:tc>
      </w:tr>
      <w:tr w14:paraId="1313B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Align w:val="center"/>
          </w:tcPr>
          <w:p w14:paraId="26ED4BB7">
            <w:pPr>
              <w:pStyle w:val="48"/>
              <w:rPr>
                <w:rFonts w:hint="eastAsia" w:eastAsia="宋体" w:cs="Times New Roman"/>
                <w:kern w:val="0"/>
                <w:lang w:val="en-US" w:eastAsia="zh-CN"/>
              </w:rPr>
            </w:pPr>
            <w:r>
              <w:rPr>
                <w:rFonts w:hint="eastAsia" w:cs="Times New Roman"/>
                <w:kern w:val="0"/>
                <w:lang w:val="en-US" w:eastAsia="zh-CN"/>
              </w:rPr>
              <w:t>情形2</w:t>
            </w:r>
          </w:p>
        </w:tc>
        <w:tc>
          <w:tcPr>
            <w:tcW w:w="1626" w:type="pct"/>
            <w:vAlign w:val="center"/>
          </w:tcPr>
          <w:p w14:paraId="787E6373">
            <w:pPr>
              <w:pStyle w:val="48"/>
              <w:rPr>
                <w:rFonts w:hint="default" w:eastAsia="宋体" w:cs="Times New Roman"/>
                <w:kern w:val="0"/>
                <w:lang w:val="en-US" w:eastAsia="zh-CN"/>
              </w:rPr>
            </w:pPr>
            <w:r>
              <w:rPr>
                <w:rFonts w:hint="eastAsia" w:cs="Times New Roman"/>
                <w:kern w:val="0"/>
                <w:lang w:val="en-US" w:eastAsia="zh-CN"/>
              </w:rPr>
              <w:t>内径（DN57mm）≤75mm液化石油气管道全管径泄漏</w:t>
            </w:r>
          </w:p>
        </w:tc>
        <w:tc>
          <w:tcPr>
            <w:tcW w:w="999" w:type="pct"/>
            <w:vAlign w:val="center"/>
          </w:tcPr>
          <w:p w14:paraId="23BA26EB">
            <w:pPr>
              <w:pStyle w:val="48"/>
              <w:rPr>
                <w:rFonts w:hint="eastAsia" w:eastAsia="宋体" w:cs="Times New Roman"/>
                <w:kern w:val="0"/>
                <w:lang w:val="en-US" w:eastAsia="zh-CN"/>
              </w:rPr>
            </w:pPr>
            <w:r>
              <w:rPr>
                <w:rFonts w:hint="eastAsia" w:cs="Times New Roman"/>
                <w:kern w:val="0"/>
                <w:lang w:val="en-US" w:eastAsia="zh-CN"/>
              </w:rPr>
              <w:t>液化石油气</w:t>
            </w:r>
          </w:p>
        </w:tc>
        <w:tc>
          <w:tcPr>
            <w:tcW w:w="1000" w:type="pct"/>
            <w:vAlign w:val="center"/>
          </w:tcPr>
          <w:p w14:paraId="3773CDD4">
            <w:pPr>
              <w:pStyle w:val="48"/>
              <w:rPr>
                <w:rFonts w:hint="default" w:eastAsia="宋体" w:cs="Times New Roman"/>
                <w:kern w:val="0"/>
                <w:lang w:val="en-US" w:eastAsia="zh-CN"/>
              </w:rPr>
            </w:pPr>
            <w:r>
              <w:rPr>
                <w:rFonts w:hint="eastAsia" w:cs="Times New Roman"/>
                <w:kern w:val="0"/>
                <w:lang w:val="en-US" w:eastAsia="zh-CN"/>
              </w:rPr>
              <w:t>1.00×10</w:t>
            </w:r>
            <w:r>
              <w:rPr>
                <w:rFonts w:hint="eastAsia" w:cs="Times New Roman"/>
                <w:kern w:val="0"/>
                <w:vertAlign w:val="superscript"/>
                <w:lang w:val="en-US" w:eastAsia="zh-CN"/>
              </w:rPr>
              <w:t>-6</w:t>
            </w:r>
            <w:r>
              <w:rPr>
                <w:rFonts w:hint="eastAsia" w:cs="Times New Roman"/>
                <w:kern w:val="0"/>
                <w:vertAlign w:val="baseline"/>
                <w:lang w:val="en-US" w:eastAsia="zh-CN"/>
              </w:rPr>
              <w:t>/a</w:t>
            </w:r>
          </w:p>
        </w:tc>
        <w:tc>
          <w:tcPr>
            <w:tcW w:w="1000" w:type="pct"/>
            <w:vAlign w:val="center"/>
          </w:tcPr>
          <w:p w14:paraId="70AC0A4A">
            <w:pPr>
              <w:pStyle w:val="48"/>
              <w:rPr>
                <w:rFonts w:hint="eastAsia" w:eastAsia="宋体" w:cs="Times New Roman"/>
                <w:kern w:val="0"/>
                <w:lang w:val="en-US" w:eastAsia="zh-CN"/>
              </w:rPr>
            </w:pPr>
            <w:r>
              <w:rPr>
                <w:rFonts w:hint="eastAsia" w:cs="Times New Roman"/>
                <w:kern w:val="0"/>
                <w:lang w:val="en-US" w:eastAsia="zh-CN"/>
              </w:rPr>
              <w:t>泄漏</w:t>
            </w:r>
          </w:p>
        </w:tc>
      </w:tr>
      <w:tr w14:paraId="6A3BB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Align w:val="center"/>
          </w:tcPr>
          <w:p w14:paraId="762C18AF">
            <w:pPr>
              <w:pStyle w:val="48"/>
              <w:rPr>
                <w:rFonts w:hint="eastAsia" w:eastAsia="宋体" w:cs="Times New Roman"/>
                <w:kern w:val="0"/>
                <w:lang w:val="en-US" w:eastAsia="zh-CN"/>
              </w:rPr>
            </w:pPr>
            <w:r>
              <w:rPr>
                <w:rFonts w:hint="eastAsia" w:cs="Times New Roman"/>
                <w:kern w:val="0"/>
                <w:lang w:val="en-US" w:eastAsia="zh-CN"/>
              </w:rPr>
              <w:t>情形3</w:t>
            </w:r>
          </w:p>
        </w:tc>
        <w:tc>
          <w:tcPr>
            <w:tcW w:w="1626" w:type="pct"/>
            <w:vAlign w:val="center"/>
          </w:tcPr>
          <w:p w14:paraId="14BBF60D">
            <w:pPr>
              <w:pStyle w:val="48"/>
              <w:rPr>
                <w:rFonts w:hint="default" w:eastAsia="宋体" w:cs="Times New Roman"/>
                <w:kern w:val="0"/>
                <w:lang w:val="en-US" w:eastAsia="zh-CN"/>
              </w:rPr>
            </w:pPr>
            <w:r>
              <w:rPr>
                <w:rFonts w:hint="eastAsia" w:cs="Times New Roman"/>
                <w:kern w:val="0"/>
                <w:lang w:val="en-US" w:eastAsia="zh-CN"/>
              </w:rPr>
              <w:t>泵体和压缩机最大连接管泄漏孔径为10%孔径（89mm*10%=8.9mm）</w:t>
            </w:r>
          </w:p>
        </w:tc>
        <w:tc>
          <w:tcPr>
            <w:tcW w:w="999" w:type="pct"/>
            <w:vAlign w:val="center"/>
          </w:tcPr>
          <w:p w14:paraId="09DB0999">
            <w:pPr>
              <w:pStyle w:val="48"/>
              <w:rPr>
                <w:rFonts w:hint="eastAsia" w:eastAsia="宋体" w:cs="Times New Roman"/>
                <w:kern w:val="0"/>
                <w:lang w:val="en-US" w:eastAsia="zh-CN"/>
              </w:rPr>
            </w:pPr>
            <w:r>
              <w:rPr>
                <w:rFonts w:hint="eastAsia" w:cs="Times New Roman"/>
                <w:kern w:val="0"/>
                <w:lang w:val="en-US" w:eastAsia="zh-CN"/>
              </w:rPr>
              <w:t>液化石油气</w:t>
            </w:r>
          </w:p>
        </w:tc>
        <w:tc>
          <w:tcPr>
            <w:tcW w:w="1000" w:type="pct"/>
            <w:vAlign w:val="center"/>
          </w:tcPr>
          <w:p w14:paraId="330BE0E4">
            <w:pPr>
              <w:pStyle w:val="48"/>
              <w:rPr>
                <w:rFonts w:hint="default" w:eastAsia="宋体" w:cs="Times New Roman"/>
                <w:kern w:val="0"/>
                <w:lang w:val="en-US" w:eastAsia="zh-CN"/>
              </w:rPr>
            </w:pPr>
            <w:r>
              <w:rPr>
                <w:rFonts w:hint="eastAsia" w:cs="Times New Roman"/>
                <w:kern w:val="0"/>
                <w:lang w:val="en-US" w:eastAsia="zh-CN"/>
              </w:rPr>
              <w:t>5.00×10</w:t>
            </w:r>
            <w:r>
              <w:rPr>
                <w:rFonts w:hint="eastAsia" w:cs="Times New Roman"/>
                <w:kern w:val="0"/>
                <w:vertAlign w:val="superscript"/>
                <w:lang w:val="en-US" w:eastAsia="zh-CN"/>
              </w:rPr>
              <w:t>-4</w:t>
            </w:r>
            <w:r>
              <w:rPr>
                <w:rFonts w:hint="eastAsia" w:cs="Times New Roman"/>
                <w:kern w:val="0"/>
                <w:vertAlign w:val="baseline"/>
                <w:lang w:val="en-US" w:eastAsia="zh-CN"/>
              </w:rPr>
              <w:t>/a</w:t>
            </w:r>
          </w:p>
        </w:tc>
        <w:tc>
          <w:tcPr>
            <w:tcW w:w="1000" w:type="pct"/>
            <w:vAlign w:val="center"/>
          </w:tcPr>
          <w:p w14:paraId="69BF480B">
            <w:pPr>
              <w:pStyle w:val="48"/>
              <w:rPr>
                <w:rFonts w:cs="Times New Roman"/>
                <w:kern w:val="0"/>
              </w:rPr>
            </w:pPr>
            <w:r>
              <w:rPr>
                <w:rFonts w:hint="eastAsia" w:cs="Times New Roman"/>
                <w:kern w:val="0"/>
                <w:lang w:val="en-US" w:eastAsia="zh-CN"/>
              </w:rPr>
              <w:t>泄漏</w:t>
            </w:r>
          </w:p>
        </w:tc>
      </w:tr>
      <w:tr w14:paraId="3C169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Align w:val="center"/>
          </w:tcPr>
          <w:p w14:paraId="0FEFD3E8">
            <w:pPr>
              <w:pStyle w:val="48"/>
              <w:rPr>
                <w:rFonts w:hint="eastAsia" w:eastAsia="宋体" w:cs="Times New Roman"/>
                <w:kern w:val="0"/>
                <w:lang w:val="en-US" w:eastAsia="zh-CN"/>
              </w:rPr>
            </w:pPr>
            <w:r>
              <w:rPr>
                <w:rFonts w:hint="eastAsia" w:cs="Times New Roman"/>
                <w:kern w:val="0"/>
                <w:lang w:val="en-US" w:eastAsia="zh-CN"/>
              </w:rPr>
              <w:t>情形4</w:t>
            </w:r>
          </w:p>
        </w:tc>
        <w:tc>
          <w:tcPr>
            <w:tcW w:w="1626" w:type="pct"/>
            <w:vAlign w:val="center"/>
          </w:tcPr>
          <w:p w14:paraId="7EA11D7B">
            <w:pPr>
              <w:pStyle w:val="48"/>
              <w:rPr>
                <w:rFonts w:hint="default" w:eastAsia="宋体" w:cs="Times New Roman"/>
                <w:kern w:val="0"/>
                <w:lang w:val="en-US" w:eastAsia="zh-CN"/>
              </w:rPr>
            </w:pPr>
            <w:r>
              <w:rPr>
                <w:rFonts w:hint="eastAsia" w:cs="Times New Roman"/>
                <w:kern w:val="0"/>
                <w:lang w:val="en-US" w:eastAsia="zh-CN"/>
              </w:rPr>
              <w:t>装卸臂连接管泄漏孔径为10%孔径（89mm*10%=8.9mm）</w:t>
            </w:r>
          </w:p>
        </w:tc>
        <w:tc>
          <w:tcPr>
            <w:tcW w:w="999" w:type="pct"/>
            <w:shd w:val="clear" w:color="auto" w:fill="auto"/>
            <w:vAlign w:val="center"/>
          </w:tcPr>
          <w:p w14:paraId="05F4EC5A">
            <w:pPr>
              <w:pStyle w:val="48"/>
              <w:rPr>
                <w:rFonts w:hint="eastAsia" w:ascii="Times New Roman" w:hAnsi="Times New Roman" w:eastAsia="宋体" w:cs="Times New Roman"/>
                <w:kern w:val="0"/>
                <w:sz w:val="21"/>
                <w:szCs w:val="32"/>
                <w:lang w:val="en-US" w:eastAsia="zh-CN" w:bidi="ar-SA"/>
              </w:rPr>
            </w:pPr>
            <w:r>
              <w:rPr>
                <w:rFonts w:hint="eastAsia" w:cs="Times New Roman"/>
                <w:kern w:val="0"/>
                <w:lang w:val="en-US" w:eastAsia="zh-CN"/>
              </w:rPr>
              <w:t>液化石油气</w:t>
            </w:r>
          </w:p>
        </w:tc>
        <w:tc>
          <w:tcPr>
            <w:tcW w:w="1000" w:type="pct"/>
            <w:shd w:val="clear" w:color="auto" w:fill="auto"/>
            <w:vAlign w:val="center"/>
          </w:tcPr>
          <w:p w14:paraId="201BE521">
            <w:pPr>
              <w:pStyle w:val="48"/>
              <w:rPr>
                <w:rFonts w:hint="default" w:ascii="Times New Roman" w:hAnsi="Times New Roman" w:eastAsia="宋体" w:cs="Times New Roman"/>
                <w:kern w:val="0"/>
                <w:sz w:val="21"/>
                <w:szCs w:val="32"/>
                <w:lang w:val="en-US" w:eastAsia="zh-CN" w:bidi="ar-SA"/>
              </w:rPr>
            </w:pPr>
            <w:r>
              <w:rPr>
                <w:rFonts w:hint="eastAsia" w:cs="Times New Roman"/>
                <w:kern w:val="0"/>
                <w:lang w:val="en-US" w:eastAsia="zh-CN"/>
              </w:rPr>
              <w:t>3.00×10</w:t>
            </w:r>
            <w:r>
              <w:rPr>
                <w:rFonts w:hint="eastAsia" w:cs="Times New Roman"/>
                <w:kern w:val="0"/>
                <w:vertAlign w:val="superscript"/>
                <w:lang w:val="en-US" w:eastAsia="zh-CN"/>
              </w:rPr>
              <w:t>-7</w:t>
            </w:r>
            <w:r>
              <w:rPr>
                <w:rFonts w:hint="eastAsia" w:cs="Times New Roman"/>
                <w:kern w:val="0"/>
                <w:vertAlign w:val="baseline"/>
                <w:lang w:val="en-US" w:eastAsia="zh-CN"/>
              </w:rPr>
              <w:t>/a</w:t>
            </w:r>
          </w:p>
        </w:tc>
        <w:tc>
          <w:tcPr>
            <w:tcW w:w="1000" w:type="pct"/>
            <w:shd w:val="clear" w:color="auto" w:fill="auto"/>
            <w:vAlign w:val="center"/>
          </w:tcPr>
          <w:p w14:paraId="6931F1D0">
            <w:pPr>
              <w:pStyle w:val="48"/>
              <w:rPr>
                <w:rFonts w:ascii="Times New Roman" w:hAnsi="Times New Roman" w:eastAsia="宋体" w:cs="Times New Roman"/>
                <w:kern w:val="0"/>
                <w:sz w:val="21"/>
                <w:szCs w:val="32"/>
                <w:lang w:val="en-US" w:eastAsia="zh-CN" w:bidi="ar-SA"/>
              </w:rPr>
            </w:pPr>
            <w:r>
              <w:rPr>
                <w:rFonts w:hint="eastAsia" w:cs="Times New Roman"/>
                <w:kern w:val="0"/>
                <w:lang w:val="en-US" w:eastAsia="zh-CN"/>
              </w:rPr>
              <w:t>泄漏</w:t>
            </w:r>
          </w:p>
        </w:tc>
      </w:tr>
      <w:tr w14:paraId="2C0F0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Align w:val="center"/>
          </w:tcPr>
          <w:p w14:paraId="4979C566">
            <w:pPr>
              <w:pStyle w:val="48"/>
              <w:rPr>
                <w:rFonts w:hint="eastAsia" w:eastAsia="宋体" w:cs="Times New Roman"/>
                <w:kern w:val="0"/>
                <w:lang w:val="en-US" w:eastAsia="zh-CN"/>
              </w:rPr>
            </w:pPr>
            <w:r>
              <w:rPr>
                <w:rFonts w:hint="eastAsia" w:cs="Times New Roman"/>
                <w:kern w:val="0"/>
                <w:lang w:val="en-US" w:eastAsia="zh-CN"/>
              </w:rPr>
              <w:t>情形5</w:t>
            </w:r>
          </w:p>
        </w:tc>
        <w:tc>
          <w:tcPr>
            <w:tcW w:w="1626" w:type="pct"/>
            <w:vAlign w:val="center"/>
          </w:tcPr>
          <w:p w14:paraId="5F96BDEF">
            <w:pPr>
              <w:pStyle w:val="48"/>
              <w:rPr>
                <w:rFonts w:hint="default" w:eastAsia="宋体" w:cs="Times New Roman"/>
                <w:kern w:val="0"/>
                <w:lang w:val="en-US" w:eastAsia="zh-CN"/>
              </w:rPr>
            </w:pPr>
            <w:r>
              <w:rPr>
                <w:rFonts w:hint="eastAsia" w:cs="Times New Roman"/>
                <w:kern w:val="0"/>
                <w:lang w:val="en-US" w:eastAsia="zh-CN"/>
              </w:rPr>
              <w:t>火灾次生环境风险事件</w:t>
            </w:r>
          </w:p>
        </w:tc>
        <w:tc>
          <w:tcPr>
            <w:tcW w:w="999" w:type="pct"/>
            <w:vAlign w:val="center"/>
          </w:tcPr>
          <w:p w14:paraId="35015889">
            <w:pPr>
              <w:pStyle w:val="48"/>
              <w:rPr>
                <w:rFonts w:hint="default" w:eastAsia="宋体" w:cs="Times New Roman"/>
                <w:kern w:val="0"/>
                <w:lang w:val="en-US" w:eastAsia="zh-CN"/>
              </w:rPr>
            </w:pPr>
            <w:r>
              <w:rPr>
                <w:rFonts w:hint="eastAsia" w:cs="Times New Roman"/>
                <w:kern w:val="0"/>
                <w:lang w:val="en-US" w:eastAsia="zh-CN"/>
              </w:rPr>
              <w:t>CO、消防废水</w:t>
            </w:r>
          </w:p>
        </w:tc>
        <w:tc>
          <w:tcPr>
            <w:tcW w:w="1000" w:type="pct"/>
            <w:shd w:val="clear" w:color="auto" w:fill="auto"/>
            <w:vAlign w:val="center"/>
          </w:tcPr>
          <w:p w14:paraId="0FAE4A07">
            <w:pPr>
              <w:pStyle w:val="48"/>
              <w:rPr>
                <w:rFonts w:ascii="Times New Roman" w:hAnsi="Times New Roman" w:eastAsia="宋体" w:cs="Times New Roman"/>
                <w:kern w:val="0"/>
                <w:sz w:val="21"/>
                <w:szCs w:val="32"/>
                <w:lang w:val="en-US" w:eastAsia="zh-CN" w:bidi="ar-SA"/>
              </w:rPr>
            </w:pPr>
            <w:r>
              <w:rPr>
                <w:rFonts w:hint="eastAsia" w:cs="Times New Roman"/>
                <w:kern w:val="0"/>
              </w:rPr>
              <w:t>8</w:t>
            </w:r>
            <w:r>
              <w:rPr>
                <w:rFonts w:cs="Times New Roman"/>
                <w:kern w:val="0"/>
              </w:rPr>
              <w:t>.7</w:t>
            </w:r>
            <w:r>
              <w:rPr>
                <w:rFonts w:hint="eastAsia" w:cs="Times New Roman"/>
                <w:kern w:val="0"/>
              </w:rPr>
              <w:t>×</w:t>
            </w:r>
            <w:r>
              <w:rPr>
                <w:rFonts w:cs="Times New Roman"/>
                <w:kern w:val="0"/>
              </w:rPr>
              <w:t>10</w:t>
            </w:r>
            <w:r>
              <w:rPr>
                <w:rFonts w:cs="Times New Roman"/>
                <w:kern w:val="0"/>
                <w:vertAlign w:val="superscript"/>
              </w:rPr>
              <w:t>-5</w:t>
            </w:r>
          </w:p>
        </w:tc>
        <w:tc>
          <w:tcPr>
            <w:tcW w:w="1000" w:type="pct"/>
            <w:shd w:val="clear" w:color="auto" w:fill="auto"/>
            <w:vAlign w:val="center"/>
          </w:tcPr>
          <w:p w14:paraId="2C5AA23F">
            <w:pPr>
              <w:pStyle w:val="48"/>
              <w:rPr>
                <w:rFonts w:ascii="Times New Roman" w:hAnsi="Times New Roman" w:eastAsia="宋体" w:cs="Times New Roman"/>
                <w:kern w:val="0"/>
                <w:sz w:val="21"/>
                <w:szCs w:val="32"/>
                <w:lang w:val="en-US" w:eastAsia="zh-CN" w:bidi="ar-SA"/>
              </w:rPr>
            </w:pPr>
            <w:r>
              <w:rPr>
                <w:rFonts w:hint="eastAsia" w:cs="Times New Roman"/>
                <w:kern w:val="0"/>
              </w:rPr>
              <w:t>火灾/爆炸</w:t>
            </w:r>
          </w:p>
        </w:tc>
      </w:tr>
    </w:tbl>
    <w:p w14:paraId="6A5CB2D2">
      <w:pPr>
        <w:pStyle w:val="37"/>
        <w:bidi w:val="0"/>
        <w:rPr>
          <w:rFonts w:hint="eastAsia"/>
          <w:lang w:val="en-US" w:eastAsia="zh-CN"/>
        </w:rPr>
      </w:pPr>
      <w:r>
        <w:rPr>
          <w:rFonts w:hint="eastAsia"/>
          <w:lang w:val="en-US" w:eastAsia="zh-CN"/>
        </w:rPr>
        <w:t>F4.2源项分析</w:t>
      </w:r>
    </w:p>
    <w:p w14:paraId="55BCB274">
      <w:pPr>
        <w:pStyle w:val="34"/>
        <w:bidi w:val="0"/>
        <w:rPr>
          <w:rFonts w:hint="eastAsia"/>
          <w:lang w:val="en-US" w:eastAsia="zh-CN"/>
        </w:rPr>
      </w:pPr>
      <w:r>
        <w:rPr>
          <w:rFonts w:hint="eastAsia"/>
          <w:lang w:val="en-US" w:eastAsia="zh-CN"/>
        </w:rPr>
        <w:t>F4.2.1液化石油气泄漏源项分析</w:t>
      </w:r>
    </w:p>
    <w:p w14:paraId="5A86DD64">
      <w:pPr>
        <w:pStyle w:val="62"/>
        <w:bidi w:val="0"/>
        <w:rPr>
          <w:rFonts w:hint="eastAsia"/>
          <w:lang w:val="en-US" w:eastAsia="zh-CN"/>
        </w:rPr>
      </w:pPr>
      <w:r>
        <w:rPr>
          <w:rFonts w:hint="eastAsia"/>
          <w:lang w:val="en-US" w:eastAsia="zh-CN"/>
        </w:rPr>
        <w:t>液化石油气以气体形式泄漏，本次采用气体泄漏模式进行计算，首先需要判定气体流动属于临界流或者次临界流：</w:t>
      </w:r>
    </w:p>
    <w:p w14:paraId="0B7F7404">
      <w:pPr>
        <w:pStyle w:val="62"/>
        <w:bidi w:val="0"/>
        <w:rPr>
          <w:rFonts w:hint="eastAsia"/>
          <w:vertAlign w:val="baseline"/>
          <w:lang w:val="en-US" w:eastAsia="zh-CN"/>
        </w:rPr>
      </w:pPr>
      <w:r>
        <w:rPr>
          <w:rFonts w:hint="eastAsia"/>
          <w:lang w:val="en-US" w:eastAsia="zh-CN"/>
        </w:rPr>
        <w:t>当P</w:t>
      </w:r>
      <w:r>
        <w:rPr>
          <w:rFonts w:hint="eastAsia"/>
          <w:vertAlign w:val="subscript"/>
          <w:lang w:val="en-US" w:eastAsia="zh-CN"/>
        </w:rPr>
        <w:t>0</w:t>
      </w:r>
      <w:r>
        <w:rPr>
          <w:rFonts w:hint="eastAsia"/>
          <w:vertAlign w:val="baseline"/>
          <w:lang w:val="en-US" w:eastAsia="zh-CN"/>
        </w:rPr>
        <w:t>/P≤（2/(γ+1)）</w:t>
      </w:r>
      <w:r>
        <w:rPr>
          <w:rFonts w:hint="eastAsia"/>
          <w:vertAlign w:val="superscript"/>
          <w:lang w:val="en-US" w:eastAsia="zh-CN"/>
        </w:rPr>
        <w:t>γ/（γ-1）</w:t>
      </w:r>
      <w:r>
        <w:rPr>
          <w:rFonts w:hint="eastAsia"/>
          <w:vertAlign w:val="baseline"/>
          <w:lang w:val="en-US" w:eastAsia="zh-CN"/>
        </w:rPr>
        <w:t>则气体属于临界流，否则为次临界流，式中P为容器压力，P</w:t>
      </w:r>
      <w:r>
        <w:rPr>
          <w:rFonts w:hint="eastAsia"/>
          <w:vertAlign w:val="subscript"/>
          <w:lang w:val="en-US" w:eastAsia="zh-CN"/>
        </w:rPr>
        <w:t>0</w:t>
      </w:r>
      <w:r>
        <w:rPr>
          <w:rFonts w:hint="eastAsia"/>
          <w:vertAlign w:val="baseline"/>
          <w:lang w:val="en-US" w:eastAsia="zh-CN"/>
        </w:rPr>
        <w:t>为环境压力，γ为气体的绝热指数。容器压力为1.77Mpa，环境压力取标准大气压101.3kPa，由于液化石油气主要有丙烷和丁烷组成，本次气体绝热指数取丙烷和丁烷的均值，丙烷气体绝热指数约为1.13，丁烷气体绝热指数约为1.10，因此本次按液化石油气气体绝热指数为1.115计算。经计算P</w:t>
      </w:r>
      <w:r>
        <w:rPr>
          <w:rFonts w:hint="eastAsia"/>
          <w:vertAlign w:val="subscript"/>
          <w:lang w:val="en-US" w:eastAsia="zh-CN"/>
        </w:rPr>
        <w:t>0</w:t>
      </w:r>
      <w:r>
        <w:rPr>
          <w:rFonts w:hint="eastAsia"/>
          <w:vertAlign w:val="baseline"/>
          <w:lang w:val="en-US" w:eastAsia="zh-CN"/>
        </w:rPr>
        <w:t>/P=0.0572，（2/(γ+1)）</w:t>
      </w:r>
      <w:r>
        <w:rPr>
          <w:rFonts w:hint="eastAsia"/>
          <w:vertAlign w:val="superscript"/>
          <w:lang w:val="en-US" w:eastAsia="zh-CN"/>
        </w:rPr>
        <w:t>γ/（γ-1）</w:t>
      </w:r>
      <w:r>
        <w:rPr>
          <w:rFonts w:hint="eastAsia"/>
          <w:vertAlign w:val="baseline"/>
          <w:lang w:val="en-US" w:eastAsia="zh-CN"/>
        </w:rPr>
        <w:t>=0.5815，</w:t>
      </w:r>
      <w:r>
        <w:rPr>
          <w:rFonts w:hint="eastAsia"/>
          <w:lang w:val="en-US" w:eastAsia="zh-CN"/>
        </w:rPr>
        <w:t>P</w:t>
      </w:r>
      <w:r>
        <w:rPr>
          <w:rFonts w:hint="eastAsia"/>
          <w:vertAlign w:val="subscript"/>
          <w:lang w:val="en-US" w:eastAsia="zh-CN"/>
        </w:rPr>
        <w:t>0</w:t>
      </w:r>
      <w:r>
        <w:rPr>
          <w:rFonts w:hint="eastAsia"/>
          <w:vertAlign w:val="baseline"/>
          <w:lang w:val="en-US" w:eastAsia="zh-CN"/>
        </w:rPr>
        <w:t>/P≤（2/(γ+1)）</w:t>
      </w:r>
      <w:r>
        <w:rPr>
          <w:rFonts w:hint="eastAsia"/>
          <w:vertAlign w:val="superscript"/>
          <w:lang w:val="en-US" w:eastAsia="zh-CN"/>
        </w:rPr>
        <w:t>γ/（γ-1）</w:t>
      </w:r>
      <w:r>
        <w:rPr>
          <w:rFonts w:hint="eastAsia"/>
          <w:vertAlign w:val="baseline"/>
          <w:lang w:val="en-US" w:eastAsia="zh-CN"/>
        </w:rPr>
        <w:t>成立，因此液化石油气属于临界流气体，采用下式计算泄漏速率：</w:t>
      </w:r>
    </w:p>
    <w:p w14:paraId="5FE67736">
      <w:pPr>
        <w:pStyle w:val="62"/>
        <w:bidi w:val="0"/>
        <w:rPr>
          <w:rFonts w:hint="default"/>
          <w:vertAlign w:val="baseline"/>
          <w:lang w:val="en-US" w:eastAsia="zh-CN"/>
        </w:rPr>
      </w:pPr>
      <w:r>
        <w:drawing>
          <wp:inline distT="0" distB="0" distL="114300" distR="114300">
            <wp:extent cx="3886200" cy="885825"/>
            <wp:effectExtent l="0" t="0" r="0" b="9525"/>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34"/>
                    <a:stretch>
                      <a:fillRect/>
                    </a:stretch>
                  </pic:blipFill>
                  <pic:spPr>
                    <a:xfrm>
                      <a:off x="0" y="0"/>
                      <a:ext cx="3886200" cy="885825"/>
                    </a:xfrm>
                    <a:prstGeom prst="rect">
                      <a:avLst/>
                    </a:prstGeom>
                    <a:noFill/>
                    <a:ln>
                      <a:noFill/>
                    </a:ln>
                  </pic:spPr>
                </pic:pic>
              </a:graphicData>
            </a:graphic>
          </wp:inline>
        </w:drawing>
      </w:r>
    </w:p>
    <w:p w14:paraId="0091B9A4">
      <w:pPr>
        <w:pStyle w:val="62"/>
        <w:bidi w:val="0"/>
        <w:rPr>
          <w:rFonts w:hint="eastAsia"/>
          <w:vertAlign w:val="baseline"/>
          <w:lang w:val="en-US" w:eastAsia="zh-CN"/>
        </w:rPr>
      </w:pPr>
      <w:r>
        <w:rPr>
          <w:rFonts w:hint="eastAsia"/>
          <w:vertAlign w:val="baseline"/>
          <w:lang w:val="en-US" w:eastAsia="zh-CN"/>
        </w:rPr>
        <w:t>式中：Q</w:t>
      </w:r>
      <w:r>
        <w:rPr>
          <w:rFonts w:hint="eastAsia"/>
          <w:vertAlign w:val="subscript"/>
          <w:lang w:val="en-US" w:eastAsia="zh-CN"/>
        </w:rPr>
        <w:t>G</w:t>
      </w:r>
      <w:r>
        <w:rPr>
          <w:rFonts w:hint="eastAsia"/>
          <w:vertAlign w:val="baseline"/>
          <w:lang w:val="en-US" w:eastAsia="zh-CN"/>
        </w:rPr>
        <w:t>——气体泄漏速率，kg/s；</w:t>
      </w:r>
    </w:p>
    <w:p w14:paraId="1C5149F9">
      <w:pPr>
        <w:pStyle w:val="62"/>
        <w:bidi w:val="0"/>
        <w:rPr>
          <w:rFonts w:hint="eastAsia"/>
          <w:vertAlign w:val="baseline"/>
          <w:lang w:val="en-US" w:eastAsia="zh-CN"/>
        </w:rPr>
      </w:pPr>
      <w:r>
        <w:rPr>
          <w:rFonts w:hint="eastAsia"/>
          <w:vertAlign w:val="baseline"/>
          <w:lang w:val="en-US" w:eastAsia="zh-CN"/>
        </w:rPr>
        <w:t>P——容器压力，pa，1770000pa；</w:t>
      </w:r>
    </w:p>
    <w:p w14:paraId="6A215991">
      <w:pPr>
        <w:pStyle w:val="62"/>
        <w:bidi w:val="0"/>
        <w:rPr>
          <w:rFonts w:hint="eastAsia"/>
          <w:vertAlign w:val="baseline"/>
          <w:lang w:val="en-US" w:eastAsia="zh-CN"/>
        </w:rPr>
      </w:pPr>
      <w:r>
        <w:rPr>
          <w:rFonts w:hint="eastAsia"/>
          <w:vertAlign w:val="baseline"/>
          <w:lang w:val="en-US" w:eastAsia="zh-CN"/>
        </w:rPr>
        <w:t>C</w:t>
      </w:r>
      <w:r>
        <w:rPr>
          <w:rFonts w:hint="eastAsia"/>
          <w:vertAlign w:val="subscript"/>
          <w:lang w:val="en-US" w:eastAsia="zh-CN"/>
        </w:rPr>
        <w:t>d</w:t>
      </w:r>
      <w:r>
        <w:rPr>
          <w:rFonts w:hint="eastAsia"/>
          <w:vertAlign w:val="baseline"/>
          <w:lang w:val="en-US" w:eastAsia="zh-CN"/>
        </w:rPr>
        <w:t>——气体泄漏系数，按雷口为圆形取1.00；</w:t>
      </w:r>
    </w:p>
    <w:p w14:paraId="094FF3BC">
      <w:pPr>
        <w:pStyle w:val="62"/>
        <w:bidi w:val="0"/>
        <w:rPr>
          <w:rFonts w:hint="eastAsia"/>
          <w:vertAlign w:val="baseline"/>
          <w:lang w:val="en-US" w:eastAsia="zh-CN"/>
        </w:rPr>
      </w:pPr>
      <w:r>
        <w:rPr>
          <w:rFonts w:hint="eastAsia"/>
          <w:vertAlign w:val="baseline"/>
          <w:lang w:val="en-US" w:eastAsia="zh-CN"/>
        </w:rPr>
        <w:t>M——物质的摩尔质量，kg/mol，取丙烷与丁烷的均值，为（44.11+58.14）/2=51.125g/mol=0.05125kg/mol；</w:t>
      </w:r>
    </w:p>
    <w:p w14:paraId="60AC2A68">
      <w:pPr>
        <w:pStyle w:val="62"/>
        <w:bidi w:val="0"/>
        <w:rPr>
          <w:rFonts w:hint="eastAsia"/>
          <w:vertAlign w:val="baseline"/>
          <w:lang w:val="en-US" w:eastAsia="zh-CN"/>
        </w:rPr>
      </w:pPr>
      <w:r>
        <w:rPr>
          <w:rFonts w:hint="eastAsia"/>
          <w:vertAlign w:val="baseline"/>
          <w:lang w:val="en-US" w:eastAsia="zh-CN"/>
        </w:rPr>
        <w:t>R——气体常数，j/(mol·k），取立项气体常数8.314j/(mol·k）；</w:t>
      </w:r>
    </w:p>
    <w:p w14:paraId="6E0AE13D">
      <w:pPr>
        <w:pStyle w:val="62"/>
        <w:bidi w:val="0"/>
        <w:rPr>
          <w:rFonts w:hint="eastAsia"/>
          <w:vertAlign w:val="baseline"/>
          <w:lang w:val="en-US" w:eastAsia="zh-CN"/>
        </w:rPr>
      </w:pPr>
      <w:r>
        <w:rPr>
          <w:rFonts w:hint="eastAsia"/>
          <w:vertAlign w:val="baseline"/>
          <w:lang w:val="en-US" w:eastAsia="zh-CN"/>
        </w:rPr>
        <w:t>T</w:t>
      </w:r>
      <w:r>
        <w:rPr>
          <w:rFonts w:hint="eastAsia"/>
          <w:vertAlign w:val="subscript"/>
          <w:lang w:val="en-US" w:eastAsia="zh-CN"/>
        </w:rPr>
        <w:t>G</w:t>
      </w:r>
      <w:r>
        <w:rPr>
          <w:rFonts w:hint="eastAsia"/>
          <w:vertAlign w:val="baseline"/>
          <w:lang w:val="en-US" w:eastAsia="zh-CN"/>
        </w:rPr>
        <w:t>——气体温度，K；取常温25℃，即298.15K；</w:t>
      </w:r>
    </w:p>
    <w:p w14:paraId="55EAD745">
      <w:pPr>
        <w:pStyle w:val="62"/>
        <w:bidi w:val="0"/>
        <w:rPr>
          <w:rFonts w:hint="eastAsia"/>
          <w:vertAlign w:val="baseline"/>
          <w:lang w:val="en-US" w:eastAsia="zh-CN"/>
        </w:rPr>
      </w:pPr>
      <w:r>
        <w:rPr>
          <w:rFonts w:hint="eastAsia"/>
          <w:vertAlign w:val="baseline"/>
          <w:lang w:val="en-US" w:eastAsia="zh-CN"/>
        </w:rPr>
        <w:t>A——裂口面积，m</w:t>
      </w:r>
      <w:r>
        <w:rPr>
          <w:rFonts w:hint="eastAsia"/>
          <w:vertAlign w:val="superscript"/>
          <w:lang w:val="en-US" w:eastAsia="zh-CN"/>
        </w:rPr>
        <w:t>2</w:t>
      </w:r>
      <w:r>
        <w:rPr>
          <w:rFonts w:hint="eastAsia"/>
          <w:vertAlign w:val="baseline"/>
          <w:lang w:val="en-US" w:eastAsia="zh-CN"/>
        </w:rPr>
        <w:t>，按不同情形分别取值；</w:t>
      </w:r>
    </w:p>
    <w:p w14:paraId="77F2A215">
      <w:pPr>
        <w:pStyle w:val="62"/>
        <w:bidi w:val="0"/>
        <w:rPr>
          <w:rFonts w:hint="eastAsia"/>
          <w:vertAlign w:val="baseline"/>
          <w:lang w:val="en-US" w:eastAsia="zh-CN"/>
        </w:rPr>
      </w:pPr>
      <w:r>
        <w:rPr>
          <w:rFonts w:hint="eastAsia"/>
          <w:vertAlign w:val="baseline"/>
          <w:lang w:val="en-US" w:eastAsia="zh-CN"/>
        </w:rPr>
        <w:t>Y——流出系数，对于临界流Y=1.0；</w:t>
      </w:r>
    </w:p>
    <w:p w14:paraId="0679A179">
      <w:pPr>
        <w:pStyle w:val="62"/>
        <w:bidi w:val="0"/>
        <w:rPr>
          <w:rFonts w:hint="eastAsia"/>
          <w:vertAlign w:val="baseline"/>
          <w:lang w:val="en-US" w:eastAsia="zh-CN"/>
        </w:rPr>
      </w:pPr>
      <w:r>
        <w:rPr>
          <w:rFonts w:hint="eastAsia"/>
          <w:vertAlign w:val="baseline"/>
          <w:lang w:val="en-US" w:eastAsia="zh-CN"/>
        </w:rPr>
        <w:t>根据上述公式计算，不同情形参数取值及泄漏速率计算结果如下：</w:t>
      </w:r>
    </w:p>
    <w:p w14:paraId="476FBE47">
      <w:pPr>
        <w:pStyle w:val="24"/>
        <w:bidi w:val="0"/>
        <w:rPr>
          <w:rFonts w:hint="eastAsia"/>
          <w:lang w:val="en-US" w:eastAsia="zh-CN"/>
        </w:rPr>
      </w:pPr>
      <w:r>
        <w:rPr>
          <w:rFonts w:hint="eastAsia"/>
          <w:lang w:val="en-US" w:eastAsia="zh-CN"/>
        </w:rPr>
        <w:t>表F4-2  不同情形液化石油气泄漏速率表</w:t>
      </w:r>
    </w:p>
    <w:tbl>
      <w:tblPr>
        <w:tblStyle w:val="1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7"/>
        <w:gridCol w:w="1062"/>
        <w:gridCol w:w="1132"/>
        <w:gridCol w:w="1591"/>
        <w:gridCol w:w="998"/>
        <w:gridCol w:w="1494"/>
        <w:gridCol w:w="1063"/>
        <w:gridCol w:w="899"/>
      </w:tblGrid>
      <w:tr w14:paraId="195E0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53" w:type="pct"/>
            <w:vMerge w:val="restart"/>
          </w:tcPr>
          <w:p w14:paraId="5E56AD1E">
            <w:pPr>
              <w:pStyle w:val="26"/>
              <w:bidi w:val="0"/>
              <w:rPr>
                <w:rFonts w:hint="default"/>
                <w:lang w:val="en-US" w:eastAsia="zh-CN"/>
              </w:rPr>
            </w:pPr>
            <w:r>
              <w:rPr>
                <w:rFonts w:hint="eastAsia"/>
                <w:lang w:val="en-US" w:eastAsia="zh-CN"/>
              </w:rPr>
              <w:t>情形</w:t>
            </w:r>
          </w:p>
        </w:tc>
        <w:tc>
          <w:tcPr>
            <w:tcW w:w="588" w:type="pct"/>
          </w:tcPr>
          <w:p w14:paraId="131433BD">
            <w:pPr>
              <w:pStyle w:val="26"/>
              <w:bidi w:val="0"/>
              <w:rPr>
                <w:rFonts w:hint="default"/>
                <w:lang w:val="en-US" w:eastAsia="zh-CN"/>
              </w:rPr>
            </w:pPr>
            <w:r>
              <w:rPr>
                <w:rFonts w:hint="eastAsia"/>
                <w:lang w:val="en-US" w:eastAsia="zh-CN"/>
              </w:rPr>
              <w:t>Cd</w:t>
            </w:r>
          </w:p>
        </w:tc>
        <w:tc>
          <w:tcPr>
            <w:tcW w:w="626" w:type="pct"/>
          </w:tcPr>
          <w:p w14:paraId="6431DE6F">
            <w:pPr>
              <w:pStyle w:val="26"/>
              <w:bidi w:val="0"/>
              <w:rPr>
                <w:rFonts w:hint="default"/>
                <w:lang w:val="en-US" w:eastAsia="zh-CN"/>
              </w:rPr>
            </w:pPr>
            <w:r>
              <w:rPr>
                <w:rFonts w:hint="eastAsia"/>
                <w:lang w:val="en-US" w:eastAsia="zh-CN"/>
              </w:rPr>
              <w:t>M</w:t>
            </w:r>
          </w:p>
        </w:tc>
        <w:tc>
          <w:tcPr>
            <w:tcW w:w="874" w:type="pct"/>
          </w:tcPr>
          <w:p w14:paraId="64BDCD09">
            <w:pPr>
              <w:pStyle w:val="26"/>
              <w:bidi w:val="0"/>
              <w:rPr>
                <w:rFonts w:hint="default"/>
                <w:lang w:val="en-US" w:eastAsia="zh-CN"/>
              </w:rPr>
            </w:pPr>
            <w:r>
              <w:rPr>
                <w:rFonts w:hint="eastAsia"/>
                <w:lang w:val="en-US" w:eastAsia="zh-CN"/>
              </w:rPr>
              <w:t>R</w:t>
            </w:r>
          </w:p>
        </w:tc>
        <w:tc>
          <w:tcPr>
            <w:tcW w:w="553" w:type="pct"/>
          </w:tcPr>
          <w:p w14:paraId="7EC1916C">
            <w:pPr>
              <w:pStyle w:val="26"/>
              <w:bidi w:val="0"/>
              <w:rPr>
                <w:rFonts w:hint="default"/>
                <w:lang w:val="en-US" w:eastAsia="zh-CN"/>
              </w:rPr>
            </w:pPr>
            <w:r>
              <w:rPr>
                <w:rFonts w:hint="eastAsia"/>
                <w:lang w:val="en-US" w:eastAsia="zh-CN"/>
              </w:rPr>
              <w:t>T0</w:t>
            </w:r>
          </w:p>
        </w:tc>
        <w:tc>
          <w:tcPr>
            <w:tcW w:w="821" w:type="pct"/>
          </w:tcPr>
          <w:p w14:paraId="28E04A82">
            <w:pPr>
              <w:pStyle w:val="26"/>
              <w:bidi w:val="0"/>
              <w:rPr>
                <w:rFonts w:hint="default"/>
                <w:lang w:val="en-US" w:eastAsia="zh-CN"/>
              </w:rPr>
            </w:pPr>
            <w:r>
              <w:rPr>
                <w:rFonts w:hint="eastAsia"/>
                <w:lang w:val="en-US" w:eastAsia="zh-CN"/>
              </w:rPr>
              <w:t>A</w:t>
            </w:r>
          </w:p>
        </w:tc>
        <w:tc>
          <w:tcPr>
            <w:tcW w:w="588" w:type="pct"/>
          </w:tcPr>
          <w:p w14:paraId="59E63739">
            <w:pPr>
              <w:pStyle w:val="26"/>
              <w:bidi w:val="0"/>
              <w:rPr>
                <w:rFonts w:hint="default"/>
                <w:lang w:val="en-US" w:eastAsia="zh-CN"/>
              </w:rPr>
            </w:pPr>
            <w:r>
              <w:rPr>
                <w:rFonts w:hint="eastAsia"/>
                <w:lang w:val="en-US" w:eastAsia="zh-CN"/>
              </w:rPr>
              <w:t>Y</w:t>
            </w:r>
          </w:p>
        </w:tc>
        <w:tc>
          <w:tcPr>
            <w:tcW w:w="394" w:type="pct"/>
          </w:tcPr>
          <w:p w14:paraId="001611F0">
            <w:pPr>
              <w:pStyle w:val="26"/>
              <w:bidi w:val="0"/>
              <w:rPr>
                <w:rFonts w:hint="default"/>
                <w:lang w:val="en-US" w:eastAsia="zh-CN"/>
              </w:rPr>
            </w:pPr>
            <w:r>
              <w:rPr>
                <w:rFonts w:hint="eastAsia"/>
                <w:lang w:val="en-US" w:eastAsia="zh-CN"/>
              </w:rPr>
              <w:t>QG</w:t>
            </w:r>
          </w:p>
        </w:tc>
      </w:tr>
      <w:tr w14:paraId="45B61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Merge w:val="continue"/>
          </w:tcPr>
          <w:p w14:paraId="009857E7">
            <w:pPr>
              <w:pStyle w:val="26"/>
              <w:bidi w:val="0"/>
              <w:rPr>
                <w:rFonts w:hint="eastAsia"/>
                <w:lang w:val="en-US" w:eastAsia="zh-CN"/>
              </w:rPr>
            </w:pPr>
          </w:p>
        </w:tc>
        <w:tc>
          <w:tcPr>
            <w:tcW w:w="588" w:type="pct"/>
          </w:tcPr>
          <w:p w14:paraId="30579EDB">
            <w:pPr>
              <w:pStyle w:val="26"/>
              <w:bidi w:val="0"/>
              <w:rPr>
                <w:rFonts w:hint="default"/>
                <w:lang w:val="en-US" w:eastAsia="zh-CN"/>
              </w:rPr>
            </w:pPr>
            <w:r>
              <w:rPr>
                <w:rFonts w:hint="eastAsia"/>
                <w:lang w:val="en-US" w:eastAsia="zh-CN"/>
              </w:rPr>
              <w:t>无量纲</w:t>
            </w:r>
          </w:p>
        </w:tc>
        <w:tc>
          <w:tcPr>
            <w:tcW w:w="626" w:type="pct"/>
          </w:tcPr>
          <w:p w14:paraId="5D08CC81">
            <w:pPr>
              <w:pStyle w:val="26"/>
              <w:bidi w:val="0"/>
              <w:rPr>
                <w:rFonts w:hint="default"/>
                <w:lang w:val="en-US" w:eastAsia="zh-CN"/>
              </w:rPr>
            </w:pPr>
            <w:r>
              <w:rPr>
                <w:rFonts w:hint="eastAsia"/>
                <w:lang w:val="en-US" w:eastAsia="zh-CN"/>
              </w:rPr>
              <w:t>kg/mol</w:t>
            </w:r>
          </w:p>
        </w:tc>
        <w:tc>
          <w:tcPr>
            <w:tcW w:w="874" w:type="pct"/>
          </w:tcPr>
          <w:p w14:paraId="2ABC1072">
            <w:pPr>
              <w:pStyle w:val="26"/>
              <w:bidi w:val="0"/>
              <w:rPr>
                <w:rFonts w:hint="eastAsia"/>
                <w:lang w:val="en-US" w:eastAsia="zh-CN"/>
              </w:rPr>
            </w:pPr>
            <w:r>
              <w:rPr>
                <w:rFonts w:hint="eastAsia"/>
                <w:lang w:val="en-US" w:eastAsia="zh-CN"/>
              </w:rPr>
              <w:t>j/(mol·k）</w:t>
            </w:r>
          </w:p>
        </w:tc>
        <w:tc>
          <w:tcPr>
            <w:tcW w:w="553" w:type="pct"/>
          </w:tcPr>
          <w:p w14:paraId="10516AB2">
            <w:pPr>
              <w:pStyle w:val="26"/>
              <w:bidi w:val="0"/>
              <w:rPr>
                <w:rFonts w:hint="default"/>
                <w:lang w:val="en-US" w:eastAsia="zh-CN"/>
              </w:rPr>
            </w:pPr>
            <w:r>
              <w:rPr>
                <w:rFonts w:hint="eastAsia"/>
                <w:lang w:val="en-US" w:eastAsia="zh-CN"/>
              </w:rPr>
              <w:t>K</w:t>
            </w:r>
          </w:p>
        </w:tc>
        <w:tc>
          <w:tcPr>
            <w:tcW w:w="821" w:type="pct"/>
          </w:tcPr>
          <w:p w14:paraId="52635B18">
            <w:pPr>
              <w:pStyle w:val="26"/>
              <w:bidi w:val="0"/>
              <w:rPr>
                <w:rFonts w:hint="default"/>
                <w:lang w:val="en-US" w:eastAsia="zh-CN"/>
              </w:rPr>
            </w:pPr>
            <w:r>
              <w:rPr>
                <w:rFonts w:hint="eastAsia"/>
                <w:lang w:val="en-US" w:eastAsia="zh-CN"/>
              </w:rPr>
              <w:t>m2</w:t>
            </w:r>
          </w:p>
        </w:tc>
        <w:tc>
          <w:tcPr>
            <w:tcW w:w="588" w:type="pct"/>
          </w:tcPr>
          <w:p w14:paraId="4DBB3465">
            <w:pPr>
              <w:pStyle w:val="26"/>
              <w:bidi w:val="0"/>
              <w:rPr>
                <w:rFonts w:hint="default"/>
                <w:lang w:val="en-US" w:eastAsia="zh-CN"/>
              </w:rPr>
            </w:pPr>
            <w:r>
              <w:rPr>
                <w:rFonts w:hint="eastAsia"/>
                <w:lang w:val="en-US" w:eastAsia="zh-CN"/>
              </w:rPr>
              <w:t>无量纲</w:t>
            </w:r>
          </w:p>
        </w:tc>
        <w:tc>
          <w:tcPr>
            <w:tcW w:w="394" w:type="pct"/>
          </w:tcPr>
          <w:p w14:paraId="02DABC86">
            <w:pPr>
              <w:pStyle w:val="26"/>
              <w:bidi w:val="0"/>
              <w:rPr>
                <w:rFonts w:hint="default"/>
                <w:lang w:val="en-US" w:eastAsia="zh-CN"/>
              </w:rPr>
            </w:pPr>
            <w:r>
              <w:rPr>
                <w:rFonts w:hint="eastAsia"/>
                <w:lang w:val="en-US" w:eastAsia="zh-CN"/>
              </w:rPr>
              <w:t>kg/s</w:t>
            </w:r>
          </w:p>
        </w:tc>
      </w:tr>
      <w:tr w14:paraId="17B91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tcPr>
          <w:p w14:paraId="06591F26">
            <w:pPr>
              <w:pStyle w:val="26"/>
              <w:bidi w:val="0"/>
              <w:rPr>
                <w:rFonts w:hint="default"/>
                <w:lang w:val="en-US" w:eastAsia="zh-CN"/>
              </w:rPr>
            </w:pPr>
            <w:r>
              <w:rPr>
                <w:rFonts w:hint="eastAsia"/>
                <w:lang w:val="en-US" w:eastAsia="zh-CN"/>
              </w:rPr>
              <w:t>情形1</w:t>
            </w:r>
          </w:p>
        </w:tc>
        <w:tc>
          <w:tcPr>
            <w:tcW w:w="588" w:type="pct"/>
          </w:tcPr>
          <w:p w14:paraId="346C6B19">
            <w:pPr>
              <w:pStyle w:val="26"/>
              <w:bidi w:val="0"/>
              <w:rPr>
                <w:rFonts w:hint="default"/>
                <w:lang w:val="en-US" w:eastAsia="zh-CN"/>
              </w:rPr>
            </w:pPr>
            <w:r>
              <w:rPr>
                <w:rFonts w:hint="eastAsia"/>
                <w:lang w:val="en-US" w:eastAsia="zh-CN"/>
              </w:rPr>
              <w:t>1.00</w:t>
            </w:r>
          </w:p>
        </w:tc>
        <w:tc>
          <w:tcPr>
            <w:tcW w:w="626" w:type="pct"/>
          </w:tcPr>
          <w:p w14:paraId="74F73DCE">
            <w:pPr>
              <w:pStyle w:val="26"/>
              <w:bidi w:val="0"/>
              <w:rPr>
                <w:rFonts w:hint="default"/>
                <w:lang w:val="en-US" w:eastAsia="zh-CN"/>
              </w:rPr>
            </w:pPr>
            <w:r>
              <w:rPr>
                <w:rFonts w:hint="eastAsia"/>
                <w:lang w:val="en-US" w:eastAsia="zh-CN"/>
              </w:rPr>
              <w:t>0.05125</w:t>
            </w:r>
          </w:p>
        </w:tc>
        <w:tc>
          <w:tcPr>
            <w:tcW w:w="874" w:type="pct"/>
          </w:tcPr>
          <w:p w14:paraId="73E84DBA">
            <w:pPr>
              <w:pStyle w:val="26"/>
              <w:bidi w:val="0"/>
              <w:rPr>
                <w:rFonts w:hint="default"/>
                <w:lang w:val="en-US" w:eastAsia="zh-CN"/>
              </w:rPr>
            </w:pPr>
            <w:r>
              <w:rPr>
                <w:rFonts w:hint="eastAsia"/>
                <w:lang w:val="en-US" w:eastAsia="zh-CN"/>
              </w:rPr>
              <w:t>8.314</w:t>
            </w:r>
          </w:p>
        </w:tc>
        <w:tc>
          <w:tcPr>
            <w:tcW w:w="553" w:type="pct"/>
          </w:tcPr>
          <w:p w14:paraId="360621EB">
            <w:pPr>
              <w:pStyle w:val="26"/>
              <w:bidi w:val="0"/>
              <w:rPr>
                <w:rFonts w:hint="default"/>
                <w:lang w:val="en-US" w:eastAsia="zh-CN"/>
              </w:rPr>
            </w:pPr>
            <w:r>
              <w:rPr>
                <w:rFonts w:hint="eastAsia"/>
                <w:lang w:val="en-US" w:eastAsia="zh-CN"/>
              </w:rPr>
              <w:t>298.15</w:t>
            </w:r>
          </w:p>
        </w:tc>
        <w:tc>
          <w:tcPr>
            <w:tcW w:w="821" w:type="pct"/>
          </w:tcPr>
          <w:p w14:paraId="04B7E068">
            <w:pPr>
              <w:pStyle w:val="26"/>
              <w:bidi w:val="0"/>
              <w:rPr>
                <w:rFonts w:hint="default"/>
                <w:lang w:val="en-US" w:eastAsia="zh-CN"/>
              </w:rPr>
            </w:pPr>
            <w:r>
              <w:rPr>
                <w:rFonts w:hint="eastAsia"/>
                <w:lang w:val="en-US" w:eastAsia="zh-CN"/>
              </w:rPr>
              <w:t>7.85×10-5</w:t>
            </w:r>
          </w:p>
        </w:tc>
        <w:tc>
          <w:tcPr>
            <w:tcW w:w="588" w:type="pct"/>
          </w:tcPr>
          <w:p w14:paraId="0B2CD851">
            <w:pPr>
              <w:pStyle w:val="26"/>
              <w:bidi w:val="0"/>
              <w:rPr>
                <w:rFonts w:hint="default"/>
                <w:lang w:val="en-US" w:eastAsia="zh-CN"/>
              </w:rPr>
            </w:pPr>
            <w:r>
              <w:rPr>
                <w:rFonts w:hint="eastAsia"/>
                <w:lang w:val="en-US" w:eastAsia="zh-CN"/>
              </w:rPr>
              <w:t>1.0</w:t>
            </w:r>
          </w:p>
        </w:tc>
        <w:tc>
          <w:tcPr>
            <w:tcW w:w="394" w:type="pct"/>
          </w:tcPr>
          <w:p w14:paraId="47D6D269">
            <w:pPr>
              <w:pStyle w:val="26"/>
              <w:bidi w:val="0"/>
              <w:rPr>
                <w:rFonts w:hint="default"/>
                <w:lang w:val="en-US" w:eastAsia="zh-CN"/>
              </w:rPr>
            </w:pPr>
            <w:r>
              <w:rPr>
                <w:rFonts w:hint="eastAsia"/>
                <w:lang w:val="en-US" w:eastAsia="zh-CN"/>
              </w:rPr>
              <w:t>0.3990</w:t>
            </w:r>
          </w:p>
        </w:tc>
      </w:tr>
      <w:tr w14:paraId="01100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tcPr>
          <w:p w14:paraId="1157EEAD">
            <w:pPr>
              <w:pStyle w:val="26"/>
              <w:bidi w:val="0"/>
              <w:rPr>
                <w:rFonts w:hint="default"/>
                <w:lang w:val="en-US" w:eastAsia="zh-CN"/>
              </w:rPr>
            </w:pPr>
            <w:r>
              <w:rPr>
                <w:rFonts w:hint="eastAsia"/>
                <w:lang w:val="en-US" w:eastAsia="zh-CN"/>
              </w:rPr>
              <w:t>情形2</w:t>
            </w:r>
          </w:p>
        </w:tc>
        <w:tc>
          <w:tcPr>
            <w:tcW w:w="588" w:type="pct"/>
          </w:tcPr>
          <w:p w14:paraId="173B445A">
            <w:pPr>
              <w:pStyle w:val="26"/>
              <w:bidi w:val="0"/>
              <w:rPr>
                <w:rFonts w:hint="default"/>
                <w:lang w:val="en-US" w:eastAsia="zh-CN"/>
              </w:rPr>
            </w:pPr>
            <w:r>
              <w:rPr>
                <w:rFonts w:hint="eastAsia"/>
                <w:lang w:val="en-US" w:eastAsia="zh-CN"/>
              </w:rPr>
              <w:t>1.00</w:t>
            </w:r>
          </w:p>
        </w:tc>
        <w:tc>
          <w:tcPr>
            <w:tcW w:w="626" w:type="pct"/>
          </w:tcPr>
          <w:p w14:paraId="78E74A86">
            <w:pPr>
              <w:pStyle w:val="26"/>
              <w:bidi w:val="0"/>
              <w:rPr>
                <w:rFonts w:hint="default"/>
                <w:lang w:val="en-US" w:eastAsia="zh-CN"/>
              </w:rPr>
            </w:pPr>
            <w:r>
              <w:rPr>
                <w:rFonts w:hint="eastAsia"/>
                <w:lang w:val="en-US" w:eastAsia="zh-CN"/>
              </w:rPr>
              <w:t>0.05125</w:t>
            </w:r>
          </w:p>
        </w:tc>
        <w:tc>
          <w:tcPr>
            <w:tcW w:w="874" w:type="pct"/>
          </w:tcPr>
          <w:p w14:paraId="4D330396">
            <w:pPr>
              <w:pStyle w:val="26"/>
              <w:bidi w:val="0"/>
              <w:rPr>
                <w:rFonts w:hint="default"/>
                <w:lang w:val="en-US" w:eastAsia="zh-CN"/>
              </w:rPr>
            </w:pPr>
            <w:r>
              <w:rPr>
                <w:rFonts w:hint="eastAsia"/>
                <w:lang w:val="en-US" w:eastAsia="zh-CN"/>
              </w:rPr>
              <w:t>8.314</w:t>
            </w:r>
          </w:p>
        </w:tc>
        <w:tc>
          <w:tcPr>
            <w:tcW w:w="553" w:type="pct"/>
          </w:tcPr>
          <w:p w14:paraId="18DF6541">
            <w:pPr>
              <w:pStyle w:val="26"/>
              <w:bidi w:val="0"/>
              <w:rPr>
                <w:rFonts w:hint="default"/>
                <w:lang w:val="en-US" w:eastAsia="zh-CN"/>
              </w:rPr>
            </w:pPr>
            <w:r>
              <w:rPr>
                <w:rFonts w:hint="eastAsia"/>
                <w:lang w:val="en-US" w:eastAsia="zh-CN"/>
              </w:rPr>
              <w:t>298.15</w:t>
            </w:r>
          </w:p>
        </w:tc>
        <w:tc>
          <w:tcPr>
            <w:tcW w:w="821" w:type="pct"/>
          </w:tcPr>
          <w:p w14:paraId="1AA1CFB2">
            <w:pPr>
              <w:pStyle w:val="26"/>
              <w:bidi w:val="0"/>
              <w:rPr>
                <w:rFonts w:hint="default"/>
                <w:lang w:val="en-US" w:eastAsia="zh-CN"/>
              </w:rPr>
            </w:pPr>
            <w:r>
              <w:rPr>
                <w:rFonts w:hint="eastAsia"/>
                <w:lang w:val="en-US" w:eastAsia="zh-CN"/>
              </w:rPr>
              <w:t>2.55×10-3</w:t>
            </w:r>
          </w:p>
        </w:tc>
        <w:tc>
          <w:tcPr>
            <w:tcW w:w="588" w:type="pct"/>
          </w:tcPr>
          <w:p w14:paraId="2D3BD569">
            <w:pPr>
              <w:pStyle w:val="26"/>
              <w:bidi w:val="0"/>
              <w:rPr>
                <w:rFonts w:hint="eastAsia"/>
                <w:lang w:val="en-US" w:eastAsia="zh-CN"/>
              </w:rPr>
            </w:pPr>
            <w:r>
              <w:rPr>
                <w:rFonts w:hint="eastAsia"/>
                <w:lang w:val="en-US" w:eastAsia="zh-CN"/>
              </w:rPr>
              <w:t>1.0</w:t>
            </w:r>
          </w:p>
        </w:tc>
        <w:tc>
          <w:tcPr>
            <w:tcW w:w="394" w:type="pct"/>
          </w:tcPr>
          <w:p w14:paraId="3B9B99CB">
            <w:pPr>
              <w:pStyle w:val="26"/>
              <w:bidi w:val="0"/>
              <w:rPr>
                <w:rFonts w:hint="default"/>
                <w:lang w:val="en-US" w:eastAsia="zh-CN"/>
              </w:rPr>
            </w:pPr>
            <w:r>
              <w:rPr>
                <w:rFonts w:hint="eastAsia"/>
                <w:lang w:val="en-US" w:eastAsia="zh-CN"/>
              </w:rPr>
              <w:t>12.9599</w:t>
            </w:r>
          </w:p>
        </w:tc>
      </w:tr>
      <w:tr w14:paraId="78E95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tcPr>
          <w:p w14:paraId="0B3E4FB4">
            <w:pPr>
              <w:pStyle w:val="26"/>
              <w:bidi w:val="0"/>
              <w:rPr>
                <w:rFonts w:hint="default"/>
                <w:lang w:val="en-US" w:eastAsia="zh-CN"/>
              </w:rPr>
            </w:pPr>
            <w:r>
              <w:rPr>
                <w:rFonts w:hint="eastAsia"/>
                <w:lang w:val="en-US" w:eastAsia="zh-CN"/>
              </w:rPr>
              <w:t>情形3</w:t>
            </w:r>
          </w:p>
        </w:tc>
        <w:tc>
          <w:tcPr>
            <w:tcW w:w="588" w:type="pct"/>
          </w:tcPr>
          <w:p w14:paraId="36017B8A">
            <w:pPr>
              <w:pStyle w:val="26"/>
              <w:bidi w:val="0"/>
              <w:rPr>
                <w:rFonts w:hint="default"/>
                <w:lang w:val="en-US" w:eastAsia="zh-CN"/>
              </w:rPr>
            </w:pPr>
            <w:r>
              <w:rPr>
                <w:rFonts w:hint="eastAsia"/>
                <w:lang w:val="en-US" w:eastAsia="zh-CN"/>
              </w:rPr>
              <w:t>1.00</w:t>
            </w:r>
          </w:p>
        </w:tc>
        <w:tc>
          <w:tcPr>
            <w:tcW w:w="626" w:type="pct"/>
          </w:tcPr>
          <w:p w14:paraId="3C2E24B9">
            <w:pPr>
              <w:pStyle w:val="26"/>
              <w:bidi w:val="0"/>
              <w:rPr>
                <w:rFonts w:hint="default"/>
                <w:lang w:val="en-US" w:eastAsia="zh-CN"/>
              </w:rPr>
            </w:pPr>
            <w:r>
              <w:rPr>
                <w:rFonts w:hint="eastAsia"/>
                <w:lang w:val="en-US" w:eastAsia="zh-CN"/>
              </w:rPr>
              <w:t>0.05125</w:t>
            </w:r>
          </w:p>
        </w:tc>
        <w:tc>
          <w:tcPr>
            <w:tcW w:w="874" w:type="pct"/>
          </w:tcPr>
          <w:p w14:paraId="3F8F16E6">
            <w:pPr>
              <w:pStyle w:val="26"/>
              <w:bidi w:val="0"/>
              <w:rPr>
                <w:rFonts w:hint="default"/>
                <w:lang w:val="en-US" w:eastAsia="zh-CN"/>
              </w:rPr>
            </w:pPr>
            <w:r>
              <w:rPr>
                <w:rFonts w:hint="eastAsia"/>
                <w:lang w:val="en-US" w:eastAsia="zh-CN"/>
              </w:rPr>
              <w:t>8.314</w:t>
            </w:r>
          </w:p>
        </w:tc>
        <w:tc>
          <w:tcPr>
            <w:tcW w:w="553" w:type="pct"/>
          </w:tcPr>
          <w:p w14:paraId="7EB7AC97">
            <w:pPr>
              <w:pStyle w:val="26"/>
              <w:bidi w:val="0"/>
              <w:rPr>
                <w:rFonts w:hint="default"/>
                <w:lang w:val="en-US" w:eastAsia="zh-CN"/>
              </w:rPr>
            </w:pPr>
            <w:r>
              <w:rPr>
                <w:rFonts w:hint="eastAsia"/>
                <w:lang w:val="en-US" w:eastAsia="zh-CN"/>
              </w:rPr>
              <w:t>298.15</w:t>
            </w:r>
          </w:p>
        </w:tc>
        <w:tc>
          <w:tcPr>
            <w:tcW w:w="821" w:type="pct"/>
          </w:tcPr>
          <w:p w14:paraId="07E09282">
            <w:pPr>
              <w:pStyle w:val="26"/>
              <w:bidi w:val="0"/>
              <w:rPr>
                <w:rFonts w:hint="default"/>
                <w:lang w:val="en-US" w:eastAsia="zh-CN"/>
              </w:rPr>
            </w:pPr>
            <w:r>
              <w:rPr>
                <w:rFonts w:hint="eastAsia"/>
                <w:lang w:val="en-US" w:eastAsia="zh-CN"/>
              </w:rPr>
              <w:t>5.67×10-5</w:t>
            </w:r>
          </w:p>
        </w:tc>
        <w:tc>
          <w:tcPr>
            <w:tcW w:w="588" w:type="pct"/>
          </w:tcPr>
          <w:p w14:paraId="6A11D19B">
            <w:pPr>
              <w:pStyle w:val="26"/>
              <w:bidi w:val="0"/>
              <w:rPr>
                <w:rFonts w:hint="eastAsia"/>
                <w:lang w:val="en-US" w:eastAsia="zh-CN"/>
              </w:rPr>
            </w:pPr>
            <w:r>
              <w:rPr>
                <w:rFonts w:hint="eastAsia"/>
                <w:lang w:val="en-US" w:eastAsia="zh-CN"/>
              </w:rPr>
              <w:t>1.0</w:t>
            </w:r>
          </w:p>
        </w:tc>
        <w:tc>
          <w:tcPr>
            <w:tcW w:w="394" w:type="pct"/>
          </w:tcPr>
          <w:p w14:paraId="6B28F4F2">
            <w:pPr>
              <w:pStyle w:val="26"/>
              <w:bidi w:val="0"/>
              <w:rPr>
                <w:rFonts w:hint="default"/>
                <w:lang w:val="en-US" w:eastAsia="zh-CN"/>
              </w:rPr>
            </w:pPr>
            <w:r>
              <w:rPr>
                <w:rFonts w:hint="eastAsia"/>
                <w:lang w:val="en-US" w:eastAsia="zh-CN"/>
              </w:rPr>
              <w:t>0.2882</w:t>
            </w:r>
          </w:p>
        </w:tc>
      </w:tr>
      <w:tr w14:paraId="2FD3A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tcPr>
          <w:p w14:paraId="4A5E77E3">
            <w:pPr>
              <w:pStyle w:val="26"/>
              <w:bidi w:val="0"/>
              <w:rPr>
                <w:rFonts w:hint="default"/>
                <w:lang w:val="en-US" w:eastAsia="zh-CN"/>
              </w:rPr>
            </w:pPr>
            <w:r>
              <w:rPr>
                <w:rFonts w:hint="eastAsia"/>
                <w:lang w:val="en-US" w:eastAsia="zh-CN"/>
              </w:rPr>
              <w:t>情形4</w:t>
            </w:r>
          </w:p>
        </w:tc>
        <w:tc>
          <w:tcPr>
            <w:tcW w:w="588" w:type="pct"/>
          </w:tcPr>
          <w:p w14:paraId="54F14C6C">
            <w:pPr>
              <w:pStyle w:val="26"/>
              <w:bidi w:val="0"/>
              <w:rPr>
                <w:rFonts w:hint="default"/>
                <w:lang w:val="en-US" w:eastAsia="zh-CN"/>
              </w:rPr>
            </w:pPr>
            <w:r>
              <w:rPr>
                <w:rFonts w:hint="eastAsia"/>
                <w:lang w:val="en-US" w:eastAsia="zh-CN"/>
              </w:rPr>
              <w:t>1.00</w:t>
            </w:r>
          </w:p>
        </w:tc>
        <w:tc>
          <w:tcPr>
            <w:tcW w:w="626" w:type="pct"/>
          </w:tcPr>
          <w:p w14:paraId="20989AFD">
            <w:pPr>
              <w:pStyle w:val="26"/>
              <w:bidi w:val="0"/>
              <w:rPr>
                <w:rFonts w:hint="default"/>
                <w:lang w:val="en-US" w:eastAsia="zh-CN"/>
              </w:rPr>
            </w:pPr>
            <w:r>
              <w:rPr>
                <w:rFonts w:hint="eastAsia"/>
                <w:lang w:val="en-US" w:eastAsia="zh-CN"/>
              </w:rPr>
              <w:t>0.05125</w:t>
            </w:r>
          </w:p>
        </w:tc>
        <w:tc>
          <w:tcPr>
            <w:tcW w:w="874" w:type="pct"/>
          </w:tcPr>
          <w:p w14:paraId="24AC4719">
            <w:pPr>
              <w:pStyle w:val="26"/>
              <w:bidi w:val="0"/>
              <w:rPr>
                <w:rFonts w:hint="default"/>
                <w:lang w:val="en-US" w:eastAsia="zh-CN"/>
              </w:rPr>
            </w:pPr>
            <w:r>
              <w:rPr>
                <w:rFonts w:hint="eastAsia"/>
                <w:lang w:val="en-US" w:eastAsia="zh-CN"/>
              </w:rPr>
              <w:t>8.314</w:t>
            </w:r>
          </w:p>
        </w:tc>
        <w:tc>
          <w:tcPr>
            <w:tcW w:w="553" w:type="pct"/>
          </w:tcPr>
          <w:p w14:paraId="6AFDF7A4">
            <w:pPr>
              <w:pStyle w:val="26"/>
              <w:bidi w:val="0"/>
              <w:rPr>
                <w:rFonts w:hint="default"/>
                <w:lang w:val="en-US" w:eastAsia="zh-CN"/>
              </w:rPr>
            </w:pPr>
            <w:r>
              <w:rPr>
                <w:rFonts w:hint="eastAsia"/>
                <w:lang w:val="en-US" w:eastAsia="zh-CN"/>
              </w:rPr>
              <w:t>298.15</w:t>
            </w:r>
          </w:p>
        </w:tc>
        <w:tc>
          <w:tcPr>
            <w:tcW w:w="821" w:type="pct"/>
          </w:tcPr>
          <w:p w14:paraId="6F059D74">
            <w:pPr>
              <w:pStyle w:val="26"/>
              <w:bidi w:val="0"/>
              <w:rPr>
                <w:rFonts w:hint="default"/>
                <w:lang w:val="en-US" w:eastAsia="zh-CN"/>
              </w:rPr>
            </w:pPr>
            <w:r>
              <w:rPr>
                <w:rFonts w:hint="eastAsia"/>
                <w:lang w:val="en-US" w:eastAsia="zh-CN"/>
              </w:rPr>
              <w:t>5.67×10-5</w:t>
            </w:r>
          </w:p>
        </w:tc>
        <w:tc>
          <w:tcPr>
            <w:tcW w:w="588" w:type="pct"/>
          </w:tcPr>
          <w:p w14:paraId="085B67FB">
            <w:pPr>
              <w:pStyle w:val="26"/>
              <w:bidi w:val="0"/>
              <w:rPr>
                <w:rFonts w:hint="eastAsia"/>
                <w:lang w:val="en-US" w:eastAsia="zh-CN"/>
              </w:rPr>
            </w:pPr>
            <w:r>
              <w:rPr>
                <w:rFonts w:hint="eastAsia"/>
                <w:lang w:val="en-US" w:eastAsia="zh-CN"/>
              </w:rPr>
              <w:t>1.0</w:t>
            </w:r>
          </w:p>
        </w:tc>
        <w:tc>
          <w:tcPr>
            <w:tcW w:w="394" w:type="pct"/>
          </w:tcPr>
          <w:p w14:paraId="1F1B3A8B">
            <w:pPr>
              <w:pStyle w:val="26"/>
              <w:bidi w:val="0"/>
              <w:rPr>
                <w:rFonts w:hint="default"/>
                <w:lang w:val="en-US" w:eastAsia="zh-CN"/>
              </w:rPr>
            </w:pPr>
            <w:r>
              <w:rPr>
                <w:rFonts w:hint="eastAsia"/>
                <w:lang w:val="en-US" w:eastAsia="zh-CN"/>
              </w:rPr>
              <w:t>0.2882</w:t>
            </w:r>
          </w:p>
        </w:tc>
      </w:tr>
    </w:tbl>
    <w:p w14:paraId="2BE759A1">
      <w:pPr>
        <w:pStyle w:val="34"/>
        <w:bidi w:val="0"/>
        <w:rPr>
          <w:rFonts w:hint="eastAsia"/>
          <w:lang w:val="en-US" w:eastAsia="zh-CN"/>
        </w:rPr>
      </w:pPr>
      <w:r>
        <w:rPr>
          <w:rFonts w:hint="eastAsia"/>
          <w:lang w:val="en-US" w:eastAsia="zh-CN"/>
        </w:rPr>
        <w:t>F4.2.2火灾/爆炸次生环境风险源项分析</w:t>
      </w:r>
    </w:p>
    <w:p w14:paraId="7097D63B">
      <w:pPr>
        <w:pStyle w:val="62"/>
        <w:bidi w:val="0"/>
        <w:rPr>
          <w:rFonts w:hint="eastAsia"/>
          <w:lang w:val="en-US" w:eastAsia="zh-CN"/>
        </w:rPr>
      </w:pPr>
      <w:r>
        <w:rPr>
          <w:rFonts w:hint="eastAsia"/>
          <w:lang w:val="en-US" w:eastAsia="zh-CN"/>
        </w:rPr>
        <w:t>1、CO的产生量</w:t>
      </w:r>
    </w:p>
    <w:p w14:paraId="43D57355">
      <w:pPr>
        <w:pStyle w:val="62"/>
        <w:bidi w:val="0"/>
      </w:pPr>
      <w:r>
        <w:rPr>
          <w:rFonts w:hint="eastAsia"/>
        </w:rPr>
        <w:t>物质火灾伴生/次生一氧化碳产生量按以下公式计算：</w:t>
      </w:r>
    </w:p>
    <w:p w14:paraId="7612016D">
      <w:pPr>
        <w:pStyle w:val="62"/>
        <w:bidi w:val="0"/>
      </w:pPr>
      <w:r>
        <w:drawing>
          <wp:inline distT="0" distB="0" distL="0" distR="0">
            <wp:extent cx="1952625" cy="376555"/>
            <wp:effectExtent l="0" t="0" r="9525" b="44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1976525" cy="381569"/>
                    </a:xfrm>
                    <a:prstGeom prst="rect">
                      <a:avLst/>
                    </a:prstGeom>
                  </pic:spPr>
                </pic:pic>
              </a:graphicData>
            </a:graphic>
          </wp:inline>
        </w:drawing>
      </w:r>
    </w:p>
    <w:p w14:paraId="322C625C">
      <w:pPr>
        <w:pStyle w:val="62"/>
        <w:bidi w:val="0"/>
        <w:rPr>
          <w:rFonts w:hint="eastAsia"/>
          <w:vertAlign w:val="baseline"/>
          <w:lang w:val="en-US" w:eastAsia="zh-CN"/>
        </w:rPr>
      </w:pPr>
      <w:r>
        <w:rPr>
          <w:rFonts w:hint="eastAsia"/>
          <w:lang w:val="en-US" w:eastAsia="zh-CN"/>
        </w:rPr>
        <w:t>式中：G</w:t>
      </w:r>
      <w:r>
        <w:rPr>
          <w:rFonts w:hint="eastAsia"/>
          <w:vertAlign w:val="subscript"/>
          <w:lang w:val="en-US" w:eastAsia="zh-CN"/>
        </w:rPr>
        <w:t>一氧化碳</w:t>
      </w:r>
      <w:r>
        <w:rPr>
          <w:rFonts w:hint="eastAsia"/>
          <w:vertAlign w:val="baseline"/>
          <w:lang w:val="en-US" w:eastAsia="zh-CN"/>
        </w:rPr>
        <w:t>——一氧化碳的产生量，kg/s;</w:t>
      </w:r>
    </w:p>
    <w:p w14:paraId="48E70412">
      <w:pPr>
        <w:pStyle w:val="62"/>
        <w:bidi w:val="0"/>
        <w:rPr>
          <w:rFonts w:hint="eastAsia"/>
          <w:vertAlign w:val="baseline"/>
          <w:lang w:val="en-US" w:eastAsia="zh-CN"/>
        </w:rPr>
      </w:pPr>
      <w:r>
        <w:rPr>
          <w:rFonts w:hint="eastAsia"/>
          <w:vertAlign w:val="baseline"/>
          <w:lang w:val="en-US" w:eastAsia="zh-CN"/>
        </w:rPr>
        <w:t>C ——物质中的碳的含量，取85%；</w:t>
      </w:r>
    </w:p>
    <w:p w14:paraId="2AF98036">
      <w:pPr>
        <w:pStyle w:val="62"/>
        <w:bidi w:val="0"/>
        <w:rPr>
          <w:rFonts w:hint="eastAsia"/>
          <w:vertAlign w:val="baseline"/>
          <w:lang w:val="en-US" w:eastAsia="zh-CN"/>
        </w:rPr>
      </w:pPr>
      <w:r>
        <w:rPr>
          <w:rFonts w:hint="eastAsia"/>
          <w:vertAlign w:val="baseline"/>
          <w:lang w:val="en-US" w:eastAsia="zh-CN"/>
        </w:rPr>
        <w:t>q——化学不完全燃烧值，取1.5%~6%，本次考虑最不利情况取6%；</w:t>
      </w:r>
    </w:p>
    <w:p w14:paraId="00244179">
      <w:pPr>
        <w:pStyle w:val="62"/>
        <w:bidi w:val="0"/>
        <w:rPr>
          <w:rFonts w:hint="eastAsia"/>
          <w:vertAlign w:val="baseline"/>
          <w:lang w:val="en-US" w:eastAsia="zh-CN"/>
        </w:rPr>
      </w:pPr>
      <w:r>
        <w:rPr>
          <w:rFonts w:hint="eastAsia"/>
          <w:vertAlign w:val="baseline"/>
          <w:lang w:val="en-US" w:eastAsia="zh-CN"/>
        </w:rPr>
        <w:t>Q——参与燃烧的物质量，t/s。</w:t>
      </w:r>
    </w:p>
    <w:p w14:paraId="44730F54">
      <w:pPr>
        <w:pStyle w:val="62"/>
        <w:bidi w:val="0"/>
        <w:rPr>
          <w:rFonts w:hint="default"/>
          <w:vertAlign w:val="baseline"/>
          <w:lang w:val="en-US" w:eastAsia="zh-CN"/>
        </w:rPr>
      </w:pPr>
      <w:r>
        <w:rPr>
          <w:rFonts w:hint="eastAsia"/>
          <w:vertAlign w:val="baseline"/>
          <w:lang w:val="en-US" w:eastAsia="zh-CN"/>
        </w:rPr>
        <w:t>本次考虑厂内液化石油气全部燃烧完毕，燃烧持续时间按2h计算，则Q为72.07/7200=0.01t/s；则可计算出一氧化碳的产生量为1.1883kg/s，总产生量为8.56t。</w:t>
      </w:r>
    </w:p>
    <w:p w14:paraId="489E5B87">
      <w:pPr>
        <w:pStyle w:val="62"/>
        <w:bidi w:val="0"/>
        <w:rPr>
          <w:rFonts w:hint="eastAsia"/>
          <w:vertAlign w:val="baseline"/>
          <w:lang w:val="en-US" w:eastAsia="zh-CN"/>
        </w:rPr>
      </w:pPr>
      <w:r>
        <w:rPr>
          <w:rFonts w:hint="eastAsia"/>
          <w:vertAlign w:val="baseline"/>
          <w:lang w:val="en-US" w:eastAsia="zh-CN"/>
        </w:rPr>
        <w:t>2、消防废水产生量</w:t>
      </w:r>
    </w:p>
    <w:p w14:paraId="18B2BDDD">
      <w:pPr>
        <w:pStyle w:val="62"/>
        <w:bidi w:val="0"/>
        <w:rPr>
          <w:rFonts w:hint="default"/>
          <w:vertAlign w:val="baseline"/>
          <w:lang w:val="en-US" w:eastAsia="zh-CN"/>
        </w:rPr>
      </w:pPr>
      <w:r>
        <w:rPr>
          <w:rFonts w:hint="eastAsia"/>
          <w:vertAlign w:val="baseline"/>
          <w:lang w:val="en-US" w:eastAsia="zh-CN"/>
        </w:rPr>
        <w:t>液化气储罐区设置了2个消防栓，设计消防水量为20L/s，火灾消防持续时间按2h计算，则消防水量总计为288m</w:t>
      </w:r>
      <w:r>
        <w:rPr>
          <w:rFonts w:hint="eastAsia"/>
          <w:vertAlign w:val="superscript"/>
          <w:lang w:val="en-US" w:eastAsia="zh-CN"/>
        </w:rPr>
        <w:t>3</w:t>
      </w:r>
      <w:r>
        <w:rPr>
          <w:rFonts w:hint="eastAsia"/>
          <w:vertAlign w:val="baseline"/>
          <w:lang w:val="en-US" w:eastAsia="zh-CN"/>
        </w:rPr>
        <w:t>。</w:t>
      </w:r>
    </w:p>
    <w:p w14:paraId="3652C08D">
      <w:pPr>
        <w:pStyle w:val="29"/>
        <w:bidi w:val="0"/>
        <w:rPr>
          <w:rFonts w:hint="eastAsia"/>
          <w:lang w:val="en-US" w:eastAsia="zh-CN"/>
        </w:rPr>
      </w:pPr>
      <w:r>
        <w:rPr>
          <w:rFonts w:hint="eastAsia"/>
          <w:lang w:val="en-US" w:eastAsia="zh-CN"/>
        </w:rPr>
        <w:t>F5风险预测与评价</w:t>
      </w:r>
    </w:p>
    <w:p w14:paraId="17966DED">
      <w:pPr>
        <w:pStyle w:val="37"/>
        <w:bidi w:val="0"/>
        <w:rPr>
          <w:rFonts w:hint="default"/>
          <w:lang w:val="en-US" w:eastAsia="zh-CN"/>
        </w:rPr>
      </w:pPr>
      <w:r>
        <w:rPr>
          <w:rFonts w:hint="eastAsia"/>
          <w:lang w:val="en-US" w:eastAsia="zh-CN"/>
        </w:rPr>
        <w:t>F5.1大气环境风险预测</w:t>
      </w:r>
    </w:p>
    <w:p w14:paraId="2D30990E">
      <w:pPr>
        <w:pStyle w:val="34"/>
        <w:bidi w:val="0"/>
        <w:rPr>
          <w:rFonts w:hint="eastAsia"/>
          <w:lang w:val="en-US" w:eastAsia="zh-CN"/>
        </w:rPr>
      </w:pPr>
      <w:r>
        <w:rPr>
          <w:rFonts w:hint="eastAsia"/>
          <w:lang w:val="en-US" w:eastAsia="zh-CN"/>
        </w:rPr>
        <w:t>F5.1.1预测因子</w:t>
      </w:r>
    </w:p>
    <w:p w14:paraId="3CACDFE7">
      <w:pPr>
        <w:pStyle w:val="62"/>
        <w:bidi w:val="0"/>
        <w:rPr>
          <w:rFonts w:hint="eastAsia"/>
          <w:lang w:val="en-US" w:eastAsia="zh-CN"/>
        </w:rPr>
      </w:pPr>
      <w:r>
        <w:rPr>
          <w:rFonts w:hint="eastAsia"/>
          <w:lang w:val="en-US" w:eastAsia="zh-CN"/>
        </w:rPr>
        <w:t>本次大气预测的泄漏污染物主要为液化石油气及火灾次生一氧化碳，液化石油气泄漏考虑最不利情况（情形2）泄漏速率为12.9599kg/s，液化石油气主要成分包括丙烷、丁烷等成分，按照报告表中表2-5成分表中成分含量确定各风险因子的泄漏量，本次按源强与毒性终点浓度-2的比值进行筛选，筛选出其中比值最大的两个因子作为本次环境风险预测因子；火灾导致的CO影响单独预测。具体如下：</w:t>
      </w:r>
    </w:p>
    <w:p w14:paraId="468DEE3B">
      <w:pPr>
        <w:pStyle w:val="24"/>
        <w:bidi w:val="0"/>
        <w:rPr>
          <w:rFonts w:hint="eastAsia"/>
          <w:lang w:val="en-US" w:eastAsia="zh-CN"/>
        </w:rPr>
      </w:pPr>
      <w:r>
        <w:rPr>
          <w:rFonts w:hint="eastAsia"/>
          <w:lang w:val="en-US" w:eastAsia="zh-CN"/>
        </w:rPr>
        <w:t>表F5-1  泄漏预测因子选择表</w:t>
      </w:r>
    </w:p>
    <w:tbl>
      <w:tblPr>
        <w:tblStyle w:val="1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9"/>
        <w:gridCol w:w="2267"/>
        <w:gridCol w:w="3596"/>
        <w:gridCol w:w="1736"/>
      </w:tblGrid>
      <w:tr w14:paraId="5D59F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87" w:type="pct"/>
            <w:vAlign w:val="center"/>
          </w:tcPr>
          <w:p w14:paraId="2D03F2F4">
            <w:pPr>
              <w:pStyle w:val="48"/>
              <w:rPr>
                <w:rFonts w:hint="eastAsia" w:cs="Times New Roman"/>
                <w:u w:val="none"/>
              </w:rPr>
            </w:pPr>
            <w:r>
              <w:rPr>
                <w:rFonts w:hint="eastAsia" w:cs="Times New Roman"/>
                <w:u w:val="none"/>
              </w:rPr>
              <w:t>物质名称</w:t>
            </w:r>
          </w:p>
        </w:tc>
        <w:tc>
          <w:tcPr>
            <w:tcW w:w="1226" w:type="pct"/>
            <w:vAlign w:val="center"/>
          </w:tcPr>
          <w:p w14:paraId="0B8C4A71">
            <w:pPr>
              <w:pStyle w:val="48"/>
              <w:rPr>
                <w:rFonts w:hint="eastAsia" w:cs="Times New Roman"/>
                <w:u w:val="none"/>
              </w:rPr>
            </w:pPr>
            <w:r>
              <w:rPr>
                <w:rFonts w:hint="eastAsia" w:cs="Times New Roman"/>
                <w:u w:val="none"/>
              </w:rPr>
              <w:t>泄漏速率k</w:t>
            </w:r>
            <w:r>
              <w:rPr>
                <w:rFonts w:cs="Times New Roman"/>
                <w:u w:val="none"/>
              </w:rPr>
              <w:t>g</w:t>
            </w:r>
            <w:r>
              <w:rPr>
                <w:rFonts w:hint="eastAsia" w:cs="Times New Roman"/>
                <w:u w:val="none"/>
              </w:rPr>
              <w:t>/</w:t>
            </w:r>
            <w:r>
              <w:rPr>
                <w:rFonts w:cs="Times New Roman"/>
                <w:u w:val="none"/>
              </w:rPr>
              <w:t>s</w:t>
            </w:r>
          </w:p>
        </w:tc>
        <w:tc>
          <w:tcPr>
            <w:tcW w:w="1945" w:type="pct"/>
            <w:vAlign w:val="center"/>
          </w:tcPr>
          <w:p w14:paraId="201095B0">
            <w:pPr>
              <w:pStyle w:val="48"/>
              <w:rPr>
                <w:rFonts w:hint="eastAsia" w:cs="Times New Roman"/>
                <w:u w:val="none"/>
              </w:rPr>
            </w:pPr>
            <w:r>
              <w:rPr>
                <w:rFonts w:hint="eastAsia" w:cs="Times New Roman"/>
                <w:u w:val="none"/>
              </w:rPr>
              <w:t>毒性终点浓度-</w:t>
            </w:r>
            <w:r>
              <w:rPr>
                <w:rFonts w:cs="Times New Roman"/>
                <w:u w:val="none"/>
              </w:rPr>
              <w:t>2</w:t>
            </w:r>
            <w:r>
              <w:rPr>
                <w:rFonts w:hint="eastAsia" w:cs="Times New Roman"/>
                <w:u w:val="none"/>
                <w:lang w:val="en-US" w:eastAsia="zh-CN"/>
              </w:rPr>
              <w:t xml:space="preserve">  </w:t>
            </w:r>
            <w:r>
              <w:rPr>
                <w:rFonts w:hint="eastAsia" w:cs="Times New Roman"/>
                <w:u w:val="none"/>
              </w:rPr>
              <w:t>mg</w:t>
            </w:r>
            <w:r>
              <w:rPr>
                <w:rFonts w:cs="Times New Roman"/>
                <w:u w:val="none"/>
              </w:rPr>
              <w:t>/m</w:t>
            </w:r>
            <w:r>
              <w:rPr>
                <w:rFonts w:cs="Times New Roman"/>
                <w:u w:val="none"/>
                <w:vertAlign w:val="superscript"/>
              </w:rPr>
              <w:t>3</w:t>
            </w:r>
          </w:p>
        </w:tc>
        <w:tc>
          <w:tcPr>
            <w:tcW w:w="939" w:type="pct"/>
            <w:vAlign w:val="center"/>
          </w:tcPr>
          <w:p w14:paraId="374B431A">
            <w:pPr>
              <w:pStyle w:val="48"/>
              <w:rPr>
                <w:rFonts w:hint="eastAsia" w:cs="Times New Roman"/>
                <w:u w:val="none"/>
              </w:rPr>
            </w:pPr>
            <w:r>
              <w:rPr>
                <w:rFonts w:hint="eastAsia" w:cs="Times New Roman"/>
                <w:u w:val="none"/>
              </w:rPr>
              <w:t>比值</w:t>
            </w:r>
          </w:p>
        </w:tc>
      </w:tr>
      <w:tr w14:paraId="1BB66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14:paraId="609208AB">
            <w:pPr>
              <w:pStyle w:val="48"/>
              <w:rPr>
                <w:rFonts w:hint="eastAsia" w:eastAsia="宋体" w:cs="Times New Roman"/>
                <w:u w:val="none"/>
                <w:lang w:val="en-US" w:eastAsia="zh-CN"/>
              </w:rPr>
            </w:pPr>
            <w:r>
              <w:rPr>
                <w:rFonts w:hint="eastAsia" w:cs="Times New Roman"/>
                <w:u w:val="none"/>
                <w:lang w:val="en-US" w:eastAsia="zh-CN"/>
              </w:rPr>
              <w:t>甲烷</w:t>
            </w:r>
          </w:p>
        </w:tc>
        <w:tc>
          <w:tcPr>
            <w:tcW w:w="1226" w:type="pct"/>
            <w:vAlign w:val="center"/>
          </w:tcPr>
          <w:p w14:paraId="5D637969">
            <w:pPr>
              <w:pStyle w:val="48"/>
              <w:rPr>
                <w:rFonts w:hint="default" w:eastAsia="宋体" w:cs="Times New Roman"/>
                <w:u w:val="none"/>
                <w:lang w:val="en-US" w:eastAsia="zh-CN"/>
              </w:rPr>
            </w:pPr>
            <w:r>
              <w:rPr>
                <w:rFonts w:hint="eastAsia" w:cs="Times New Roman"/>
                <w:u w:val="none"/>
                <w:lang w:val="en-US" w:eastAsia="zh-CN"/>
              </w:rPr>
              <w:t>1.296</w:t>
            </w:r>
          </w:p>
        </w:tc>
        <w:tc>
          <w:tcPr>
            <w:tcW w:w="1945" w:type="pct"/>
            <w:vAlign w:val="center"/>
          </w:tcPr>
          <w:p w14:paraId="4C35A38F">
            <w:pPr>
              <w:pStyle w:val="48"/>
              <w:rPr>
                <w:rFonts w:hint="default" w:eastAsia="宋体" w:cs="Times New Roman"/>
                <w:u w:val="none"/>
                <w:lang w:val="en-US" w:eastAsia="zh-CN"/>
              </w:rPr>
            </w:pPr>
            <w:r>
              <w:rPr>
                <w:rFonts w:hint="eastAsia" w:cs="Times New Roman"/>
                <w:u w:val="none"/>
                <w:lang w:val="en-US" w:eastAsia="zh-CN"/>
              </w:rPr>
              <w:t>150000</w:t>
            </w:r>
          </w:p>
        </w:tc>
        <w:tc>
          <w:tcPr>
            <w:tcW w:w="939" w:type="pct"/>
            <w:vAlign w:val="center"/>
          </w:tcPr>
          <w:p w14:paraId="40D08CCD">
            <w:pPr>
              <w:pStyle w:val="48"/>
              <w:rPr>
                <w:rFonts w:hint="default" w:eastAsia="宋体" w:cs="Times New Roman"/>
                <w:u w:val="none"/>
                <w:vertAlign w:val="superscript"/>
                <w:lang w:val="en-US" w:eastAsia="zh-CN"/>
              </w:rPr>
            </w:pPr>
            <w:r>
              <w:rPr>
                <w:rFonts w:hint="eastAsia" w:cs="Times New Roman"/>
                <w:u w:val="none"/>
                <w:lang w:val="en-US" w:eastAsia="zh-CN"/>
              </w:rPr>
              <w:t>8.64×10</w:t>
            </w:r>
            <w:r>
              <w:rPr>
                <w:rFonts w:hint="eastAsia" w:cs="Times New Roman"/>
                <w:u w:val="none"/>
                <w:vertAlign w:val="superscript"/>
                <w:lang w:val="en-US" w:eastAsia="zh-CN"/>
              </w:rPr>
              <w:t>-6</w:t>
            </w:r>
          </w:p>
        </w:tc>
      </w:tr>
      <w:tr w14:paraId="264DE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14:paraId="3F489508">
            <w:pPr>
              <w:pStyle w:val="48"/>
              <w:rPr>
                <w:rFonts w:hint="eastAsia" w:eastAsia="宋体" w:cs="Times New Roman"/>
                <w:u w:val="none"/>
                <w:lang w:val="en-US" w:eastAsia="zh-CN"/>
              </w:rPr>
            </w:pPr>
            <w:r>
              <w:rPr>
                <w:rFonts w:hint="eastAsia" w:cs="Times New Roman"/>
                <w:u w:val="none"/>
                <w:lang w:val="en-US" w:eastAsia="zh-CN"/>
              </w:rPr>
              <w:t>乙烷</w:t>
            </w:r>
          </w:p>
        </w:tc>
        <w:tc>
          <w:tcPr>
            <w:tcW w:w="1226" w:type="pct"/>
            <w:vAlign w:val="center"/>
          </w:tcPr>
          <w:p w14:paraId="5E8A1B76">
            <w:pPr>
              <w:pStyle w:val="48"/>
              <w:rPr>
                <w:rFonts w:hint="default" w:eastAsia="宋体" w:cs="Times New Roman"/>
                <w:u w:val="none"/>
                <w:lang w:val="en-US" w:eastAsia="zh-CN"/>
              </w:rPr>
            </w:pPr>
            <w:r>
              <w:rPr>
                <w:rFonts w:hint="eastAsia" w:cs="Times New Roman"/>
                <w:u w:val="none"/>
                <w:lang w:val="en-US" w:eastAsia="zh-CN"/>
              </w:rPr>
              <w:t>0.648</w:t>
            </w:r>
          </w:p>
        </w:tc>
        <w:tc>
          <w:tcPr>
            <w:tcW w:w="1945" w:type="pct"/>
            <w:vAlign w:val="center"/>
          </w:tcPr>
          <w:p w14:paraId="734C699C">
            <w:pPr>
              <w:pStyle w:val="48"/>
              <w:rPr>
                <w:rFonts w:hint="default" w:eastAsia="宋体" w:cs="Times New Roman"/>
                <w:u w:val="none"/>
                <w:lang w:val="en-US" w:eastAsia="zh-CN"/>
              </w:rPr>
            </w:pPr>
            <w:r>
              <w:rPr>
                <w:rFonts w:hint="eastAsia" w:cs="Times New Roman"/>
                <w:u w:val="none"/>
                <w:lang w:val="en-US" w:eastAsia="zh-CN"/>
              </w:rPr>
              <w:t>280000</w:t>
            </w:r>
          </w:p>
        </w:tc>
        <w:tc>
          <w:tcPr>
            <w:tcW w:w="939" w:type="pct"/>
            <w:vAlign w:val="center"/>
          </w:tcPr>
          <w:p w14:paraId="557C8D84">
            <w:pPr>
              <w:pStyle w:val="48"/>
              <w:rPr>
                <w:rFonts w:hint="default" w:eastAsia="宋体" w:cs="Times New Roman"/>
                <w:u w:val="none"/>
                <w:lang w:val="en-US" w:eastAsia="zh-CN"/>
              </w:rPr>
            </w:pPr>
            <w:r>
              <w:rPr>
                <w:rFonts w:hint="eastAsia" w:cs="Times New Roman"/>
                <w:u w:val="none"/>
                <w:lang w:val="en-US" w:eastAsia="zh-CN"/>
              </w:rPr>
              <w:t>2.31×10</w:t>
            </w:r>
            <w:r>
              <w:rPr>
                <w:rFonts w:hint="eastAsia" w:cs="Times New Roman"/>
                <w:u w:val="none"/>
                <w:vertAlign w:val="superscript"/>
                <w:lang w:val="en-US" w:eastAsia="zh-CN"/>
              </w:rPr>
              <w:t>-6</w:t>
            </w:r>
          </w:p>
        </w:tc>
      </w:tr>
      <w:tr w14:paraId="11CCE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14:paraId="15A11A78">
            <w:pPr>
              <w:pStyle w:val="48"/>
              <w:rPr>
                <w:rFonts w:hint="eastAsia" w:eastAsia="宋体" w:cs="Times New Roman"/>
                <w:u w:val="none"/>
                <w:lang w:val="en-US" w:eastAsia="zh-CN"/>
              </w:rPr>
            </w:pPr>
            <w:r>
              <w:rPr>
                <w:rFonts w:hint="eastAsia" w:cs="Times New Roman"/>
                <w:u w:val="none"/>
                <w:lang w:val="en-US" w:eastAsia="zh-CN"/>
              </w:rPr>
              <w:t>乙烯</w:t>
            </w:r>
          </w:p>
        </w:tc>
        <w:tc>
          <w:tcPr>
            <w:tcW w:w="1226" w:type="pct"/>
            <w:vAlign w:val="center"/>
          </w:tcPr>
          <w:p w14:paraId="6081378C">
            <w:pPr>
              <w:pStyle w:val="48"/>
              <w:rPr>
                <w:rFonts w:hint="default" w:eastAsia="宋体" w:cs="Times New Roman"/>
                <w:u w:val="none"/>
                <w:lang w:val="en-US" w:eastAsia="zh-CN"/>
              </w:rPr>
            </w:pPr>
            <w:r>
              <w:rPr>
                <w:rFonts w:hint="eastAsia" w:cs="Times New Roman"/>
                <w:u w:val="none"/>
                <w:lang w:val="en-US" w:eastAsia="zh-CN"/>
              </w:rPr>
              <w:t>0.389</w:t>
            </w:r>
          </w:p>
        </w:tc>
        <w:tc>
          <w:tcPr>
            <w:tcW w:w="1945" w:type="pct"/>
            <w:vAlign w:val="center"/>
          </w:tcPr>
          <w:p w14:paraId="583CDA69">
            <w:pPr>
              <w:pStyle w:val="48"/>
              <w:rPr>
                <w:rFonts w:hint="default" w:eastAsia="宋体" w:cs="Times New Roman"/>
                <w:u w:val="none"/>
                <w:lang w:val="en-US" w:eastAsia="zh-CN"/>
              </w:rPr>
            </w:pPr>
            <w:r>
              <w:rPr>
                <w:rFonts w:hint="eastAsia" w:cs="Times New Roman"/>
                <w:u w:val="none"/>
                <w:lang w:val="en-US" w:eastAsia="zh-CN"/>
              </w:rPr>
              <w:t>7600</w:t>
            </w:r>
          </w:p>
        </w:tc>
        <w:tc>
          <w:tcPr>
            <w:tcW w:w="939" w:type="pct"/>
            <w:vAlign w:val="center"/>
          </w:tcPr>
          <w:p w14:paraId="3193E535">
            <w:pPr>
              <w:pStyle w:val="48"/>
              <w:rPr>
                <w:rFonts w:hint="default" w:eastAsia="宋体" w:cs="Times New Roman"/>
                <w:u w:val="none"/>
                <w:lang w:val="en-US" w:eastAsia="zh-CN"/>
              </w:rPr>
            </w:pPr>
            <w:r>
              <w:rPr>
                <w:rFonts w:hint="eastAsia" w:cs="Times New Roman"/>
                <w:u w:val="none"/>
                <w:lang w:val="en-US" w:eastAsia="zh-CN"/>
              </w:rPr>
              <w:t>5.12×10</w:t>
            </w:r>
            <w:r>
              <w:rPr>
                <w:rFonts w:hint="eastAsia" w:cs="Times New Roman"/>
                <w:u w:val="none"/>
                <w:vertAlign w:val="superscript"/>
                <w:lang w:val="en-US" w:eastAsia="zh-CN"/>
              </w:rPr>
              <w:t>-5</w:t>
            </w:r>
          </w:p>
        </w:tc>
      </w:tr>
      <w:tr w14:paraId="1F1C1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14:paraId="0CB5A680">
            <w:pPr>
              <w:pStyle w:val="48"/>
              <w:rPr>
                <w:rFonts w:hint="eastAsia" w:eastAsia="宋体" w:cs="Times New Roman"/>
                <w:kern w:val="0"/>
                <w:szCs w:val="21"/>
                <w:u w:val="none"/>
                <w:lang w:val="en-US" w:eastAsia="zh-CN"/>
              </w:rPr>
            </w:pPr>
            <w:r>
              <w:rPr>
                <w:rFonts w:hint="eastAsia" w:cs="Times New Roman"/>
                <w:kern w:val="0"/>
                <w:szCs w:val="21"/>
                <w:u w:val="none"/>
                <w:lang w:val="en-US" w:eastAsia="zh-CN"/>
              </w:rPr>
              <w:t>丙烷</w:t>
            </w:r>
          </w:p>
        </w:tc>
        <w:tc>
          <w:tcPr>
            <w:tcW w:w="1226" w:type="pct"/>
            <w:vAlign w:val="center"/>
          </w:tcPr>
          <w:p w14:paraId="2FC12B1B">
            <w:pPr>
              <w:pStyle w:val="48"/>
              <w:rPr>
                <w:rFonts w:hint="default" w:eastAsia="宋体" w:cs="Times New Roman"/>
                <w:u w:val="none"/>
                <w:lang w:val="en-US" w:eastAsia="zh-CN"/>
              </w:rPr>
            </w:pPr>
            <w:r>
              <w:rPr>
                <w:rFonts w:hint="eastAsia" w:cs="Times New Roman"/>
                <w:u w:val="none"/>
                <w:lang w:val="en-US" w:eastAsia="zh-CN"/>
              </w:rPr>
              <w:t>2.592</w:t>
            </w:r>
          </w:p>
        </w:tc>
        <w:tc>
          <w:tcPr>
            <w:tcW w:w="1945" w:type="pct"/>
            <w:vAlign w:val="center"/>
          </w:tcPr>
          <w:p w14:paraId="209F83E7">
            <w:pPr>
              <w:pStyle w:val="48"/>
              <w:rPr>
                <w:rFonts w:hint="default" w:eastAsia="宋体" w:cs="Times New Roman"/>
                <w:u w:val="none"/>
                <w:lang w:val="en-US" w:eastAsia="zh-CN"/>
              </w:rPr>
            </w:pPr>
            <w:r>
              <w:rPr>
                <w:rFonts w:hint="eastAsia" w:cs="Times New Roman"/>
                <w:u w:val="none"/>
                <w:lang w:val="en-US" w:eastAsia="zh-CN"/>
              </w:rPr>
              <w:t>31000</w:t>
            </w:r>
          </w:p>
        </w:tc>
        <w:tc>
          <w:tcPr>
            <w:tcW w:w="939" w:type="pct"/>
            <w:vAlign w:val="center"/>
          </w:tcPr>
          <w:p w14:paraId="2293E746">
            <w:pPr>
              <w:pStyle w:val="48"/>
              <w:rPr>
                <w:rFonts w:hint="default" w:eastAsia="宋体" w:cs="Times New Roman"/>
                <w:u w:val="none"/>
                <w:lang w:val="en-US" w:eastAsia="zh-CN"/>
              </w:rPr>
            </w:pPr>
            <w:r>
              <w:rPr>
                <w:rFonts w:hint="eastAsia" w:cs="Times New Roman"/>
                <w:u w:val="none"/>
                <w:lang w:val="en-US" w:eastAsia="zh-CN"/>
              </w:rPr>
              <w:t>8.36×10</w:t>
            </w:r>
            <w:r>
              <w:rPr>
                <w:rFonts w:hint="eastAsia" w:cs="Times New Roman"/>
                <w:u w:val="none"/>
                <w:vertAlign w:val="superscript"/>
                <w:lang w:val="en-US" w:eastAsia="zh-CN"/>
              </w:rPr>
              <w:t>-5</w:t>
            </w:r>
          </w:p>
        </w:tc>
      </w:tr>
      <w:tr w14:paraId="1DD31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14:paraId="4E5E46D8">
            <w:pPr>
              <w:pStyle w:val="48"/>
              <w:rPr>
                <w:rFonts w:hint="eastAsia" w:eastAsia="宋体" w:cs="Times New Roman"/>
                <w:kern w:val="0"/>
                <w:szCs w:val="21"/>
                <w:u w:val="none"/>
                <w:lang w:val="en-US" w:eastAsia="zh-CN"/>
              </w:rPr>
            </w:pPr>
            <w:r>
              <w:rPr>
                <w:rFonts w:hint="eastAsia" w:cs="Times New Roman"/>
                <w:kern w:val="0"/>
                <w:szCs w:val="21"/>
                <w:u w:val="none"/>
                <w:lang w:val="en-US" w:eastAsia="zh-CN"/>
              </w:rPr>
              <w:t>丙烯</w:t>
            </w:r>
          </w:p>
        </w:tc>
        <w:tc>
          <w:tcPr>
            <w:tcW w:w="1226" w:type="pct"/>
            <w:vAlign w:val="center"/>
          </w:tcPr>
          <w:p w14:paraId="11D0ACFB">
            <w:pPr>
              <w:pStyle w:val="48"/>
              <w:rPr>
                <w:rFonts w:hint="default" w:eastAsia="宋体" w:cs="Times New Roman"/>
                <w:u w:val="none"/>
                <w:lang w:val="en-US" w:eastAsia="zh-CN"/>
              </w:rPr>
            </w:pPr>
            <w:r>
              <w:rPr>
                <w:rFonts w:hint="eastAsia" w:cs="Times New Roman"/>
                <w:u w:val="none"/>
                <w:lang w:val="en-US" w:eastAsia="zh-CN"/>
              </w:rPr>
              <w:t>1.426</w:t>
            </w:r>
          </w:p>
        </w:tc>
        <w:tc>
          <w:tcPr>
            <w:tcW w:w="1945" w:type="pct"/>
            <w:vAlign w:val="center"/>
          </w:tcPr>
          <w:p w14:paraId="0D88CADD">
            <w:pPr>
              <w:pStyle w:val="48"/>
              <w:rPr>
                <w:rFonts w:hint="default" w:eastAsia="宋体" w:cs="Times New Roman"/>
                <w:u w:val="none"/>
                <w:lang w:val="en-US" w:eastAsia="zh-CN"/>
              </w:rPr>
            </w:pPr>
            <w:r>
              <w:rPr>
                <w:rFonts w:hint="eastAsia" w:cs="Times New Roman"/>
                <w:u w:val="none"/>
                <w:lang w:val="en-US" w:eastAsia="zh-CN"/>
              </w:rPr>
              <w:t>4800</w:t>
            </w:r>
          </w:p>
        </w:tc>
        <w:tc>
          <w:tcPr>
            <w:tcW w:w="939" w:type="pct"/>
            <w:vAlign w:val="center"/>
          </w:tcPr>
          <w:p w14:paraId="53DB442B">
            <w:pPr>
              <w:pStyle w:val="48"/>
              <w:rPr>
                <w:rFonts w:hint="default" w:eastAsia="宋体" w:cs="Times New Roman"/>
                <w:u w:val="none"/>
                <w:lang w:val="en-US" w:eastAsia="zh-CN"/>
              </w:rPr>
            </w:pPr>
            <w:r>
              <w:rPr>
                <w:rFonts w:hint="eastAsia" w:cs="Times New Roman"/>
                <w:u w:val="none"/>
                <w:lang w:val="en-US" w:eastAsia="zh-CN"/>
              </w:rPr>
              <w:t>2.97×10</w:t>
            </w:r>
            <w:r>
              <w:rPr>
                <w:rFonts w:hint="eastAsia" w:cs="Times New Roman"/>
                <w:u w:val="none"/>
                <w:vertAlign w:val="superscript"/>
                <w:lang w:val="en-US" w:eastAsia="zh-CN"/>
              </w:rPr>
              <w:t>-4</w:t>
            </w:r>
          </w:p>
        </w:tc>
      </w:tr>
      <w:tr w14:paraId="50E5E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14:paraId="32CD8790">
            <w:pPr>
              <w:pStyle w:val="48"/>
              <w:rPr>
                <w:rFonts w:hint="eastAsia" w:eastAsia="宋体" w:cs="Times New Roman"/>
                <w:kern w:val="0"/>
                <w:szCs w:val="21"/>
                <w:u w:val="none"/>
                <w:lang w:val="en-US" w:eastAsia="zh-CN"/>
              </w:rPr>
            </w:pPr>
            <w:r>
              <w:rPr>
                <w:rFonts w:hint="eastAsia" w:cs="Times New Roman"/>
                <w:kern w:val="0"/>
                <w:szCs w:val="21"/>
                <w:u w:val="none"/>
                <w:lang w:val="en-US" w:eastAsia="zh-CN"/>
              </w:rPr>
              <w:t>丁烷</w:t>
            </w:r>
          </w:p>
        </w:tc>
        <w:tc>
          <w:tcPr>
            <w:tcW w:w="1226" w:type="pct"/>
            <w:vAlign w:val="center"/>
          </w:tcPr>
          <w:p w14:paraId="11D66FCA">
            <w:pPr>
              <w:pStyle w:val="48"/>
              <w:rPr>
                <w:rFonts w:hint="default" w:eastAsia="宋体" w:cs="Times New Roman"/>
                <w:u w:val="none"/>
                <w:lang w:val="en-US" w:eastAsia="zh-CN"/>
              </w:rPr>
            </w:pPr>
            <w:r>
              <w:rPr>
                <w:rFonts w:hint="eastAsia" w:cs="Times New Roman"/>
                <w:u w:val="none"/>
                <w:lang w:val="en-US" w:eastAsia="zh-CN"/>
              </w:rPr>
              <w:t>5.962</w:t>
            </w:r>
          </w:p>
        </w:tc>
        <w:tc>
          <w:tcPr>
            <w:tcW w:w="1945" w:type="pct"/>
            <w:vAlign w:val="center"/>
          </w:tcPr>
          <w:p w14:paraId="6A8B4F01">
            <w:pPr>
              <w:pStyle w:val="48"/>
              <w:rPr>
                <w:rFonts w:hint="default" w:eastAsia="宋体" w:cs="Times New Roman"/>
                <w:u w:val="none"/>
                <w:lang w:val="en-US" w:eastAsia="zh-CN"/>
              </w:rPr>
            </w:pPr>
            <w:r>
              <w:rPr>
                <w:rFonts w:hint="eastAsia" w:cs="Times New Roman"/>
                <w:u w:val="none"/>
                <w:lang w:val="en-US" w:eastAsia="zh-CN"/>
              </w:rPr>
              <w:t>40000</w:t>
            </w:r>
          </w:p>
        </w:tc>
        <w:tc>
          <w:tcPr>
            <w:tcW w:w="939" w:type="pct"/>
            <w:vAlign w:val="center"/>
          </w:tcPr>
          <w:p w14:paraId="7D62C329">
            <w:pPr>
              <w:pStyle w:val="48"/>
              <w:rPr>
                <w:rFonts w:hint="default" w:eastAsia="宋体" w:cs="Times New Roman"/>
                <w:u w:val="none"/>
                <w:lang w:val="en-US" w:eastAsia="zh-CN"/>
              </w:rPr>
            </w:pPr>
            <w:r>
              <w:rPr>
                <w:rFonts w:hint="eastAsia" w:cs="Times New Roman"/>
                <w:u w:val="none"/>
                <w:lang w:val="en-US" w:eastAsia="zh-CN"/>
              </w:rPr>
              <w:t>1.49×10</w:t>
            </w:r>
            <w:r>
              <w:rPr>
                <w:rFonts w:hint="eastAsia" w:cs="Times New Roman"/>
                <w:u w:val="none"/>
                <w:vertAlign w:val="superscript"/>
                <w:lang w:val="en-US" w:eastAsia="zh-CN"/>
              </w:rPr>
              <w:t>-4</w:t>
            </w:r>
          </w:p>
        </w:tc>
      </w:tr>
      <w:tr w14:paraId="01360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14:paraId="42C71033">
            <w:pPr>
              <w:pStyle w:val="48"/>
              <w:rPr>
                <w:rFonts w:hint="eastAsia" w:eastAsia="宋体" w:cs="Times New Roman"/>
                <w:kern w:val="0"/>
                <w:szCs w:val="21"/>
                <w:u w:val="none"/>
                <w:lang w:val="en-US" w:eastAsia="zh-CN"/>
              </w:rPr>
            </w:pPr>
            <w:r>
              <w:rPr>
                <w:rFonts w:hint="eastAsia" w:cs="Times New Roman"/>
                <w:kern w:val="0"/>
                <w:szCs w:val="21"/>
                <w:u w:val="none"/>
                <w:lang w:val="en-US" w:eastAsia="zh-CN"/>
              </w:rPr>
              <w:t>丁烯</w:t>
            </w:r>
          </w:p>
        </w:tc>
        <w:tc>
          <w:tcPr>
            <w:tcW w:w="1226" w:type="pct"/>
            <w:vAlign w:val="center"/>
          </w:tcPr>
          <w:p w14:paraId="69C54B38">
            <w:pPr>
              <w:pStyle w:val="48"/>
              <w:rPr>
                <w:rFonts w:hint="default" w:eastAsia="宋体" w:cs="Times New Roman"/>
                <w:u w:val="none"/>
                <w:lang w:val="en-US" w:eastAsia="zh-CN"/>
              </w:rPr>
            </w:pPr>
            <w:r>
              <w:rPr>
                <w:rFonts w:hint="eastAsia" w:cs="Times New Roman"/>
                <w:u w:val="none"/>
                <w:lang w:val="en-US" w:eastAsia="zh-CN"/>
              </w:rPr>
              <w:t>0.778</w:t>
            </w:r>
          </w:p>
        </w:tc>
        <w:tc>
          <w:tcPr>
            <w:tcW w:w="1945" w:type="pct"/>
            <w:vAlign w:val="center"/>
          </w:tcPr>
          <w:p w14:paraId="50E38340">
            <w:pPr>
              <w:pStyle w:val="48"/>
              <w:rPr>
                <w:rFonts w:hint="default" w:eastAsia="宋体" w:cs="Times New Roman"/>
                <w:u w:val="none"/>
                <w:lang w:val="en-US" w:eastAsia="zh-CN"/>
              </w:rPr>
            </w:pPr>
            <w:r>
              <w:rPr>
                <w:rFonts w:hint="eastAsia" w:cs="Times New Roman"/>
                <w:u w:val="none"/>
                <w:lang w:val="en-US" w:eastAsia="zh-CN"/>
              </w:rPr>
              <w:t>6700</w:t>
            </w:r>
          </w:p>
        </w:tc>
        <w:tc>
          <w:tcPr>
            <w:tcW w:w="939" w:type="pct"/>
            <w:vAlign w:val="center"/>
          </w:tcPr>
          <w:p w14:paraId="432F1B45">
            <w:pPr>
              <w:pStyle w:val="48"/>
              <w:rPr>
                <w:rFonts w:hint="default" w:eastAsia="宋体" w:cs="Times New Roman"/>
                <w:u w:val="none"/>
                <w:lang w:val="en-US" w:eastAsia="zh-CN"/>
              </w:rPr>
            </w:pPr>
            <w:r>
              <w:rPr>
                <w:rFonts w:hint="eastAsia" w:cs="Times New Roman"/>
                <w:u w:val="none"/>
                <w:lang w:val="en-US" w:eastAsia="zh-CN"/>
              </w:rPr>
              <w:t>1.16×10</w:t>
            </w:r>
            <w:r>
              <w:rPr>
                <w:rFonts w:hint="eastAsia" w:cs="Times New Roman"/>
                <w:u w:val="none"/>
                <w:vertAlign w:val="superscript"/>
                <w:lang w:val="en-US" w:eastAsia="zh-CN"/>
              </w:rPr>
              <w:t>-4</w:t>
            </w:r>
          </w:p>
        </w:tc>
      </w:tr>
      <w:tr w14:paraId="6473E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14:paraId="0A239292">
            <w:pPr>
              <w:pStyle w:val="48"/>
              <w:rPr>
                <w:rFonts w:hint="default" w:eastAsia="宋体" w:cs="Times New Roman"/>
                <w:kern w:val="0"/>
                <w:szCs w:val="21"/>
                <w:u w:val="none"/>
                <w:lang w:val="en-US" w:eastAsia="zh-CN"/>
              </w:rPr>
            </w:pPr>
            <w:r>
              <w:rPr>
                <w:rFonts w:hint="eastAsia" w:cs="Times New Roman"/>
                <w:kern w:val="0"/>
                <w:szCs w:val="21"/>
                <w:u w:val="none"/>
                <w:lang w:val="en-US" w:eastAsia="zh-CN"/>
              </w:rPr>
              <w:t>CO</w:t>
            </w:r>
          </w:p>
        </w:tc>
        <w:tc>
          <w:tcPr>
            <w:tcW w:w="1226" w:type="pct"/>
            <w:vAlign w:val="center"/>
          </w:tcPr>
          <w:p w14:paraId="11BAAA95">
            <w:pPr>
              <w:pStyle w:val="48"/>
              <w:rPr>
                <w:rFonts w:hint="default" w:eastAsia="宋体" w:cs="Times New Roman"/>
                <w:u w:val="none"/>
                <w:lang w:val="en-US" w:eastAsia="zh-CN"/>
              </w:rPr>
            </w:pPr>
            <w:r>
              <w:rPr>
                <w:rFonts w:hint="eastAsia" w:cs="Times New Roman"/>
                <w:u w:val="none"/>
                <w:lang w:val="en-US" w:eastAsia="zh-CN"/>
              </w:rPr>
              <w:t>1.188</w:t>
            </w:r>
          </w:p>
        </w:tc>
        <w:tc>
          <w:tcPr>
            <w:tcW w:w="1945" w:type="pct"/>
            <w:vAlign w:val="center"/>
          </w:tcPr>
          <w:p w14:paraId="412ECACE">
            <w:pPr>
              <w:pStyle w:val="48"/>
              <w:rPr>
                <w:rFonts w:hint="default" w:eastAsia="宋体" w:cs="Times New Roman"/>
                <w:u w:val="none"/>
                <w:lang w:val="en-US" w:eastAsia="zh-CN"/>
              </w:rPr>
            </w:pPr>
            <w:r>
              <w:rPr>
                <w:rFonts w:hint="eastAsia" w:cs="Times New Roman"/>
                <w:u w:val="none"/>
                <w:lang w:val="en-US" w:eastAsia="zh-CN"/>
              </w:rPr>
              <w:t>95</w:t>
            </w:r>
          </w:p>
        </w:tc>
        <w:tc>
          <w:tcPr>
            <w:tcW w:w="939" w:type="pct"/>
            <w:vAlign w:val="center"/>
          </w:tcPr>
          <w:p w14:paraId="3B270EE9">
            <w:pPr>
              <w:pStyle w:val="48"/>
              <w:rPr>
                <w:rFonts w:hint="default" w:eastAsia="宋体" w:cs="Times New Roman"/>
                <w:u w:val="none"/>
                <w:lang w:val="en-US" w:eastAsia="zh-CN"/>
              </w:rPr>
            </w:pPr>
            <w:r>
              <w:rPr>
                <w:rFonts w:hint="eastAsia" w:cs="Times New Roman"/>
                <w:u w:val="none"/>
                <w:lang w:val="en-US" w:eastAsia="zh-CN"/>
              </w:rPr>
              <w:t>0.0125</w:t>
            </w:r>
          </w:p>
        </w:tc>
      </w:tr>
    </w:tbl>
    <w:p w14:paraId="23140073">
      <w:pPr>
        <w:pStyle w:val="25"/>
        <w:rPr>
          <w:rFonts w:hint="eastAsia" w:cs="Times New Roman"/>
          <w:kern w:val="0"/>
          <w:lang w:val="en-US" w:eastAsia="zh-CN"/>
        </w:rPr>
      </w:pPr>
      <w:r>
        <w:rPr>
          <w:rFonts w:hint="eastAsia"/>
          <w:lang w:val="en-US" w:eastAsia="zh-CN"/>
        </w:rPr>
        <w:t>根据上表计算结果，本次选择丙烯、丁烷作为预测因子以及火灾次生的CO作为预测因子进行预测分析，预测情景为</w:t>
      </w:r>
      <w:r>
        <w:rPr>
          <w:rFonts w:hint="eastAsia" w:cs="Times New Roman"/>
          <w:kern w:val="0"/>
          <w:lang w:val="en-US" w:eastAsia="zh-CN"/>
        </w:rPr>
        <w:t>内径（DN57mm）≤75mm液化石油气管道全管径泄漏。</w:t>
      </w:r>
    </w:p>
    <w:p w14:paraId="70E22965">
      <w:pPr>
        <w:pStyle w:val="34"/>
        <w:bidi w:val="0"/>
        <w:rPr>
          <w:rFonts w:hint="default"/>
          <w:lang w:val="en-US" w:eastAsia="zh-CN"/>
        </w:rPr>
      </w:pPr>
      <w:r>
        <w:rPr>
          <w:rFonts w:hint="eastAsia"/>
          <w:lang w:val="en-US" w:eastAsia="zh-CN"/>
        </w:rPr>
        <w:t>F5.1.2预测模型</w:t>
      </w:r>
    </w:p>
    <w:p w14:paraId="73A41F9B">
      <w:pPr>
        <w:pStyle w:val="62"/>
        <w:bidi w:val="0"/>
      </w:pPr>
      <w:r>
        <w:rPr>
          <w:rFonts w:hint="eastAsia"/>
        </w:rPr>
        <w:t>1、气体性质</w:t>
      </w:r>
    </w:p>
    <w:p w14:paraId="7A5D660E">
      <w:pPr>
        <w:pStyle w:val="62"/>
        <w:bidi w:val="0"/>
      </w:pPr>
      <w:r>
        <w:t>根据《建设项目环境风险评价技术导则》(HJ169-2018)附录 G，采用理查德森数(Ri)作为标 准，判断项目泄漏/扩散气体是否为重质气体。</w:t>
      </w:r>
    </w:p>
    <w:p w14:paraId="6C2124E3">
      <w:pPr>
        <w:pStyle w:val="62"/>
        <w:bidi w:val="0"/>
      </w:pPr>
      <w:r>
        <w:rPr>
          <w:rFonts w:hint="eastAsia"/>
        </w:rPr>
        <w:t>（1）排放类型</w:t>
      </w:r>
    </w:p>
    <w:p w14:paraId="4E9117C4">
      <w:pPr>
        <w:pStyle w:val="62"/>
        <w:bidi w:val="0"/>
      </w:pPr>
      <w:r>
        <w:t>根据《建设项目环境风险评价技术导则》(HJ169-2018)附录 G，判定项目泄漏/扩散气体是 连续排放还是瞬时排放，通过对比排放时间Td和污染物到达最近的受体点(网格点或敏感点) 的时间T确定。</w:t>
      </w:r>
    </w:p>
    <w:p w14:paraId="2F49AB6C">
      <w:pPr>
        <w:pStyle w:val="62"/>
        <w:bidi w:val="0"/>
        <w:jc w:val="center"/>
      </w:pPr>
      <w:r>
        <w:t>T=2X/U</w:t>
      </w:r>
      <w:r>
        <w:rPr>
          <w:rFonts w:hint="eastAsia"/>
        </w:rPr>
        <w:t>r</w:t>
      </w:r>
    </w:p>
    <w:p w14:paraId="38421352">
      <w:pPr>
        <w:pStyle w:val="62"/>
        <w:bidi w:val="0"/>
      </w:pPr>
      <w:r>
        <w:rPr>
          <w:rFonts w:hint="eastAsia"/>
        </w:rPr>
        <w:t>式中：</w:t>
      </w:r>
    </w:p>
    <w:p w14:paraId="59EBF665">
      <w:pPr>
        <w:pStyle w:val="62"/>
        <w:bidi w:val="0"/>
      </w:pPr>
      <w:r>
        <w:rPr>
          <w:rFonts w:hint="eastAsia"/>
        </w:rPr>
        <w:t xml:space="preserve">X——事故发生地与计算点的距离，m。载重汽车停车区与最近敏感点的近距离为 </w:t>
      </w:r>
      <w:r>
        <w:t>160</w:t>
      </w:r>
      <w:r>
        <w:rPr>
          <w:rFonts w:hint="eastAsia"/>
        </w:rPr>
        <w:t>m；</w:t>
      </w:r>
    </w:p>
    <w:p w14:paraId="4C587714">
      <w:pPr>
        <w:pStyle w:val="62"/>
        <w:bidi w:val="0"/>
      </w:pPr>
      <w:r>
        <w:rPr>
          <w:rFonts w:hint="eastAsia"/>
        </w:rPr>
        <w:t xml:space="preserve">Ur——10m高处风速，m/s。假设风速和风向在T时间段内保持不变。取 </w:t>
      </w:r>
      <w:r>
        <w:t>2.7</w:t>
      </w:r>
      <w:r>
        <w:rPr>
          <w:rFonts w:hint="eastAsia"/>
        </w:rPr>
        <w:t>m/s。当Td＞T时，可被认为是连续排放的；当Td≤T时，可被认为是瞬时排放。</w:t>
      </w:r>
    </w:p>
    <w:p w14:paraId="78DD13CD">
      <w:pPr>
        <w:pStyle w:val="62"/>
        <w:bidi w:val="0"/>
      </w:pPr>
      <w:r>
        <w:rPr>
          <w:rFonts w:hint="eastAsia"/>
        </w:rPr>
        <w:t>经计算，泄漏气体到达最近受体点的时间约为</w:t>
      </w:r>
      <w:r>
        <w:t>118.5</w:t>
      </w:r>
      <w:r>
        <w:rPr>
          <w:rFonts w:hint="eastAsia"/>
        </w:rPr>
        <w:t>s，小于泄漏时间</w:t>
      </w:r>
      <w:r>
        <w:t>10</w:t>
      </w:r>
      <w:r>
        <w:rPr>
          <w:rFonts w:hint="eastAsia"/>
        </w:rPr>
        <w:t>min，可判定为连续排放。</w:t>
      </w:r>
    </w:p>
    <w:p w14:paraId="544DA1FF">
      <w:pPr>
        <w:pStyle w:val="62"/>
        <w:bidi w:val="0"/>
      </w:pPr>
      <w:r>
        <w:rPr>
          <w:rFonts w:hint="eastAsia"/>
        </w:rPr>
        <w:t>（2）理查德森数(Ri)计算</w:t>
      </w:r>
    </w:p>
    <w:p w14:paraId="414C9DA9">
      <w:pPr>
        <w:pStyle w:val="62"/>
        <w:bidi w:val="0"/>
      </w:pPr>
      <w:r>
        <w:rPr>
          <w:rFonts w:hint="eastAsia"/>
        </w:rPr>
        <w:t>根据《建设项目环境风险评价技术导则》(HJ 169-2018)附录 G，选择连续排放理查德森数计算公式。</w:t>
      </w:r>
    </w:p>
    <w:p w14:paraId="3349370F">
      <w:pPr>
        <w:pStyle w:val="62"/>
        <w:bidi w:val="0"/>
        <w:jc w:val="center"/>
      </w:pPr>
      <w:r>
        <w:drawing>
          <wp:inline distT="0" distB="0" distL="0" distR="0">
            <wp:extent cx="2238375" cy="689610"/>
            <wp:effectExtent l="0" t="0" r="9525" b="1524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246123" cy="692555"/>
                    </a:xfrm>
                    <a:prstGeom prst="rect">
                      <a:avLst/>
                    </a:prstGeom>
                  </pic:spPr>
                </pic:pic>
              </a:graphicData>
            </a:graphic>
          </wp:inline>
        </w:drawing>
      </w:r>
    </w:p>
    <w:p w14:paraId="1AD20C0C">
      <w:pPr>
        <w:pStyle w:val="62"/>
        <w:bidi w:val="0"/>
      </w:pPr>
      <w:r>
        <w:rPr>
          <w:rFonts w:hint="eastAsia"/>
        </w:rPr>
        <w:t>式中：</w:t>
      </w:r>
    </w:p>
    <w:p w14:paraId="0724FAC9">
      <w:pPr>
        <w:pStyle w:val="62"/>
        <w:bidi w:val="0"/>
      </w:pPr>
      <w:r>
        <w:rPr>
          <w:rFonts w:hint="eastAsia"/>
        </w:rPr>
        <w:t>ρ</w:t>
      </w:r>
      <w:r>
        <w:rPr>
          <w:rFonts w:hint="eastAsia"/>
          <w:vertAlign w:val="subscript"/>
        </w:rPr>
        <w:t>rel</w:t>
      </w:r>
      <w:r>
        <w:rPr>
          <w:rFonts w:hint="eastAsia"/>
        </w:rPr>
        <w:t>——排放物质进入大气的初始密度，kg/m</w:t>
      </w:r>
      <w:r>
        <w:rPr>
          <w:rFonts w:hint="eastAsia"/>
          <w:vertAlign w:val="superscript"/>
        </w:rPr>
        <w:t>3</w:t>
      </w:r>
      <w:r>
        <w:rPr>
          <w:rFonts w:hint="eastAsia"/>
        </w:rPr>
        <w:t>；</w:t>
      </w:r>
    </w:p>
    <w:p w14:paraId="30B59D01">
      <w:pPr>
        <w:pStyle w:val="62"/>
        <w:bidi w:val="0"/>
      </w:pPr>
      <w:r>
        <w:rPr>
          <w:rFonts w:hint="eastAsia"/>
        </w:rPr>
        <w:t>ρ</w:t>
      </w:r>
      <w:r>
        <w:rPr>
          <w:rFonts w:hint="eastAsia"/>
          <w:vertAlign w:val="subscript"/>
        </w:rPr>
        <w:t>a</w:t>
      </w:r>
      <w:r>
        <w:rPr>
          <w:rFonts w:hint="eastAsia"/>
        </w:rPr>
        <w:t>——环境空气密度，kg/m</w:t>
      </w:r>
      <w:r>
        <w:rPr>
          <w:rFonts w:hint="eastAsia"/>
          <w:vertAlign w:val="superscript"/>
        </w:rPr>
        <w:t>3</w:t>
      </w:r>
      <w:r>
        <w:rPr>
          <w:rFonts w:hint="eastAsia"/>
        </w:rPr>
        <w:t>。ρa=</w:t>
      </w:r>
      <w:r>
        <w:t>1.29</w:t>
      </w:r>
      <w:r>
        <w:rPr>
          <w:rFonts w:hint="eastAsia"/>
        </w:rPr>
        <w:t>kg/m</w:t>
      </w:r>
      <w:r>
        <w:rPr>
          <w:rFonts w:hint="eastAsia"/>
          <w:vertAlign w:val="superscript"/>
        </w:rPr>
        <w:t>3</w:t>
      </w:r>
      <w:r>
        <w:rPr>
          <w:rFonts w:hint="eastAsia"/>
        </w:rPr>
        <w:t>；</w:t>
      </w:r>
    </w:p>
    <w:p w14:paraId="4254FABE">
      <w:pPr>
        <w:pStyle w:val="62"/>
        <w:bidi w:val="0"/>
      </w:pPr>
      <w:r>
        <w:rPr>
          <w:rFonts w:hint="eastAsia"/>
        </w:rPr>
        <w:t>Q——连续排放烟羽的排放速率，kg/s；</w:t>
      </w:r>
    </w:p>
    <w:p w14:paraId="51241A86">
      <w:pPr>
        <w:pStyle w:val="62"/>
        <w:bidi w:val="0"/>
      </w:pPr>
      <w:r>
        <w:rPr>
          <w:rFonts w:hint="eastAsia"/>
        </w:rPr>
        <w:t>g——重力加速度，9.81m/s</w:t>
      </w:r>
      <w:r>
        <w:rPr>
          <w:rFonts w:hint="eastAsia"/>
          <w:vertAlign w:val="superscript"/>
        </w:rPr>
        <w:t>2</w:t>
      </w:r>
      <w:r>
        <w:rPr>
          <w:rFonts w:hint="eastAsia"/>
        </w:rPr>
        <w:t>；</w:t>
      </w:r>
    </w:p>
    <w:p w14:paraId="711A55CD">
      <w:pPr>
        <w:pStyle w:val="62"/>
        <w:bidi w:val="0"/>
      </w:pPr>
      <w:r>
        <w:rPr>
          <w:rFonts w:hint="eastAsia"/>
        </w:rPr>
        <w:t>D</w:t>
      </w:r>
      <w:r>
        <w:rPr>
          <w:rFonts w:hint="eastAsia"/>
          <w:vertAlign w:val="subscript"/>
        </w:rPr>
        <w:t>rel</w:t>
      </w:r>
      <w:r>
        <w:rPr>
          <w:rFonts w:hint="eastAsia"/>
        </w:rPr>
        <w:t>——初始的烟团宽度，即源直径，m；</w:t>
      </w:r>
    </w:p>
    <w:p w14:paraId="1A5A927C">
      <w:pPr>
        <w:pStyle w:val="62"/>
        <w:bidi w:val="0"/>
      </w:pPr>
      <w:r>
        <w:rPr>
          <w:rFonts w:hint="eastAsia"/>
        </w:rPr>
        <w:t>U</w:t>
      </w:r>
      <w:r>
        <w:rPr>
          <w:rFonts w:hint="eastAsia"/>
          <w:vertAlign w:val="subscript"/>
        </w:rPr>
        <w:t>r</w:t>
      </w:r>
      <w:r>
        <w:rPr>
          <w:rFonts w:hint="eastAsia"/>
        </w:rPr>
        <w:t>——10m高处风速，m/s。</w:t>
      </w:r>
    </w:p>
    <w:p w14:paraId="3DD32364">
      <w:pPr>
        <w:pStyle w:val="62"/>
        <w:bidi w:val="0"/>
        <w:rPr>
          <w:rFonts w:hint="eastAsia"/>
        </w:rPr>
      </w:pPr>
      <w:r>
        <w:rPr>
          <w:rFonts w:hint="eastAsia"/>
        </w:rPr>
        <w:t>根据项目风险源项设定下各风险因子的参数，计算得理查德森数(Ri)如下表所示。</w:t>
      </w:r>
    </w:p>
    <w:p w14:paraId="1940BA68">
      <w:pPr>
        <w:pStyle w:val="63"/>
        <w:bidi w:val="0"/>
      </w:pPr>
      <w:r>
        <w:rPr>
          <w:rFonts w:hint="eastAsia"/>
        </w:rPr>
        <w:t>表</w:t>
      </w:r>
      <w:r>
        <w:rPr>
          <w:rFonts w:hint="eastAsia"/>
          <w:lang w:val="en-US" w:eastAsia="zh-CN"/>
        </w:rPr>
        <w:t>F</w:t>
      </w:r>
      <w:r>
        <w:rPr>
          <w:rFonts w:hint="eastAsia"/>
        </w:rPr>
        <w:t>5</w:t>
      </w:r>
      <w:r>
        <w:t xml:space="preserve">-2  </w:t>
      </w:r>
      <w:r>
        <w:rPr>
          <w:rFonts w:hint="eastAsia"/>
        </w:rPr>
        <w:t>项目风险因子理查德森数（Ri）一览表</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1428"/>
        <w:gridCol w:w="1428"/>
        <w:gridCol w:w="1233"/>
        <w:gridCol w:w="901"/>
        <w:gridCol w:w="723"/>
        <w:gridCol w:w="1174"/>
        <w:gridCol w:w="936"/>
      </w:tblGrid>
      <w:tr w14:paraId="7B0DE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8" w:type="pct"/>
            <w:vMerge w:val="restart"/>
            <w:vAlign w:val="center"/>
          </w:tcPr>
          <w:p w14:paraId="633BECB7">
            <w:pPr>
              <w:pStyle w:val="26"/>
              <w:bidi w:val="0"/>
            </w:pPr>
            <w:r>
              <w:rPr>
                <w:rFonts w:hint="eastAsia"/>
              </w:rPr>
              <w:t>风险因子</w:t>
            </w:r>
          </w:p>
        </w:tc>
        <w:tc>
          <w:tcPr>
            <w:tcW w:w="3724" w:type="pct"/>
            <w:gridSpan w:val="6"/>
            <w:vAlign w:val="center"/>
          </w:tcPr>
          <w:p w14:paraId="0CF50685">
            <w:pPr>
              <w:pStyle w:val="26"/>
              <w:bidi w:val="0"/>
            </w:pPr>
            <w:r>
              <w:rPr>
                <w:rFonts w:hint="eastAsia"/>
              </w:rPr>
              <w:t>参数取值</w:t>
            </w:r>
          </w:p>
        </w:tc>
        <w:tc>
          <w:tcPr>
            <w:tcW w:w="506" w:type="pct"/>
            <w:vAlign w:val="center"/>
          </w:tcPr>
          <w:p w14:paraId="2F07CE38">
            <w:pPr>
              <w:pStyle w:val="26"/>
              <w:bidi w:val="0"/>
            </w:pPr>
            <w:r>
              <w:rPr>
                <w:rFonts w:hint="eastAsia"/>
              </w:rPr>
              <w:t>计算</w:t>
            </w:r>
          </w:p>
          <w:p w14:paraId="597F1322">
            <w:pPr>
              <w:pStyle w:val="26"/>
              <w:bidi w:val="0"/>
            </w:pPr>
            <w:r>
              <w:rPr>
                <w:rFonts w:hint="eastAsia"/>
              </w:rPr>
              <w:t>结果</w:t>
            </w:r>
          </w:p>
        </w:tc>
      </w:tr>
      <w:tr w14:paraId="0D792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8" w:type="pct"/>
            <w:vMerge w:val="continue"/>
            <w:vAlign w:val="center"/>
          </w:tcPr>
          <w:p w14:paraId="5EB94E4E">
            <w:pPr>
              <w:pStyle w:val="26"/>
              <w:bidi w:val="0"/>
            </w:pPr>
          </w:p>
        </w:tc>
        <w:tc>
          <w:tcPr>
            <w:tcW w:w="772" w:type="pct"/>
            <w:vAlign w:val="center"/>
          </w:tcPr>
          <w:p w14:paraId="05FDF5C2">
            <w:pPr>
              <w:pStyle w:val="26"/>
              <w:bidi w:val="0"/>
            </w:pPr>
            <w:r>
              <w:rPr>
                <w:rFonts w:hint="eastAsia"/>
              </w:rPr>
              <w:t>ρ</w:t>
            </w:r>
            <w:r>
              <w:rPr>
                <w:rFonts w:hint="eastAsia"/>
                <w:vertAlign w:val="subscript"/>
              </w:rPr>
              <w:t>rel</w:t>
            </w:r>
          </w:p>
          <w:p w14:paraId="7AC9CAC5">
            <w:pPr>
              <w:pStyle w:val="26"/>
              <w:bidi w:val="0"/>
            </w:pPr>
            <w:r>
              <w:rPr>
                <w:rFonts w:hint="eastAsia"/>
              </w:rPr>
              <w:t>（kg/m</w:t>
            </w:r>
            <w:r>
              <w:rPr>
                <w:rFonts w:hint="eastAsia"/>
                <w:vertAlign w:val="superscript"/>
              </w:rPr>
              <w:t>3</w:t>
            </w:r>
            <w:r>
              <w:rPr>
                <w:rFonts w:hint="eastAsia"/>
              </w:rPr>
              <w:t>）</w:t>
            </w:r>
          </w:p>
        </w:tc>
        <w:tc>
          <w:tcPr>
            <w:tcW w:w="772" w:type="pct"/>
            <w:vAlign w:val="center"/>
          </w:tcPr>
          <w:p w14:paraId="2A74E9B8">
            <w:pPr>
              <w:pStyle w:val="26"/>
              <w:bidi w:val="0"/>
            </w:pPr>
            <w:r>
              <w:rPr>
                <w:rFonts w:hint="eastAsia"/>
              </w:rPr>
              <w:t>ρ</w:t>
            </w:r>
            <w:r>
              <w:rPr>
                <w:rFonts w:hint="eastAsia"/>
                <w:vertAlign w:val="subscript"/>
              </w:rPr>
              <w:t>a</w:t>
            </w:r>
          </w:p>
          <w:p w14:paraId="6236FEF3">
            <w:pPr>
              <w:pStyle w:val="26"/>
              <w:bidi w:val="0"/>
            </w:pPr>
            <w:r>
              <w:rPr>
                <w:rFonts w:hint="eastAsia"/>
              </w:rPr>
              <w:t>（kg/m</w:t>
            </w:r>
            <w:r>
              <w:rPr>
                <w:rFonts w:hint="eastAsia"/>
                <w:vertAlign w:val="superscript"/>
              </w:rPr>
              <w:t>3</w:t>
            </w:r>
            <w:r>
              <w:rPr>
                <w:rFonts w:hint="eastAsia"/>
              </w:rPr>
              <w:t>）</w:t>
            </w:r>
          </w:p>
        </w:tc>
        <w:tc>
          <w:tcPr>
            <w:tcW w:w="667" w:type="pct"/>
            <w:vAlign w:val="center"/>
          </w:tcPr>
          <w:p w14:paraId="72DF9893">
            <w:pPr>
              <w:pStyle w:val="26"/>
              <w:bidi w:val="0"/>
            </w:pPr>
            <w:r>
              <w:rPr>
                <w:rFonts w:hint="eastAsia"/>
              </w:rPr>
              <w:t>Q</w:t>
            </w:r>
          </w:p>
          <w:p w14:paraId="06ED399D">
            <w:pPr>
              <w:pStyle w:val="26"/>
              <w:bidi w:val="0"/>
            </w:pPr>
            <w:r>
              <w:rPr>
                <w:rFonts w:hint="eastAsia"/>
              </w:rPr>
              <w:t>（kg</w:t>
            </w:r>
            <w:r>
              <w:t>/s</w:t>
            </w:r>
            <w:r>
              <w:rPr>
                <w:rFonts w:hint="eastAsia"/>
              </w:rPr>
              <w:t>）</w:t>
            </w:r>
          </w:p>
        </w:tc>
        <w:tc>
          <w:tcPr>
            <w:tcW w:w="487" w:type="pct"/>
            <w:vAlign w:val="center"/>
          </w:tcPr>
          <w:p w14:paraId="55C7F967">
            <w:pPr>
              <w:pStyle w:val="26"/>
              <w:bidi w:val="0"/>
            </w:pPr>
            <w:r>
              <w:rPr>
                <w:rFonts w:hint="eastAsia"/>
              </w:rPr>
              <w:t>g</w:t>
            </w:r>
          </w:p>
          <w:p w14:paraId="73B7B530">
            <w:pPr>
              <w:pStyle w:val="26"/>
              <w:bidi w:val="0"/>
            </w:pPr>
            <w:r>
              <w:t>(</w:t>
            </w:r>
            <w:r>
              <w:rPr>
                <w:rFonts w:hint="eastAsia"/>
              </w:rPr>
              <w:t>m/s</w:t>
            </w:r>
            <w:r>
              <w:rPr>
                <w:rFonts w:hint="eastAsia"/>
                <w:vertAlign w:val="superscript"/>
              </w:rPr>
              <w:t>2</w:t>
            </w:r>
            <w:r>
              <w:t>)</w:t>
            </w:r>
          </w:p>
        </w:tc>
        <w:tc>
          <w:tcPr>
            <w:tcW w:w="391" w:type="pct"/>
            <w:vAlign w:val="center"/>
          </w:tcPr>
          <w:p w14:paraId="69AEEB4B">
            <w:pPr>
              <w:pStyle w:val="26"/>
              <w:bidi w:val="0"/>
            </w:pPr>
            <w:r>
              <w:t>D</w:t>
            </w:r>
            <w:r>
              <w:rPr>
                <w:vertAlign w:val="subscript"/>
              </w:rPr>
              <w:t>rel</w:t>
            </w:r>
          </w:p>
          <w:p w14:paraId="76859BFF">
            <w:pPr>
              <w:pStyle w:val="26"/>
              <w:bidi w:val="0"/>
            </w:pPr>
            <w:r>
              <w:t>(m)</w:t>
            </w:r>
          </w:p>
        </w:tc>
        <w:tc>
          <w:tcPr>
            <w:tcW w:w="634" w:type="pct"/>
            <w:vAlign w:val="center"/>
          </w:tcPr>
          <w:p w14:paraId="7EBE7A39">
            <w:pPr>
              <w:pStyle w:val="26"/>
              <w:bidi w:val="0"/>
            </w:pPr>
            <w:r>
              <w:rPr>
                <w:rFonts w:hint="eastAsia"/>
              </w:rPr>
              <w:t>U</w:t>
            </w:r>
            <w:r>
              <w:rPr>
                <w:rFonts w:hint="eastAsia"/>
                <w:vertAlign w:val="subscript"/>
              </w:rPr>
              <w:t>r</w:t>
            </w:r>
          </w:p>
          <w:p w14:paraId="6C63CED2">
            <w:pPr>
              <w:pStyle w:val="26"/>
              <w:bidi w:val="0"/>
            </w:pPr>
            <w:r>
              <w:rPr>
                <w:rFonts w:hint="eastAsia"/>
              </w:rPr>
              <w:t>（m/s）</w:t>
            </w:r>
          </w:p>
        </w:tc>
        <w:tc>
          <w:tcPr>
            <w:tcW w:w="506" w:type="pct"/>
            <w:vAlign w:val="center"/>
          </w:tcPr>
          <w:p w14:paraId="4C0240B4">
            <w:pPr>
              <w:pStyle w:val="26"/>
              <w:bidi w:val="0"/>
            </w:pPr>
            <w:r>
              <w:rPr>
                <w:rFonts w:hint="eastAsia"/>
              </w:rPr>
              <w:t>R</w:t>
            </w:r>
            <w:r>
              <w:rPr>
                <w:rFonts w:hint="eastAsia"/>
                <w:vertAlign w:val="subscript"/>
              </w:rPr>
              <w:t>i</w:t>
            </w:r>
          </w:p>
        </w:tc>
      </w:tr>
      <w:tr w14:paraId="58EFA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8" w:type="pct"/>
            <w:vAlign w:val="center"/>
          </w:tcPr>
          <w:p w14:paraId="7AFFF7CA">
            <w:pPr>
              <w:pStyle w:val="26"/>
              <w:bidi w:val="0"/>
              <w:rPr>
                <w:rFonts w:hint="eastAsia" w:eastAsia="宋体"/>
                <w:lang w:val="en-US" w:eastAsia="zh-CN"/>
              </w:rPr>
            </w:pPr>
            <w:r>
              <w:rPr>
                <w:rFonts w:hint="eastAsia"/>
                <w:lang w:val="en-US" w:eastAsia="zh-CN"/>
              </w:rPr>
              <w:t>丙烯</w:t>
            </w:r>
          </w:p>
        </w:tc>
        <w:tc>
          <w:tcPr>
            <w:tcW w:w="772" w:type="pct"/>
            <w:vAlign w:val="center"/>
          </w:tcPr>
          <w:p w14:paraId="48D1F8A4">
            <w:pPr>
              <w:pStyle w:val="26"/>
              <w:bidi w:val="0"/>
              <w:rPr>
                <w:rFonts w:hint="default" w:eastAsia="宋体"/>
                <w:lang w:val="en-US" w:eastAsia="zh-CN"/>
              </w:rPr>
            </w:pPr>
            <w:r>
              <w:rPr>
                <w:rFonts w:hint="eastAsia"/>
                <w:lang w:val="en-US" w:eastAsia="zh-CN"/>
              </w:rPr>
              <w:t>1.79</w:t>
            </w:r>
          </w:p>
        </w:tc>
        <w:tc>
          <w:tcPr>
            <w:tcW w:w="772" w:type="pct"/>
          </w:tcPr>
          <w:p w14:paraId="3A3C99F3">
            <w:pPr>
              <w:pStyle w:val="26"/>
              <w:bidi w:val="0"/>
              <w:rPr>
                <w:rFonts w:hint="default" w:eastAsia="宋体"/>
                <w:lang w:val="en-US" w:eastAsia="zh-CN"/>
              </w:rPr>
            </w:pPr>
            <w:r>
              <w:rPr>
                <w:rFonts w:hint="eastAsia"/>
                <w:lang w:val="en-US" w:eastAsia="zh-CN"/>
              </w:rPr>
              <w:t>1.29</w:t>
            </w:r>
          </w:p>
        </w:tc>
        <w:tc>
          <w:tcPr>
            <w:tcW w:w="667" w:type="pct"/>
            <w:vAlign w:val="bottom"/>
          </w:tcPr>
          <w:p w14:paraId="41EAC81C">
            <w:pPr>
              <w:pStyle w:val="26"/>
              <w:bidi w:val="0"/>
              <w:rPr>
                <w:rFonts w:hint="default" w:eastAsia="宋体"/>
                <w:lang w:val="en-US" w:eastAsia="zh-CN"/>
              </w:rPr>
            </w:pPr>
            <w:r>
              <w:rPr>
                <w:rFonts w:hint="eastAsia"/>
                <w:lang w:val="en-US" w:eastAsia="zh-CN"/>
              </w:rPr>
              <w:t>1.426</w:t>
            </w:r>
          </w:p>
        </w:tc>
        <w:tc>
          <w:tcPr>
            <w:tcW w:w="487" w:type="pct"/>
          </w:tcPr>
          <w:p w14:paraId="670BA2ED">
            <w:pPr>
              <w:pStyle w:val="26"/>
              <w:bidi w:val="0"/>
              <w:rPr>
                <w:rFonts w:hint="default" w:eastAsia="宋体"/>
                <w:lang w:val="en-US" w:eastAsia="zh-CN"/>
              </w:rPr>
            </w:pPr>
            <w:r>
              <w:rPr>
                <w:rFonts w:hint="eastAsia"/>
                <w:lang w:val="en-US" w:eastAsia="zh-CN"/>
              </w:rPr>
              <w:t>9.81</w:t>
            </w:r>
          </w:p>
        </w:tc>
        <w:tc>
          <w:tcPr>
            <w:tcW w:w="391" w:type="pct"/>
          </w:tcPr>
          <w:p w14:paraId="4476463F">
            <w:pPr>
              <w:pStyle w:val="26"/>
              <w:bidi w:val="0"/>
              <w:rPr>
                <w:rFonts w:hint="default" w:eastAsia="宋体"/>
                <w:lang w:val="en-US" w:eastAsia="zh-CN"/>
              </w:rPr>
            </w:pPr>
            <w:r>
              <w:rPr>
                <w:rFonts w:hint="eastAsia"/>
                <w:lang w:val="en-US" w:eastAsia="zh-CN"/>
              </w:rPr>
              <w:t>0.057</w:t>
            </w:r>
          </w:p>
        </w:tc>
        <w:tc>
          <w:tcPr>
            <w:tcW w:w="634" w:type="pct"/>
          </w:tcPr>
          <w:p w14:paraId="0871CB29">
            <w:pPr>
              <w:pStyle w:val="26"/>
              <w:bidi w:val="0"/>
              <w:rPr>
                <w:rFonts w:hint="default" w:eastAsia="宋体"/>
                <w:lang w:val="en-US" w:eastAsia="zh-CN"/>
              </w:rPr>
            </w:pPr>
            <w:r>
              <w:rPr>
                <w:rFonts w:hint="eastAsia"/>
                <w:lang w:val="en-US" w:eastAsia="zh-CN"/>
              </w:rPr>
              <w:t>2.1</w:t>
            </w:r>
          </w:p>
        </w:tc>
        <w:tc>
          <w:tcPr>
            <w:tcW w:w="506" w:type="pct"/>
            <w:vAlign w:val="center"/>
          </w:tcPr>
          <w:p w14:paraId="108BA96E">
            <w:pPr>
              <w:pStyle w:val="26"/>
              <w:bidi w:val="0"/>
              <w:rPr>
                <w:rFonts w:hint="default" w:eastAsia="宋体"/>
                <w:lang w:val="en-US" w:eastAsia="zh-CN"/>
              </w:rPr>
            </w:pPr>
            <w:r>
              <w:rPr>
                <w:rFonts w:hint="eastAsia"/>
                <w:lang w:val="en-US" w:eastAsia="zh-CN"/>
              </w:rPr>
              <w:t>1.7903</w:t>
            </w:r>
          </w:p>
        </w:tc>
      </w:tr>
      <w:tr w14:paraId="52671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8" w:type="pct"/>
            <w:vAlign w:val="center"/>
          </w:tcPr>
          <w:p w14:paraId="7D5A391C">
            <w:pPr>
              <w:pStyle w:val="26"/>
              <w:bidi w:val="0"/>
              <w:rPr>
                <w:rFonts w:hint="eastAsia" w:eastAsia="宋体"/>
                <w:lang w:val="en-US" w:eastAsia="zh-CN"/>
              </w:rPr>
            </w:pPr>
            <w:r>
              <w:rPr>
                <w:rFonts w:hint="eastAsia"/>
                <w:lang w:val="en-US" w:eastAsia="zh-CN"/>
              </w:rPr>
              <w:t>丁烷</w:t>
            </w:r>
          </w:p>
        </w:tc>
        <w:tc>
          <w:tcPr>
            <w:tcW w:w="772" w:type="pct"/>
            <w:vAlign w:val="center"/>
          </w:tcPr>
          <w:p w14:paraId="094DE953">
            <w:pPr>
              <w:pStyle w:val="26"/>
              <w:bidi w:val="0"/>
              <w:rPr>
                <w:rFonts w:hint="default" w:eastAsia="宋体"/>
                <w:lang w:val="en-US" w:eastAsia="zh-CN"/>
              </w:rPr>
            </w:pPr>
            <w:r>
              <w:rPr>
                <w:rFonts w:hint="eastAsia"/>
                <w:lang w:val="en-US" w:eastAsia="zh-CN"/>
              </w:rPr>
              <w:t>1.65</w:t>
            </w:r>
          </w:p>
        </w:tc>
        <w:tc>
          <w:tcPr>
            <w:tcW w:w="772" w:type="pct"/>
          </w:tcPr>
          <w:p w14:paraId="0CFCDC43">
            <w:pPr>
              <w:pStyle w:val="26"/>
              <w:bidi w:val="0"/>
              <w:rPr>
                <w:rFonts w:hint="default" w:eastAsia="宋体"/>
                <w:lang w:val="en-US" w:eastAsia="zh-CN"/>
              </w:rPr>
            </w:pPr>
            <w:r>
              <w:rPr>
                <w:rFonts w:hint="eastAsia"/>
                <w:lang w:val="en-US" w:eastAsia="zh-CN"/>
              </w:rPr>
              <w:t>1.29</w:t>
            </w:r>
          </w:p>
        </w:tc>
        <w:tc>
          <w:tcPr>
            <w:tcW w:w="667" w:type="pct"/>
            <w:vAlign w:val="bottom"/>
          </w:tcPr>
          <w:p w14:paraId="5B9AB846">
            <w:pPr>
              <w:pStyle w:val="26"/>
              <w:bidi w:val="0"/>
              <w:rPr>
                <w:rFonts w:hint="default" w:eastAsia="宋体"/>
                <w:lang w:val="en-US" w:eastAsia="zh-CN"/>
              </w:rPr>
            </w:pPr>
            <w:r>
              <w:rPr>
                <w:rFonts w:hint="eastAsia"/>
                <w:lang w:val="en-US" w:eastAsia="zh-CN"/>
              </w:rPr>
              <w:t>5.962</w:t>
            </w:r>
          </w:p>
        </w:tc>
        <w:tc>
          <w:tcPr>
            <w:tcW w:w="487" w:type="pct"/>
          </w:tcPr>
          <w:p w14:paraId="599C4FA3">
            <w:pPr>
              <w:pStyle w:val="26"/>
              <w:bidi w:val="0"/>
              <w:rPr>
                <w:rFonts w:hint="default" w:eastAsia="宋体"/>
                <w:lang w:val="en-US" w:eastAsia="zh-CN"/>
              </w:rPr>
            </w:pPr>
            <w:r>
              <w:rPr>
                <w:rFonts w:hint="eastAsia"/>
                <w:lang w:val="en-US" w:eastAsia="zh-CN"/>
              </w:rPr>
              <w:t>9.81</w:t>
            </w:r>
          </w:p>
        </w:tc>
        <w:tc>
          <w:tcPr>
            <w:tcW w:w="391" w:type="pct"/>
          </w:tcPr>
          <w:p w14:paraId="5CA803DE">
            <w:pPr>
              <w:pStyle w:val="26"/>
              <w:bidi w:val="0"/>
              <w:rPr>
                <w:rFonts w:hint="default" w:eastAsia="宋体"/>
                <w:lang w:val="en-US" w:eastAsia="zh-CN"/>
              </w:rPr>
            </w:pPr>
            <w:r>
              <w:rPr>
                <w:rFonts w:hint="eastAsia"/>
                <w:lang w:val="en-US" w:eastAsia="zh-CN"/>
              </w:rPr>
              <w:t>0.057</w:t>
            </w:r>
          </w:p>
        </w:tc>
        <w:tc>
          <w:tcPr>
            <w:tcW w:w="634" w:type="pct"/>
          </w:tcPr>
          <w:p w14:paraId="34A94BD1">
            <w:pPr>
              <w:pStyle w:val="26"/>
              <w:bidi w:val="0"/>
              <w:rPr>
                <w:rFonts w:hint="default" w:eastAsia="宋体"/>
                <w:lang w:val="en-US" w:eastAsia="zh-CN"/>
              </w:rPr>
            </w:pPr>
            <w:r>
              <w:rPr>
                <w:rFonts w:hint="eastAsia"/>
                <w:lang w:val="en-US" w:eastAsia="zh-CN"/>
              </w:rPr>
              <w:t>2.1</w:t>
            </w:r>
          </w:p>
        </w:tc>
        <w:tc>
          <w:tcPr>
            <w:tcW w:w="506" w:type="pct"/>
            <w:vAlign w:val="center"/>
          </w:tcPr>
          <w:p w14:paraId="5DCE678B">
            <w:pPr>
              <w:pStyle w:val="26"/>
              <w:bidi w:val="0"/>
              <w:rPr>
                <w:rFonts w:hint="default" w:eastAsia="宋体"/>
                <w:lang w:val="en-US" w:eastAsia="zh-CN"/>
              </w:rPr>
            </w:pPr>
            <w:r>
              <w:rPr>
                <w:rFonts w:hint="eastAsia"/>
                <w:lang w:val="en-US" w:eastAsia="zh-CN"/>
              </w:rPr>
              <w:t>2.6561</w:t>
            </w:r>
          </w:p>
        </w:tc>
      </w:tr>
      <w:tr w14:paraId="7FF62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8" w:type="pct"/>
            <w:vAlign w:val="center"/>
          </w:tcPr>
          <w:p w14:paraId="3EE4A615">
            <w:pPr>
              <w:pStyle w:val="26"/>
              <w:bidi w:val="0"/>
              <w:rPr>
                <w:rFonts w:hint="eastAsia" w:eastAsia="宋体"/>
                <w:lang w:val="en-US" w:eastAsia="zh-CN"/>
              </w:rPr>
            </w:pPr>
            <w:r>
              <w:rPr>
                <w:rFonts w:hint="eastAsia"/>
                <w:lang w:val="en-US" w:eastAsia="zh-CN"/>
              </w:rPr>
              <w:t>CO</w:t>
            </w:r>
          </w:p>
        </w:tc>
        <w:tc>
          <w:tcPr>
            <w:tcW w:w="772" w:type="pct"/>
            <w:vAlign w:val="center"/>
          </w:tcPr>
          <w:p w14:paraId="64C44C6B">
            <w:pPr>
              <w:pStyle w:val="26"/>
              <w:bidi w:val="0"/>
              <w:rPr>
                <w:rFonts w:hint="default" w:eastAsia="宋体"/>
                <w:lang w:val="en-US" w:eastAsia="zh-CN"/>
              </w:rPr>
            </w:pPr>
            <w:r>
              <w:rPr>
                <w:rFonts w:hint="eastAsia"/>
                <w:lang w:val="en-US" w:eastAsia="zh-CN"/>
              </w:rPr>
              <w:t>0.97</w:t>
            </w:r>
          </w:p>
        </w:tc>
        <w:tc>
          <w:tcPr>
            <w:tcW w:w="772" w:type="pct"/>
          </w:tcPr>
          <w:p w14:paraId="59B48813">
            <w:pPr>
              <w:pStyle w:val="26"/>
              <w:bidi w:val="0"/>
              <w:rPr>
                <w:rFonts w:hint="default" w:eastAsia="宋体"/>
                <w:lang w:val="en-US" w:eastAsia="zh-CN"/>
              </w:rPr>
            </w:pPr>
            <w:r>
              <w:rPr>
                <w:rFonts w:hint="eastAsia"/>
                <w:lang w:val="en-US" w:eastAsia="zh-CN"/>
              </w:rPr>
              <w:t>1.29</w:t>
            </w:r>
          </w:p>
        </w:tc>
        <w:tc>
          <w:tcPr>
            <w:tcW w:w="667" w:type="pct"/>
            <w:vAlign w:val="center"/>
          </w:tcPr>
          <w:p w14:paraId="7DD52D9F">
            <w:pPr>
              <w:pStyle w:val="26"/>
              <w:bidi w:val="0"/>
              <w:rPr>
                <w:rFonts w:hint="default" w:eastAsia="宋体"/>
                <w:lang w:val="en-US" w:eastAsia="zh-CN"/>
              </w:rPr>
            </w:pPr>
            <w:r>
              <w:rPr>
                <w:rFonts w:hint="eastAsia"/>
                <w:lang w:val="en-US" w:eastAsia="zh-CN"/>
              </w:rPr>
              <w:t>1.188</w:t>
            </w:r>
          </w:p>
        </w:tc>
        <w:tc>
          <w:tcPr>
            <w:tcW w:w="487" w:type="pct"/>
          </w:tcPr>
          <w:p w14:paraId="76441C1A">
            <w:pPr>
              <w:pStyle w:val="26"/>
              <w:bidi w:val="0"/>
              <w:rPr>
                <w:rFonts w:hint="default" w:eastAsia="宋体"/>
                <w:lang w:val="en-US" w:eastAsia="zh-CN"/>
              </w:rPr>
            </w:pPr>
            <w:r>
              <w:rPr>
                <w:rFonts w:hint="eastAsia"/>
                <w:lang w:val="en-US" w:eastAsia="zh-CN"/>
              </w:rPr>
              <w:t>9.81</w:t>
            </w:r>
          </w:p>
        </w:tc>
        <w:tc>
          <w:tcPr>
            <w:tcW w:w="391" w:type="pct"/>
            <w:vAlign w:val="center"/>
          </w:tcPr>
          <w:p w14:paraId="2DF70EA7">
            <w:pPr>
              <w:pStyle w:val="26"/>
              <w:bidi w:val="0"/>
              <w:rPr>
                <w:rFonts w:hint="default" w:eastAsia="宋体"/>
                <w:lang w:val="en-US" w:eastAsia="zh-CN"/>
              </w:rPr>
            </w:pPr>
            <w:r>
              <w:rPr>
                <w:rFonts w:hint="eastAsia"/>
                <w:lang w:val="en-US" w:eastAsia="zh-CN"/>
              </w:rPr>
              <w:t>23.79</w:t>
            </w:r>
          </w:p>
        </w:tc>
        <w:tc>
          <w:tcPr>
            <w:tcW w:w="634" w:type="pct"/>
          </w:tcPr>
          <w:p w14:paraId="79F9E439">
            <w:pPr>
              <w:pStyle w:val="26"/>
              <w:bidi w:val="0"/>
              <w:rPr>
                <w:rFonts w:hint="default" w:eastAsia="宋体"/>
                <w:lang w:val="en-US" w:eastAsia="zh-CN"/>
              </w:rPr>
            </w:pPr>
            <w:r>
              <w:rPr>
                <w:rFonts w:hint="eastAsia"/>
                <w:lang w:val="en-US" w:eastAsia="zh-CN"/>
              </w:rPr>
              <w:t>2.1</w:t>
            </w:r>
          </w:p>
        </w:tc>
        <w:tc>
          <w:tcPr>
            <w:tcW w:w="506" w:type="pct"/>
            <w:vAlign w:val="center"/>
          </w:tcPr>
          <w:p w14:paraId="02B54A75">
            <w:pPr>
              <w:pStyle w:val="26"/>
              <w:bidi w:val="0"/>
              <w:rPr>
                <w:rFonts w:hint="default" w:eastAsia="宋体"/>
                <w:lang w:val="en-US" w:eastAsia="zh-CN"/>
              </w:rPr>
            </w:pPr>
            <w:r>
              <w:rPr>
                <w:rFonts w:hint="eastAsia"/>
                <w:lang w:val="en-US" w:eastAsia="zh-CN"/>
              </w:rPr>
              <w:t>-0.2383</w:t>
            </w:r>
          </w:p>
        </w:tc>
      </w:tr>
    </w:tbl>
    <w:p w14:paraId="3619BD10">
      <w:pPr>
        <w:pStyle w:val="62"/>
        <w:bidi w:val="0"/>
      </w:pPr>
      <w:r>
        <w:rPr>
          <w:rFonts w:hint="eastAsia"/>
        </w:rPr>
        <w:t>根据《建设项目环境风险评价技术导则》(HJ169-2018)附录 G，对于连续排放，Ri≥1/6（0</w:t>
      </w:r>
      <w:r>
        <w:t>.1667</w:t>
      </w:r>
      <w:r>
        <w:rPr>
          <w:rFonts w:hint="eastAsia"/>
        </w:rPr>
        <w:t>）为重质气体，Ri＜1/6 为轻质气体。根据上表计算结果可知除CO为轻质气体外，其余均属于重质气体。</w:t>
      </w:r>
    </w:p>
    <w:p w14:paraId="1476E535">
      <w:pPr>
        <w:pStyle w:val="62"/>
        <w:bidi w:val="0"/>
      </w:pPr>
      <w:r>
        <w:rPr>
          <w:rFonts w:hint="eastAsia"/>
        </w:rPr>
        <w:t>（3）预测模式选择</w:t>
      </w:r>
    </w:p>
    <w:p w14:paraId="714C7A0D">
      <w:pPr>
        <w:pStyle w:val="62"/>
        <w:bidi w:val="0"/>
        <w:rPr>
          <w:rFonts w:hint="eastAsia"/>
        </w:rPr>
      </w:pPr>
      <w:r>
        <w:rPr>
          <w:rFonts w:hint="eastAsia"/>
        </w:rPr>
        <w:t>根据《建设项目环境风险评价技术导则》(HJ169-2018)附录 G，</w:t>
      </w:r>
      <w:r>
        <w:rPr>
          <w:rFonts w:hint="eastAsia"/>
          <w:lang w:val="en-US" w:eastAsia="zh-CN"/>
        </w:rPr>
        <w:t>丙烯、丁烷</w:t>
      </w:r>
      <w:r>
        <w:rPr>
          <w:rFonts w:hint="eastAsia"/>
        </w:rPr>
        <w:t>采用SLAB模型进行风险预测，CO扩散采用 AFTOX模型进行风险预测。</w:t>
      </w:r>
    </w:p>
    <w:p w14:paraId="70A46DFB">
      <w:pPr>
        <w:pStyle w:val="34"/>
        <w:bidi w:val="0"/>
        <w:rPr>
          <w:rFonts w:hint="eastAsia"/>
          <w:lang w:val="en-US" w:eastAsia="zh-CN"/>
        </w:rPr>
      </w:pPr>
      <w:r>
        <w:rPr>
          <w:rFonts w:hint="eastAsia"/>
          <w:lang w:val="en-US" w:eastAsia="zh-CN"/>
        </w:rPr>
        <w:t>F5.1.3预测参数</w:t>
      </w:r>
    </w:p>
    <w:p w14:paraId="2030D589">
      <w:pPr>
        <w:pStyle w:val="62"/>
        <w:bidi w:val="0"/>
      </w:pPr>
      <w:r>
        <w:rPr>
          <w:rFonts w:hint="eastAsia"/>
        </w:rPr>
        <w:t>1、事故源参数</w:t>
      </w:r>
    </w:p>
    <w:p w14:paraId="0C7CBD11">
      <w:pPr>
        <w:pStyle w:val="62"/>
        <w:bidi w:val="0"/>
      </w:pPr>
      <w:r>
        <w:rPr>
          <w:rFonts w:hint="eastAsia"/>
        </w:rPr>
        <w:t>事故源强参数详见&amp;</w:t>
      </w:r>
      <w:r>
        <w:rPr>
          <w:rFonts w:hint="eastAsia"/>
          <w:lang w:val="en-US" w:eastAsia="zh-CN"/>
        </w:rPr>
        <w:t>F</w:t>
      </w:r>
      <w:r>
        <w:t>4.2</w:t>
      </w:r>
      <w:r>
        <w:rPr>
          <w:rFonts w:hint="eastAsia"/>
        </w:rPr>
        <w:t>源项分析章节。</w:t>
      </w:r>
    </w:p>
    <w:p w14:paraId="286DF5EA">
      <w:pPr>
        <w:pStyle w:val="62"/>
        <w:bidi w:val="0"/>
      </w:pPr>
      <w:r>
        <w:rPr>
          <w:rFonts w:hint="eastAsia"/>
        </w:rPr>
        <w:t>2、气象参数</w:t>
      </w:r>
    </w:p>
    <w:p w14:paraId="1D7FE974">
      <w:pPr>
        <w:pStyle w:val="62"/>
        <w:bidi w:val="0"/>
      </w:pPr>
      <w:r>
        <w:rPr>
          <w:rFonts w:hint="eastAsia"/>
        </w:rPr>
        <w:t>本项目大气风险等级为二级评价，根据《建设项目环境风险评价技术导则》(HJ 169-2018)，二级评价选取最不利气象条件进行后果预测，项目大气风险预测模型主要参数见下表。</w:t>
      </w:r>
    </w:p>
    <w:p w14:paraId="4F2BB9A4">
      <w:pPr>
        <w:pStyle w:val="24"/>
        <w:bidi w:val="0"/>
      </w:pPr>
      <w:r>
        <w:rPr>
          <w:rFonts w:hint="eastAsia"/>
        </w:rPr>
        <w:t>表</w:t>
      </w:r>
      <w:r>
        <w:rPr>
          <w:rFonts w:hint="eastAsia"/>
          <w:lang w:val="en-US" w:eastAsia="zh-CN"/>
        </w:rPr>
        <w:t>F</w:t>
      </w:r>
      <w:r>
        <w:rPr>
          <w:rFonts w:hint="eastAsia"/>
        </w:rPr>
        <w:t>5</w:t>
      </w:r>
      <w:r>
        <w:t xml:space="preserve">-3  </w:t>
      </w:r>
      <w:r>
        <w:rPr>
          <w:rFonts w:hint="eastAsia"/>
        </w:rPr>
        <w:t>大气风险预测模型主要参数表</w:t>
      </w:r>
    </w:p>
    <w:tbl>
      <w:tblPr>
        <w:tblStyle w:val="1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78"/>
        <w:gridCol w:w="3081"/>
        <w:gridCol w:w="3081"/>
      </w:tblGrid>
      <w:tr w14:paraId="77B24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5" w:type="pct"/>
            <w:vAlign w:val="center"/>
          </w:tcPr>
          <w:p w14:paraId="5B7DB2C0">
            <w:pPr>
              <w:pStyle w:val="26"/>
              <w:bidi w:val="0"/>
            </w:pPr>
            <w:r>
              <w:rPr>
                <w:rFonts w:hint="eastAsia"/>
              </w:rPr>
              <w:t>参数类型</w:t>
            </w:r>
          </w:p>
        </w:tc>
        <w:tc>
          <w:tcPr>
            <w:tcW w:w="1667" w:type="pct"/>
            <w:vAlign w:val="center"/>
          </w:tcPr>
          <w:p w14:paraId="003F585B">
            <w:pPr>
              <w:pStyle w:val="26"/>
              <w:bidi w:val="0"/>
            </w:pPr>
            <w:r>
              <w:rPr>
                <w:rFonts w:hint="eastAsia"/>
              </w:rPr>
              <w:t>选项</w:t>
            </w:r>
          </w:p>
        </w:tc>
        <w:tc>
          <w:tcPr>
            <w:tcW w:w="1667" w:type="pct"/>
            <w:vAlign w:val="center"/>
          </w:tcPr>
          <w:p w14:paraId="192D3E0E">
            <w:pPr>
              <w:pStyle w:val="26"/>
              <w:bidi w:val="0"/>
            </w:pPr>
            <w:r>
              <w:rPr>
                <w:rFonts w:hint="eastAsia"/>
              </w:rPr>
              <w:t>参数</w:t>
            </w:r>
          </w:p>
        </w:tc>
      </w:tr>
      <w:tr w14:paraId="58317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Merge w:val="restart"/>
            <w:vAlign w:val="center"/>
          </w:tcPr>
          <w:p w14:paraId="0E1669DD">
            <w:pPr>
              <w:pStyle w:val="26"/>
              <w:bidi w:val="0"/>
            </w:pPr>
            <w:r>
              <w:rPr>
                <w:rFonts w:hint="eastAsia"/>
              </w:rPr>
              <w:t>基本情况</w:t>
            </w:r>
          </w:p>
        </w:tc>
        <w:tc>
          <w:tcPr>
            <w:tcW w:w="1667" w:type="pct"/>
            <w:vAlign w:val="center"/>
          </w:tcPr>
          <w:p w14:paraId="0CE80EE4">
            <w:pPr>
              <w:pStyle w:val="26"/>
              <w:bidi w:val="0"/>
            </w:pPr>
            <w:r>
              <w:rPr>
                <w:rFonts w:hint="eastAsia"/>
              </w:rPr>
              <w:t>事故源经度</w:t>
            </w:r>
          </w:p>
        </w:tc>
        <w:tc>
          <w:tcPr>
            <w:tcW w:w="1667" w:type="pct"/>
            <w:vAlign w:val="center"/>
          </w:tcPr>
          <w:p w14:paraId="3D8FFEDF">
            <w:pPr>
              <w:pStyle w:val="26"/>
              <w:bidi w:val="0"/>
            </w:pPr>
            <w:r>
              <w:rPr>
                <w:rFonts w:hint="eastAsia"/>
              </w:rPr>
              <w:t>E113°21′45.509″</w:t>
            </w:r>
          </w:p>
        </w:tc>
      </w:tr>
      <w:tr w14:paraId="4E642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Merge w:val="continue"/>
            <w:vAlign w:val="center"/>
          </w:tcPr>
          <w:p w14:paraId="7C3346B2">
            <w:pPr>
              <w:pStyle w:val="26"/>
              <w:bidi w:val="0"/>
            </w:pPr>
          </w:p>
        </w:tc>
        <w:tc>
          <w:tcPr>
            <w:tcW w:w="1667" w:type="pct"/>
            <w:vAlign w:val="center"/>
          </w:tcPr>
          <w:p w14:paraId="562C1DB6">
            <w:pPr>
              <w:pStyle w:val="26"/>
              <w:bidi w:val="0"/>
            </w:pPr>
            <w:r>
              <w:rPr>
                <w:rFonts w:hint="eastAsia"/>
              </w:rPr>
              <w:t>事故源纬度</w:t>
            </w:r>
          </w:p>
        </w:tc>
        <w:tc>
          <w:tcPr>
            <w:tcW w:w="1667" w:type="pct"/>
            <w:vAlign w:val="center"/>
          </w:tcPr>
          <w:p w14:paraId="757CC37A">
            <w:pPr>
              <w:pStyle w:val="26"/>
              <w:bidi w:val="0"/>
            </w:pPr>
            <w:r>
              <w:rPr>
                <w:rFonts w:hint="eastAsia"/>
              </w:rPr>
              <w:t>N29°32′52.097″</w:t>
            </w:r>
          </w:p>
        </w:tc>
      </w:tr>
      <w:tr w14:paraId="56CC9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Merge w:val="continue"/>
            <w:vAlign w:val="center"/>
          </w:tcPr>
          <w:p w14:paraId="729B8387">
            <w:pPr>
              <w:pStyle w:val="26"/>
              <w:bidi w:val="0"/>
            </w:pPr>
          </w:p>
        </w:tc>
        <w:tc>
          <w:tcPr>
            <w:tcW w:w="1667" w:type="pct"/>
            <w:vAlign w:val="center"/>
          </w:tcPr>
          <w:p w14:paraId="5311D82A">
            <w:pPr>
              <w:pStyle w:val="26"/>
              <w:bidi w:val="0"/>
            </w:pPr>
            <w:r>
              <w:rPr>
                <w:rFonts w:hint="eastAsia"/>
              </w:rPr>
              <w:t>事故源类型</w:t>
            </w:r>
          </w:p>
        </w:tc>
        <w:tc>
          <w:tcPr>
            <w:tcW w:w="1667" w:type="pct"/>
            <w:vAlign w:val="center"/>
          </w:tcPr>
          <w:p w14:paraId="6E9EA27D">
            <w:pPr>
              <w:pStyle w:val="26"/>
              <w:bidi w:val="0"/>
            </w:pPr>
            <w:r>
              <w:rPr>
                <w:rFonts w:hint="eastAsia"/>
              </w:rPr>
              <w:t>火灾、泄漏</w:t>
            </w:r>
          </w:p>
        </w:tc>
      </w:tr>
      <w:tr w14:paraId="44EB3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Merge w:val="restart"/>
            <w:vAlign w:val="center"/>
          </w:tcPr>
          <w:p w14:paraId="00CE22C9">
            <w:pPr>
              <w:pStyle w:val="26"/>
              <w:bidi w:val="0"/>
            </w:pPr>
            <w:r>
              <w:rPr>
                <w:rFonts w:hint="eastAsia"/>
              </w:rPr>
              <w:t>气象参数</w:t>
            </w:r>
          </w:p>
        </w:tc>
        <w:tc>
          <w:tcPr>
            <w:tcW w:w="1667" w:type="pct"/>
            <w:vAlign w:val="center"/>
          </w:tcPr>
          <w:p w14:paraId="7F19236D">
            <w:pPr>
              <w:pStyle w:val="26"/>
              <w:bidi w:val="0"/>
            </w:pPr>
            <w:r>
              <w:rPr>
                <w:rFonts w:hint="eastAsia"/>
              </w:rPr>
              <w:t>风速/m</w:t>
            </w:r>
            <w:r>
              <w:t>/s</w:t>
            </w:r>
          </w:p>
        </w:tc>
        <w:tc>
          <w:tcPr>
            <w:tcW w:w="1667" w:type="pct"/>
            <w:vAlign w:val="center"/>
          </w:tcPr>
          <w:p w14:paraId="02710576">
            <w:pPr>
              <w:pStyle w:val="26"/>
              <w:bidi w:val="0"/>
            </w:pPr>
            <w:r>
              <w:rPr>
                <w:rFonts w:hint="eastAsia"/>
              </w:rPr>
              <w:t>1.5</w:t>
            </w:r>
          </w:p>
        </w:tc>
      </w:tr>
      <w:tr w14:paraId="706F2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Merge w:val="continue"/>
            <w:vAlign w:val="center"/>
          </w:tcPr>
          <w:p w14:paraId="0FC6F582">
            <w:pPr>
              <w:pStyle w:val="26"/>
              <w:bidi w:val="0"/>
            </w:pPr>
          </w:p>
        </w:tc>
        <w:tc>
          <w:tcPr>
            <w:tcW w:w="1667" w:type="pct"/>
            <w:vAlign w:val="center"/>
          </w:tcPr>
          <w:p w14:paraId="5EC523CA">
            <w:pPr>
              <w:pStyle w:val="26"/>
              <w:bidi w:val="0"/>
            </w:pPr>
            <w:r>
              <w:rPr>
                <w:rFonts w:hint="eastAsia"/>
              </w:rPr>
              <w:t>环境温度/℃</w:t>
            </w:r>
          </w:p>
        </w:tc>
        <w:tc>
          <w:tcPr>
            <w:tcW w:w="1667" w:type="pct"/>
            <w:vAlign w:val="center"/>
          </w:tcPr>
          <w:p w14:paraId="4BFAD2A0">
            <w:pPr>
              <w:pStyle w:val="26"/>
              <w:bidi w:val="0"/>
            </w:pPr>
            <w:r>
              <w:rPr>
                <w:rFonts w:hint="eastAsia"/>
              </w:rPr>
              <w:t>25</w:t>
            </w:r>
          </w:p>
        </w:tc>
      </w:tr>
      <w:tr w14:paraId="58C0E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Merge w:val="continue"/>
            <w:vAlign w:val="center"/>
          </w:tcPr>
          <w:p w14:paraId="7241F9E0">
            <w:pPr>
              <w:pStyle w:val="26"/>
              <w:bidi w:val="0"/>
            </w:pPr>
          </w:p>
        </w:tc>
        <w:tc>
          <w:tcPr>
            <w:tcW w:w="1667" w:type="pct"/>
            <w:vAlign w:val="center"/>
          </w:tcPr>
          <w:p w14:paraId="681BE90E">
            <w:pPr>
              <w:pStyle w:val="26"/>
              <w:bidi w:val="0"/>
            </w:pPr>
            <w:r>
              <w:rPr>
                <w:rFonts w:hint="eastAsia"/>
              </w:rPr>
              <w:t>相对湿度%</w:t>
            </w:r>
          </w:p>
        </w:tc>
        <w:tc>
          <w:tcPr>
            <w:tcW w:w="1667" w:type="pct"/>
            <w:vAlign w:val="center"/>
          </w:tcPr>
          <w:p w14:paraId="11C8A078">
            <w:pPr>
              <w:pStyle w:val="26"/>
              <w:bidi w:val="0"/>
            </w:pPr>
            <w:r>
              <w:rPr>
                <w:rFonts w:hint="eastAsia"/>
              </w:rPr>
              <w:t>5</w:t>
            </w:r>
            <w:r>
              <w:t>0</w:t>
            </w:r>
          </w:p>
        </w:tc>
      </w:tr>
      <w:tr w14:paraId="51483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Merge w:val="continue"/>
            <w:vAlign w:val="center"/>
          </w:tcPr>
          <w:p w14:paraId="7AABF67D">
            <w:pPr>
              <w:pStyle w:val="26"/>
              <w:bidi w:val="0"/>
            </w:pPr>
          </w:p>
        </w:tc>
        <w:tc>
          <w:tcPr>
            <w:tcW w:w="1667" w:type="pct"/>
            <w:vAlign w:val="center"/>
          </w:tcPr>
          <w:p w14:paraId="321C1258">
            <w:pPr>
              <w:pStyle w:val="26"/>
              <w:bidi w:val="0"/>
            </w:pPr>
            <w:r>
              <w:rPr>
                <w:rFonts w:hint="eastAsia"/>
              </w:rPr>
              <w:t>稳定度</w:t>
            </w:r>
          </w:p>
        </w:tc>
        <w:tc>
          <w:tcPr>
            <w:tcW w:w="1667" w:type="pct"/>
            <w:vAlign w:val="center"/>
          </w:tcPr>
          <w:p w14:paraId="79F89A66">
            <w:pPr>
              <w:pStyle w:val="26"/>
              <w:bidi w:val="0"/>
            </w:pPr>
            <w:r>
              <w:rPr>
                <w:rFonts w:hint="eastAsia"/>
              </w:rPr>
              <w:t>F</w:t>
            </w:r>
          </w:p>
        </w:tc>
      </w:tr>
      <w:tr w14:paraId="447A6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Merge w:val="restart"/>
            <w:vAlign w:val="center"/>
          </w:tcPr>
          <w:p w14:paraId="59C5D3EE">
            <w:pPr>
              <w:pStyle w:val="26"/>
              <w:bidi w:val="0"/>
            </w:pPr>
            <w:r>
              <w:rPr>
                <w:rFonts w:hint="eastAsia"/>
              </w:rPr>
              <w:t>其他参数</w:t>
            </w:r>
          </w:p>
        </w:tc>
        <w:tc>
          <w:tcPr>
            <w:tcW w:w="1667" w:type="pct"/>
            <w:vAlign w:val="center"/>
          </w:tcPr>
          <w:p w14:paraId="1560283B">
            <w:pPr>
              <w:pStyle w:val="26"/>
              <w:bidi w:val="0"/>
            </w:pPr>
            <w:r>
              <w:rPr>
                <w:rFonts w:hint="eastAsia"/>
              </w:rPr>
              <w:t>地表粗糙度/</w:t>
            </w:r>
            <w:r>
              <w:t>m</w:t>
            </w:r>
          </w:p>
        </w:tc>
        <w:tc>
          <w:tcPr>
            <w:tcW w:w="1667" w:type="pct"/>
            <w:vAlign w:val="center"/>
          </w:tcPr>
          <w:p w14:paraId="24F41FF3">
            <w:pPr>
              <w:pStyle w:val="26"/>
              <w:bidi w:val="0"/>
            </w:pPr>
            <w:r>
              <w:rPr>
                <w:rFonts w:hint="eastAsia"/>
              </w:rPr>
              <w:t>100</w:t>
            </w:r>
            <w:r>
              <w:t>cm</w:t>
            </w:r>
          </w:p>
        </w:tc>
      </w:tr>
      <w:tr w14:paraId="0A140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Merge w:val="continue"/>
            <w:vAlign w:val="center"/>
          </w:tcPr>
          <w:p w14:paraId="282063CB">
            <w:pPr>
              <w:pStyle w:val="26"/>
              <w:bidi w:val="0"/>
            </w:pPr>
          </w:p>
        </w:tc>
        <w:tc>
          <w:tcPr>
            <w:tcW w:w="1667" w:type="pct"/>
            <w:vAlign w:val="center"/>
          </w:tcPr>
          <w:p w14:paraId="7DA1256E">
            <w:pPr>
              <w:pStyle w:val="26"/>
              <w:bidi w:val="0"/>
            </w:pPr>
            <w:r>
              <w:rPr>
                <w:rFonts w:hint="eastAsia"/>
              </w:rPr>
              <w:t>是否考虑地形</w:t>
            </w:r>
          </w:p>
        </w:tc>
        <w:tc>
          <w:tcPr>
            <w:tcW w:w="1667" w:type="pct"/>
            <w:vAlign w:val="center"/>
          </w:tcPr>
          <w:p w14:paraId="2A25E021">
            <w:pPr>
              <w:pStyle w:val="26"/>
              <w:bidi w:val="0"/>
            </w:pPr>
            <w:r>
              <w:rPr>
                <w:rFonts w:hint="eastAsia"/>
              </w:rPr>
              <w:t>不考虑</w:t>
            </w:r>
          </w:p>
        </w:tc>
      </w:tr>
      <w:tr w14:paraId="6A4EB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Merge w:val="continue"/>
            <w:vAlign w:val="center"/>
          </w:tcPr>
          <w:p w14:paraId="3E30ABBF">
            <w:pPr>
              <w:pStyle w:val="26"/>
              <w:bidi w:val="0"/>
            </w:pPr>
          </w:p>
        </w:tc>
        <w:tc>
          <w:tcPr>
            <w:tcW w:w="1667" w:type="pct"/>
            <w:vAlign w:val="center"/>
          </w:tcPr>
          <w:p w14:paraId="6C399407">
            <w:pPr>
              <w:pStyle w:val="26"/>
              <w:bidi w:val="0"/>
            </w:pPr>
            <w:r>
              <w:rPr>
                <w:rFonts w:hint="eastAsia"/>
              </w:rPr>
              <w:t>地形数据</w:t>
            </w:r>
            <w:r>
              <w:rPr>
                <w:rFonts w:hint="eastAsia"/>
                <w:lang w:eastAsia="zh-CN"/>
              </w:rPr>
              <w:t>精度</w:t>
            </w:r>
            <w:r>
              <w:rPr>
                <w:rFonts w:hint="eastAsia"/>
              </w:rPr>
              <w:t>/</w:t>
            </w:r>
            <w:r>
              <w:t>m</w:t>
            </w:r>
          </w:p>
        </w:tc>
        <w:tc>
          <w:tcPr>
            <w:tcW w:w="1667" w:type="pct"/>
            <w:vAlign w:val="center"/>
          </w:tcPr>
          <w:p w14:paraId="77F0C1FB">
            <w:pPr>
              <w:pStyle w:val="26"/>
              <w:bidi w:val="0"/>
            </w:pPr>
            <w:r>
              <w:rPr>
                <w:rFonts w:hint="eastAsia"/>
              </w:rPr>
              <w:t>/</w:t>
            </w:r>
          </w:p>
        </w:tc>
      </w:tr>
    </w:tbl>
    <w:p w14:paraId="695CB931">
      <w:pPr>
        <w:pStyle w:val="25"/>
        <w:bidi w:val="0"/>
      </w:pPr>
      <w:r>
        <w:rPr>
          <w:rFonts w:hint="eastAsia"/>
        </w:rPr>
        <w:t>3、大气毒性终点浓度值选取</w:t>
      </w:r>
    </w:p>
    <w:p w14:paraId="2539830A">
      <w:pPr>
        <w:pStyle w:val="25"/>
        <w:bidi w:val="0"/>
      </w:pPr>
      <w:r>
        <w:rPr>
          <w:rFonts w:hint="eastAsia"/>
        </w:rPr>
        <w:t>大气毒性终点浓度值分为1级和2级。其中1级为当大气中危险物质浓度低于该限值时，绝大多数人员暴露1h 不会对生命造成威胁，当超过该限值时，有可能对人群造成生命威胁；2 级为当大气中危险物质浓度低于该限值时，暴露 1h 一般不会对人体造成不可逆的伤害，或出现的症状一般不会损伤该个体采取有效防护措施的能力。</w:t>
      </w:r>
    </w:p>
    <w:p w14:paraId="2A64E23D">
      <w:pPr>
        <w:pStyle w:val="25"/>
        <w:bidi w:val="0"/>
      </w:pPr>
      <w:r>
        <w:rPr>
          <w:rFonts w:hint="eastAsia"/>
        </w:rPr>
        <w:t>根据《建设项目环境风险评价技术导则》(HJ169-2018)附录 H，项目风险因子大气毒性终点浓度值如下表所示。</w:t>
      </w:r>
    </w:p>
    <w:p w14:paraId="7B47FC33">
      <w:pPr>
        <w:pStyle w:val="63"/>
        <w:bidi w:val="0"/>
      </w:pPr>
      <w:r>
        <w:rPr>
          <w:rFonts w:hint="eastAsia"/>
        </w:rPr>
        <w:t>表</w:t>
      </w:r>
      <w:r>
        <w:rPr>
          <w:rFonts w:hint="eastAsia"/>
          <w:lang w:val="en-US" w:eastAsia="zh-CN"/>
        </w:rPr>
        <w:t>F</w:t>
      </w:r>
      <w:r>
        <w:rPr>
          <w:rFonts w:hint="eastAsia"/>
        </w:rPr>
        <w:t>5</w:t>
      </w:r>
      <w:r>
        <w:t xml:space="preserve">-4  </w:t>
      </w:r>
      <w:r>
        <w:rPr>
          <w:rFonts w:hint="eastAsia"/>
        </w:rPr>
        <w:t>项目风险因子大气毒性</w:t>
      </w:r>
      <w:r>
        <w:rPr>
          <w:rFonts w:hint="eastAsia"/>
          <w:lang w:eastAsia="zh-CN"/>
        </w:rPr>
        <w:t>终点浓度</w:t>
      </w:r>
      <w:r>
        <w:rPr>
          <w:rFonts w:hint="eastAsia"/>
        </w:rPr>
        <w:t>取值表</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1"/>
        <w:gridCol w:w="2101"/>
        <w:gridCol w:w="1422"/>
        <w:gridCol w:w="2284"/>
        <w:gridCol w:w="2284"/>
      </w:tblGrid>
      <w:tr w14:paraId="1AE4E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23" w:type="pct"/>
            <w:vAlign w:val="center"/>
          </w:tcPr>
          <w:p w14:paraId="13A319A8">
            <w:pPr>
              <w:pStyle w:val="26"/>
              <w:bidi w:val="0"/>
            </w:pPr>
            <w:r>
              <w:rPr>
                <w:rFonts w:hint="eastAsia"/>
              </w:rPr>
              <w:t>序号</w:t>
            </w:r>
          </w:p>
        </w:tc>
        <w:tc>
          <w:tcPr>
            <w:tcW w:w="1136" w:type="pct"/>
            <w:vAlign w:val="center"/>
          </w:tcPr>
          <w:p w14:paraId="731BEF83">
            <w:pPr>
              <w:pStyle w:val="26"/>
              <w:bidi w:val="0"/>
            </w:pPr>
            <w:r>
              <w:rPr>
                <w:rFonts w:hint="eastAsia"/>
              </w:rPr>
              <w:t>风险因子</w:t>
            </w:r>
          </w:p>
        </w:tc>
        <w:tc>
          <w:tcPr>
            <w:tcW w:w="769" w:type="pct"/>
            <w:vAlign w:val="center"/>
          </w:tcPr>
          <w:p w14:paraId="11C0583F">
            <w:pPr>
              <w:pStyle w:val="26"/>
              <w:bidi w:val="0"/>
            </w:pPr>
            <w:r>
              <w:rPr>
                <w:rFonts w:hint="eastAsia"/>
              </w:rPr>
              <w:t>单位</w:t>
            </w:r>
          </w:p>
        </w:tc>
        <w:tc>
          <w:tcPr>
            <w:tcW w:w="1235" w:type="pct"/>
            <w:vAlign w:val="center"/>
          </w:tcPr>
          <w:p w14:paraId="1B0632D8">
            <w:pPr>
              <w:pStyle w:val="26"/>
              <w:bidi w:val="0"/>
            </w:pPr>
            <w:r>
              <w:rPr>
                <w:rFonts w:hint="eastAsia"/>
              </w:rPr>
              <w:t>大气毒性</w:t>
            </w:r>
          </w:p>
          <w:p w14:paraId="57D946A8">
            <w:pPr>
              <w:pStyle w:val="26"/>
              <w:bidi w:val="0"/>
            </w:pPr>
            <w:r>
              <w:rPr>
                <w:rFonts w:hint="eastAsia"/>
              </w:rPr>
              <w:t>终点浓度-</w:t>
            </w:r>
            <w:r>
              <w:t>1</w:t>
            </w:r>
          </w:p>
        </w:tc>
        <w:tc>
          <w:tcPr>
            <w:tcW w:w="1235" w:type="pct"/>
            <w:vAlign w:val="center"/>
          </w:tcPr>
          <w:p w14:paraId="45789218">
            <w:pPr>
              <w:pStyle w:val="26"/>
              <w:bidi w:val="0"/>
            </w:pPr>
            <w:r>
              <w:rPr>
                <w:rFonts w:hint="eastAsia"/>
              </w:rPr>
              <w:t>大气毒性</w:t>
            </w:r>
          </w:p>
          <w:p w14:paraId="3D896E3F">
            <w:pPr>
              <w:pStyle w:val="26"/>
              <w:bidi w:val="0"/>
            </w:pPr>
            <w:r>
              <w:rPr>
                <w:rFonts w:hint="eastAsia"/>
              </w:rPr>
              <w:t>终点浓度-</w:t>
            </w:r>
            <w:r>
              <w:t>2</w:t>
            </w:r>
          </w:p>
        </w:tc>
      </w:tr>
      <w:tr w14:paraId="3AE8C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5B198BAA">
            <w:pPr>
              <w:pStyle w:val="26"/>
              <w:bidi w:val="0"/>
            </w:pPr>
            <w:r>
              <w:rPr>
                <w:rFonts w:hint="eastAsia"/>
              </w:rPr>
              <w:t>1</w:t>
            </w:r>
          </w:p>
        </w:tc>
        <w:tc>
          <w:tcPr>
            <w:tcW w:w="1136" w:type="pct"/>
            <w:vAlign w:val="center"/>
          </w:tcPr>
          <w:p w14:paraId="7E0FD8F6">
            <w:pPr>
              <w:pStyle w:val="26"/>
              <w:bidi w:val="0"/>
              <w:rPr>
                <w:rFonts w:hint="default"/>
                <w:lang w:val="en-US" w:eastAsia="zh-CN"/>
              </w:rPr>
            </w:pPr>
            <w:r>
              <w:rPr>
                <w:rFonts w:hint="eastAsia"/>
                <w:lang w:val="en-US" w:eastAsia="zh-CN"/>
              </w:rPr>
              <w:t>丙烯</w:t>
            </w:r>
          </w:p>
        </w:tc>
        <w:tc>
          <w:tcPr>
            <w:tcW w:w="769" w:type="pct"/>
            <w:vAlign w:val="center"/>
          </w:tcPr>
          <w:p w14:paraId="41035E43">
            <w:pPr>
              <w:pStyle w:val="26"/>
              <w:bidi w:val="0"/>
            </w:pPr>
            <w:r>
              <w:rPr>
                <w:rFonts w:hint="eastAsia"/>
              </w:rPr>
              <w:t>mg</w:t>
            </w:r>
            <w:r>
              <w:t>/m</w:t>
            </w:r>
            <w:r>
              <w:rPr>
                <w:vertAlign w:val="superscript"/>
              </w:rPr>
              <w:t>3</w:t>
            </w:r>
          </w:p>
        </w:tc>
        <w:tc>
          <w:tcPr>
            <w:tcW w:w="1235" w:type="pct"/>
            <w:vAlign w:val="center"/>
          </w:tcPr>
          <w:p w14:paraId="394404C9">
            <w:pPr>
              <w:pStyle w:val="26"/>
              <w:bidi w:val="0"/>
              <w:rPr>
                <w:rFonts w:hint="default" w:eastAsia="宋体"/>
                <w:lang w:val="en-US" w:eastAsia="zh-CN"/>
              </w:rPr>
            </w:pPr>
            <w:r>
              <w:rPr>
                <w:rFonts w:hint="eastAsia"/>
                <w:lang w:val="en-US" w:eastAsia="zh-CN"/>
              </w:rPr>
              <w:t>29000</w:t>
            </w:r>
          </w:p>
        </w:tc>
        <w:tc>
          <w:tcPr>
            <w:tcW w:w="1235" w:type="pct"/>
            <w:vAlign w:val="center"/>
          </w:tcPr>
          <w:p w14:paraId="017861B3">
            <w:pPr>
              <w:pStyle w:val="26"/>
              <w:bidi w:val="0"/>
              <w:rPr>
                <w:rFonts w:hint="default" w:eastAsia="宋体"/>
                <w:lang w:val="en-US" w:eastAsia="zh-CN"/>
              </w:rPr>
            </w:pPr>
            <w:r>
              <w:rPr>
                <w:rFonts w:hint="eastAsia"/>
                <w:lang w:val="en-US" w:eastAsia="zh-CN"/>
              </w:rPr>
              <w:t>4800</w:t>
            </w:r>
          </w:p>
        </w:tc>
      </w:tr>
      <w:tr w14:paraId="62DCA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107C9930">
            <w:pPr>
              <w:pStyle w:val="26"/>
              <w:bidi w:val="0"/>
            </w:pPr>
            <w:r>
              <w:rPr>
                <w:rFonts w:hint="eastAsia"/>
              </w:rPr>
              <w:t>2</w:t>
            </w:r>
          </w:p>
        </w:tc>
        <w:tc>
          <w:tcPr>
            <w:tcW w:w="1136" w:type="pct"/>
            <w:vAlign w:val="center"/>
          </w:tcPr>
          <w:p w14:paraId="170D7D83">
            <w:pPr>
              <w:pStyle w:val="26"/>
              <w:bidi w:val="0"/>
              <w:rPr>
                <w:rFonts w:hint="eastAsia"/>
                <w:lang w:val="en-US" w:eastAsia="zh-CN"/>
              </w:rPr>
            </w:pPr>
            <w:r>
              <w:rPr>
                <w:rFonts w:hint="eastAsia"/>
                <w:lang w:val="en-US" w:eastAsia="zh-CN"/>
              </w:rPr>
              <w:t>丁烷</w:t>
            </w:r>
          </w:p>
        </w:tc>
        <w:tc>
          <w:tcPr>
            <w:tcW w:w="769" w:type="pct"/>
            <w:vAlign w:val="center"/>
          </w:tcPr>
          <w:p w14:paraId="7B94D178">
            <w:pPr>
              <w:pStyle w:val="26"/>
              <w:bidi w:val="0"/>
            </w:pPr>
            <w:r>
              <w:rPr>
                <w:rFonts w:hint="eastAsia"/>
              </w:rPr>
              <w:t>mg</w:t>
            </w:r>
            <w:r>
              <w:t>/m</w:t>
            </w:r>
            <w:r>
              <w:rPr>
                <w:vertAlign w:val="superscript"/>
              </w:rPr>
              <w:t>3</w:t>
            </w:r>
          </w:p>
        </w:tc>
        <w:tc>
          <w:tcPr>
            <w:tcW w:w="1235" w:type="pct"/>
            <w:vAlign w:val="center"/>
          </w:tcPr>
          <w:p w14:paraId="1734E25B">
            <w:pPr>
              <w:pStyle w:val="26"/>
              <w:bidi w:val="0"/>
              <w:rPr>
                <w:rFonts w:hint="default" w:eastAsia="宋体"/>
                <w:lang w:val="en-US" w:eastAsia="zh-CN"/>
              </w:rPr>
            </w:pPr>
            <w:r>
              <w:rPr>
                <w:rFonts w:hint="eastAsia"/>
                <w:lang w:val="en-US" w:eastAsia="zh-CN"/>
              </w:rPr>
              <w:t>130000</w:t>
            </w:r>
          </w:p>
        </w:tc>
        <w:tc>
          <w:tcPr>
            <w:tcW w:w="1235" w:type="pct"/>
            <w:vAlign w:val="center"/>
          </w:tcPr>
          <w:p w14:paraId="62DC76FA">
            <w:pPr>
              <w:pStyle w:val="26"/>
              <w:bidi w:val="0"/>
              <w:rPr>
                <w:rFonts w:hint="default" w:eastAsia="宋体"/>
                <w:lang w:val="en-US" w:eastAsia="zh-CN"/>
              </w:rPr>
            </w:pPr>
            <w:r>
              <w:rPr>
                <w:rFonts w:hint="eastAsia"/>
                <w:lang w:val="en-US" w:eastAsia="zh-CN"/>
              </w:rPr>
              <w:t>40000</w:t>
            </w:r>
          </w:p>
        </w:tc>
      </w:tr>
      <w:tr w14:paraId="20121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44F467B7">
            <w:pPr>
              <w:pStyle w:val="26"/>
              <w:bidi w:val="0"/>
            </w:pPr>
            <w:r>
              <w:rPr>
                <w:rFonts w:hint="eastAsia"/>
              </w:rPr>
              <w:t>3</w:t>
            </w:r>
          </w:p>
        </w:tc>
        <w:tc>
          <w:tcPr>
            <w:tcW w:w="1136" w:type="pct"/>
            <w:vAlign w:val="center"/>
          </w:tcPr>
          <w:p w14:paraId="6F3BA747">
            <w:pPr>
              <w:pStyle w:val="26"/>
              <w:bidi w:val="0"/>
            </w:pPr>
            <w:r>
              <w:rPr>
                <w:rFonts w:hint="eastAsia"/>
              </w:rPr>
              <w:t>CO</w:t>
            </w:r>
          </w:p>
        </w:tc>
        <w:tc>
          <w:tcPr>
            <w:tcW w:w="769" w:type="pct"/>
            <w:vAlign w:val="center"/>
          </w:tcPr>
          <w:p w14:paraId="5E8D39CA">
            <w:pPr>
              <w:pStyle w:val="26"/>
              <w:bidi w:val="0"/>
            </w:pPr>
            <w:r>
              <w:rPr>
                <w:rFonts w:hint="eastAsia"/>
              </w:rPr>
              <w:t>mg</w:t>
            </w:r>
            <w:r>
              <w:t>/m</w:t>
            </w:r>
            <w:r>
              <w:rPr>
                <w:vertAlign w:val="superscript"/>
              </w:rPr>
              <w:t>3</w:t>
            </w:r>
          </w:p>
        </w:tc>
        <w:tc>
          <w:tcPr>
            <w:tcW w:w="1235" w:type="pct"/>
            <w:vAlign w:val="center"/>
          </w:tcPr>
          <w:p w14:paraId="6AEEE2E8">
            <w:pPr>
              <w:pStyle w:val="26"/>
              <w:bidi w:val="0"/>
            </w:pPr>
            <w:r>
              <w:rPr>
                <w:rFonts w:hint="eastAsia"/>
              </w:rPr>
              <w:t>3</w:t>
            </w:r>
            <w:r>
              <w:t>80</w:t>
            </w:r>
          </w:p>
        </w:tc>
        <w:tc>
          <w:tcPr>
            <w:tcW w:w="1235" w:type="pct"/>
            <w:vAlign w:val="center"/>
          </w:tcPr>
          <w:p w14:paraId="6983C707">
            <w:pPr>
              <w:pStyle w:val="26"/>
              <w:bidi w:val="0"/>
            </w:pPr>
            <w:r>
              <w:rPr>
                <w:rFonts w:hint="eastAsia"/>
              </w:rPr>
              <w:t>9</w:t>
            </w:r>
            <w:r>
              <w:t>5</w:t>
            </w:r>
          </w:p>
        </w:tc>
      </w:tr>
    </w:tbl>
    <w:p w14:paraId="16C503D3">
      <w:pPr>
        <w:pStyle w:val="25"/>
        <w:bidi w:val="0"/>
      </w:pPr>
      <w:r>
        <w:rPr>
          <w:rFonts w:hint="eastAsia"/>
        </w:rPr>
        <w:t>4、网格设置及其他参数</w:t>
      </w:r>
    </w:p>
    <w:p w14:paraId="72DB80C7">
      <w:pPr>
        <w:pStyle w:val="25"/>
        <w:bidi w:val="0"/>
        <w:rPr>
          <w:rFonts w:hint="eastAsia"/>
        </w:rPr>
      </w:pPr>
      <w:r>
        <w:rPr>
          <w:rFonts w:hint="eastAsia"/>
        </w:rPr>
        <w:t>以N为主导风向，考虑下风向5km范围，计算点设置20m间距，计算平面离地高度为1.5m，计算时间为1h，间隔为5min，统计15min平均浓度，泄漏地面为干水泥。</w:t>
      </w:r>
    </w:p>
    <w:p w14:paraId="726D12DE">
      <w:pPr>
        <w:pStyle w:val="34"/>
        <w:bidi w:val="0"/>
        <w:rPr>
          <w:rFonts w:hint="eastAsia"/>
          <w:lang w:val="en-US" w:eastAsia="zh-CN"/>
        </w:rPr>
      </w:pPr>
      <w:r>
        <w:rPr>
          <w:rFonts w:hint="eastAsia"/>
          <w:lang w:val="en-US" w:eastAsia="zh-CN"/>
        </w:rPr>
        <w:t>F5.1.4丙烯预测结果</w:t>
      </w:r>
    </w:p>
    <w:p w14:paraId="65585FA7">
      <w:pPr>
        <w:pStyle w:val="63"/>
        <w:bidi w:val="0"/>
      </w:pPr>
      <w:r>
        <w:rPr>
          <w:rFonts w:hint="eastAsia"/>
        </w:rPr>
        <w:t>表</w:t>
      </w:r>
      <w:r>
        <w:rPr>
          <w:rFonts w:hint="eastAsia"/>
          <w:lang w:val="en-US" w:eastAsia="zh-CN"/>
        </w:rPr>
        <w:t>F5</w:t>
      </w:r>
      <w:r>
        <w:t>-</w:t>
      </w:r>
      <w:r>
        <w:rPr>
          <w:rFonts w:hint="eastAsia"/>
          <w:lang w:val="en-US" w:eastAsia="zh-CN"/>
        </w:rPr>
        <w:t>5</w:t>
      </w:r>
      <w:r>
        <w:t xml:space="preserve">  </w:t>
      </w:r>
      <w:r>
        <w:rPr>
          <w:rFonts w:hint="eastAsia"/>
          <w:lang w:val="en-US" w:eastAsia="zh-CN"/>
        </w:rPr>
        <w:t>液化石油气泄漏丙烯</w:t>
      </w:r>
      <w:r>
        <w:rPr>
          <w:rFonts w:hint="eastAsia"/>
        </w:rPr>
        <w:t>预测结果表</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4"/>
        <w:gridCol w:w="3915"/>
        <w:gridCol w:w="2943"/>
      </w:tblGrid>
      <w:tr w14:paraId="38851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4E79ECF0">
            <w:pPr>
              <w:pStyle w:val="48"/>
              <w:rPr>
                <w:u w:val="none"/>
              </w:rPr>
            </w:pPr>
            <w:r>
              <w:rPr>
                <w:rFonts w:hint="eastAsia"/>
                <w:u w:val="none"/>
              </w:rPr>
              <w:t>距离</w:t>
            </w:r>
          </w:p>
        </w:tc>
        <w:tc>
          <w:tcPr>
            <w:tcW w:w="2118" w:type="pct"/>
            <w:shd w:val="clear" w:color="auto" w:fill="auto"/>
            <w:noWrap/>
            <w:vAlign w:val="bottom"/>
          </w:tcPr>
          <w:p w14:paraId="5F9B4EB7">
            <w:pPr>
              <w:pStyle w:val="48"/>
              <w:rPr>
                <w:rFonts w:hint="eastAsia"/>
                <w:u w:val="none"/>
              </w:rPr>
            </w:pPr>
            <w:r>
              <w:rPr>
                <w:rFonts w:hint="eastAsia"/>
                <w:u w:val="none"/>
              </w:rPr>
              <w:t>浓度出现时间</w:t>
            </w:r>
          </w:p>
        </w:tc>
        <w:tc>
          <w:tcPr>
            <w:tcW w:w="1592" w:type="pct"/>
            <w:shd w:val="clear" w:color="auto" w:fill="auto"/>
            <w:noWrap/>
            <w:vAlign w:val="bottom"/>
          </w:tcPr>
          <w:p w14:paraId="2EDB704D">
            <w:pPr>
              <w:pStyle w:val="48"/>
              <w:rPr>
                <w:rFonts w:hint="eastAsia"/>
                <w:u w:val="none"/>
              </w:rPr>
            </w:pPr>
            <w:r>
              <w:rPr>
                <w:rFonts w:hint="eastAsia"/>
                <w:u w:val="none"/>
              </w:rPr>
              <w:t>高峰浓度</w:t>
            </w:r>
          </w:p>
        </w:tc>
      </w:tr>
      <w:tr w14:paraId="42398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6BBC7ED8">
            <w:pPr>
              <w:pStyle w:val="48"/>
              <w:rPr>
                <w:rFonts w:hint="eastAsia"/>
                <w:u w:val="none"/>
              </w:rPr>
            </w:pPr>
            <w:r>
              <w:rPr>
                <w:rFonts w:hint="eastAsia"/>
                <w:u w:val="none"/>
              </w:rPr>
              <w:t xml:space="preserve"> (m)</w:t>
            </w:r>
          </w:p>
        </w:tc>
        <w:tc>
          <w:tcPr>
            <w:tcW w:w="2118" w:type="pct"/>
            <w:shd w:val="clear" w:color="auto" w:fill="auto"/>
            <w:noWrap/>
            <w:vAlign w:val="bottom"/>
          </w:tcPr>
          <w:p w14:paraId="4C9A0BDD">
            <w:pPr>
              <w:pStyle w:val="48"/>
              <w:rPr>
                <w:rFonts w:hint="eastAsia"/>
                <w:u w:val="none"/>
              </w:rPr>
            </w:pPr>
            <w:r>
              <w:rPr>
                <w:rFonts w:hint="eastAsia"/>
                <w:u w:val="none"/>
              </w:rPr>
              <w:t>(min)</w:t>
            </w:r>
          </w:p>
        </w:tc>
        <w:tc>
          <w:tcPr>
            <w:tcW w:w="1592" w:type="pct"/>
            <w:shd w:val="clear" w:color="auto" w:fill="auto"/>
            <w:noWrap/>
            <w:vAlign w:val="bottom"/>
          </w:tcPr>
          <w:p w14:paraId="13D2FFAE">
            <w:pPr>
              <w:pStyle w:val="48"/>
              <w:rPr>
                <w:rFonts w:hint="eastAsia"/>
                <w:u w:val="none"/>
              </w:rPr>
            </w:pPr>
            <w:r>
              <w:rPr>
                <w:rFonts w:hint="eastAsia"/>
                <w:u w:val="none"/>
              </w:rPr>
              <w:t xml:space="preserve"> (mg/m</w:t>
            </w:r>
            <w:r>
              <w:rPr>
                <w:rFonts w:hint="eastAsia"/>
                <w:u w:val="none"/>
                <w:vertAlign w:val="superscript"/>
              </w:rPr>
              <w:t>3</w:t>
            </w:r>
            <w:r>
              <w:rPr>
                <w:rFonts w:hint="eastAsia"/>
                <w:u w:val="none"/>
              </w:rPr>
              <w:t>)</w:t>
            </w:r>
          </w:p>
        </w:tc>
      </w:tr>
      <w:tr w14:paraId="51867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6D2ECBD0">
            <w:pPr>
              <w:pStyle w:val="48"/>
              <w:rPr>
                <w:rFonts w:hint="eastAsia"/>
                <w:u w:val="none"/>
              </w:rPr>
            </w:pPr>
            <w:r>
              <w:rPr>
                <w:rFonts w:hint="eastAsia"/>
                <w:u w:val="none"/>
              </w:rPr>
              <w:t xml:space="preserve">10.00 </w:t>
            </w:r>
          </w:p>
        </w:tc>
        <w:tc>
          <w:tcPr>
            <w:tcW w:w="2118" w:type="pct"/>
            <w:shd w:val="clear" w:color="auto" w:fill="auto"/>
            <w:noWrap/>
            <w:vAlign w:val="bottom"/>
          </w:tcPr>
          <w:p w14:paraId="3673D213">
            <w:pPr>
              <w:pStyle w:val="48"/>
              <w:rPr>
                <w:rFonts w:hint="default" w:eastAsia="宋体"/>
                <w:u w:val="none"/>
                <w:lang w:val="en-US" w:eastAsia="zh-CN"/>
              </w:rPr>
            </w:pPr>
            <w:r>
              <w:rPr>
                <w:rFonts w:hint="eastAsia"/>
                <w:u w:val="none"/>
                <w:lang w:val="en-US" w:eastAsia="zh-CN"/>
              </w:rPr>
              <w:t>7.556</w:t>
            </w:r>
          </w:p>
        </w:tc>
        <w:tc>
          <w:tcPr>
            <w:tcW w:w="1592" w:type="pct"/>
            <w:shd w:val="clear" w:color="auto" w:fill="auto"/>
            <w:noWrap/>
            <w:vAlign w:val="bottom"/>
          </w:tcPr>
          <w:p w14:paraId="3B5953EC">
            <w:pPr>
              <w:pStyle w:val="48"/>
              <w:rPr>
                <w:rFonts w:hint="default" w:eastAsia="宋体"/>
                <w:u w:val="none"/>
                <w:lang w:val="en-US" w:eastAsia="zh-CN"/>
              </w:rPr>
            </w:pPr>
            <w:r>
              <w:rPr>
                <w:rFonts w:hint="eastAsia"/>
                <w:u w:val="none"/>
                <w:lang w:val="en-US" w:eastAsia="zh-CN"/>
              </w:rPr>
              <w:t>19236</w:t>
            </w:r>
          </w:p>
        </w:tc>
      </w:tr>
      <w:tr w14:paraId="6E4B1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2040ACF1">
            <w:pPr>
              <w:pStyle w:val="48"/>
              <w:rPr>
                <w:rFonts w:hint="eastAsia"/>
                <w:u w:val="none"/>
              </w:rPr>
            </w:pPr>
            <w:r>
              <w:rPr>
                <w:rFonts w:hint="eastAsia"/>
                <w:u w:val="none"/>
              </w:rPr>
              <w:t xml:space="preserve">20.00 </w:t>
            </w:r>
          </w:p>
        </w:tc>
        <w:tc>
          <w:tcPr>
            <w:tcW w:w="2118" w:type="pct"/>
            <w:shd w:val="clear" w:color="auto" w:fill="auto"/>
            <w:noWrap/>
            <w:vAlign w:val="bottom"/>
          </w:tcPr>
          <w:p w14:paraId="4803CF43">
            <w:pPr>
              <w:pStyle w:val="48"/>
              <w:rPr>
                <w:rFonts w:hint="default" w:eastAsia="宋体"/>
                <w:u w:val="none"/>
                <w:lang w:val="en-US" w:eastAsia="zh-CN"/>
              </w:rPr>
            </w:pPr>
            <w:r>
              <w:rPr>
                <w:rFonts w:hint="eastAsia"/>
                <w:u w:val="none"/>
                <w:lang w:val="en-US" w:eastAsia="zh-CN"/>
              </w:rPr>
              <w:t>7.619</w:t>
            </w:r>
          </w:p>
        </w:tc>
        <w:tc>
          <w:tcPr>
            <w:tcW w:w="1592" w:type="pct"/>
            <w:shd w:val="clear" w:color="auto" w:fill="auto"/>
            <w:noWrap/>
            <w:vAlign w:val="bottom"/>
          </w:tcPr>
          <w:p w14:paraId="246623DB">
            <w:pPr>
              <w:pStyle w:val="48"/>
              <w:rPr>
                <w:rFonts w:hint="default" w:eastAsia="宋体"/>
                <w:u w:val="none"/>
                <w:lang w:val="en-US" w:eastAsia="zh-CN"/>
              </w:rPr>
            </w:pPr>
            <w:r>
              <w:rPr>
                <w:rFonts w:hint="eastAsia"/>
                <w:u w:val="none"/>
                <w:lang w:val="en-US" w:eastAsia="zh-CN"/>
              </w:rPr>
              <w:t>45894</w:t>
            </w:r>
          </w:p>
        </w:tc>
      </w:tr>
      <w:tr w14:paraId="29B97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09FABF89">
            <w:pPr>
              <w:pStyle w:val="48"/>
              <w:rPr>
                <w:rFonts w:hint="eastAsia"/>
                <w:u w:val="none"/>
              </w:rPr>
            </w:pPr>
            <w:r>
              <w:rPr>
                <w:rFonts w:hint="eastAsia"/>
                <w:u w:val="none"/>
              </w:rPr>
              <w:t xml:space="preserve">30.00 </w:t>
            </w:r>
          </w:p>
        </w:tc>
        <w:tc>
          <w:tcPr>
            <w:tcW w:w="2118" w:type="pct"/>
            <w:shd w:val="clear" w:color="auto" w:fill="auto"/>
            <w:noWrap/>
            <w:vAlign w:val="bottom"/>
          </w:tcPr>
          <w:p w14:paraId="5462CD50">
            <w:pPr>
              <w:pStyle w:val="48"/>
              <w:rPr>
                <w:rFonts w:hint="default" w:eastAsia="宋体"/>
                <w:u w:val="none"/>
                <w:lang w:val="en-US" w:eastAsia="zh-CN"/>
              </w:rPr>
            </w:pPr>
            <w:r>
              <w:rPr>
                <w:rFonts w:hint="eastAsia"/>
                <w:u w:val="none"/>
                <w:lang w:val="en-US" w:eastAsia="zh-CN"/>
              </w:rPr>
              <w:t>7.681</w:t>
            </w:r>
          </w:p>
        </w:tc>
        <w:tc>
          <w:tcPr>
            <w:tcW w:w="1592" w:type="pct"/>
            <w:shd w:val="clear" w:color="auto" w:fill="auto"/>
            <w:noWrap/>
            <w:vAlign w:val="bottom"/>
          </w:tcPr>
          <w:p w14:paraId="631194DC">
            <w:pPr>
              <w:pStyle w:val="48"/>
              <w:rPr>
                <w:rFonts w:hint="default" w:eastAsia="宋体"/>
                <w:u w:val="none"/>
                <w:lang w:val="en-US" w:eastAsia="zh-CN"/>
              </w:rPr>
            </w:pPr>
            <w:r>
              <w:rPr>
                <w:rFonts w:hint="eastAsia"/>
                <w:u w:val="none"/>
                <w:lang w:val="en-US" w:eastAsia="zh-CN"/>
              </w:rPr>
              <w:t>1835</w:t>
            </w:r>
          </w:p>
        </w:tc>
      </w:tr>
      <w:tr w14:paraId="36F2F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61810ED6">
            <w:pPr>
              <w:pStyle w:val="48"/>
              <w:rPr>
                <w:rFonts w:hint="eastAsia"/>
                <w:u w:val="none"/>
              </w:rPr>
            </w:pPr>
            <w:r>
              <w:rPr>
                <w:rFonts w:hint="eastAsia"/>
                <w:u w:val="none"/>
              </w:rPr>
              <w:t xml:space="preserve">40.00 </w:t>
            </w:r>
          </w:p>
        </w:tc>
        <w:tc>
          <w:tcPr>
            <w:tcW w:w="2118" w:type="pct"/>
            <w:shd w:val="clear" w:color="auto" w:fill="auto"/>
            <w:noWrap/>
            <w:vAlign w:val="bottom"/>
          </w:tcPr>
          <w:p w14:paraId="62E8FFFF">
            <w:pPr>
              <w:pStyle w:val="48"/>
              <w:rPr>
                <w:rFonts w:hint="default" w:eastAsia="宋体"/>
                <w:u w:val="none"/>
                <w:lang w:val="en-US" w:eastAsia="zh-CN"/>
              </w:rPr>
            </w:pPr>
            <w:r>
              <w:rPr>
                <w:rFonts w:hint="eastAsia"/>
                <w:u w:val="none"/>
                <w:lang w:val="en-US" w:eastAsia="zh-CN"/>
              </w:rPr>
              <w:t>7.743</w:t>
            </w:r>
          </w:p>
        </w:tc>
        <w:tc>
          <w:tcPr>
            <w:tcW w:w="1592" w:type="pct"/>
            <w:shd w:val="clear" w:color="auto" w:fill="auto"/>
            <w:noWrap/>
            <w:vAlign w:val="bottom"/>
          </w:tcPr>
          <w:p w14:paraId="3B021F8D">
            <w:pPr>
              <w:pStyle w:val="48"/>
              <w:rPr>
                <w:rFonts w:hint="default" w:eastAsia="宋体"/>
                <w:u w:val="none"/>
                <w:lang w:val="en-US" w:eastAsia="zh-CN"/>
              </w:rPr>
            </w:pPr>
            <w:r>
              <w:rPr>
                <w:rFonts w:hint="eastAsia"/>
                <w:u w:val="none"/>
                <w:lang w:val="en-US" w:eastAsia="zh-CN"/>
              </w:rPr>
              <w:t>970</w:t>
            </w:r>
          </w:p>
        </w:tc>
      </w:tr>
      <w:tr w14:paraId="60951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3916F300">
            <w:pPr>
              <w:pStyle w:val="48"/>
              <w:rPr>
                <w:rFonts w:hint="eastAsia"/>
                <w:u w:val="none"/>
              </w:rPr>
            </w:pPr>
            <w:r>
              <w:rPr>
                <w:rFonts w:hint="eastAsia"/>
                <w:u w:val="none"/>
              </w:rPr>
              <w:t xml:space="preserve">50.00 </w:t>
            </w:r>
          </w:p>
        </w:tc>
        <w:tc>
          <w:tcPr>
            <w:tcW w:w="2118" w:type="pct"/>
            <w:shd w:val="clear" w:color="auto" w:fill="auto"/>
            <w:noWrap/>
            <w:vAlign w:val="bottom"/>
          </w:tcPr>
          <w:p w14:paraId="145F69A7">
            <w:pPr>
              <w:pStyle w:val="48"/>
              <w:rPr>
                <w:rFonts w:hint="default" w:eastAsia="宋体"/>
                <w:u w:val="none"/>
                <w:lang w:val="en-US" w:eastAsia="zh-CN"/>
              </w:rPr>
            </w:pPr>
            <w:r>
              <w:rPr>
                <w:rFonts w:hint="eastAsia"/>
                <w:u w:val="none"/>
                <w:lang w:val="en-US" w:eastAsia="zh-CN"/>
              </w:rPr>
              <w:t>7.806</w:t>
            </w:r>
          </w:p>
        </w:tc>
        <w:tc>
          <w:tcPr>
            <w:tcW w:w="1592" w:type="pct"/>
            <w:shd w:val="clear" w:color="auto" w:fill="auto"/>
            <w:noWrap/>
            <w:vAlign w:val="bottom"/>
          </w:tcPr>
          <w:p w14:paraId="648B123A">
            <w:pPr>
              <w:pStyle w:val="48"/>
              <w:rPr>
                <w:rFonts w:hint="default" w:eastAsia="宋体"/>
                <w:u w:val="none"/>
                <w:lang w:val="en-US" w:eastAsia="zh-CN"/>
              </w:rPr>
            </w:pPr>
            <w:r>
              <w:rPr>
                <w:rFonts w:hint="eastAsia"/>
                <w:u w:val="none"/>
                <w:lang w:val="en-US" w:eastAsia="zh-CN"/>
              </w:rPr>
              <w:t>590</w:t>
            </w:r>
          </w:p>
        </w:tc>
      </w:tr>
      <w:tr w14:paraId="110EE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51B4058A">
            <w:pPr>
              <w:pStyle w:val="48"/>
              <w:rPr>
                <w:rFonts w:hint="eastAsia"/>
                <w:u w:val="none"/>
              </w:rPr>
            </w:pPr>
            <w:r>
              <w:rPr>
                <w:rFonts w:hint="eastAsia"/>
                <w:u w:val="none"/>
              </w:rPr>
              <w:t xml:space="preserve">100.00 </w:t>
            </w:r>
          </w:p>
        </w:tc>
        <w:tc>
          <w:tcPr>
            <w:tcW w:w="2118" w:type="pct"/>
            <w:shd w:val="clear" w:color="auto" w:fill="auto"/>
            <w:noWrap/>
            <w:vAlign w:val="bottom"/>
          </w:tcPr>
          <w:p w14:paraId="606B797A">
            <w:pPr>
              <w:pStyle w:val="48"/>
              <w:rPr>
                <w:rFonts w:hint="default" w:eastAsia="宋体"/>
                <w:u w:val="none"/>
                <w:lang w:val="en-US" w:eastAsia="zh-CN"/>
              </w:rPr>
            </w:pPr>
            <w:r>
              <w:rPr>
                <w:rFonts w:hint="eastAsia"/>
                <w:u w:val="none"/>
                <w:lang w:val="en-US" w:eastAsia="zh-CN"/>
              </w:rPr>
              <w:t>8.118</w:t>
            </w:r>
          </w:p>
        </w:tc>
        <w:tc>
          <w:tcPr>
            <w:tcW w:w="1592" w:type="pct"/>
            <w:shd w:val="clear" w:color="auto" w:fill="auto"/>
            <w:noWrap/>
            <w:vAlign w:val="bottom"/>
          </w:tcPr>
          <w:p w14:paraId="43F180C8">
            <w:pPr>
              <w:pStyle w:val="48"/>
              <w:rPr>
                <w:rFonts w:hint="default" w:eastAsia="宋体"/>
                <w:u w:val="none"/>
                <w:lang w:val="en-US" w:eastAsia="zh-CN"/>
              </w:rPr>
            </w:pPr>
            <w:r>
              <w:rPr>
                <w:rFonts w:hint="eastAsia"/>
                <w:u w:val="none"/>
                <w:lang w:val="en-US" w:eastAsia="zh-CN"/>
              </w:rPr>
              <w:t>140</w:t>
            </w:r>
          </w:p>
        </w:tc>
      </w:tr>
      <w:tr w14:paraId="02743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019CE56A">
            <w:pPr>
              <w:pStyle w:val="48"/>
              <w:rPr>
                <w:rFonts w:hint="eastAsia"/>
                <w:u w:val="none"/>
              </w:rPr>
            </w:pPr>
            <w:r>
              <w:rPr>
                <w:rFonts w:hint="eastAsia"/>
                <w:u w:val="none"/>
              </w:rPr>
              <w:t xml:space="preserve">200.00 </w:t>
            </w:r>
          </w:p>
        </w:tc>
        <w:tc>
          <w:tcPr>
            <w:tcW w:w="2118" w:type="pct"/>
            <w:shd w:val="clear" w:color="auto" w:fill="auto"/>
            <w:noWrap/>
            <w:vAlign w:val="bottom"/>
          </w:tcPr>
          <w:p w14:paraId="121C99F9">
            <w:pPr>
              <w:pStyle w:val="48"/>
              <w:rPr>
                <w:rFonts w:hint="default" w:eastAsia="宋体"/>
                <w:u w:val="none"/>
                <w:lang w:val="en-US" w:eastAsia="zh-CN"/>
              </w:rPr>
            </w:pPr>
            <w:r>
              <w:rPr>
                <w:rFonts w:hint="eastAsia"/>
                <w:u w:val="none"/>
                <w:lang w:val="en-US" w:eastAsia="zh-CN"/>
              </w:rPr>
              <w:t>8.742</w:t>
            </w:r>
          </w:p>
        </w:tc>
        <w:tc>
          <w:tcPr>
            <w:tcW w:w="1592" w:type="pct"/>
            <w:shd w:val="clear" w:color="auto" w:fill="auto"/>
            <w:noWrap/>
            <w:vAlign w:val="bottom"/>
          </w:tcPr>
          <w:p w14:paraId="013488F8">
            <w:pPr>
              <w:pStyle w:val="48"/>
              <w:rPr>
                <w:rFonts w:hint="default" w:eastAsia="宋体"/>
                <w:u w:val="none"/>
                <w:lang w:val="en-US" w:eastAsia="zh-CN"/>
              </w:rPr>
            </w:pPr>
            <w:r>
              <w:rPr>
                <w:rFonts w:hint="eastAsia"/>
                <w:u w:val="none"/>
                <w:lang w:val="en-US" w:eastAsia="zh-CN"/>
              </w:rPr>
              <w:t>33</w:t>
            </w:r>
          </w:p>
        </w:tc>
      </w:tr>
      <w:tr w14:paraId="37EB3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7F21B194">
            <w:pPr>
              <w:pStyle w:val="48"/>
              <w:rPr>
                <w:rFonts w:hint="eastAsia"/>
                <w:u w:val="none"/>
              </w:rPr>
            </w:pPr>
            <w:r>
              <w:rPr>
                <w:rFonts w:hint="eastAsia"/>
                <w:u w:val="none"/>
              </w:rPr>
              <w:t xml:space="preserve">300.00 </w:t>
            </w:r>
          </w:p>
        </w:tc>
        <w:tc>
          <w:tcPr>
            <w:tcW w:w="2118" w:type="pct"/>
            <w:shd w:val="clear" w:color="auto" w:fill="auto"/>
            <w:noWrap/>
            <w:vAlign w:val="bottom"/>
          </w:tcPr>
          <w:p w14:paraId="76A5F9CD">
            <w:pPr>
              <w:pStyle w:val="48"/>
              <w:rPr>
                <w:rFonts w:hint="default" w:eastAsia="宋体"/>
                <w:u w:val="none"/>
                <w:lang w:val="en-US" w:eastAsia="zh-CN"/>
              </w:rPr>
            </w:pPr>
            <w:r>
              <w:rPr>
                <w:rFonts w:hint="eastAsia"/>
                <w:u w:val="none"/>
                <w:lang w:val="en-US" w:eastAsia="zh-CN"/>
              </w:rPr>
              <w:t>9.366</w:t>
            </w:r>
          </w:p>
        </w:tc>
        <w:tc>
          <w:tcPr>
            <w:tcW w:w="1592" w:type="pct"/>
            <w:shd w:val="clear" w:color="auto" w:fill="auto"/>
            <w:noWrap/>
            <w:vAlign w:val="bottom"/>
          </w:tcPr>
          <w:p w14:paraId="46D68753">
            <w:pPr>
              <w:pStyle w:val="48"/>
              <w:rPr>
                <w:rFonts w:hint="default" w:eastAsia="宋体"/>
                <w:u w:val="none"/>
                <w:lang w:val="en-US" w:eastAsia="zh-CN"/>
              </w:rPr>
            </w:pPr>
            <w:r>
              <w:rPr>
                <w:rFonts w:hint="eastAsia"/>
                <w:u w:val="none"/>
                <w:lang w:val="en-US" w:eastAsia="zh-CN"/>
              </w:rPr>
              <w:t>15</w:t>
            </w:r>
          </w:p>
        </w:tc>
      </w:tr>
      <w:tr w14:paraId="1B321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528CD261">
            <w:pPr>
              <w:pStyle w:val="48"/>
              <w:rPr>
                <w:rFonts w:hint="eastAsia"/>
                <w:u w:val="none"/>
              </w:rPr>
            </w:pPr>
            <w:r>
              <w:rPr>
                <w:rFonts w:hint="eastAsia"/>
                <w:u w:val="none"/>
              </w:rPr>
              <w:t xml:space="preserve">400.00 </w:t>
            </w:r>
          </w:p>
        </w:tc>
        <w:tc>
          <w:tcPr>
            <w:tcW w:w="2118" w:type="pct"/>
            <w:shd w:val="clear" w:color="auto" w:fill="auto"/>
            <w:noWrap/>
            <w:vAlign w:val="bottom"/>
          </w:tcPr>
          <w:p w14:paraId="26A091F8">
            <w:pPr>
              <w:pStyle w:val="48"/>
              <w:rPr>
                <w:rFonts w:hint="default" w:eastAsia="宋体"/>
                <w:u w:val="none"/>
                <w:lang w:val="en-US" w:eastAsia="zh-CN"/>
              </w:rPr>
            </w:pPr>
            <w:r>
              <w:rPr>
                <w:rFonts w:hint="eastAsia"/>
                <w:u w:val="none"/>
                <w:lang w:val="en-US" w:eastAsia="zh-CN"/>
              </w:rPr>
              <w:t>9.990</w:t>
            </w:r>
          </w:p>
        </w:tc>
        <w:tc>
          <w:tcPr>
            <w:tcW w:w="1592" w:type="pct"/>
            <w:shd w:val="clear" w:color="auto" w:fill="auto"/>
            <w:noWrap/>
            <w:vAlign w:val="bottom"/>
          </w:tcPr>
          <w:p w14:paraId="1986050B">
            <w:pPr>
              <w:pStyle w:val="48"/>
              <w:rPr>
                <w:rFonts w:hint="default" w:eastAsia="宋体"/>
                <w:u w:val="none"/>
                <w:lang w:val="en-US" w:eastAsia="zh-CN"/>
              </w:rPr>
            </w:pPr>
            <w:r>
              <w:rPr>
                <w:rFonts w:hint="eastAsia"/>
                <w:u w:val="none"/>
                <w:lang w:val="en-US" w:eastAsia="zh-CN"/>
              </w:rPr>
              <w:t>8</w:t>
            </w:r>
          </w:p>
        </w:tc>
      </w:tr>
      <w:tr w14:paraId="1DA82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767DA988">
            <w:pPr>
              <w:pStyle w:val="48"/>
              <w:rPr>
                <w:rFonts w:hint="eastAsia"/>
                <w:u w:val="none"/>
              </w:rPr>
            </w:pPr>
            <w:r>
              <w:rPr>
                <w:rFonts w:hint="eastAsia"/>
                <w:u w:val="none"/>
              </w:rPr>
              <w:t xml:space="preserve">500.00 </w:t>
            </w:r>
          </w:p>
        </w:tc>
        <w:tc>
          <w:tcPr>
            <w:tcW w:w="2118" w:type="pct"/>
            <w:shd w:val="clear" w:color="auto" w:fill="auto"/>
            <w:noWrap/>
            <w:vAlign w:val="bottom"/>
          </w:tcPr>
          <w:p w14:paraId="654F312B">
            <w:pPr>
              <w:pStyle w:val="48"/>
              <w:rPr>
                <w:rFonts w:hint="default" w:eastAsia="宋体"/>
                <w:u w:val="none"/>
                <w:lang w:val="en-US" w:eastAsia="zh-CN"/>
              </w:rPr>
            </w:pPr>
            <w:r>
              <w:rPr>
                <w:rFonts w:hint="eastAsia"/>
                <w:u w:val="none"/>
                <w:lang w:val="en-US" w:eastAsia="zh-CN"/>
              </w:rPr>
              <w:t>10.614</w:t>
            </w:r>
          </w:p>
        </w:tc>
        <w:tc>
          <w:tcPr>
            <w:tcW w:w="1592" w:type="pct"/>
            <w:shd w:val="clear" w:color="auto" w:fill="auto"/>
            <w:noWrap/>
            <w:vAlign w:val="bottom"/>
          </w:tcPr>
          <w:p w14:paraId="44EB9437">
            <w:pPr>
              <w:pStyle w:val="48"/>
              <w:rPr>
                <w:rFonts w:hint="default" w:eastAsia="宋体"/>
                <w:u w:val="none"/>
                <w:lang w:val="en-US" w:eastAsia="zh-CN"/>
              </w:rPr>
            </w:pPr>
            <w:r>
              <w:rPr>
                <w:rFonts w:hint="eastAsia"/>
                <w:u w:val="none"/>
                <w:lang w:val="en-US" w:eastAsia="zh-CN"/>
              </w:rPr>
              <w:t>5</w:t>
            </w:r>
          </w:p>
        </w:tc>
      </w:tr>
      <w:tr w14:paraId="25D48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0B53935A">
            <w:pPr>
              <w:pStyle w:val="48"/>
              <w:rPr>
                <w:rFonts w:hint="eastAsia"/>
                <w:u w:val="none"/>
              </w:rPr>
            </w:pPr>
            <w:r>
              <w:rPr>
                <w:rFonts w:hint="eastAsia"/>
                <w:u w:val="none"/>
              </w:rPr>
              <w:t xml:space="preserve">1000.00 </w:t>
            </w:r>
          </w:p>
        </w:tc>
        <w:tc>
          <w:tcPr>
            <w:tcW w:w="2118" w:type="pct"/>
            <w:shd w:val="clear" w:color="auto" w:fill="auto"/>
            <w:noWrap/>
            <w:vAlign w:val="bottom"/>
          </w:tcPr>
          <w:p w14:paraId="38E590DF">
            <w:pPr>
              <w:pStyle w:val="48"/>
              <w:rPr>
                <w:rFonts w:hint="default" w:eastAsia="宋体"/>
                <w:u w:val="none"/>
                <w:lang w:val="en-US" w:eastAsia="zh-CN"/>
              </w:rPr>
            </w:pPr>
            <w:r>
              <w:rPr>
                <w:rFonts w:hint="eastAsia"/>
                <w:u w:val="none"/>
                <w:lang w:val="en-US" w:eastAsia="zh-CN"/>
              </w:rPr>
              <w:t>13.735</w:t>
            </w:r>
          </w:p>
        </w:tc>
        <w:tc>
          <w:tcPr>
            <w:tcW w:w="1592" w:type="pct"/>
            <w:shd w:val="clear" w:color="auto" w:fill="auto"/>
            <w:noWrap/>
            <w:vAlign w:val="bottom"/>
          </w:tcPr>
          <w:p w14:paraId="20B6D266">
            <w:pPr>
              <w:pStyle w:val="48"/>
              <w:rPr>
                <w:rFonts w:hint="default" w:eastAsia="宋体"/>
                <w:u w:val="none"/>
                <w:lang w:val="en-US" w:eastAsia="zh-CN"/>
              </w:rPr>
            </w:pPr>
            <w:r>
              <w:rPr>
                <w:rFonts w:hint="eastAsia"/>
                <w:u w:val="none"/>
                <w:lang w:val="en-US" w:eastAsia="zh-CN"/>
              </w:rPr>
              <w:t>1</w:t>
            </w:r>
          </w:p>
        </w:tc>
      </w:tr>
      <w:tr w14:paraId="69BD4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07F8CB3F">
            <w:pPr>
              <w:pStyle w:val="48"/>
              <w:rPr>
                <w:rFonts w:hint="eastAsia"/>
                <w:u w:val="none"/>
              </w:rPr>
            </w:pPr>
            <w:r>
              <w:rPr>
                <w:rFonts w:hint="eastAsia"/>
                <w:u w:val="none"/>
              </w:rPr>
              <w:t xml:space="preserve">1500.00 </w:t>
            </w:r>
          </w:p>
        </w:tc>
        <w:tc>
          <w:tcPr>
            <w:tcW w:w="2118" w:type="pct"/>
            <w:shd w:val="clear" w:color="auto" w:fill="auto"/>
            <w:noWrap/>
            <w:vAlign w:val="bottom"/>
          </w:tcPr>
          <w:p w14:paraId="63EBDAD1">
            <w:pPr>
              <w:pStyle w:val="48"/>
              <w:rPr>
                <w:rFonts w:hint="default" w:eastAsia="宋体"/>
                <w:u w:val="none"/>
                <w:lang w:val="en-US" w:eastAsia="zh-CN"/>
              </w:rPr>
            </w:pPr>
            <w:r>
              <w:rPr>
                <w:rFonts w:hint="eastAsia"/>
                <w:u w:val="none"/>
                <w:lang w:val="en-US" w:eastAsia="zh-CN"/>
              </w:rPr>
              <w:t>16.917</w:t>
            </w:r>
          </w:p>
        </w:tc>
        <w:tc>
          <w:tcPr>
            <w:tcW w:w="1592" w:type="pct"/>
            <w:shd w:val="clear" w:color="auto" w:fill="auto"/>
            <w:noWrap/>
            <w:vAlign w:val="bottom"/>
          </w:tcPr>
          <w:p w14:paraId="5F3B0063">
            <w:pPr>
              <w:pStyle w:val="48"/>
              <w:rPr>
                <w:rFonts w:hint="default" w:eastAsia="宋体"/>
                <w:u w:val="none"/>
                <w:lang w:val="en-US" w:eastAsia="zh-CN"/>
              </w:rPr>
            </w:pPr>
            <w:r>
              <w:rPr>
                <w:rFonts w:hint="eastAsia"/>
                <w:u w:val="none"/>
                <w:lang w:val="en-US" w:eastAsia="zh-CN"/>
              </w:rPr>
              <w:t>0.6</w:t>
            </w:r>
          </w:p>
        </w:tc>
      </w:tr>
      <w:tr w14:paraId="0409A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363E7D73">
            <w:pPr>
              <w:pStyle w:val="48"/>
              <w:rPr>
                <w:rFonts w:hint="eastAsia"/>
                <w:u w:val="none"/>
              </w:rPr>
            </w:pPr>
            <w:r>
              <w:rPr>
                <w:rFonts w:hint="eastAsia"/>
                <w:u w:val="none"/>
              </w:rPr>
              <w:t xml:space="preserve">2000.00 </w:t>
            </w:r>
          </w:p>
        </w:tc>
        <w:tc>
          <w:tcPr>
            <w:tcW w:w="2118" w:type="pct"/>
            <w:shd w:val="clear" w:color="auto" w:fill="auto"/>
            <w:noWrap/>
            <w:vAlign w:val="bottom"/>
          </w:tcPr>
          <w:p w14:paraId="0AF8744A">
            <w:pPr>
              <w:pStyle w:val="48"/>
              <w:rPr>
                <w:rFonts w:hint="default" w:eastAsia="宋体"/>
                <w:u w:val="none"/>
                <w:lang w:val="en-US" w:eastAsia="zh-CN"/>
              </w:rPr>
            </w:pPr>
            <w:r>
              <w:rPr>
                <w:rFonts w:hint="eastAsia"/>
                <w:u w:val="none"/>
                <w:lang w:val="en-US" w:eastAsia="zh-CN"/>
              </w:rPr>
              <w:t>20.085</w:t>
            </w:r>
          </w:p>
        </w:tc>
        <w:tc>
          <w:tcPr>
            <w:tcW w:w="1592" w:type="pct"/>
            <w:shd w:val="clear" w:color="auto" w:fill="auto"/>
            <w:noWrap/>
            <w:vAlign w:val="bottom"/>
          </w:tcPr>
          <w:p w14:paraId="635D9F40">
            <w:pPr>
              <w:pStyle w:val="48"/>
              <w:rPr>
                <w:rFonts w:hint="default" w:eastAsia="宋体"/>
                <w:u w:val="none"/>
                <w:lang w:val="en-US" w:eastAsia="zh-CN"/>
              </w:rPr>
            </w:pPr>
            <w:r>
              <w:rPr>
                <w:rFonts w:hint="eastAsia"/>
                <w:u w:val="none"/>
                <w:lang w:val="en-US" w:eastAsia="zh-CN"/>
              </w:rPr>
              <w:t>0.3</w:t>
            </w:r>
          </w:p>
        </w:tc>
      </w:tr>
      <w:tr w14:paraId="57148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2D6A8053">
            <w:pPr>
              <w:pStyle w:val="48"/>
              <w:rPr>
                <w:rFonts w:hint="eastAsia"/>
                <w:u w:val="none"/>
              </w:rPr>
            </w:pPr>
            <w:r>
              <w:rPr>
                <w:rFonts w:hint="eastAsia"/>
                <w:u w:val="none"/>
              </w:rPr>
              <w:t xml:space="preserve">2500.00 </w:t>
            </w:r>
          </w:p>
        </w:tc>
        <w:tc>
          <w:tcPr>
            <w:tcW w:w="2118" w:type="pct"/>
            <w:shd w:val="clear" w:color="auto" w:fill="auto"/>
            <w:noWrap/>
            <w:vAlign w:val="bottom"/>
          </w:tcPr>
          <w:p w14:paraId="0598EE6F">
            <w:pPr>
              <w:pStyle w:val="48"/>
              <w:rPr>
                <w:rFonts w:hint="default" w:eastAsia="宋体"/>
                <w:u w:val="none"/>
                <w:lang w:val="en-US" w:eastAsia="zh-CN"/>
              </w:rPr>
            </w:pPr>
            <w:r>
              <w:rPr>
                <w:rFonts w:hint="eastAsia"/>
                <w:u w:val="none"/>
                <w:lang w:val="en-US" w:eastAsia="zh-CN"/>
              </w:rPr>
              <w:t>23.207</w:t>
            </w:r>
          </w:p>
        </w:tc>
        <w:tc>
          <w:tcPr>
            <w:tcW w:w="1592" w:type="pct"/>
            <w:shd w:val="clear" w:color="auto" w:fill="auto"/>
            <w:noWrap/>
            <w:vAlign w:val="bottom"/>
          </w:tcPr>
          <w:p w14:paraId="45F803EE">
            <w:pPr>
              <w:pStyle w:val="48"/>
              <w:rPr>
                <w:rFonts w:hint="default" w:eastAsia="宋体"/>
                <w:u w:val="none"/>
                <w:lang w:val="en-US" w:eastAsia="zh-CN"/>
              </w:rPr>
            </w:pPr>
            <w:r>
              <w:rPr>
                <w:rFonts w:hint="eastAsia"/>
                <w:u w:val="none"/>
                <w:lang w:val="en-US" w:eastAsia="zh-CN"/>
              </w:rPr>
              <w:t>0.2</w:t>
            </w:r>
          </w:p>
        </w:tc>
      </w:tr>
      <w:tr w14:paraId="5F232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0DE4032A">
            <w:pPr>
              <w:pStyle w:val="48"/>
              <w:rPr>
                <w:rFonts w:hint="eastAsia"/>
                <w:u w:val="none"/>
              </w:rPr>
            </w:pPr>
            <w:r>
              <w:rPr>
                <w:rFonts w:hint="eastAsia"/>
                <w:u w:val="none"/>
              </w:rPr>
              <w:t xml:space="preserve">3000.00 </w:t>
            </w:r>
          </w:p>
        </w:tc>
        <w:tc>
          <w:tcPr>
            <w:tcW w:w="2118" w:type="pct"/>
            <w:shd w:val="clear" w:color="auto" w:fill="auto"/>
            <w:noWrap/>
            <w:vAlign w:val="bottom"/>
          </w:tcPr>
          <w:p w14:paraId="46BBBA87">
            <w:pPr>
              <w:pStyle w:val="48"/>
              <w:rPr>
                <w:rFonts w:hint="default" w:eastAsia="宋体"/>
                <w:u w:val="none"/>
                <w:lang w:val="en-US" w:eastAsia="zh-CN"/>
              </w:rPr>
            </w:pPr>
            <w:r>
              <w:rPr>
                <w:rFonts w:hint="eastAsia"/>
                <w:u w:val="none"/>
                <w:lang w:val="en-US" w:eastAsia="zh-CN"/>
              </w:rPr>
              <w:t>26.294</w:t>
            </w:r>
          </w:p>
        </w:tc>
        <w:tc>
          <w:tcPr>
            <w:tcW w:w="1592" w:type="pct"/>
            <w:shd w:val="clear" w:color="auto" w:fill="auto"/>
            <w:noWrap/>
            <w:vAlign w:val="bottom"/>
          </w:tcPr>
          <w:p w14:paraId="3FBA7F95">
            <w:pPr>
              <w:pStyle w:val="48"/>
              <w:rPr>
                <w:rFonts w:hint="default" w:eastAsia="宋体"/>
                <w:u w:val="none"/>
                <w:lang w:val="en-US" w:eastAsia="zh-CN"/>
              </w:rPr>
            </w:pPr>
            <w:r>
              <w:rPr>
                <w:rFonts w:hint="eastAsia"/>
                <w:u w:val="none"/>
                <w:lang w:val="en-US" w:eastAsia="zh-CN"/>
              </w:rPr>
              <w:t>0.1</w:t>
            </w:r>
          </w:p>
        </w:tc>
      </w:tr>
      <w:tr w14:paraId="7FE71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7EC20549">
            <w:pPr>
              <w:pStyle w:val="48"/>
              <w:rPr>
                <w:rFonts w:hint="eastAsia"/>
                <w:u w:val="none"/>
              </w:rPr>
            </w:pPr>
            <w:r>
              <w:rPr>
                <w:rFonts w:hint="eastAsia"/>
                <w:u w:val="none"/>
              </w:rPr>
              <w:t xml:space="preserve">4000.00 </w:t>
            </w:r>
          </w:p>
        </w:tc>
        <w:tc>
          <w:tcPr>
            <w:tcW w:w="2118" w:type="pct"/>
            <w:shd w:val="clear" w:color="auto" w:fill="auto"/>
            <w:noWrap/>
            <w:vAlign w:val="bottom"/>
          </w:tcPr>
          <w:p w14:paraId="4F5B9882">
            <w:pPr>
              <w:pStyle w:val="48"/>
              <w:rPr>
                <w:rFonts w:hint="default" w:eastAsia="宋体"/>
                <w:u w:val="none"/>
                <w:lang w:val="en-US" w:eastAsia="zh-CN"/>
              </w:rPr>
            </w:pPr>
            <w:r>
              <w:rPr>
                <w:rFonts w:hint="eastAsia"/>
                <w:u w:val="none"/>
                <w:lang w:val="en-US" w:eastAsia="zh-CN"/>
              </w:rPr>
              <w:t>32.393</w:t>
            </w:r>
          </w:p>
        </w:tc>
        <w:tc>
          <w:tcPr>
            <w:tcW w:w="1592" w:type="pct"/>
            <w:shd w:val="clear" w:color="auto" w:fill="auto"/>
            <w:noWrap/>
            <w:vAlign w:val="bottom"/>
          </w:tcPr>
          <w:p w14:paraId="49B10494">
            <w:pPr>
              <w:pStyle w:val="48"/>
              <w:rPr>
                <w:rFonts w:hint="default" w:eastAsia="宋体"/>
                <w:u w:val="none"/>
                <w:lang w:val="en-US" w:eastAsia="zh-CN"/>
              </w:rPr>
            </w:pPr>
            <w:r>
              <w:rPr>
                <w:rFonts w:hint="eastAsia"/>
                <w:u w:val="none"/>
                <w:lang w:val="en-US" w:eastAsia="zh-CN"/>
              </w:rPr>
              <w:t>0.09</w:t>
            </w:r>
          </w:p>
        </w:tc>
      </w:tr>
      <w:tr w14:paraId="72FD3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7C2769F2">
            <w:pPr>
              <w:pStyle w:val="48"/>
              <w:rPr>
                <w:rFonts w:hint="eastAsia"/>
                <w:u w:val="none"/>
              </w:rPr>
            </w:pPr>
            <w:r>
              <w:rPr>
                <w:rFonts w:hint="eastAsia"/>
                <w:u w:val="none"/>
              </w:rPr>
              <w:t xml:space="preserve">5000.00 </w:t>
            </w:r>
          </w:p>
        </w:tc>
        <w:tc>
          <w:tcPr>
            <w:tcW w:w="2118" w:type="pct"/>
            <w:shd w:val="clear" w:color="auto" w:fill="auto"/>
            <w:noWrap/>
            <w:vAlign w:val="bottom"/>
          </w:tcPr>
          <w:p w14:paraId="50A0007B">
            <w:pPr>
              <w:pStyle w:val="48"/>
              <w:rPr>
                <w:rFonts w:hint="default" w:eastAsia="宋体"/>
                <w:u w:val="none"/>
                <w:lang w:val="en-US" w:eastAsia="zh-CN"/>
              </w:rPr>
            </w:pPr>
            <w:r>
              <w:rPr>
                <w:rFonts w:hint="eastAsia"/>
                <w:u w:val="none"/>
                <w:lang w:val="en-US" w:eastAsia="zh-CN"/>
              </w:rPr>
              <w:t>38.419</w:t>
            </w:r>
          </w:p>
        </w:tc>
        <w:tc>
          <w:tcPr>
            <w:tcW w:w="1592" w:type="pct"/>
            <w:shd w:val="clear" w:color="auto" w:fill="auto"/>
            <w:noWrap/>
            <w:vAlign w:val="bottom"/>
          </w:tcPr>
          <w:p w14:paraId="558A7713">
            <w:pPr>
              <w:pStyle w:val="48"/>
              <w:rPr>
                <w:rFonts w:hint="default" w:eastAsia="宋体"/>
                <w:u w:val="none"/>
                <w:lang w:val="en-US" w:eastAsia="zh-CN"/>
              </w:rPr>
            </w:pPr>
            <w:r>
              <w:rPr>
                <w:rFonts w:hint="eastAsia"/>
                <w:u w:val="none"/>
                <w:lang w:val="en-US" w:eastAsia="zh-CN"/>
              </w:rPr>
              <w:t>0.06</w:t>
            </w:r>
          </w:p>
        </w:tc>
      </w:tr>
    </w:tbl>
    <w:p w14:paraId="28A749FB">
      <w:pPr>
        <w:pStyle w:val="62"/>
        <w:bidi w:val="0"/>
        <w:ind w:left="0" w:leftChars="0" w:firstLine="0" w:firstLineChars="0"/>
      </w:pPr>
      <w:r>
        <w:drawing>
          <wp:inline distT="0" distB="0" distL="114300" distR="114300">
            <wp:extent cx="5724525" cy="2850515"/>
            <wp:effectExtent l="0" t="0" r="9525" b="6985"/>
            <wp:docPr id="4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7"/>
                    <pic:cNvPicPr>
                      <a:picLocks noChangeAspect="1"/>
                    </pic:cNvPicPr>
                  </pic:nvPicPr>
                  <pic:blipFill>
                    <a:blip r:embed="rId37"/>
                    <a:stretch>
                      <a:fillRect/>
                    </a:stretch>
                  </pic:blipFill>
                  <pic:spPr>
                    <a:xfrm>
                      <a:off x="0" y="0"/>
                      <a:ext cx="5724525" cy="2850515"/>
                    </a:xfrm>
                    <a:prstGeom prst="rect">
                      <a:avLst/>
                    </a:prstGeom>
                    <a:noFill/>
                    <a:ln>
                      <a:noFill/>
                    </a:ln>
                  </pic:spPr>
                </pic:pic>
              </a:graphicData>
            </a:graphic>
          </wp:inline>
        </w:drawing>
      </w:r>
    </w:p>
    <w:p w14:paraId="30F8F0A8">
      <w:pPr>
        <w:pStyle w:val="63"/>
        <w:bidi w:val="0"/>
        <w:rPr>
          <w:rFonts w:hint="eastAsia"/>
          <w:lang w:val="en-US" w:eastAsia="zh-CN"/>
        </w:rPr>
      </w:pPr>
      <w:r>
        <w:rPr>
          <w:rFonts w:hint="eastAsia"/>
          <w:lang w:val="en-US" w:eastAsia="zh-CN"/>
        </w:rPr>
        <w:t>图F5-1  液化石油气泄漏丙烯轴线最大浓度-距离曲线图</w:t>
      </w:r>
    </w:p>
    <w:p w14:paraId="26DD08BA">
      <w:pPr>
        <w:pStyle w:val="62"/>
        <w:ind w:left="0" w:leftChars="0" w:firstLine="0" w:firstLineChars="0"/>
      </w:pPr>
      <w:r>
        <w:drawing>
          <wp:inline distT="0" distB="0" distL="114300" distR="114300">
            <wp:extent cx="5723890" cy="3527425"/>
            <wp:effectExtent l="0" t="0" r="10160" b="15875"/>
            <wp:docPr id="4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8"/>
                    <pic:cNvPicPr>
                      <a:picLocks noChangeAspect="1"/>
                    </pic:cNvPicPr>
                  </pic:nvPicPr>
                  <pic:blipFill>
                    <a:blip r:embed="rId38"/>
                    <a:stretch>
                      <a:fillRect/>
                    </a:stretch>
                  </pic:blipFill>
                  <pic:spPr>
                    <a:xfrm>
                      <a:off x="0" y="0"/>
                      <a:ext cx="5723890" cy="3527425"/>
                    </a:xfrm>
                    <a:prstGeom prst="rect">
                      <a:avLst/>
                    </a:prstGeom>
                    <a:noFill/>
                    <a:ln>
                      <a:noFill/>
                    </a:ln>
                  </pic:spPr>
                </pic:pic>
              </a:graphicData>
            </a:graphic>
          </wp:inline>
        </w:drawing>
      </w:r>
    </w:p>
    <w:p w14:paraId="70C7C984">
      <w:pPr>
        <w:pStyle w:val="63"/>
        <w:bidi w:val="0"/>
        <w:rPr>
          <w:rFonts w:hint="eastAsia"/>
          <w:lang w:val="en-US" w:eastAsia="zh-CN"/>
        </w:rPr>
      </w:pPr>
      <w:r>
        <w:rPr>
          <w:rFonts w:hint="eastAsia"/>
          <w:lang w:val="en-US" w:eastAsia="zh-CN"/>
        </w:rPr>
        <w:t>图F5-2  液化石油气泄漏丙烯超过阈值最大轮廓图</w:t>
      </w:r>
    </w:p>
    <w:p w14:paraId="70AE52E6">
      <w:pPr>
        <w:pStyle w:val="25"/>
        <w:bidi w:val="0"/>
      </w:pPr>
      <w:r>
        <w:rPr>
          <w:rFonts w:hint="eastAsia"/>
        </w:rPr>
        <w:t>在全部时间（1h）里超过给定阈值的最大廓线，即最大影响区域。</w:t>
      </w:r>
      <w:r>
        <w:rPr>
          <w:rFonts w:hint="eastAsia"/>
          <w:lang w:val="en-US" w:eastAsia="zh-CN"/>
        </w:rPr>
        <w:t>项目液化石油气输送管道全管径泄漏</w:t>
      </w:r>
      <w:r>
        <w:rPr>
          <w:rFonts w:hint="eastAsia"/>
        </w:rPr>
        <w:t>后，预测浓度达到不同毒性终点浓度的最大影响范围分别见下表。</w:t>
      </w:r>
    </w:p>
    <w:p w14:paraId="1312F401">
      <w:pPr>
        <w:pStyle w:val="63"/>
        <w:bidi w:val="0"/>
      </w:pPr>
      <w:r>
        <w:rPr>
          <w:rFonts w:hint="eastAsia"/>
        </w:rPr>
        <w:t>表</w:t>
      </w:r>
      <w:r>
        <w:rPr>
          <w:rFonts w:hint="eastAsia"/>
          <w:lang w:val="en-US" w:eastAsia="zh-CN"/>
        </w:rPr>
        <w:t>F5</w:t>
      </w:r>
      <w:r>
        <w:t>-</w:t>
      </w:r>
      <w:r>
        <w:rPr>
          <w:rFonts w:hint="eastAsia"/>
          <w:lang w:val="en-US" w:eastAsia="zh-CN"/>
        </w:rPr>
        <w:t>6</w:t>
      </w:r>
      <w:r>
        <w:t xml:space="preserve"> </w:t>
      </w:r>
      <w:r>
        <w:rPr>
          <w:rFonts w:hint="eastAsia"/>
        </w:rPr>
        <w:t>不利气象条件下</w:t>
      </w:r>
      <w:r>
        <w:rPr>
          <w:rFonts w:hint="eastAsia"/>
          <w:lang w:val="en-US" w:eastAsia="zh-CN"/>
        </w:rPr>
        <w:t>丙烯</w:t>
      </w:r>
      <w:r>
        <w:rPr>
          <w:rFonts w:hint="eastAsia"/>
        </w:rPr>
        <w:t>最大影响范围一览表</w:t>
      </w:r>
    </w:p>
    <w:tbl>
      <w:tblPr>
        <w:tblStyle w:val="1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08"/>
        <w:gridCol w:w="2309"/>
        <w:gridCol w:w="2312"/>
        <w:gridCol w:w="2311"/>
      </w:tblGrid>
      <w:tr w14:paraId="35643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Align w:val="center"/>
          </w:tcPr>
          <w:p w14:paraId="15299B0B">
            <w:pPr>
              <w:pStyle w:val="26"/>
              <w:bidi w:val="0"/>
            </w:pPr>
            <w:r>
              <w:rPr>
                <w:rFonts w:hint="eastAsia"/>
              </w:rPr>
              <w:t>气象条件</w:t>
            </w:r>
          </w:p>
        </w:tc>
        <w:tc>
          <w:tcPr>
            <w:tcW w:w="2500" w:type="pct"/>
            <w:gridSpan w:val="2"/>
            <w:vAlign w:val="center"/>
          </w:tcPr>
          <w:p w14:paraId="78BF3700">
            <w:pPr>
              <w:pStyle w:val="26"/>
              <w:bidi w:val="0"/>
            </w:pPr>
            <w:r>
              <w:rPr>
                <w:rFonts w:hint="eastAsia"/>
              </w:rPr>
              <w:t>阈值（mg</w:t>
            </w:r>
            <w:r>
              <w:t>/m</w:t>
            </w:r>
            <w:r>
              <w:rPr>
                <w:vertAlign w:val="superscript"/>
              </w:rPr>
              <w:t>3</w:t>
            </w:r>
            <w:r>
              <w:rPr>
                <w:rFonts w:hint="eastAsia"/>
              </w:rPr>
              <w:t>）</w:t>
            </w:r>
          </w:p>
        </w:tc>
        <w:tc>
          <w:tcPr>
            <w:tcW w:w="1250" w:type="pct"/>
            <w:vAlign w:val="center"/>
          </w:tcPr>
          <w:p w14:paraId="765F2F01">
            <w:pPr>
              <w:pStyle w:val="26"/>
              <w:bidi w:val="0"/>
            </w:pPr>
            <w:r>
              <w:rPr>
                <w:rFonts w:hint="eastAsia"/>
              </w:rPr>
              <w:t>影响范围半径（m）</w:t>
            </w:r>
          </w:p>
        </w:tc>
      </w:tr>
      <w:tr w14:paraId="4F294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Merge w:val="restart"/>
            <w:vAlign w:val="center"/>
          </w:tcPr>
          <w:p w14:paraId="02AA71E8">
            <w:pPr>
              <w:pStyle w:val="26"/>
              <w:bidi w:val="0"/>
            </w:pPr>
            <w:r>
              <w:rPr>
                <w:rFonts w:hint="eastAsia"/>
              </w:rPr>
              <w:t>不利气象条件</w:t>
            </w:r>
          </w:p>
        </w:tc>
        <w:tc>
          <w:tcPr>
            <w:tcW w:w="1249" w:type="pct"/>
            <w:vAlign w:val="center"/>
          </w:tcPr>
          <w:p w14:paraId="5CBF2D81">
            <w:pPr>
              <w:pStyle w:val="26"/>
              <w:bidi w:val="0"/>
            </w:pPr>
            <w:r>
              <w:rPr>
                <w:rFonts w:hint="eastAsia"/>
              </w:rPr>
              <w:t>毒性终点浓度-</w:t>
            </w:r>
            <w:r>
              <w:t>2</w:t>
            </w:r>
          </w:p>
        </w:tc>
        <w:tc>
          <w:tcPr>
            <w:tcW w:w="1250" w:type="pct"/>
            <w:vAlign w:val="center"/>
          </w:tcPr>
          <w:p w14:paraId="04B9A0EA">
            <w:pPr>
              <w:pStyle w:val="26"/>
              <w:bidi w:val="0"/>
              <w:rPr>
                <w:rFonts w:hint="default" w:eastAsia="宋体"/>
                <w:lang w:val="en-US" w:eastAsia="zh-CN"/>
              </w:rPr>
            </w:pPr>
            <w:r>
              <w:rPr>
                <w:rFonts w:hint="eastAsia"/>
                <w:lang w:val="en-US" w:eastAsia="zh-CN"/>
              </w:rPr>
              <w:t>4800</w:t>
            </w:r>
          </w:p>
        </w:tc>
        <w:tc>
          <w:tcPr>
            <w:tcW w:w="1250" w:type="pct"/>
            <w:vAlign w:val="center"/>
          </w:tcPr>
          <w:p w14:paraId="6A9DD23C">
            <w:pPr>
              <w:pStyle w:val="26"/>
              <w:bidi w:val="0"/>
              <w:rPr>
                <w:rFonts w:hint="default" w:eastAsia="宋体"/>
                <w:lang w:val="en-US" w:eastAsia="zh-CN"/>
              </w:rPr>
            </w:pPr>
            <w:r>
              <w:rPr>
                <w:rFonts w:hint="eastAsia"/>
                <w:lang w:val="en-US" w:eastAsia="zh-CN"/>
              </w:rPr>
              <w:t>10</w:t>
            </w:r>
          </w:p>
        </w:tc>
      </w:tr>
      <w:tr w14:paraId="439DF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Merge w:val="continue"/>
            <w:vAlign w:val="center"/>
          </w:tcPr>
          <w:p w14:paraId="49B50C03">
            <w:pPr>
              <w:pStyle w:val="26"/>
              <w:bidi w:val="0"/>
            </w:pPr>
          </w:p>
        </w:tc>
        <w:tc>
          <w:tcPr>
            <w:tcW w:w="1249" w:type="pct"/>
            <w:vAlign w:val="center"/>
          </w:tcPr>
          <w:p w14:paraId="6B655EB1">
            <w:pPr>
              <w:pStyle w:val="26"/>
              <w:bidi w:val="0"/>
            </w:pPr>
            <w:r>
              <w:rPr>
                <w:rFonts w:hint="eastAsia"/>
              </w:rPr>
              <w:t>毒性终点浓度-</w:t>
            </w:r>
            <w:r>
              <w:t>1</w:t>
            </w:r>
          </w:p>
        </w:tc>
        <w:tc>
          <w:tcPr>
            <w:tcW w:w="1250" w:type="pct"/>
            <w:vAlign w:val="center"/>
          </w:tcPr>
          <w:p w14:paraId="2026293D">
            <w:pPr>
              <w:pStyle w:val="26"/>
              <w:bidi w:val="0"/>
              <w:rPr>
                <w:rFonts w:hint="default" w:eastAsia="宋体"/>
                <w:lang w:val="en-US" w:eastAsia="zh-CN"/>
              </w:rPr>
            </w:pPr>
            <w:r>
              <w:rPr>
                <w:rFonts w:hint="eastAsia"/>
                <w:lang w:val="en-US" w:eastAsia="zh-CN"/>
              </w:rPr>
              <w:t>29000</w:t>
            </w:r>
          </w:p>
        </w:tc>
        <w:tc>
          <w:tcPr>
            <w:tcW w:w="1250" w:type="pct"/>
            <w:vAlign w:val="center"/>
          </w:tcPr>
          <w:p w14:paraId="0D8F58DA">
            <w:pPr>
              <w:pStyle w:val="26"/>
              <w:bidi w:val="0"/>
              <w:rPr>
                <w:rFonts w:hint="eastAsia" w:eastAsia="宋体"/>
                <w:lang w:val="en-US" w:eastAsia="zh-CN"/>
              </w:rPr>
            </w:pPr>
            <w:r>
              <w:rPr>
                <w:rFonts w:hint="eastAsia"/>
                <w:lang w:val="en-US" w:eastAsia="zh-CN"/>
              </w:rPr>
              <w:t>/</w:t>
            </w:r>
          </w:p>
        </w:tc>
      </w:tr>
    </w:tbl>
    <w:p w14:paraId="3D263288">
      <w:pPr>
        <w:pStyle w:val="62"/>
        <w:rPr>
          <w:rFonts w:hint="default" w:eastAsia="宋体"/>
          <w:u w:val="none"/>
          <w:lang w:val="en-US" w:eastAsia="zh-CN"/>
        </w:rPr>
      </w:pPr>
      <w:r>
        <w:rPr>
          <w:u w:val="none"/>
        </w:rPr>
        <w:t>根据上表可知，不利气象条件下：</w:t>
      </w:r>
      <w:r>
        <w:rPr>
          <w:rFonts w:hint="eastAsia"/>
          <w:u w:val="none"/>
          <w:lang w:val="en-US" w:eastAsia="zh-CN"/>
        </w:rPr>
        <w:t>丙烯</w:t>
      </w:r>
      <w:r>
        <w:rPr>
          <w:u w:val="none"/>
        </w:rPr>
        <w:t>发生泄漏扩散后预测浓度达到大气毒性终点浓度-</w:t>
      </w:r>
      <w:r>
        <w:rPr>
          <w:rFonts w:hint="eastAsia"/>
          <w:u w:val="none"/>
          <w:lang w:val="en-US" w:eastAsia="zh-CN"/>
        </w:rPr>
        <w:t>2</w:t>
      </w:r>
      <w:r>
        <w:rPr>
          <w:u w:val="none"/>
        </w:rPr>
        <w:t>（</w:t>
      </w:r>
      <w:r>
        <w:rPr>
          <w:rFonts w:hint="eastAsia"/>
          <w:u w:val="none"/>
          <w:lang w:val="en-US" w:eastAsia="zh-CN"/>
        </w:rPr>
        <w:t>4800</w:t>
      </w:r>
      <w:r>
        <w:rPr>
          <w:u w:val="none"/>
        </w:rPr>
        <w:t>mg/m</w:t>
      </w:r>
      <w:r>
        <w:rPr>
          <w:u w:val="none"/>
          <w:vertAlign w:val="superscript"/>
        </w:rPr>
        <w:t>3</w:t>
      </w:r>
      <w:r>
        <w:rPr>
          <w:u w:val="none"/>
        </w:rPr>
        <w:t>）的最大影响半径为</w:t>
      </w:r>
      <w:r>
        <w:rPr>
          <w:rFonts w:hint="eastAsia"/>
          <w:u w:val="none"/>
          <w:lang w:val="en-US" w:eastAsia="zh-CN"/>
        </w:rPr>
        <w:t>10</w:t>
      </w:r>
      <w:r>
        <w:rPr>
          <w:u w:val="none"/>
        </w:rPr>
        <w:t>m；</w:t>
      </w:r>
      <w:r>
        <w:rPr>
          <w:rFonts w:hint="eastAsia"/>
          <w:u w:val="none"/>
          <w:lang w:val="en-US" w:eastAsia="zh-CN"/>
        </w:rPr>
        <w:t>没有</w:t>
      </w:r>
      <w:r>
        <w:rPr>
          <w:u w:val="none"/>
        </w:rPr>
        <w:t>达到大气毒性终点浓度-</w:t>
      </w:r>
      <w:r>
        <w:rPr>
          <w:rFonts w:hint="eastAsia"/>
          <w:u w:val="none"/>
          <w:lang w:val="en-US" w:eastAsia="zh-CN"/>
        </w:rPr>
        <w:t>1</w:t>
      </w:r>
      <w:r>
        <w:rPr>
          <w:u w:val="none"/>
        </w:rPr>
        <w:t>（</w:t>
      </w:r>
      <w:r>
        <w:rPr>
          <w:rFonts w:hint="eastAsia"/>
          <w:u w:val="none"/>
          <w:lang w:val="en-US" w:eastAsia="zh-CN"/>
        </w:rPr>
        <w:t>29000</w:t>
      </w:r>
      <w:r>
        <w:rPr>
          <w:u w:val="none"/>
        </w:rPr>
        <w:t>mg/m</w:t>
      </w:r>
      <w:r>
        <w:rPr>
          <w:u w:val="none"/>
          <w:vertAlign w:val="superscript"/>
        </w:rPr>
        <w:t>3</w:t>
      </w:r>
      <w:r>
        <w:rPr>
          <w:u w:val="none"/>
        </w:rPr>
        <w:t>）</w:t>
      </w:r>
      <w:r>
        <w:rPr>
          <w:rFonts w:hint="eastAsia"/>
          <w:u w:val="none"/>
          <w:lang w:eastAsia="zh-CN"/>
        </w:rPr>
        <w:t>，</w:t>
      </w:r>
      <w:r>
        <w:rPr>
          <w:rFonts w:hint="eastAsia"/>
          <w:u w:val="none"/>
          <w:lang w:val="en-US" w:eastAsia="zh-CN"/>
        </w:rPr>
        <w:t>大气毒性终点浓度范围在厂区范围内，仅需撤离现场工作人员，无需疏散周边群众。</w:t>
      </w:r>
    </w:p>
    <w:p w14:paraId="3545AA7B">
      <w:pPr>
        <w:pStyle w:val="34"/>
        <w:bidi w:val="0"/>
        <w:rPr>
          <w:rFonts w:hint="eastAsia"/>
          <w:lang w:val="en-US" w:eastAsia="zh-CN"/>
        </w:rPr>
      </w:pPr>
      <w:r>
        <w:rPr>
          <w:rFonts w:hint="eastAsia"/>
          <w:lang w:val="en-US" w:eastAsia="zh-CN"/>
        </w:rPr>
        <w:t>F5.1.5丁烷预测结果</w:t>
      </w:r>
    </w:p>
    <w:p w14:paraId="7E244F3E">
      <w:pPr>
        <w:pStyle w:val="63"/>
        <w:bidi w:val="0"/>
      </w:pPr>
      <w:r>
        <w:rPr>
          <w:rFonts w:hint="eastAsia"/>
        </w:rPr>
        <w:t>表</w:t>
      </w:r>
      <w:r>
        <w:rPr>
          <w:rFonts w:hint="eastAsia"/>
          <w:lang w:val="en-US" w:eastAsia="zh-CN"/>
        </w:rPr>
        <w:t>F5</w:t>
      </w:r>
      <w:r>
        <w:t>-</w:t>
      </w:r>
      <w:r>
        <w:rPr>
          <w:rFonts w:hint="eastAsia"/>
          <w:lang w:val="en-US" w:eastAsia="zh-CN"/>
        </w:rPr>
        <w:t>7</w:t>
      </w:r>
      <w:r>
        <w:t xml:space="preserve">  </w:t>
      </w:r>
      <w:r>
        <w:rPr>
          <w:rFonts w:hint="eastAsia"/>
          <w:lang w:val="en-US" w:eastAsia="zh-CN"/>
        </w:rPr>
        <w:t>液化石油气泄漏丁烷</w:t>
      </w:r>
      <w:r>
        <w:rPr>
          <w:rFonts w:hint="eastAsia"/>
        </w:rPr>
        <w:t>预测结果表</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4"/>
        <w:gridCol w:w="3915"/>
        <w:gridCol w:w="2943"/>
      </w:tblGrid>
      <w:tr w14:paraId="1FEF3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19A93A64">
            <w:pPr>
              <w:pStyle w:val="48"/>
              <w:rPr>
                <w:u w:val="none"/>
              </w:rPr>
            </w:pPr>
            <w:r>
              <w:rPr>
                <w:rFonts w:hint="eastAsia"/>
                <w:u w:val="none"/>
              </w:rPr>
              <w:t>距离</w:t>
            </w:r>
          </w:p>
        </w:tc>
        <w:tc>
          <w:tcPr>
            <w:tcW w:w="2118" w:type="pct"/>
            <w:shd w:val="clear" w:color="auto" w:fill="auto"/>
            <w:noWrap/>
            <w:vAlign w:val="bottom"/>
          </w:tcPr>
          <w:p w14:paraId="557ABC13">
            <w:pPr>
              <w:pStyle w:val="48"/>
              <w:rPr>
                <w:rFonts w:hint="eastAsia"/>
                <w:u w:val="none"/>
              </w:rPr>
            </w:pPr>
            <w:r>
              <w:rPr>
                <w:rFonts w:hint="eastAsia"/>
                <w:u w:val="none"/>
              </w:rPr>
              <w:t>浓度出现时间</w:t>
            </w:r>
          </w:p>
        </w:tc>
        <w:tc>
          <w:tcPr>
            <w:tcW w:w="1592" w:type="pct"/>
            <w:shd w:val="clear" w:color="auto" w:fill="auto"/>
            <w:noWrap/>
            <w:vAlign w:val="bottom"/>
          </w:tcPr>
          <w:p w14:paraId="617ACD24">
            <w:pPr>
              <w:pStyle w:val="48"/>
              <w:rPr>
                <w:rFonts w:hint="eastAsia"/>
                <w:u w:val="none"/>
              </w:rPr>
            </w:pPr>
            <w:r>
              <w:rPr>
                <w:rFonts w:hint="eastAsia"/>
                <w:u w:val="none"/>
              </w:rPr>
              <w:t>高峰浓度</w:t>
            </w:r>
          </w:p>
        </w:tc>
      </w:tr>
      <w:tr w14:paraId="3BD98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6397F288">
            <w:pPr>
              <w:pStyle w:val="48"/>
              <w:rPr>
                <w:rFonts w:hint="eastAsia"/>
                <w:u w:val="none"/>
              </w:rPr>
            </w:pPr>
            <w:r>
              <w:rPr>
                <w:rFonts w:hint="eastAsia"/>
                <w:u w:val="none"/>
              </w:rPr>
              <w:t xml:space="preserve"> (m)</w:t>
            </w:r>
          </w:p>
        </w:tc>
        <w:tc>
          <w:tcPr>
            <w:tcW w:w="2118" w:type="pct"/>
            <w:shd w:val="clear" w:color="auto" w:fill="auto"/>
            <w:noWrap/>
            <w:vAlign w:val="bottom"/>
          </w:tcPr>
          <w:p w14:paraId="57AC3FE8">
            <w:pPr>
              <w:pStyle w:val="48"/>
              <w:rPr>
                <w:rFonts w:hint="eastAsia"/>
                <w:u w:val="none"/>
              </w:rPr>
            </w:pPr>
            <w:r>
              <w:rPr>
                <w:rFonts w:hint="eastAsia"/>
                <w:u w:val="none"/>
              </w:rPr>
              <w:t>(min)</w:t>
            </w:r>
          </w:p>
        </w:tc>
        <w:tc>
          <w:tcPr>
            <w:tcW w:w="1592" w:type="pct"/>
            <w:shd w:val="clear" w:color="auto" w:fill="auto"/>
            <w:noWrap/>
            <w:vAlign w:val="bottom"/>
          </w:tcPr>
          <w:p w14:paraId="799FBF62">
            <w:pPr>
              <w:pStyle w:val="48"/>
              <w:rPr>
                <w:rFonts w:hint="eastAsia"/>
                <w:u w:val="none"/>
              </w:rPr>
            </w:pPr>
            <w:r>
              <w:rPr>
                <w:rFonts w:hint="eastAsia"/>
                <w:u w:val="none"/>
              </w:rPr>
              <w:t xml:space="preserve"> (mg/m</w:t>
            </w:r>
            <w:r>
              <w:rPr>
                <w:rFonts w:hint="eastAsia"/>
                <w:u w:val="none"/>
                <w:vertAlign w:val="superscript"/>
              </w:rPr>
              <w:t>3</w:t>
            </w:r>
            <w:r>
              <w:rPr>
                <w:rFonts w:hint="eastAsia"/>
                <w:u w:val="none"/>
              </w:rPr>
              <w:t>)</w:t>
            </w:r>
          </w:p>
        </w:tc>
      </w:tr>
      <w:tr w14:paraId="7F3BE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76C63859">
            <w:pPr>
              <w:pStyle w:val="48"/>
              <w:rPr>
                <w:rFonts w:hint="eastAsia"/>
                <w:u w:val="none"/>
              </w:rPr>
            </w:pPr>
            <w:r>
              <w:rPr>
                <w:rFonts w:hint="eastAsia"/>
                <w:u w:val="none"/>
              </w:rPr>
              <w:t xml:space="preserve">10.00 </w:t>
            </w:r>
          </w:p>
        </w:tc>
        <w:tc>
          <w:tcPr>
            <w:tcW w:w="2118" w:type="pct"/>
            <w:shd w:val="clear" w:color="auto" w:fill="auto"/>
            <w:noWrap/>
            <w:vAlign w:val="bottom"/>
          </w:tcPr>
          <w:p w14:paraId="472C15A3">
            <w:pPr>
              <w:pStyle w:val="48"/>
              <w:rPr>
                <w:rFonts w:hint="default" w:eastAsia="宋体"/>
                <w:u w:val="none"/>
                <w:lang w:val="en-US" w:eastAsia="zh-CN"/>
              </w:rPr>
            </w:pPr>
            <w:r>
              <w:rPr>
                <w:rFonts w:hint="eastAsia"/>
                <w:u w:val="none"/>
                <w:lang w:val="en-US" w:eastAsia="zh-CN"/>
              </w:rPr>
              <w:t>7.561</w:t>
            </w:r>
          </w:p>
        </w:tc>
        <w:tc>
          <w:tcPr>
            <w:tcW w:w="1592" w:type="pct"/>
            <w:shd w:val="clear" w:color="auto" w:fill="auto"/>
            <w:noWrap/>
            <w:vAlign w:val="bottom"/>
          </w:tcPr>
          <w:p w14:paraId="384F671C">
            <w:pPr>
              <w:pStyle w:val="48"/>
              <w:rPr>
                <w:rFonts w:hint="default" w:eastAsia="宋体"/>
                <w:u w:val="none"/>
                <w:lang w:val="en-US" w:eastAsia="zh-CN"/>
              </w:rPr>
            </w:pPr>
            <w:r>
              <w:rPr>
                <w:rFonts w:hint="eastAsia"/>
                <w:u w:val="none"/>
                <w:lang w:val="en-US" w:eastAsia="zh-CN"/>
              </w:rPr>
              <w:t>41131</w:t>
            </w:r>
          </w:p>
        </w:tc>
      </w:tr>
      <w:tr w14:paraId="4D3B3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2C401933">
            <w:pPr>
              <w:pStyle w:val="48"/>
              <w:rPr>
                <w:rFonts w:hint="eastAsia"/>
                <w:u w:val="none"/>
              </w:rPr>
            </w:pPr>
            <w:r>
              <w:rPr>
                <w:rFonts w:hint="eastAsia"/>
                <w:u w:val="none"/>
              </w:rPr>
              <w:t xml:space="preserve">20.00 </w:t>
            </w:r>
          </w:p>
        </w:tc>
        <w:tc>
          <w:tcPr>
            <w:tcW w:w="2118" w:type="pct"/>
            <w:shd w:val="clear" w:color="auto" w:fill="auto"/>
            <w:noWrap/>
            <w:vAlign w:val="bottom"/>
          </w:tcPr>
          <w:p w14:paraId="24FEB986">
            <w:pPr>
              <w:pStyle w:val="48"/>
              <w:rPr>
                <w:rFonts w:hint="default" w:eastAsia="宋体"/>
                <w:u w:val="none"/>
                <w:lang w:val="en-US" w:eastAsia="zh-CN"/>
              </w:rPr>
            </w:pPr>
            <w:r>
              <w:rPr>
                <w:rFonts w:hint="eastAsia"/>
                <w:u w:val="none"/>
                <w:lang w:val="en-US" w:eastAsia="zh-CN"/>
              </w:rPr>
              <w:t>7.621</w:t>
            </w:r>
          </w:p>
        </w:tc>
        <w:tc>
          <w:tcPr>
            <w:tcW w:w="1592" w:type="pct"/>
            <w:shd w:val="clear" w:color="auto" w:fill="auto"/>
            <w:noWrap/>
            <w:vAlign w:val="bottom"/>
          </w:tcPr>
          <w:p w14:paraId="63DFE339">
            <w:pPr>
              <w:pStyle w:val="48"/>
              <w:rPr>
                <w:rFonts w:hint="default" w:eastAsia="宋体"/>
                <w:u w:val="none"/>
                <w:lang w:val="en-US" w:eastAsia="zh-CN"/>
              </w:rPr>
            </w:pPr>
            <w:r>
              <w:rPr>
                <w:rFonts w:hint="eastAsia"/>
                <w:u w:val="none"/>
                <w:lang w:val="en-US" w:eastAsia="zh-CN"/>
              </w:rPr>
              <w:t>12433</w:t>
            </w:r>
          </w:p>
        </w:tc>
      </w:tr>
      <w:tr w14:paraId="3C378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26FC96B2">
            <w:pPr>
              <w:pStyle w:val="48"/>
              <w:rPr>
                <w:rFonts w:hint="eastAsia"/>
                <w:u w:val="none"/>
              </w:rPr>
            </w:pPr>
            <w:r>
              <w:rPr>
                <w:rFonts w:hint="eastAsia"/>
                <w:u w:val="none"/>
              </w:rPr>
              <w:t xml:space="preserve">30.00 </w:t>
            </w:r>
          </w:p>
        </w:tc>
        <w:tc>
          <w:tcPr>
            <w:tcW w:w="2118" w:type="pct"/>
            <w:shd w:val="clear" w:color="auto" w:fill="auto"/>
            <w:noWrap/>
            <w:vAlign w:val="bottom"/>
          </w:tcPr>
          <w:p w14:paraId="1E460B0B">
            <w:pPr>
              <w:pStyle w:val="48"/>
              <w:rPr>
                <w:rFonts w:hint="default" w:eastAsia="宋体"/>
                <w:u w:val="none"/>
                <w:lang w:val="en-US" w:eastAsia="zh-CN"/>
              </w:rPr>
            </w:pPr>
            <w:r>
              <w:rPr>
                <w:rFonts w:hint="eastAsia"/>
                <w:u w:val="none"/>
                <w:lang w:val="en-US" w:eastAsia="zh-CN"/>
              </w:rPr>
              <w:t>7.682</w:t>
            </w:r>
          </w:p>
        </w:tc>
        <w:tc>
          <w:tcPr>
            <w:tcW w:w="1592" w:type="pct"/>
            <w:shd w:val="clear" w:color="auto" w:fill="auto"/>
            <w:noWrap/>
            <w:vAlign w:val="bottom"/>
          </w:tcPr>
          <w:p w14:paraId="68E9D7E2">
            <w:pPr>
              <w:pStyle w:val="48"/>
              <w:rPr>
                <w:rFonts w:hint="default" w:eastAsia="宋体"/>
                <w:u w:val="none"/>
                <w:lang w:val="en-US" w:eastAsia="zh-CN"/>
              </w:rPr>
            </w:pPr>
            <w:r>
              <w:rPr>
                <w:rFonts w:hint="eastAsia"/>
                <w:u w:val="none"/>
                <w:lang w:val="en-US" w:eastAsia="zh-CN"/>
              </w:rPr>
              <w:t>5597</w:t>
            </w:r>
          </w:p>
        </w:tc>
      </w:tr>
      <w:tr w14:paraId="1849E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6C4262B3">
            <w:pPr>
              <w:pStyle w:val="48"/>
              <w:rPr>
                <w:rFonts w:hint="eastAsia"/>
                <w:u w:val="none"/>
              </w:rPr>
            </w:pPr>
            <w:r>
              <w:rPr>
                <w:rFonts w:hint="eastAsia"/>
                <w:u w:val="none"/>
              </w:rPr>
              <w:t xml:space="preserve">40.00 </w:t>
            </w:r>
          </w:p>
        </w:tc>
        <w:tc>
          <w:tcPr>
            <w:tcW w:w="2118" w:type="pct"/>
            <w:shd w:val="clear" w:color="auto" w:fill="auto"/>
            <w:noWrap/>
            <w:vAlign w:val="bottom"/>
          </w:tcPr>
          <w:p w14:paraId="1EB8B6A2">
            <w:pPr>
              <w:pStyle w:val="48"/>
              <w:rPr>
                <w:rFonts w:hint="default" w:eastAsia="宋体"/>
                <w:u w:val="none"/>
                <w:lang w:val="en-US" w:eastAsia="zh-CN"/>
              </w:rPr>
            </w:pPr>
            <w:r>
              <w:rPr>
                <w:rFonts w:hint="eastAsia"/>
                <w:u w:val="none"/>
                <w:lang w:val="en-US" w:eastAsia="zh-CN"/>
              </w:rPr>
              <w:t>7.742</w:t>
            </w:r>
          </w:p>
        </w:tc>
        <w:tc>
          <w:tcPr>
            <w:tcW w:w="1592" w:type="pct"/>
            <w:shd w:val="clear" w:color="auto" w:fill="auto"/>
            <w:noWrap/>
            <w:vAlign w:val="bottom"/>
          </w:tcPr>
          <w:p w14:paraId="01AEB323">
            <w:pPr>
              <w:pStyle w:val="48"/>
              <w:rPr>
                <w:rFonts w:hint="default" w:eastAsia="宋体"/>
                <w:u w:val="none"/>
                <w:lang w:val="en-US" w:eastAsia="zh-CN"/>
              </w:rPr>
            </w:pPr>
            <w:r>
              <w:rPr>
                <w:rFonts w:hint="eastAsia"/>
                <w:u w:val="none"/>
                <w:lang w:val="en-US" w:eastAsia="zh-CN"/>
              </w:rPr>
              <w:t>3157</w:t>
            </w:r>
          </w:p>
        </w:tc>
      </w:tr>
      <w:tr w14:paraId="277B2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0B8D7F42">
            <w:pPr>
              <w:pStyle w:val="48"/>
              <w:rPr>
                <w:rFonts w:hint="eastAsia"/>
                <w:u w:val="none"/>
              </w:rPr>
            </w:pPr>
            <w:r>
              <w:rPr>
                <w:rFonts w:hint="eastAsia"/>
                <w:u w:val="none"/>
              </w:rPr>
              <w:t xml:space="preserve">50.00 </w:t>
            </w:r>
          </w:p>
        </w:tc>
        <w:tc>
          <w:tcPr>
            <w:tcW w:w="2118" w:type="pct"/>
            <w:shd w:val="clear" w:color="auto" w:fill="auto"/>
            <w:noWrap/>
            <w:vAlign w:val="bottom"/>
          </w:tcPr>
          <w:p w14:paraId="0AB5770A">
            <w:pPr>
              <w:pStyle w:val="48"/>
              <w:rPr>
                <w:rFonts w:hint="default" w:eastAsia="宋体"/>
                <w:u w:val="none"/>
                <w:lang w:val="en-US" w:eastAsia="zh-CN"/>
              </w:rPr>
            </w:pPr>
            <w:r>
              <w:rPr>
                <w:rFonts w:hint="eastAsia"/>
                <w:u w:val="none"/>
                <w:lang w:val="en-US" w:eastAsia="zh-CN"/>
              </w:rPr>
              <w:t>7.804</w:t>
            </w:r>
          </w:p>
        </w:tc>
        <w:tc>
          <w:tcPr>
            <w:tcW w:w="1592" w:type="pct"/>
            <w:shd w:val="clear" w:color="auto" w:fill="auto"/>
            <w:noWrap/>
            <w:vAlign w:val="bottom"/>
          </w:tcPr>
          <w:p w14:paraId="78906557">
            <w:pPr>
              <w:pStyle w:val="48"/>
              <w:rPr>
                <w:rFonts w:hint="default" w:eastAsia="宋体"/>
                <w:u w:val="none"/>
                <w:lang w:val="en-US" w:eastAsia="zh-CN"/>
              </w:rPr>
            </w:pPr>
            <w:r>
              <w:rPr>
                <w:rFonts w:hint="eastAsia"/>
                <w:u w:val="none"/>
                <w:lang w:val="en-US" w:eastAsia="zh-CN"/>
              </w:rPr>
              <w:t>2010</w:t>
            </w:r>
          </w:p>
        </w:tc>
      </w:tr>
      <w:tr w14:paraId="556E2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72249849">
            <w:pPr>
              <w:pStyle w:val="48"/>
              <w:rPr>
                <w:rFonts w:hint="eastAsia"/>
                <w:u w:val="none"/>
              </w:rPr>
            </w:pPr>
            <w:r>
              <w:rPr>
                <w:rFonts w:hint="eastAsia"/>
                <w:u w:val="none"/>
              </w:rPr>
              <w:t xml:space="preserve">100.00 </w:t>
            </w:r>
          </w:p>
        </w:tc>
        <w:tc>
          <w:tcPr>
            <w:tcW w:w="2118" w:type="pct"/>
            <w:shd w:val="clear" w:color="auto" w:fill="auto"/>
            <w:noWrap/>
            <w:vAlign w:val="bottom"/>
          </w:tcPr>
          <w:p w14:paraId="0F91D37E">
            <w:pPr>
              <w:pStyle w:val="48"/>
              <w:rPr>
                <w:rFonts w:hint="default" w:eastAsia="宋体"/>
                <w:u w:val="none"/>
                <w:lang w:val="en-US" w:eastAsia="zh-CN"/>
              </w:rPr>
            </w:pPr>
            <w:r>
              <w:rPr>
                <w:rFonts w:hint="eastAsia"/>
                <w:u w:val="none"/>
                <w:lang w:val="en-US" w:eastAsia="zh-CN"/>
              </w:rPr>
              <w:t>6.107</w:t>
            </w:r>
          </w:p>
        </w:tc>
        <w:tc>
          <w:tcPr>
            <w:tcW w:w="1592" w:type="pct"/>
            <w:shd w:val="clear" w:color="auto" w:fill="auto"/>
            <w:noWrap/>
            <w:vAlign w:val="bottom"/>
          </w:tcPr>
          <w:p w14:paraId="37FE1185">
            <w:pPr>
              <w:pStyle w:val="48"/>
              <w:rPr>
                <w:rFonts w:hint="default" w:eastAsia="宋体"/>
                <w:u w:val="none"/>
                <w:lang w:val="en-US" w:eastAsia="zh-CN"/>
              </w:rPr>
            </w:pPr>
            <w:r>
              <w:rPr>
                <w:rFonts w:hint="eastAsia"/>
                <w:u w:val="none"/>
                <w:lang w:val="en-US" w:eastAsia="zh-CN"/>
              </w:rPr>
              <w:t>487</w:t>
            </w:r>
          </w:p>
        </w:tc>
      </w:tr>
      <w:tr w14:paraId="67FE0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5CAEFED0">
            <w:pPr>
              <w:pStyle w:val="48"/>
              <w:rPr>
                <w:rFonts w:hint="eastAsia"/>
                <w:u w:val="none"/>
              </w:rPr>
            </w:pPr>
            <w:r>
              <w:rPr>
                <w:rFonts w:hint="eastAsia"/>
                <w:u w:val="none"/>
              </w:rPr>
              <w:t xml:space="preserve">200.00 </w:t>
            </w:r>
          </w:p>
        </w:tc>
        <w:tc>
          <w:tcPr>
            <w:tcW w:w="2118" w:type="pct"/>
            <w:shd w:val="clear" w:color="auto" w:fill="auto"/>
            <w:noWrap/>
            <w:vAlign w:val="bottom"/>
          </w:tcPr>
          <w:p w14:paraId="0B288A90">
            <w:pPr>
              <w:pStyle w:val="48"/>
              <w:rPr>
                <w:rFonts w:hint="default" w:eastAsia="宋体"/>
                <w:u w:val="none"/>
                <w:lang w:val="en-US" w:eastAsia="zh-CN"/>
              </w:rPr>
            </w:pPr>
            <w:r>
              <w:rPr>
                <w:rFonts w:hint="eastAsia"/>
                <w:u w:val="none"/>
                <w:lang w:val="en-US" w:eastAsia="zh-CN"/>
              </w:rPr>
              <w:t>6.715</w:t>
            </w:r>
          </w:p>
        </w:tc>
        <w:tc>
          <w:tcPr>
            <w:tcW w:w="1592" w:type="pct"/>
            <w:shd w:val="clear" w:color="auto" w:fill="auto"/>
            <w:noWrap/>
            <w:vAlign w:val="bottom"/>
          </w:tcPr>
          <w:p w14:paraId="070F5CFE">
            <w:pPr>
              <w:pStyle w:val="48"/>
              <w:rPr>
                <w:rFonts w:hint="default" w:eastAsia="宋体"/>
                <w:u w:val="none"/>
                <w:lang w:val="en-US" w:eastAsia="zh-CN"/>
              </w:rPr>
            </w:pPr>
            <w:r>
              <w:rPr>
                <w:rFonts w:hint="eastAsia"/>
                <w:u w:val="none"/>
                <w:lang w:val="en-US" w:eastAsia="zh-CN"/>
              </w:rPr>
              <w:t>125</w:t>
            </w:r>
          </w:p>
        </w:tc>
      </w:tr>
      <w:tr w14:paraId="636BB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19D364BE">
            <w:pPr>
              <w:pStyle w:val="48"/>
              <w:rPr>
                <w:rFonts w:hint="eastAsia"/>
                <w:u w:val="none"/>
              </w:rPr>
            </w:pPr>
            <w:r>
              <w:rPr>
                <w:rFonts w:hint="eastAsia"/>
                <w:u w:val="none"/>
              </w:rPr>
              <w:t xml:space="preserve">300.00 </w:t>
            </w:r>
          </w:p>
        </w:tc>
        <w:tc>
          <w:tcPr>
            <w:tcW w:w="2118" w:type="pct"/>
            <w:shd w:val="clear" w:color="auto" w:fill="auto"/>
            <w:noWrap/>
            <w:vAlign w:val="bottom"/>
          </w:tcPr>
          <w:p w14:paraId="6DA1A7F1">
            <w:pPr>
              <w:pStyle w:val="48"/>
              <w:rPr>
                <w:rFonts w:hint="default" w:eastAsia="宋体"/>
                <w:u w:val="none"/>
                <w:lang w:val="en-US" w:eastAsia="zh-CN"/>
              </w:rPr>
            </w:pPr>
            <w:r>
              <w:rPr>
                <w:rFonts w:hint="eastAsia"/>
                <w:u w:val="none"/>
                <w:lang w:val="en-US" w:eastAsia="zh-CN"/>
              </w:rPr>
              <w:t>9.322</w:t>
            </w:r>
          </w:p>
        </w:tc>
        <w:tc>
          <w:tcPr>
            <w:tcW w:w="1592" w:type="pct"/>
            <w:shd w:val="clear" w:color="auto" w:fill="auto"/>
            <w:noWrap/>
            <w:vAlign w:val="bottom"/>
          </w:tcPr>
          <w:p w14:paraId="595336C6">
            <w:pPr>
              <w:pStyle w:val="48"/>
              <w:rPr>
                <w:rFonts w:hint="default" w:eastAsia="宋体"/>
                <w:u w:val="none"/>
                <w:lang w:val="en-US" w:eastAsia="zh-CN"/>
              </w:rPr>
            </w:pPr>
            <w:r>
              <w:rPr>
                <w:rFonts w:hint="eastAsia"/>
                <w:u w:val="none"/>
                <w:lang w:val="en-US" w:eastAsia="zh-CN"/>
              </w:rPr>
              <w:t>57</w:t>
            </w:r>
          </w:p>
        </w:tc>
      </w:tr>
      <w:tr w14:paraId="440CC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1D063646">
            <w:pPr>
              <w:pStyle w:val="48"/>
              <w:rPr>
                <w:rFonts w:hint="eastAsia"/>
                <w:u w:val="none"/>
              </w:rPr>
            </w:pPr>
            <w:r>
              <w:rPr>
                <w:rFonts w:hint="eastAsia"/>
                <w:u w:val="none"/>
              </w:rPr>
              <w:t xml:space="preserve">400.00 </w:t>
            </w:r>
          </w:p>
        </w:tc>
        <w:tc>
          <w:tcPr>
            <w:tcW w:w="2118" w:type="pct"/>
            <w:shd w:val="clear" w:color="auto" w:fill="auto"/>
            <w:noWrap/>
            <w:vAlign w:val="bottom"/>
          </w:tcPr>
          <w:p w14:paraId="3167DFDA">
            <w:pPr>
              <w:pStyle w:val="48"/>
              <w:rPr>
                <w:rFonts w:hint="default" w:eastAsia="宋体"/>
                <w:u w:val="none"/>
                <w:lang w:val="en-US" w:eastAsia="zh-CN"/>
              </w:rPr>
            </w:pPr>
            <w:r>
              <w:rPr>
                <w:rFonts w:hint="eastAsia"/>
                <w:u w:val="none"/>
                <w:lang w:val="en-US" w:eastAsia="zh-CN"/>
              </w:rPr>
              <w:t>9.929</w:t>
            </w:r>
          </w:p>
        </w:tc>
        <w:tc>
          <w:tcPr>
            <w:tcW w:w="1592" w:type="pct"/>
            <w:shd w:val="clear" w:color="auto" w:fill="auto"/>
            <w:noWrap/>
            <w:vAlign w:val="bottom"/>
          </w:tcPr>
          <w:p w14:paraId="44FA7670">
            <w:pPr>
              <w:pStyle w:val="48"/>
              <w:rPr>
                <w:rFonts w:hint="default" w:eastAsia="宋体"/>
                <w:u w:val="none"/>
                <w:lang w:val="en-US" w:eastAsia="zh-CN"/>
              </w:rPr>
            </w:pPr>
            <w:r>
              <w:rPr>
                <w:rFonts w:hint="eastAsia"/>
                <w:u w:val="none"/>
                <w:lang w:val="en-US" w:eastAsia="zh-CN"/>
              </w:rPr>
              <w:t>32</w:t>
            </w:r>
          </w:p>
        </w:tc>
      </w:tr>
      <w:tr w14:paraId="74E51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49F02210">
            <w:pPr>
              <w:pStyle w:val="48"/>
              <w:rPr>
                <w:rFonts w:hint="eastAsia"/>
                <w:u w:val="none"/>
              </w:rPr>
            </w:pPr>
            <w:r>
              <w:rPr>
                <w:rFonts w:hint="eastAsia"/>
                <w:u w:val="none"/>
              </w:rPr>
              <w:t xml:space="preserve">500.00 </w:t>
            </w:r>
          </w:p>
        </w:tc>
        <w:tc>
          <w:tcPr>
            <w:tcW w:w="2118" w:type="pct"/>
            <w:shd w:val="clear" w:color="auto" w:fill="auto"/>
            <w:noWrap/>
            <w:vAlign w:val="bottom"/>
          </w:tcPr>
          <w:p w14:paraId="567D7D4F">
            <w:pPr>
              <w:pStyle w:val="48"/>
              <w:rPr>
                <w:rFonts w:hint="default" w:eastAsia="宋体"/>
                <w:u w:val="none"/>
                <w:lang w:val="en-US" w:eastAsia="zh-CN"/>
              </w:rPr>
            </w:pPr>
            <w:r>
              <w:rPr>
                <w:rFonts w:hint="eastAsia"/>
                <w:u w:val="none"/>
                <w:lang w:val="en-US" w:eastAsia="zh-CN"/>
              </w:rPr>
              <w:t>10.536</w:t>
            </w:r>
          </w:p>
        </w:tc>
        <w:tc>
          <w:tcPr>
            <w:tcW w:w="1592" w:type="pct"/>
            <w:shd w:val="clear" w:color="auto" w:fill="auto"/>
            <w:noWrap/>
            <w:vAlign w:val="bottom"/>
          </w:tcPr>
          <w:p w14:paraId="6DA04976">
            <w:pPr>
              <w:pStyle w:val="48"/>
              <w:rPr>
                <w:rFonts w:hint="default" w:eastAsia="宋体"/>
                <w:u w:val="none"/>
                <w:lang w:val="en-US" w:eastAsia="zh-CN"/>
              </w:rPr>
            </w:pPr>
            <w:r>
              <w:rPr>
                <w:rFonts w:hint="eastAsia"/>
                <w:u w:val="none"/>
                <w:lang w:val="en-US" w:eastAsia="zh-CN"/>
              </w:rPr>
              <w:t>21</w:t>
            </w:r>
          </w:p>
        </w:tc>
      </w:tr>
      <w:tr w14:paraId="7D37F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71391B29">
            <w:pPr>
              <w:pStyle w:val="48"/>
              <w:rPr>
                <w:rFonts w:hint="eastAsia"/>
                <w:u w:val="none"/>
              </w:rPr>
            </w:pPr>
            <w:r>
              <w:rPr>
                <w:rFonts w:hint="eastAsia"/>
                <w:u w:val="none"/>
              </w:rPr>
              <w:t xml:space="preserve">1000.00 </w:t>
            </w:r>
          </w:p>
        </w:tc>
        <w:tc>
          <w:tcPr>
            <w:tcW w:w="2118" w:type="pct"/>
            <w:shd w:val="clear" w:color="auto" w:fill="auto"/>
            <w:noWrap/>
            <w:vAlign w:val="bottom"/>
          </w:tcPr>
          <w:p w14:paraId="3448723F">
            <w:pPr>
              <w:pStyle w:val="48"/>
              <w:rPr>
                <w:rFonts w:hint="default" w:eastAsia="宋体"/>
                <w:u w:val="none"/>
                <w:lang w:val="en-US" w:eastAsia="zh-CN"/>
              </w:rPr>
            </w:pPr>
            <w:r>
              <w:rPr>
                <w:rFonts w:hint="eastAsia"/>
                <w:u w:val="none"/>
                <w:lang w:val="en-US" w:eastAsia="zh-CN"/>
              </w:rPr>
              <w:t>13.573</w:t>
            </w:r>
          </w:p>
        </w:tc>
        <w:tc>
          <w:tcPr>
            <w:tcW w:w="1592" w:type="pct"/>
            <w:shd w:val="clear" w:color="auto" w:fill="auto"/>
            <w:noWrap/>
            <w:vAlign w:val="bottom"/>
          </w:tcPr>
          <w:p w14:paraId="3570967F">
            <w:pPr>
              <w:pStyle w:val="48"/>
              <w:rPr>
                <w:rFonts w:hint="default" w:eastAsia="宋体"/>
                <w:u w:val="none"/>
                <w:lang w:val="en-US" w:eastAsia="zh-CN"/>
              </w:rPr>
            </w:pPr>
            <w:r>
              <w:rPr>
                <w:rFonts w:hint="eastAsia"/>
                <w:u w:val="none"/>
                <w:lang w:val="en-US" w:eastAsia="zh-CN"/>
              </w:rPr>
              <w:t>6</w:t>
            </w:r>
          </w:p>
        </w:tc>
      </w:tr>
      <w:tr w14:paraId="4670B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7716E42A">
            <w:pPr>
              <w:pStyle w:val="48"/>
              <w:rPr>
                <w:rFonts w:hint="eastAsia"/>
                <w:u w:val="none"/>
              </w:rPr>
            </w:pPr>
            <w:r>
              <w:rPr>
                <w:rFonts w:hint="eastAsia"/>
                <w:u w:val="none"/>
              </w:rPr>
              <w:t xml:space="preserve">1500.00 </w:t>
            </w:r>
          </w:p>
        </w:tc>
        <w:tc>
          <w:tcPr>
            <w:tcW w:w="2118" w:type="pct"/>
            <w:shd w:val="clear" w:color="auto" w:fill="auto"/>
            <w:noWrap/>
            <w:vAlign w:val="bottom"/>
          </w:tcPr>
          <w:p w14:paraId="0A947BF1">
            <w:pPr>
              <w:pStyle w:val="48"/>
              <w:rPr>
                <w:rFonts w:hint="default" w:eastAsia="宋体"/>
                <w:u w:val="none"/>
                <w:lang w:val="en-US" w:eastAsia="zh-CN"/>
              </w:rPr>
            </w:pPr>
            <w:r>
              <w:rPr>
                <w:rFonts w:hint="eastAsia"/>
                <w:u w:val="none"/>
                <w:lang w:val="en-US" w:eastAsia="zh-CN"/>
              </w:rPr>
              <w:t>16.704</w:t>
            </w:r>
          </w:p>
        </w:tc>
        <w:tc>
          <w:tcPr>
            <w:tcW w:w="1592" w:type="pct"/>
            <w:shd w:val="clear" w:color="auto" w:fill="auto"/>
            <w:noWrap/>
            <w:vAlign w:val="bottom"/>
          </w:tcPr>
          <w:p w14:paraId="65E806A2">
            <w:pPr>
              <w:pStyle w:val="48"/>
              <w:rPr>
                <w:rFonts w:hint="default" w:eastAsia="宋体"/>
                <w:u w:val="none"/>
                <w:lang w:val="en-US" w:eastAsia="zh-CN"/>
              </w:rPr>
            </w:pPr>
            <w:r>
              <w:rPr>
                <w:rFonts w:hint="eastAsia"/>
                <w:u w:val="none"/>
                <w:lang w:val="en-US" w:eastAsia="zh-CN"/>
              </w:rPr>
              <w:t>2</w:t>
            </w:r>
          </w:p>
        </w:tc>
      </w:tr>
      <w:tr w14:paraId="70618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40C89B76">
            <w:pPr>
              <w:pStyle w:val="48"/>
              <w:rPr>
                <w:rFonts w:hint="eastAsia"/>
                <w:u w:val="none"/>
              </w:rPr>
            </w:pPr>
            <w:r>
              <w:rPr>
                <w:rFonts w:hint="eastAsia"/>
                <w:u w:val="none"/>
              </w:rPr>
              <w:t xml:space="preserve">2000.00 </w:t>
            </w:r>
          </w:p>
        </w:tc>
        <w:tc>
          <w:tcPr>
            <w:tcW w:w="2118" w:type="pct"/>
            <w:shd w:val="clear" w:color="auto" w:fill="auto"/>
            <w:noWrap/>
            <w:vAlign w:val="bottom"/>
          </w:tcPr>
          <w:p w14:paraId="10B03B28">
            <w:pPr>
              <w:pStyle w:val="48"/>
              <w:rPr>
                <w:rFonts w:hint="default" w:eastAsia="宋体"/>
                <w:u w:val="none"/>
                <w:lang w:val="en-US" w:eastAsia="zh-CN"/>
              </w:rPr>
            </w:pPr>
            <w:r>
              <w:rPr>
                <w:rFonts w:hint="eastAsia"/>
                <w:u w:val="none"/>
                <w:lang w:val="en-US" w:eastAsia="zh-CN"/>
              </w:rPr>
              <w:t>19.873</w:t>
            </w:r>
          </w:p>
        </w:tc>
        <w:tc>
          <w:tcPr>
            <w:tcW w:w="1592" w:type="pct"/>
            <w:shd w:val="clear" w:color="auto" w:fill="auto"/>
            <w:noWrap/>
            <w:vAlign w:val="bottom"/>
          </w:tcPr>
          <w:p w14:paraId="15E5E02A">
            <w:pPr>
              <w:pStyle w:val="48"/>
              <w:rPr>
                <w:rFonts w:hint="default" w:eastAsia="宋体"/>
                <w:u w:val="none"/>
                <w:lang w:val="en-US" w:eastAsia="zh-CN"/>
              </w:rPr>
            </w:pPr>
            <w:r>
              <w:rPr>
                <w:rFonts w:hint="eastAsia"/>
                <w:u w:val="none"/>
                <w:lang w:val="en-US" w:eastAsia="zh-CN"/>
              </w:rPr>
              <w:t>1</w:t>
            </w:r>
          </w:p>
        </w:tc>
      </w:tr>
      <w:tr w14:paraId="57BD3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392437FC">
            <w:pPr>
              <w:pStyle w:val="48"/>
              <w:rPr>
                <w:rFonts w:hint="eastAsia"/>
                <w:u w:val="none"/>
              </w:rPr>
            </w:pPr>
            <w:r>
              <w:rPr>
                <w:rFonts w:hint="eastAsia"/>
                <w:u w:val="none"/>
              </w:rPr>
              <w:t xml:space="preserve">2500.00 </w:t>
            </w:r>
          </w:p>
        </w:tc>
        <w:tc>
          <w:tcPr>
            <w:tcW w:w="2118" w:type="pct"/>
            <w:shd w:val="clear" w:color="auto" w:fill="auto"/>
            <w:noWrap/>
            <w:vAlign w:val="bottom"/>
          </w:tcPr>
          <w:p w14:paraId="221BED9F">
            <w:pPr>
              <w:pStyle w:val="48"/>
              <w:rPr>
                <w:rFonts w:hint="default" w:eastAsia="宋体"/>
                <w:u w:val="none"/>
                <w:lang w:val="en-US" w:eastAsia="zh-CN"/>
              </w:rPr>
            </w:pPr>
            <w:r>
              <w:rPr>
                <w:rFonts w:hint="eastAsia"/>
                <w:u w:val="none"/>
                <w:lang w:val="en-US" w:eastAsia="zh-CN"/>
              </w:rPr>
              <w:t>22.992</w:t>
            </w:r>
          </w:p>
        </w:tc>
        <w:tc>
          <w:tcPr>
            <w:tcW w:w="1592" w:type="pct"/>
            <w:shd w:val="clear" w:color="auto" w:fill="auto"/>
            <w:noWrap/>
            <w:vAlign w:val="bottom"/>
          </w:tcPr>
          <w:p w14:paraId="25CB1D61">
            <w:pPr>
              <w:pStyle w:val="48"/>
              <w:rPr>
                <w:rFonts w:hint="default" w:eastAsia="宋体"/>
                <w:u w:val="none"/>
                <w:lang w:val="en-US" w:eastAsia="zh-CN"/>
              </w:rPr>
            </w:pPr>
            <w:r>
              <w:rPr>
                <w:rFonts w:hint="eastAsia"/>
                <w:u w:val="none"/>
                <w:lang w:val="en-US" w:eastAsia="zh-CN"/>
              </w:rPr>
              <w:t>0.9</w:t>
            </w:r>
          </w:p>
        </w:tc>
      </w:tr>
      <w:tr w14:paraId="22EB2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0D4C8153">
            <w:pPr>
              <w:pStyle w:val="48"/>
              <w:rPr>
                <w:rFonts w:hint="eastAsia"/>
                <w:u w:val="none"/>
              </w:rPr>
            </w:pPr>
            <w:r>
              <w:rPr>
                <w:rFonts w:hint="eastAsia"/>
                <w:u w:val="none"/>
              </w:rPr>
              <w:t xml:space="preserve">3000.00 </w:t>
            </w:r>
          </w:p>
        </w:tc>
        <w:tc>
          <w:tcPr>
            <w:tcW w:w="2118" w:type="pct"/>
            <w:shd w:val="clear" w:color="auto" w:fill="auto"/>
            <w:noWrap/>
            <w:vAlign w:val="bottom"/>
          </w:tcPr>
          <w:p w14:paraId="4F384CF7">
            <w:pPr>
              <w:pStyle w:val="48"/>
              <w:rPr>
                <w:rFonts w:hint="default" w:eastAsia="宋体"/>
                <w:u w:val="none"/>
                <w:lang w:val="en-US" w:eastAsia="zh-CN"/>
              </w:rPr>
            </w:pPr>
            <w:r>
              <w:rPr>
                <w:rFonts w:hint="eastAsia"/>
                <w:u w:val="none"/>
                <w:lang w:val="en-US" w:eastAsia="zh-CN"/>
              </w:rPr>
              <w:t>26.078</w:t>
            </w:r>
          </w:p>
        </w:tc>
        <w:tc>
          <w:tcPr>
            <w:tcW w:w="1592" w:type="pct"/>
            <w:shd w:val="clear" w:color="auto" w:fill="auto"/>
            <w:noWrap/>
            <w:vAlign w:val="bottom"/>
          </w:tcPr>
          <w:p w14:paraId="3F25EBEB">
            <w:pPr>
              <w:pStyle w:val="48"/>
              <w:rPr>
                <w:rFonts w:hint="default" w:eastAsia="宋体"/>
                <w:u w:val="none"/>
                <w:lang w:val="en-US" w:eastAsia="zh-CN"/>
              </w:rPr>
            </w:pPr>
            <w:r>
              <w:rPr>
                <w:rFonts w:hint="eastAsia"/>
                <w:u w:val="none"/>
                <w:lang w:val="en-US" w:eastAsia="zh-CN"/>
              </w:rPr>
              <w:t>0.6</w:t>
            </w:r>
          </w:p>
        </w:tc>
      </w:tr>
      <w:tr w14:paraId="08E86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3236037A">
            <w:pPr>
              <w:pStyle w:val="48"/>
              <w:rPr>
                <w:rFonts w:hint="eastAsia"/>
                <w:u w:val="none"/>
              </w:rPr>
            </w:pPr>
            <w:r>
              <w:rPr>
                <w:rFonts w:hint="eastAsia"/>
                <w:u w:val="none"/>
              </w:rPr>
              <w:t xml:space="preserve">4000.00 </w:t>
            </w:r>
          </w:p>
        </w:tc>
        <w:tc>
          <w:tcPr>
            <w:tcW w:w="2118" w:type="pct"/>
            <w:shd w:val="clear" w:color="auto" w:fill="auto"/>
            <w:noWrap/>
            <w:vAlign w:val="bottom"/>
          </w:tcPr>
          <w:p w14:paraId="02F3937C">
            <w:pPr>
              <w:pStyle w:val="48"/>
              <w:rPr>
                <w:rFonts w:hint="default" w:eastAsia="宋体"/>
                <w:u w:val="none"/>
                <w:lang w:val="en-US" w:eastAsia="zh-CN"/>
              </w:rPr>
            </w:pPr>
            <w:r>
              <w:rPr>
                <w:rFonts w:hint="eastAsia"/>
                <w:u w:val="none"/>
                <w:lang w:val="en-US" w:eastAsia="zh-CN"/>
              </w:rPr>
              <w:t>32.175</w:t>
            </w:r>
          </w:p>
        </w:tc>
        <w:tc>
          <w:tcPr>
            <w:tcW w:w="1592" w:type="pct"/>
            <w:shd w:val="clear" w:color="auto" w:fill="auto"/>
            <w:noWrap/>
            <w:vAlign w:val="bottom"/>
          </w:tcPr>
          <w:p w14:paraId="3EC1DFC2">
            <w:pPr>
              <w:pStyle w:val="48"/>
              <w:rPr>
                <w:rFonts w:hint="default" w:eastAsia="宋体"/>
                <w:u w:val="none"/>
                <w:lang w:val="en-US" w:eastAsia="zh-CN"/>
              </w:rPr>
            </w:pPr>
            <w:r>
              <w:rPr>
                <w:rFonts w:hint="eastAsia"/>
                <w:u w:val="none"/>
                <w:lang w:val="en-US" w:eastAsia="zh-CN"/>
              </w:rPr>
              <w:t>0.4</w:t>
            </w:r>
          </w:p>
        </w:tc>
      </w:tr>
      <w:tr w14:paraId="49D50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2B1382A9">
            <w:pPr>
              <w:pStyle w:val="48"/>
              <w:rPr>
                <w:rFonts w:hint="eastAsia"/>
                <w:u w:val="none"/>
              </w:rPr>
            </w:pPr>
            <w:r>
              <w:rPr>
                <w:rFonts w:hint="eastAsia"/>
                <w:u w:val="none"/>
              </w:rPr>
              <w:t xml:space="preserve">5000.00 </w:t>
            </w:r>
          </w:p>
        </w:tc>
        <w:tc>
          <w:tcPr>
            <w:tcW w:w="2118" w:type="pct"/>
            <w:shd w:val="clear" w:color="auto" w:fill="auto"/>
            <w:noWrap/>
            <w:vAlign w:val="bottom"/>
          </w:tcPr>
          <w:p w14:paraId="35EAE465">
            <w:pPr>
              <w:pStyle w:val="48"/>
              <w:rPr>
                <w:rFonts w:hint="default" w:eastAsia="宋体"/>
                <w:u w:val="none"/>
                <w:lang w:val="en-US" w:eastAsia="zh-CN"/>
              </w:rPr>
            </w:pPr>
            <w:r>
              <w:rPr>
                <w:rFonts w:hint="eastAsia"/>
                <w:u w:val="none"/>
                <w:lang w:val="en-US" w:eastAsia="zh-CN"/>
              </w:rPr>
              <w:t>38.201</w:t>
            </w:r>
          </w:p>
        </w:tc>
        <w:tc>
          <w:tcPr>
            <w:tcW w:w="1592" w:type="pct"/>
            <w:shd w:val="clear" w:color="auto" w:fill="auto"/>
            <w:noWrap/>
            <w:vAlign w:val="bottom"/>
          </w:tcPr>
          <w:p w14:paraId="5460D17C">
            <w:pPr>
              <w:pStyle w:val="48"/>
              <w:rPr>
                <w:rFonts w:hint="default" w:eastAsia="宋体"/>
                <w:u w:val="none"/>
                <w:lang w:val="en-US" w:eastAsia="zh-CN"/>
              </w:rPr>
            </w:pPr>
            <w:r>
              <w:rPr>
                <w:rFonts w:hint="eastAsia"/>
                <w:u w:val="none"/>
                <w:lang w:val="en-US" w:eastAsia="zh-CN"/>
              </w:rPr>
              <w:t>0.2</w:t>
            </w:r>
          </w:p>
        </w:tc>
      </w:tr>
    </w:tbl>
    <w:p w14:paraId="1CBB5256">
      <w:pPr>
        <w:pStyle w:val="25"/>
        <w:bidi w:val="0"/>
        <w:ind w:left="0" w:leftChars="0" w:firstLine="0" w:firstLineChars="0"/>
      </w:pPr>
      <w:r>
        <w:drawing>
          <wp:inline distT="0" distB="0" distL="114300" distR="114300">
            <wp:extent cx="5730240" cy="2819400"/>
            <wp:effectExtent l="0" t="0" r="3810" b="0"/>
            <wp:docPr id="4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9"/>
                    <pic:cNvPicPr>
                      <a:picLocks noChangeAspect="1"/>
                    </pic:cNvPicPr>
                  </pic:nvPicPr>
                  <pic:blipFill>
                    <a:blip r:embed="rId39"/>
                    <a:stretch>
                      <a:fillRect/>
                    </a:stretch>
                  </pic:blipFill>
                  <pic:spPr>
                    <a:xfrm>
                      <a:off x="0" y="0"/>
                      <a:ext cx="5730240" cy="2819400"/>
                    </a:xfrm>
                    <a:prstGeom prst="rect">
                      <a:avLst/>
                    </a:prstGeom>
                    <a:noFill/>
                    <a:ln>
                      <a:noFill/>
                    </a:ln>
                  </pic:spPr>
                </pic:pic>
              </a:graphicData>
            </a:graphic>
          </wp:inline>
        </w:drawing>
      </w:r>
    </w:p>
    <w:p w14:paraId="5CF37A26">
      <w:pPr>
        <w:pStyle w:val="63"/>
        <w:bidi w:val="0"/>
        <w:rPr>
          <w:rFonts w:hint="eastAsia"/>
          <w:lang w:val="en-US" w:eastAsia="zh-CN"/>
        </w:rPr>
      </w:pPr>
      <w:r>
        <w:rPr>
          <w:rFonts w:hint="eastAsia"/>
          <w:lang w:val="en-US" w:eastAsia="zh-CN"/>
        </w:rPr>
        <w:t>图F5-3  液化石油气泄漏丁烷轴线最大浓度-距离曲线图</w:t>
      </w:r>
    </w:p>
    <w:p w14:paraId="04F88127">
      <w:pPr>
        <w:pStyle w:val="62"/>
        <w:ind w:left="0" w:leftChars="0" w:firstLine="0" w:firstLineChars="0"/>
      </w:pPr>
      <w:r>
        <w:drawing>
          <wp:inline distT="0" distB="0" distL="114300" distR="114300">
            <wp:extent cx="5723890" cy="3527425"/>
            <wp:effectExtent l="0" t="0" r="10160" b="15875"/>
            <wp:docPr id="4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0"/>
                    <pic:cNvPicPr>
                      <a:picLocks noChangeAspect="1"/>
                    </pic:cNvPicPr>
                  </pic:nvPicPr>
                  <pic:blipFill>
                    <a:blip r:embed="rId40"/>
                    <a:stretch>
                      <a:fillRect/>
                    </a:stretch>
                  </pic:blipFill>
                  <pic:spPr>
                    <a:xfrm>
                      <a:off x="0" y="0"/>
                      <a:ext cx="5723890" cy="3527425"/>
                    </a:xfrm>
                    <a:prstGeom prst="rect">
                      <a:avLst/>
                    </a:prstGeom>
                    <a:noFill/>
                    <a:ln>
                      <a:noFill/>
                    </a:ln>
                  </pic:spPr>
                </pic:pic>
              </a:graphicData>
            </a:graphic>
          </wp:inline>
        </w:drawing>
      </w:r>
    </w:p>
    <w:p w14:paraId="1582FB5D">
      <w:pPr>
        <w:pStyle w:val="63"/>
        <w:bidi w:val="0"/>
        <w:rPr>
          <w:rFonts w:hint="eastAsia"/>
          <w:lang w:val="en-US" w:eastAsia="zh-CN"/>
        </w:rPr>
      </w:pPr>
      <w:r>
        <w:rPr>
          <w:rFonts w:hint="eastAsia"/>
          <w:lang w:val="en-US" w:eastAsia="zh-CN"/>
        </w:rPr>
        <w:t>图F5-4  液化石油气泄漏丁烷超过阈值最大轮廓图</w:t>
      </w:r>
    </w:p>
    <w:p w14:paraId="68D82CE5">
      <w:pPr>
        <w:pStyle w:val="25"/>
        <w:bidi w:val="0"/>
        <w:rPr>
          <w:rFonts w:hint="eastAsia"/>
        </w:rPr>
      </w:pPr>
      <w:r>
        <w:rPr>
          <w:rFonts w:hint="eastAsia"/>
        </w:rPr>
        <w:t>在全部时间（1h）里超过给定阈值的最大廓线，即最大影响区域。</w:t>
      </w:r>
      <w:r>
        <w:rPr>
          <w:rFonts w:hint="eastAsia"/>
          <w:lang w:val="en-US" w:eastAsia="zh-CN"/>
        </w:rPr>
        <w:t>项目液化石油气输送管道全管径泄漏</w:t>
      </w:r>
      <w:r>
        <w:rPr>
          <w:rFonts w:hint="eastAsia"/>
        </w:rPr>
        <w:t>后，预测浓度达到不同毒性终点浓度的最大影响范围分别见下表。</w:t>
      </w:r>
    </w:p>
    <w:p w14:paraId="2A4BC91F">
      <w:pPr>
        <w:pStyle w:val="25"/>
        <w:bidi w:val="0"/>
        <w:rPr>
          <w:rFonts w:hint="eastAsia"/>
        </w:rPr>
      </w:pPr>
    </w:p>
    <w:p w14:paraId="393A3023">
      <w:pPr>
        <w:pStyle w:val="25"/>
        <w:bidi w:val="0"/>
        <w:rPr>
          <w:rFonts w:hint="eastAsia"/>
        </w:rPr>
      </w:pPr>
    </w:p>
    <w:p w14:paraId="3A7C3FF8">
      <w:pPr>
        <w:pStyle w:val="63"/>
        <w:bidi w:val="0"/>
      </w:pPr>
      <w:r>
        <w:rPr>
          <w:rFonts w:hint="eastAsia"/>
        </w:rPr>
        <w:t>表</w:t>
      </w:r>
      <w:r>
        <w:rPr>
          <w:rFonts w:hint="eastAsia"/>
          <w:lang w:val="en-US" w:eastAsia="zh-CN"/>
        </w:rPr>
        <w:t>F5</w:t>
      </w:r>
      <w:r>
        <w:t>-</w:t>
      </w:r>
      <w:r>
        <w:rPr>
          <w:rFonts w:hint="eastAsia"/>
          <w:lang w:val="en-US" w:eastAsia="zh-CN"/>
        </w:rPr>
        <w:t>8</w:t>
      </w:r>
      <w:r>
        <w:t xml:space="preserve"> </w:t>
      </w:r>
      <w:r>
        <w:rPr>
          <w:rFonts w:hint="eastAsia"/>
        </w:rPr>
        <w:t>不利气象条件下</w:t>
      </w:r>
      <w:r>
        <w:rPr>
          <w:rFonts w:hint="eastAsia"/>
          <w:lang w:val="en-US" w:eastAsia="zh-CN"/>
        </w:rPr>
        <w:t>丙烯</w:t>
      </w:r>
      <w:r>
        <w:rPr>
          <w:rFonts w:hint="eastAsia"/>
        </w:rPr>
        <w:t>最大影响范围一览表</w:t>
      </w:r>
    </w:p>
    <w:tbl>
      <w:tblPr>
        <w:tblStyle w:val="1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08"/>
        <w:gridCol w:w="2309"/>
        <w:gridCol w:w="2312"/>
        <w:gridCol w:w="2311"/>
      </w:tblGrid>
      <w:tr w14:paraId="6008C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49" w:type="pct"/>
            <w:vAlign w:val="center"/>
          </w:tcPr>
          <w:p w14:paraId="5BCF0AEF">
            <w:pPr>
              <w:pStyle w:val="26"/>
              <w:bidi w:val="0"/>
            </w:pPr>
            <w:r>
              <w:rPr>
                <w:rFonts w:hint="eastAsia"/>
              </w:rPr>
              <w:t>气象条件</w:t>
            </w:r>
          </w:p>
        </w:tc>
        <w:tc>
          <w:tcPr>
            <w:tcW w:w="2500" w:type="pct"/>
            <w:gridSpan w:val="2"/>
            <w:vAlign w:val="center"/>
          </w:tcPr>
          <w:p w14:paraId="345183D5">
            <w:pPr>
              <w:pStyle w:val="26"/>
              <w:bidi w:val="0"/>
            </w:pPr>
            <w:r>
              <w:rPr>
                <w:rFonts w:hint="eastAsia"/>
              </w:rPr>
              <w:t>阈值（mg</w:t>
            </w:r>
            <w:r>
              <w:t>/m3</w:t>
            </w:r>
            <w:r>
              <w:rPr>
                <w:rFonts w:hint="eastAsia"/>
              </w:rPr>
              <w:t>）</w:t>
            </w:r>
          </w:p>
        </w:tc>
        <w:tc>
          <w:tcPr>
            <w:tcW w:w="1250" w:type="pct"/>
            <w:vAlign w:val="center"/>
          </w:tcPr>
          <w:p w14:paraId="6D8837FF">
            <w:pPr>
              <w:pStyle w:val="26"/>
              <w:bidi w:val="0"/>
            </w:pPr>
            <w:r>
              <w:rPr>
                <w:rFonts w:hint="eastAsia"/>
              </w:rPr>
              <w:t>影响范围半径（m）</w:t>
            </w:r>
          </w:p>
        </w:tc>
      </w:tr>
      <w:tr w14:paraId="24619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Merge w:val="restart"/>
            <w:vAlign w:val="center"/>
          </w:tcPr>
          <w:p w14:paraId="73057E26">
            <w:pPr>
              <w:pStyle w:val="26"/>
              <w:bidi w:val="0"/>
            </w:pPr>
            <w:r>
              <w:rPr>
                <w:rFonts w:hint="eastAsia"/>
              </w:rPr>
              <w:t>不利气象条件</w:t>
            </w:r>
          </w:p>
        </w:tc>
        <w:tc>
          <w:tcPr>
            <w:tcW w:w="1249" w:type="pct"/>
            <w:vAlign w:val="center"/>
          </w:tcPr>
          <w:p w14:paraId="25C1840E">
            <w:pPr>
              <w:pStyle w:val="26"/>
              <w:bidi w:val="0"/>
            </w:pPr>
            <w:r>
              <w:rPr>
                <w:rFonts w:hint="eastAsia"/>
              </w:rPr>
              <w:t>毒性终点浓度-</w:t>
            </w:r>
            <w:r>
              <w:t>2</w:t>
            </w:r>
          </w:p>
        </w:tc>
        <w:tc>
          <w:tcPr>
            <w:tcW w:w="1250" w:type="pct"/>
            <w:vAlign w:val="center"/>
          </w:tcPr>
          <w:p w14:paraId="578F795F">
            <w:pPr>
              <w:pStyle w:val="26"/>
              <w:bidi w:val="0"/>
              <w:rPr>
                <w:rFonts w:hint="default" w:eastAsia="宋体"/>
                <w:lang w:val="en-US" w:eastAsia="zh-CN"/>
              </w:rPr>
            </w:pPr>
            <w:r>
              <w:rPr>
                <w:rFonts w:hint="eastAsia"/>
                <w:lang w:val="en-US" w:eastAsia="zh-CN"/>
              </w:rPr>
              <w:t>40000</w:t>
            </w:r>
          </w:p>
        </w:tc>
        <w:tc>
          <w:tcPr>
            <w:tcW w:w="1250" w:type="pct"/>
            <w:vAlign w:val="center"/>
          </w:tcPr>
          <w:p w14:paraId="4943DF65">
            <w:pPr>
              <w:pStyle w:val="26"/>
              <w:bidi w:val="0"/>
              <w:rPr>
                <w:rFonts w:hint="default" w:eastAsia="宋体"/>
                <w:lang w:val="en-US" w:eastAsia="zh-CN"/>
              </w:rPr>
            </w:pPr>
            <w:r>
              <w:rPr>
                <w:rFonts w:hint="eastAsia"/>
                <w:lang w:val="en-US" w:eastAsia="zh-CN"/>
              </w:rPr>
              <w:t>10</w:t>
            </w:r>
          </w:p>
        </w:tc>
      </w:tr>
      <w:tr w14:paraId="3E142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Merge w:val="continue"/>
            <w:vAlign w:val="center"/>
          </w:tcPr>
          <w:p w14:paraId="32C97F22">
            <w:pPr>
              <w:pStyle w:val="26"/>
              <w:bidi w:val="0"/>
            </w:pPr>
          </w:p>
        </w:tc>
        <w:tc>
          <w:tcPr>
            <w:tcW w:w="1249" w:type="pct"/>
            <w:vAlign w:val="center"/>
          </w:tcPr>
          <w:p w14:paraId="158B8FCC">
            <w:pPr>
              <w:pStyle w:val="26"/>
              <w:bidi w:val="0"/>
            </w:pPr>
            <w:r>
              <w:rPr>
                <w:rFonts w:hint="eastAsia"/>
              </w:rPr>
              <w:t>毒性终点浓度-</w:t>
            </w:r>
            <w:r>
              <w:t>1</w:t>
            </w:r>
          </w:p>
        </w:tc>
        <w:tc>
          <w:tcPr>
            <w:tcW w:w="1250" w:type="pct"/>
            <w:vAlign w:val="center"/>
          </w:tcPr>
          <w:p w14:paraId="6F27B3C7">
            <w:pPr>
              <w:pStyle w:val="26"/>
              <w:bidi w:val="0"/>
              <w:rPr>
                <w:rFonts w:hint="default" w:eastAsia="宋体"/>
                <w:lang w:val="en-US" w:eastAsia="zh-CN"/>
              </w:rPr>
            </w:pPr>
            <w:r>
              <w:rPr>
                <w:rFonts w:hint="eastAsia"/>
                <w:lang w:val="en-US" w:eastAsia="zh-CN"/>
              </w:rPr>
              <w:t>130000</w:t>
            </w:r>
          </w:p>
        </w:tc>
        <w:tc>
          <w:tcPr>
            <w:tcW w:w="1250" w:type="pct"/>
            <w:vAlign w:val="center"/>
          </w:tcPr>
          <w:p w14:paraId="6473A13A">
            <w:pPr>
              <w:pStyle w:val="26"/>
              <w:bidi w:val="0"/>
              <w:rPr>
                <w:rFonts w:hint="eastAsia" w:eastAsia="宋体"/>
                <w:lang w:val="en-US" w:eastAsia="zh-CN"/>
              </w:rPr>
            </w:pPr>
            <w:r>
              <w:rPr>
                <w:rFonts w:hint="eastAsia"/>
                <w:lang w:val="en-US" w:eastAsia="zh-CN"/>
              </w:rPr>
              <w:t>/</w:t>
            </w:r>
          </w:p>
        </w:tc>
      </w:tr>
    </w:tbl>
    <w:p w14:paraId="4C18F189">
      <w:pPr>
        <w:pStyle w:val="62"/>
        <w:rPr>
          <w:rFonts w:hint="default"/>
          <w:lang w:val="en-US" w:eastAsia="zh-CN"/>
        </w:rPr>
      </w:pPr>
      <w:r>
        <w:rPr>
          <w:u w:val="none"/>
        </w:rPr>
        <w:t>根据上表可知，不利气象条件下：</w:t>
      </w:r>
      <w:r>
        <w:rPr>
          <w:rFonts w:hint="eastAsia"/>
          <w:u w:val="none"/>
          <w:lang w:val="en-US" w:eastAsia="zh-CN"/>
        </w:rPr>
        <w:t>丙烯</w:t>
      </w:r>
      <w:r>
        <w:rPr>
          <w:u w:val="none"/>
        </w:rPr>
        <w:t>发生泄漏扩散后预测浓度达到大气毒性终点浓度-</w:t>
      </w:r>
      <w:r>
        <w:rPr>
          <w:rFonts w:hint="eastAsia"/>
          <w:u w:val="none"/>
          <w:lang w:val="en-US" w:eastAsia="zh-CN"/>
        </w:rPr>
        <w:t>1</w:t>
      </w:r>
      <w:r>
        <w:rPr>
          <w:u w:val="none"/>
        </w:rPr>
        <w:t>（</w:t>
      </w:r>
      <w:r>
        <w:rPr>
          <w:rFonts w:hint="eastAsia"/>
          <w:u w:val="none"/>
          <w:lang w:val="en-US" w:eastAsia="zh-CN"/>
        </w:rPr>
        <w:t>40000</w:t>
      </w:r>
      <w:r>
        <w:rPr>
          <w:u w:val="none"/>
        </w:rPr>
        <w:t>mg/m</w:t>
      </w:r>
      <w:r>
        <w:rPr>
          <w:u w:val="none"/>
          <w:vertAlign w:val="superscript"/>
        </w:rPr>
        <w:t>3</w:t>
      </w:r>
      <w:r>
        <w:rPr>
          <w:u w:val="none"/>
        </w:rPr>
        <w:t>）的最大影响半径为</w:t>
      </w:r>
      <w:r>
        <w:rPr>
          <w:rFonts w:hint="eastAsia"/>
          <w:u w:val="none"/>
          <w:lang w:val="en-US" w:eastAsia="zh-CN"/>
        </w:rPr>
        <w:t>10</w:t>
      </w:r>
      <w:r>
        <w:rPr>
          <w:u w:val="none"/>
        </w:rPr>
        <w:t>m；</w:t>
      </w:r>
      <w:r>
        <w:rPr>
          <w:rFonts w:hint="eastAsia"/>
          <w:u w:val="none"/>
          <w:lang w:val="en-US" w:eastAsia="zh-CN"/>
        </w:rPr>
        <w:t>没有</w:t>
      </w:r>
      <w:r>
        <w:rPr>
          <w:u w:val="none"/>
        </w:rPr>
        <w:t>达到大气毒性终点浓度-</w:t>
      </w:r>
      <w:r>
        <w:rPr>
          <w:rFonts w:hint="eastAsia"/>
          <w:u w:val="none"/>
          <w:lang w:val="en-US" w:eastAsia="zh-CN"/>
        </w:rPr>
        <w:t>2</w:t>
      </w:r>
      <w:r>
        <w:rPr>
          <w:u w:val="none"/>
        </w:rPr>
        <w:t>（</w:t>
      </w:r>
      <w:r>
        <w:rPr>
          <w:rFonts w:hint="eastAsia"/>
          <w:u w:val="none"/>
          <w:lang w:val="en-US" w:eastAsia="zh-CN"/>
        </w:rPr>
        <w:t>130000</w:t>
      </w:r>
      <w:r>
        <w:rPr>
          <w:u w:val="none"/>
        </w:rPr>
        <w:t>mg/m</w:t>
      </w:r>
      <w:r>
        <w:rPr>
          <w:u w:val="none"/>
          <w:vertAlign w:val="superscript"/>
        </w:rPr>
        <w:t>3</w:t>
      </w:r>
      <w:r>
        <w:rPr>
          <w:u w:val="none"/>
        </w:rPr>
        <w:t>）</w:t>
      </w:r>
      <w:r>
        <w:rPr>
          <w:rFonts w:hint="eastAsia"/>
          <w:u w:val="none"/>
          <w:lang w:eastAsia="zh-CN"/>
        </w:rPr>
        <w:t>，</w:t>
      </w:r>
      <w:r>
        <w:rPr>
          <w:rFonts w:hint="eastAsia"/>
          <w:u w:val="none"/>
          <w:lang w:val="en-US" w:eastAsia="zh-CN"/>
        </w:rPr>
        <w:t>大气毒性终点浓度范围在厂区范围内，仅需撤离现场工作人员，无需疏散周边群众。</w:t>
      </w:r>
    </w:p>
    <w:p w14:paraId="4FFD35AB">
      <w:pPr>
        <w:pStyle w:val="34"/>
        <w:bidi w:val="0"/>
        <w:rPr>
          <w:rFonts w:hint="eastAsia"/>
          <w:lang w:val="en-US" w:eastAsia="zh-CN"/>
        </w:rPr>
      </w:pPr>
      <w:r>
        <w:rPr>
          <w:rFonts w:hint="eastAsia"/>
          <w:lang w:val="en-US" w:eastAsia="zh-CN"/>
        </w:rPr>
        <w:t>F5.1.6一氧化碳预测结果</w:t>
      </w:r>
    </w:p>
    <w:p w14:paraId="5D37BCFD">
      <w:pPr>
        <w:pStyle w:val="63"/>
        <w:bidi w:val="0"/>
      </w:pPr>
      <w:r>
        <w:rPr>
          <w:rFonts w:hint="eastAsia"/>
        </w:rPr>
        <w:t>表</w:t>
      </w:r>
      <w:r>
        <w:rPr>
          <w:rFonts w:hint="eastAsia"/>
          <w:lang w:val="en-US" w:eastAsia="zh-CN"/>
        </w:rPr>
        <w:t>F5</w:t>
      </w:r>
      <w:r>
        <w:t xml:space="preserve">-9  </w:t>
      </w:r>
      <w:r>
        <w:rPr>
          <w:rFonts w:hint="eastAsia"/>
          <w:lang w:val="en-US" w:eastAsia="zh-CN"/>
        </w:rPr>
        <w:t>项目储罐区</w:t>
      </w:r>
      <w:r>
        <w:rPr>
          <w:rFonts w:hint="eastAsia"/>
        </w:rPr>
        <w:t>火灾CO预测结果表</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4"/>
        <w:gridCol w:w="3915"/>
        <w:gridCol w:w="2943"/>
      </w:tblGrid>
      <w:tr w14:paraId="3AACA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55F04857">
            <w:pPr>
              <w:pStyle w:val="48"/>
              <w:rPr>
                <w:u w:val="none"/>
              </w:rPr>
            </w:pPr>
            <w:r>
              <w:rPr>
                <w:rFonts w:hint="eastAsia"/>
                <w:u w:val="none"/>
              </w:rPr>
              <w:t>距离</w:t>
            </w:r>
          </w:p>
        </w:tc>
        <w:tc>
          <w:tcPr>
            <w:tcW w:w="2118" w:type="pct"/>
            <w:shd w:val="clear" w:color="auto" w:fill="auto"/>
            <w:noWrap/>
            <w:vAlign w:val="bottom"/>
          </w:tcPr>
          <w:p w14:paraId="7E140D3D">
            <w:pPr>
              <w:pStyle w:val="48"/>
              <w:rPr>
                <w:rFonts w:hint="eastAsia"/>
                <w:u w:val="none"/>
              </w:rPr>
            </w:pPr>
            <w:r>
              <w:rPr>
                <w:rFonts w:hint="eastAsia"/>
                <w:u w:val="none"/>
              </w:rPr>
              <w:t>浓度出现时间</w:t>
            </w:r>
          </w:p>
        </w:tc>
        <w:tc>
          <w:tcPr>
            <w:tcW w:w="1592" w:type="pct"/>
            <w:shd w:val="clear" w:color="auto" w:fill="auto"/>
            <w:noWrap/>
            <w:vAlign w:val="bottom"/>
          </w:tcPr>
          <w:p w14:paraId="624CE2FB">
            <w:pPr>
              <w:pStyle w:val="48"/>
              <w:rPr>
                <w:rFonts w:hint="eastAsia"/>
                <w:u w:val="none"/>
              </w:rPr>
            </w:pPr>
            <w:r>
              <w:rPr>
                <w:rFonts w:hint="eastAsia"/>
                <w:u w:val="none"/>
              </w:rPr>
              <w:t>高峰浓度</w:t>
            </w:r>
          </w:p>
        </w:tc>
      </w:tr>
      <w:tr w14:paraId="26827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0BA5C970">
            <w:pPr>
              <w:pStyle w:val="48"/>
              <w:rPr>
                <w:rFonts w:hint="eastAsia"/>
                <w:u w:val="none"/>
              </w:rPr>
            </w:pPr>
            <w:r>
              <w:rPr>
                <w:rFonts w:hint="eastAsia"/>
                <w:u w:val="none"/>
              </w:rPr>
              <w:t xml:space="preserve"> (m)</w:t>
            </w:r>
          </w:p>
        </w:tc>
        <w:tc>
          <w:tcPr>
            <w:tcW w:w="2118" w:type="pct"/>
            <w:shd w:val="clear" w:color="auto" w:fill="auto"/>
            <w:noWrap/>
            <w:vAlign w:val="bottom"/>
          </w:tcPr>
          <w:p w14:paraId="722D8967">
            <w:pPr>
              <w:pStyle w:val="48"/>
              <w:rPr>
                <w:rFonts w:hint="eastAsia"/>
                <w:u w:val="none"/>
              </w:rPr>
            </w:pPr>
            <w:r>
              <w:rPr>
                <w:rFonts w:hint="eastAsia"/>
                <w:u w:val="none"/>
              </w:rPr>
              <w:t>(min)</w:t>
            </w:r>
          </w:p>
        </w:tc>
        <w:tc>
          <w:tcPr>
            <w:tcW w:w="1592" w:type="pct"/>
            <w:shd w:val="clear" w:color="auto" w:fill="auto"/>
            <w:noWrap/>
            <w:vAlign w:val="bottom"/>
          </w:tcPr>
          <w:p w14:paraId="57FD2BB4">
            <w:pPr>
              <w:pStyle w:val="48"/>
              <w:rPr>
                <w:rFonts w:hint="eastAsia"/>
                <w:u w:val="none"/>
              </w:rPr>
            </w:pPr>
            <w:r>
              <w:rPr>
                <w:rFonts w:hint="eastAsia"/>
                <w:u w:val="none"/>
              </w:rPr>
              <w:t xml:space="preserve"> (mg/m</w:t>
            </w:r>
            <w:r>
              <w:rPr>
                <w:rFonts w:hint="eastAsia"/>
                <w:u w:val="none"/>
                <w:vertAlign w:val="superscript"/>
              </w:rPr>
              <w:t>3</w:t>
            </w:r>
            <w:r>
              <w:rPr>
                <w:rFonts w:hint="eastAsia"/>
                <w:u w:val="none"/>
              </w:rPr>
              <w:t>)</w:t>
            </w:r>
          </w:p>
        </w:tc>
      </w:tr>
      <w:tr w14:paraId="40F63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766207B9">
            <w:pPr>
              <w:pStyle w:val="48"/>
              <w:rPr>
                <w:rFonts w:hint="eastAsia"/>
                <w:u w:val="none"/>
              </w:rPr>
            </w:pPr>
            <w:r>
              <w:rPr>
                <w:rFonts w:hint="eastAsia"/>
                <w:u w:val="none"/>
              </w:rPr>
              <w:t xml:space="preserve">10.00 </w:t>
            </w:r>
          </w:p>
        </w:tc>
        <w:tc>
          <w:tcPr>
            <w:tcW w:w="2118" w:type="pct"/>
            <w:shd w:val="clear" w:color="auto" w:fill="auto"/>
            <w:noWrap/>
            <w:vAlign w:val="bottom"/>
          </w:tcPr>
          <w:p w14:paraId="29CF3294">
            <w:pPr>
              <w:pStyle w:val="48"/>
              <w:rPr>
                <w:rFonts w:hint="default" w:eastAsia="宋体"/>
                <w:u w:val="none"/>
                <w:lang w:val="en-US" w:eastAsia="zh-CN"/>
              </w:rPr>
            </w:pPr>
            <w:r>
              <w:rPr>
                <w:rFonts w:hint="eastAsia"/>
                <w:u w:val="none"/>
                <w:lang w:val="en-US" w:eastAsia="zh-CN"/>
              </w:rPr>
              <w:t>0.079</w:t>
            </w:r>
          </w:p>
        </w:tc>
        <w:tc>
          <w:tcPr>
            <w:tcW w:w="1592" w:type="pct"/>
            <w:shd w:val="clear" w:color="auto" w:fill="auto"/>
            <w:noWrap/>
            <w:vAlign w:val="bottom"/>
          </w:tcPr>
          <w:p w14:paraId="0CD420AD">
            <w:pPr>
              <w:pStyle w:val="48"/>
              <w:rPr>
                <w:rFonts w:hint="default" w:eastAsia="宋体"/>
                <w:u w:val="none"/>
                <w:lang w:val="en-US" w:eastAsia="zh-CN"/>
              </w:rPr>
            </w:pPr>
            <w:r>
              <w:rPr>
                <w:rFonts w:hint="eastAsia"/>
                <w:u w:val="none"/>
                <w:lang w:val="en-US" w:eastAsia="zh-CN"/>
              </w:rPr>
              <w:t>52.9</w:t>
            </w:r>
          </w:p>
        </w:tc>
      </w:tr>
      <w:tr w14:paraId="3A4EA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408A7349">
            <w:pPr>
              <w:pStyle w:val="48"/>
              <w:rPr>
                <w:rFonts w:hint="eastAsia"/>
                <w:u w:val="none"/>
              </w:rPr>
            </w:pPr>
            <w:r>
              <w:rPr>
                <w:rFonts w:hint="eastAsia"/>
                <w:u w:val="none"/>
              </w:rPr>
              <w:t xml:space="preserve">20.00 </w:t>
            </w:r>
          </w:p>
        </w:tc>
        <w:tc>
          <w:tcPr>
            <w:tcW w:w="2118" w:type="pct"/>
            <w:shd w:val="clear" w:color="auto" w:fill="auto"/>
            <w:noWrap/>
            <w:vAlign w:val="bottom"/>
          </w:tcPr>
          <w:p w14:paraId="1A757DCE">
            <w:pPr>
              <w:pStyle w:val="48"/>
              <w:rPr>
                <w:rFonts w:hint="default" w:eastAsia="宋体"/>
                <w:u w:val="none"/>
                <w:lang w:val="en-US" w:eastAsia="zh-CN"/>
              </w:rPr>
            </w:pPr>
            <w:r>
              <w:rPr>
                <w:rFonts w:hint="eastAsia"/>
                <w:u w:val="none"/>
                <w:lang w:val="en-US" w:eastAsia="zh-CN"/>
              </w:rPr>
              <w:t>0.159</w:t>
            </w:r>
          </w:p>
        </w:tc>
        <w:tc>
          <w:tcPr>
            <w:tcW w:w="1592" w:type="pct"/>
            <w:shd w:val="clear" w:color="auto" w:fill="auto"/>
            <w:noWrap/>
            <w:vAlign w:val="bottom"/>
          </w:tcPr>
          <w:p w14:paraId="286809D9">
            <w:pPr>
              <w:pStyle w:val="48"/>
              <w:rPr>
                <w:rFonts w:hint="default" w:eastAsia="宋体"/>
                <w:u w:val="none"/>
                <w:lang w:val="en-US" w:eastAsia="zh-CN"/>
              </w:rPr>
            </w:pPr>
            <w:r>
              <w:rPr>
                <w:rFonts w:hint="eastAsia"/>
                <w:u w:val="none"/>
                <w:lang w:val="en-US" w:eastAsia="zh-CN"/>
              </w:rPr>
              <w:t>2024.3</w:t>
            </w:r>
          </w:p>
        </w:tc>
      </w:tr>
      <w:tr w14:paraId="2012D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760F2D79">
            <w:pPr>
              <w:pStyle w:val="48"/>
              <w:rPr>
                <w:rFonts w:hint="eastAsia"/>
                <w:u w:val="none"/>
              </w:rPr>
            </w:pPr>
            <w:r>
              <w:rPr>
                <w:rFonts w:hint="eastAsia"/>
                <w:u w:val="none"/>
              </w:rPr>
              <w:t xml:space="preserve">30.00 </w:t>
            </w:r>
          </w:p>
        </w:tc>
        <w:tc>
          <w:tcPr>
            <w:tcW w:w="2118" w:type="pct"/>
            <w:shd w:val="clear" w:color="auto" w:fill="auto"/>
            <w:noWrap/>
            <w:vAlign w:val="bottom"/>
          </w:tcPr>
          <w:p w14:paraId="3F506B80">
            <w:pPr>
              <w:pStyle w:val="48"/>
              <w:rPr>
                <w:rFonts w:hint="default" w:eastAsia="宋体"/>
                <w:u w:val="none"/>
                <w:lang w:val="en-US" w:eastAsia="zh-CN"/>
              </w:rPr>
            </w:pPr>
            <w:r>
              <w:rPr>
                <w:rFonts w:hint="eastAsia"/>
                <w:u w:val="none"/>
                <w:lang w:val="en-US" w:eastAsia="zh-CN"/>
              </w:rPr>
              <w:t>0.238</w:t>
            </w:r>
          </w:p>
        </w:tc>
        <w:tc>
          <w:tcPr>
            <w:tcW w:w="1592" w:type="pct"/>
            <w:shd w:val="clear" w:color="auto" w:fill="auto"/>
            <w:noWrap/>
            <w:vAlign w:val="bottom"/>
          </w:tcPr>
          <w:p w14:paraId="0B38E0C0">
            <w:pPr>
              <w:pStyle w:val="48"/>
              <w:rPr>
                <w:rFonts w:hint="default" w:eastAsia="宋体"/>
                <w:u w:val="none"/>
                <w:lang w:val="en-US" w:eastAsia="zh-CN"/>
              </w:rPr>
            </w:pPr>
            <w:r>
              <w:rPr>
                <w:rFonts w:hint="eastAsia"/>
                <w:u w:val="none"/>
                <w:lang w:val="en-US" w:eastAsia="zh-CN"/>
              </w:rPr>
              <w:t>1914.5</w:t>
            </w:r>
          </w:p>
        </w:tc>
      </w:tr>
      <w:tr w14:paraId="7BE90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0D0204CF">
            <w:pPr>
              <w:pStyle w:val="48"/>
              <w:rPr>
                <w:rFonts w:hint="eastAsia"/>
                <w:u w:val="none"/>
              </w:rPr>
            </w:pPr>
            <w:r>
              <w:rPr>
                <w:rFonts w:hint="eastAsia"/>
                <w:u w:val="none"/>
              </w:rPr>
              <w:t xml:space="preserve">40.00 </w:t>
            </w:r>
          </w:p>
        </w:tc>
        <w:tc>
          <w:tcPr>
            <w:tcW w:w="2118" w:type="pct"/>
            <w:shd w:val="clear" w:color="auto" w:fill="auto"/>
            <w:noWrap/>
            <w:vAlign w:val="bottom"/>
          </w:tcPr>
          <w:p w14:paraId="217F2675">
            <w:pPr>
              <w:pStyle w:val="48"/>
              <w:rPr>
                <w:rFonts w:hint="default" w:eastAsia="宋体"/>
                <w:u w:val="none"/>
                <w:lang w:val="en-US" w:eastAsia="zh-CN"/>
              </w:rPr>
            </w:pPr>
            <w:r>
              <w:rPr>
                <w:rFonts w:hint="eastAsia"/>
                <w:u w:val="none"/>
                <w:lang w:val="en-US" w:eastAsia="zh-CN"/>
              </w:rPr>
              <w:t>0.317</w:t>
            </w:r>
          </w:p>
        </w:tc>
        <w:tc>
          <w:tcPr>
            <w:tcW w:w="1592" w:type="pct"/>
            <w:shd w:val="clear" w:color="auto" w:fill="auto"/>
            <w:noWrap/>
            <w:vAlign w:val="bottom"/>
          </w:tcPr>
          <w:p w14:paraId="25F32541">
            <w:pPr>
              <w:pStyle w:val="48"/>
              <w:rPr>
                <w:rFonts w:hint="default" w:eastAsia="宋体"/>
                <w:u w:val="none"/>
                <w:lang w:val="en-US" w:eastAsia="zh-CN"/>
              </w:rPr>
            </w:pPr>
            <w:r>
              <w:rPr>
                <w:rFonts w:hint="eastAsia"/>
                <w:u w:val="none"/>
                <w:lang w:val="en-US" w:eastAsia="zh-CN"/>
              </w:rPr>
              <w:t>1487.7</w:t>
            </w:r>
          </w:p>
        </w:tc>
      </w:tr>
      <w:tr w14:paraId="5DF81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35694227">
            <w:pPr>
              <w:pStyle w:val="48"/>
              <w:rPr>
                <w:rFonts w:hint="eastAsia"/>
                <w:u w:val="none"/>
              </w:rPr>
            </w:pPr>
            <w:r>
              <w:rPr>
                <w:rFonts w:hint="eastAsia"/>
                <w:u w:val="none"/>
              </w:rPr>
              <w:t xml:space="preserve">50.00 </w:t>
            </w:r>
          </w:p>
        </w:tc>
        <w:tc>
          <w:tcPr>
            <w:tcW w:w="2118" w:type="pct"/>
            <w:shd w:val="clear" w:color="auto" w:fill="auto"/>
            <w:noWrap/>
            <w:vAlign w:val="bottom"/>
          </w:tcPr>
          <w:p w14:paraId="221B8F63">
            <w:pPr>
              <w:pStyle w:val="48"/>
              <w:rPr>
                <w:rFonts w:hint="default" w:eastAsia="宋体"/>
                <w:u w:val="none"/>
                <w:lang w:val="en-US" w:eastAsia="zh-CN"/>
              </w:rPr>
            </w:pPr>
            <w:r>
              <w:rPr>
                <w:rFonts w:hint="eastAsia"/>
                <w:u w:val="none"/>
                <w:lang w:val="en-US" w:eastAsia="zh-CN"/>
              </w:rPr>
              <w:t>0.397</w:t>
            </w:r>
          </w:p>
        </w:tc>
        <w:tc>
          <w:tcPr>
            <w:tcW w:w="1592" w:type="pct"/>
            <w:shd w:val="clear" w:color="auto" w:fill="auto"/>
            <w:noWrap/>
            <w:vAlign w:val="bottom"/>
          </w:tcPr>
          <w:p w14:paraId="16588BCE">
            <w:pPr>
              <w:pStyle w:val="48"/>
              <w:rPr>
                <w:rFonts w:hint="default" w:eastAsia="宋体"/>
                <w:u w:val="none"/>
                <w:lang w:val="en-US" w:eastAsia="zh-CN"/>
              </w:rPr>
            </w:pPr>
            <w:r>
              <w:rPr>
                <w:rFonts w:hint="eastAsia"/>
                <w:u w:val="none"/>
                <w:lang w:val="en-US" w:eastAsia="zh-CN"/>
              </w:rPr>
              <w:t>1095.4</w:t>
            </w:r>
          </w:p>
        </w:tc>
      </w:tr>
      <w:tr w14:paraId="485BB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10DF7A30">
            <w:pPr>
              <w:pStyle w:val="48"/>
              <w:rPr>
                <w:rFonts w:hint="eastAsia"/>
                <w:u w:val="none"/>
              </w:rPr>
            </w:pPr>
            <w:r>
              <w:rPr>
                <w:rFonts w:hint="eastAsia"/>
                <w:u w:val="none"/>
              </w:rPr>
              <w:t xml:space="preserve">100.00 </w:t>
            </w:r>
          </w:p>
        </w:tc>
        <w:tc>
          <w:tcPr>
            <w:tcW w:w="2118" w:type="pct"/>
            <w:shd w:val="clear" w:color="auto" w:fill="auto"/>
            <w:noWrap/>
            <w:vAlign w:val="bottom"/>
          </w:tcPr>
          <w:p w14:paraId="685F2B5F">
            <w:pPr>
              <w:pStyle w:val="48"/>
              <w:rPr>
                <w:rFonts w:hint="default" w:eastAsia="宋体"/>
                <w:u w:val="none"/>
                <w:lang w:val="en-US" w:eastAsia="zh-CN"/>
              </w:rPr>
            </w:pPr>
            <w:r>
              <w:rPr>
                <w:rFonts w:hint="eastAsia"/>
                <w:u w:val="none"/>
                <w:lang w:val="en-US" w:eastAsia="zh-CN"/>
              </w:rPr>
              <w:t>0.794</w:t>
            </w:r>
          </w:p>
        </w:tc>
        <w:tc>
          <w:tcPr>
            <w:tcW w:w="1592" w:type="pct"/>
            <w:shd w:val="clear" w:color="auto" w:fill="auto"/>
            <w:noWrap/>
            <w:vAlign w:val="bottom"/>
          </w:tcPr>
          <w:p w14:paraId="260FD499">
            <w:pPr>
              <w:pStyle w:val="48"/>
              <w:rPr>
                <w:rFonts w:hint="default" w:eastAsia="宋体"/>
                <w:u w:val="none"/>
                <w:lang w:val="en-US" w:eastAsia="zh-CN"/>
              </w:rPr>
            </w:pPr>
            <w:r>
              <w:rPr>
                <w:rFonts w:hint="eastAsia"/>
                <w:u w:val="none"/>
                <w:lang w:val="en-US" w:eastAsia="zh-CN"/>
              </w:rPr>
              <w:t>295.4</w:t>
            </w:r>
          </w:p>
        </w:tc>
      </w:tr>
      <w:tr w14:paraId="2ED40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01E5DEF3">
            <w:pPr>
              <w:pStyle w:val="48"/>
              <w:rPr>
                <w:rFonts w:hint="eastAsia"/>
                <w:u w:val="none"/>
              </w:rPr>
            </w:pPr>
            <w:r>
              <w:rPr>
                <w:rFonts w:hint="eastAsia"/>
                <w:u w:val="none"/>
              </w:rPr>
              <w:t xml:space="preserve">200.00 </w:t>
            </w:r>
          </w:p>
        </w:tc>
        <w:tc>
          <w:tcPr>
            <w:tcW w:w="2118" w:type="pct"/>
            <w:shd w:val="clear" w:color="auto" w:fill="auto"/>
            <w:noWrap/>
            <w:vAlign w:val="bottom"/>
          </w:tcPr>
          <w:p w14:paraId="6AA6BAE9">
            <w:pPr>
              <w:pStyle w:val="48"/>
              <w:rPr>
                <w:rFonts w:hint="default" w:eastAsia="宋体"/>
                <w:u w:val="none"/>
                <w:lang w:val="en-US" w:eastAsia="zh-CN"/>
              </w:rPr>
            </w:pPr>
            <w:r>
              <w:rPr>
                <w:rFonts w:hint="eastAsia"/>
                <w:u w:val="none"/>
                <w:lang w:val="en-US" w:eastAsia="zh-CN"/>
              </w:rPr>
              <w:t>1.567</w:t>
            </w:r>
          </w:p>
        </w:tc>
        <w:tc>
          <w:tcPr>
            <w:tcW w:w="1592" w:type="pct"/>
            <w:shd w:val="clear" w:color="auto" w:fill="auto"/>
            <w:noWrap/>
            <w:vAlign w:val="bottom"/>
          </w:tcPr>
          <w:p w14:paraId="195D640D">
            <w:pPr>
              <w:pStyle w:val="48"/>
              <w:rPr>
                <w:rFonts w:hint="default" w:eastAsia="宋体"/>
                <w:u w:val="none"/>
                <w:lang w:val="en-US" w:eastAsia="zh-CN"/>
              </w:rPr>
            </w:pPr>
            <w:r>
              <w:rPr>
                <w:rFonts w:hint="eastAsia"/>
                <w:u w:val="none"/>
                <w:lang w:val="en-US" w:eastAsia="zh-CN"/>
              </w:rPr>
              <w:t>66.2</w:t>
            </w:r>
          </w:p>
        </w:tc>
      </w:tr>
      <w:tr w14:paraId="4BBFA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16B656BE">
            <w:pPr>
              <w:pStyle w:val="48"/>
              <w:rPr>
                <w:rFonts w:hint="eastAsia"/>
                <w:u w:val="none"/>
              </w:rPr>
            </w:pPr>
            <w:r>
              <w:rPr>
                <w:rFonts w:hint="eastAsia"/>
                <w:u w:val="none"/>
              </w:rPr>
              <w:t xml:space="preserve">300.00 </w:t>
            </w:r>
          </w:p>
        </w:tc>
        <w:tc>
          <w:tcPr>
            <w:tcW w:w="2118" w:type="pct"/>
            <w:shd w:val="clear" w:color="auto" w:fill="auto"/>
            <w:noWrap/>
            <w:vAlign w:val="bottom"/>
          </w:tcPr>
          <w:p w14:paraId="6C2A7D27">
            <w:pPr>
              <w:pStyle w:val="48"/>
              <w:rPr>
                <w:rFonts w:hint="default" w:eastAsia="宋体"/>
                <w:u w:val="none"/>
                <w:lang w:val="en-US" w:eastAsia="zh-CN"/>
              </w:rPr>
            </w:pPr>
            <w:r>
              <w:rPr>
                <w:rFonts w:hint="eastAsia"/>
                <w:u w:val="none"/>
                <w:lang w:val="en-US" w:eastAsia="zh-CN"/>
              </w:rPr>
              <w:t>2.381</w:t>
            </w:r>
          </w:p>
        </w:tc>
        <w:tc>
          <w:tcPr>
            <w:tcW w:w="1592" w:type="pct"/>
            <w:shd w:val="clear" w:color="auto" w:fill="auto"/>
            <w:noWrap/>
            <w:vAlign w:val="bottom"/>
          </w:tcPr>
          <w:p w14:paraId="351041F8">
            <w:pPr>
              <w:pStyle w:val="48"/>
              <w:rPr>
                <w:rFonts w:hint="default" w:eastAsia="宋体"/>
                <w:u w:val="none"/>
                <w:lang w:val="en-US" w:eastAsia="zh-CN"/>
              </w:rPr>
            </w:pPr>
            <w:r>
              <w:rPr>
                <w:rFonts w:hint="eastAsia"/>
                <w:u w:val="none"/>
                <w:lang w:val="en-US" w:eastAsia="zh-CN"/>
              </w:rPr>
              <w:t>27.1</w:t>
            </w:r>
          </w:p>
        </w:tc>
      </w:tr>
      <w:tr w14:paraId="44CF2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12F23276">
            <w:pPr>
              <w:pStyle w:val="48"/>
              <w:rPr>
                <w:rFonts w:hint="eastAsia"/>
                <w:u w:val="none"/>
              </w:rPr>
            </w:pPr>
            <w:r>
              <w:rPr>
                <w:rFonts w:hint="eastAsia"/>
                <w:u w:val="none"/>
              </w:rPr>
              <w:t xml:space="preserve">400.00 </w:t>
            </w:r>
          </w:p>
        </w:tc>
        <w:tc>
          <w:tcPr>
            <w:tcW w:w="2118" w:type="pct"/>
            <w:shd w:val="clear" w:color="auto" w:fill="auto"/>
            <w:noWrap/>
            <w:vAlign w:val="bottom"/>
          </w:tcPr>
          <w:p w14:paraId="7086A5F7">
            <w:pPr>
              <w:pStyle w:val="48"/>
              <w:rPr>
                <w:rFonts w:hint="default" w:eastAsia="宋体"/>
                <w:u w:val="none"/>
                <w:lang w:val="en-US" w:eastAsia="zh-CN"/>
              </w:rPr>
            </w:pPr>
            <w:r>
              <w:rPr>
                <w:rFonts w:hint="eastAsia"/>
                <w:u w:val="none"/>
                <w:lang w:val="en-US" w:eastAsia="zh-CN"/>
              </w:rPr>
              <w:t>3.175</w:t>
            </w:r>
          </w:p>
        </w:tc>
        <w:tc>
          <w:tcPr>
            <w:tcW w:w="1592" w:type="pct"/>
            <w:shd w:val="clear" w:color="auto" w:fill="auto"/>
            <w:noWrap/>
            <w:vAlign w:val="bottom"/>
          </w:tcPr>
          <w:p w14:paraId="7899F168">
            <w:pPr>
              <w:pStyle w:val="48"/>
              <w:rPr>
                <w:rFonts w:hint="default" w:eastAsia="宋体"/>
                <w:u w:val="none"/>
                <w:lang w:val="en-US" w:eastAsia="zh-CN"/>
              </w:rPr>
            </w:pPr>
            <w:r>
              <w:rPr>
                <w:rFonts w:hint="eastAsia"/>
                <w:u w:val="none"/>
                <w:lang w:val="en-US" w:eastAsia="zh-CN"/>
              </w:rPr>
              <w:t>14.4</w:t>
            </w:r>
          </w:p>
        </w:tc>
      </w:tr>
      <w:tr w14:paraId="75BB4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5AEDDEBD">
            <w:pPr>
              <w:pStyle w:val="48"/>
              <w:rPr>
                <w:rFonts w:hint="eastAsia"/>
                <w:u w:val="none"/>
              </w:rPr>
            </w:pPr>
            <w:r>
              <w:rPr>
                <w:rFonts w:hint="eastAsia"/>
                <w:u w:val="none"/>
              </w:rPr>
              <w:t xml:space="preserve">500.00 </w:t>
            </w:r>
          </w:p>
        </w:tc>
        <w:tc>
          <w:tcPr>
            <w:tcW w:w="2118" w:type="pct"/>
            <w:shd w:val="clear" w:color="auto" w:fill="auto"/>
            <w:noWrap/>
            <w:vAlign w:val="bottom"/>
          </w:tcPr>
          <w:p w14:paraId="7286E29B">
            <w:pPr>
              <w:pStyle w:val="48"/>
              <w:rPr>
                <w:rFonts w:hint="default" w:eastAsia="宋体"/>
                <w:u w:val="none"/>
                <w:lang w:val="en-US" w:eastAsia="zh-CN"/>
              </w:rPr>
            </w:pPr>
            <w:r>
              <w:rPr>
                <w:rFonts w:hint="eastAsia"/>
                <w:u w:val="none"/>
                <w:lang w:val="en-US" w:eastAsia="zh-CN"/>
              </w:rPr>
              <w:t>3.968</w:t>
            </w:r>
          </w:p>
        </w:tc>
        <w:tc>
          <w:tcPr>
            <w:tcW w:w="1592" w:type="pct"/>
            <w:shd w:val="clear" w:color="auto" w:fill="auto"/>
            <w:noWrap/>
            <w:vAlign w:val="bottom"/>
          </w:tcPr>
          <w:p w14:paraId="3BB04E5E">
            <w:pPr>
              <w:pStyle w:val="48"/>
              <w:rPr>
                <w:rFonts w:hint="default" w:eastAsia="宋体"/>
                <w:u w:val="none"/>
                <w:lang w:val="en-US" w:eastAsia="zh-CN"/>
              </w:rPr>
            </w:pPr>
            <w:r>
              <w:rPr>
                <w:rFonts w:hint="eastAsia"/>
                <w:u w:val="none"/>
                <w:lang w:val="en-US" w:eastAsia="zh-CN"/>
              </w:rPr>
              <w:t>8.8</w:t>
            </w:r>
          </w:p>
        </w:tc>
      </w:tr>
      <w:tr w14:paraId="2793C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2BDD9391">
            <w:pPr>
              <w:pStyle w:val="48"/>
              <w:rPr>
                <w:rFonts w:hint="eastAsia"/>
                <w:u w:val="none"/>
              </w:rPr>
            </w:pPr>
            <w:r>
              <w:rPr>
                <w:rFonts w:hint="eastAsia"/>
                <w:u w:val="none"/>
              </w:rPr>
              <w:t xml:space="preserve">1000.00 </w:t>
            </w:r>
          </w:p>
        </w:tc>
        <w:tc>
          <w:tcPr>
            <w:tcW w:w="2118" w:type="pct"/>
            <w:shd w:val="clear" w:color="auto" w:fill="auto"/>
            <w:noWrap/>
            <w:vAlign w:val="bottom"/>
          </w:tcPr>
          <w:p w14:paraId="6E72F36C">
            <w:pPr>
              <w:pStyle w:val="48"/>
              <w:rPr>
                <w:rFonts w:hint="default" w:eastAsia="宋体"/>
                <w:u w:val="none"/>
                <w:lang w:val="en-US" w:eastAsia="zh-CN"/>
              </w:rPr>
            </w:pPr>
            <w:r>
              <w:rPr>
                <w:rFonts w:hint="eastAsia"/>
                <w:u w:val="none"/>
                <w:lang w:val="en-US" w:eastAsia="zh-CN"/>
              </w:rPr>
              <w:t>7.937</w:t>
            </w:r>
          </w:p>
        </w:tc>
        <w:tc>
          <w:tcPr>
            <w:tcW w:w="1592" w:type="pct"/>
            <w:shd w:val="clear" w:color="auto" w:fill="auto"/>
            <w:noWrap/>
            <w:vAlign w:val="bottom"/>
          </w:tcPr>
          <w:p w14:paraId="4AF15698">
            <w:pPr>
              <w:pStyle w:val="48"/>
              <w:rPr>
                <w:rFonts w:hint="default" w:eastAsia="宋体"/>
                <w:u w:val="none"/>
                <w:lang w:val="en-US" w:eastAsia="zh-CN"/>
              </w:rPr>
            </w:pPr>
            <w:r>
              <w:rPr>
                <w:rFonts w:hint="eastAsia"/>
                <w:u w:val="none"/>
                <w:lang w:val="en-US" w:eastAsia="zh-CN"/>
              </w:rPr>
              <w:t>1.5</w:t>
            </w:r>
          </w:p>
        </w:tc>
      </w:tr>
      <w:tr w14:paraId="5D805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6C8B2F05">
            <w:pPr>
              <w:pStyle w:val="48"/>
              <w:rPr>
                <w:rFonts w:hint="eastAsia"/>
                <w:u w:val="none"/>
              </w:rPr>
            </w:pPr>
            <w:r>
              <w:rPr>
                <w:rFonts w:hint="eastAsia"/>
                <w:u w:val="none"/>
              </w:rPr>
              <w:t xml:space="preserve">1500.00 </w:t>
            </w:r>
          </w:p>
        </w:tc>
        <w:tc>
          <w:tcPr>
            <w:tcW w:w="2118" w:type="pct"/>
            <w:shd w:val="clear" w:color="auto" w:fill="auto"/>
            <w:noWrap/>
            <w:vAlign w:val="bottom"/>
          </w:tcPr>
          <w:p w14:paraId="3297B965">
            <w:pPr>
              <w:pStyle w:val="48"/>
              <w:rPr>
                <w:rFonts w:hint="default" w:eastAsia="宋体"/>
                <w:u w:val="none"/>
                <w:lang w:val="en-US" w:eastAsia="zh-CN"/>
              </w:rPr>
            </w:pPr>
            <w:r>
              <w:rPr>
                <w:rFonts w:hint="eastAsia"/>
                <w:u w:val="none"/>
                <w:lang w:val="en-US" w:eastAsia="zh-CN"/>
              </w:rPr>
              <w:t>11.905</w:t>
            </w:r>
          </w:p>
        </w:tc>
        <w:tc>
          <w:tcPr>
            <w:tcW w:w="1592" w:type="pct"/>
            <w:shd w:val="clear" w:color="auto" w:fill="auto"/>
            <w:noWrap/>
            <w:vAlign w:val="bottom"/>
          </w:tcPr>
          <w:p w14:paraId="01B024CC">
            <w:pPr>
              <w:pStyle w:val="48"/>
              <w:rPr>
                <w:rFonts w:hint="default" w:eastAsia="宋体"/>
                <w:u w:val="none"/>
                <w:lang w:val="en-US" w:eastAsia="zh-CN"/>
              </w:rPr>
            </w:pPr>
            <w:r>
              <w:rPr>
                <w:rFonts w:hint="eastAsia"/>
                <w:u w:val="none"/>
                <w:lang w:val="en-US" w:eastAsia="zh-CN"/>
              </w:rPr>
              <w:t>0.4</w:t>
            </w:r>
          </w:p>
        </w:tc>
      </w:tr>
      <w:tr w14:paraId="2ED23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1F72873F">
            <w:pPr>
              <w:pStyle w:val="48"/>
              <w:rPr>
                <w:rFonts w:hint="eastAsia"/>
                <w:u w:val="none"/>
              </w:rPr>
            </w:pPr>
            <w:r>
              <w:rPr>
                <w:rFonts w:hint="eastAsia"/>
                <w:u w:val="none"/>
              </w:rPr>
              <w:t xml:space="preserve">2000.00 </w:t>
            </w:r>
          </w:p>
        </w:tc>
        <w:tc>
          <w:tcPr>
            <w:tcW w:w="2118" w:type="pct"/>
            <w:shd w:val="clear" w:color="auto" w:fill="auto"/>
            <w:noWrap/>
            <w:vAlign w:val="bottom"/>
          </w:tcPr>
          <w:p w14:paraId="07BB47CB">
            <w:pPr>
              <w:pStyle w:val="48"/>
              <w:rPr>
                <w:rFonts w:hint="default" w:eastAsia="宋体"/>
                <w:u w:val="none"/>
                <w:lang w:val="en-US" w:eastAsia="zh-CN"/>
              </w:rPr>
            </w:pPr>
            <w:r>
              <w:rPr>
                <w:rFonts w:hint="eastAsia"/>
                <w:u w:val="none"/>
                <w:lang w:val="en-US" w:eastAsia="zh-CN"/>
              </w:rPr>
              <w:t>15.873</w:t>
            </w:r>
          </w:p>
        </w:tc>
        <w:tc>
          <w:tcPr>
            <w:tcW w:w="1592" w:type="pct"/>
            <w:shd w:val="clear" w:color="auto" w:fill="auto"/>
            <w:noWrap/>
            <w:vAlign w:val="bottom"/>
          </w:tcPr>
          <w:p w14:paraId="36BDEA4C">
            <w:pPr>
              <w:pStyle w:val="48"/>
              <w:rPr>
                <w:rFonts w:hint="default" w:eastAsia="宋体"/>
                <w:u w:val="none"/>
                <w:lang w:val="en-US" w:eastAsia="zh-CN"/>
              </w:rPr>
            </w:pPr>
            <w:r>
              <w:rPr>
                <w:rFonts w:hint="eastAsia"/>
                <w:u w:val="none"/>
                <w:lang w:val="en-US" w:eastAsia="zh-CN"/>
              </w:rPr>
              <w:t>0.2</w:t>
            </w:r>
          </w:p>
        </w:tc>
      </w:tr>
      <w:tr w14:paraId="7753E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52AAF285">
            <w:pPr>
              <w:pStyle w:val="48"/>
              <w:rPr>
                <w:rFonts w:hint="eastAsia"/>
                <w:u w:val="none"/>
              </w:rPr>
            </w:pPr>
            <w:r>
              <w:rPr>
                <w:rFonts w:hint="eastAsia"/>
                <w:u w:val="none"/>
              </w:rPr>
              <w:t xml:space="preserve">2500.00 </w:t>
            </w:r>
          </w:p>
        </w:tc>
        <w:tc>
          <w:tcPr>
            <w:tcW w:w="2118" w:type="pct"/>
            <w:shd w:val="clear" w:color="auto" w:fill="auto"/>
            <w:noWrap/>
            <w:vAlign w:val="bottom"/>
          </w:tcPr>
          <w:p w14:paraId="0326A6EC">
            <w:pPr>
              <w:pStyle w:val="48"/>
              <w:rPr>
                <w:rFonts w:hint="default" w:eastAsia="宋体"/>
                <w:u w:val="none"/>
                <w:lang w:val="en-US" w:eastAsia="zh-CN"/>
              </w:rPr>
            </w:pPr>
            <w:r>
              <w:rPr>
                <w:rFonts w:hint="eastAsia"/>
                <w:u w:val="none"/>
                <w:lang w:val="en-US" w:eastAsia="zh-CN"/>
              </w:rPr>
              <w:t>19.841</w:t>
            </w:r>
          </w:p>
        </w:tc>
        <w:tc>
          <w:tcPr>
            <w:tcW w:w="1592" w:type="pct"/>
            <w:shd w:val="clear" w:color="auto" w:fill="auto"/>
            <w:noWrap/>
            <w:vAlign w:val="bottom"/>
          </w:tcPr>
          <w:p w14:paraId="7CDE4D99">
            <w:pPr>
              <w:pStyle w:val="48"/>
              <w:rPr>
                <w:rFonts w:hint="default" w:eastAsia="宋体"/>
                <w:u w:val="none"/>
                <w:lang w:val="en-US" w:eastAsia="zh-CN"/>
              </w:rPr>
            </w:pPr>
            <w:r>
              <w:rPr>
                <w:rFonts w:hint="eastAsia"/>
                <w:u w:val="none"/>
                <w:lang w:val="en-US" w:eastAsia="zh-CN"/>
              </w:rPr>
              <w:t>0.1</w:t>
            </w:r>
          </w:p>
        </w:tc>
      </w:tr>
      <w:tr w14:paraId="1EC4E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695F0EF8">
            <w:pPr>
              <w:pStyle w:val="48"/>
              <w:rPr>
                <w:rFonts w:hint="eastAsia"/>
                <w:u w:val="none"/>
              </w:rPr>
            </w:pPr>
            <w:r>
              <w:rPr>
                <w:rFonts w:hint="eastAsia"/>
                <w:u w:val="none"/>
              </w:rPr>
              <w:t xml:space="preserve">3000.00 </w:t>
            </w:r>
          </w:p>
        </w:tc>
        <w:tc>
          <w:tcPr>
            <w:tcW w:w="2118" w:type="pct"/>
            <w:shd w:val="clear" w:color="auto" w:fill="auto"/>
            <w:noWrap/>
            <w:vAlign w:val="bottom"/>
          </w:tcPr>
          <w:p w14:paraId="7ECE2060">
            <w:pPr>
              <w:pStyle w:val="48"/>
              <w:rPr>
                <w:rFonts w:hint="default" w:eastAsia="宋体"/>
                <w:u w:val="none"/>
                <w:lang w:val="en-US" w:eastAsia="zh-CN"/>
              </w:rPr>
            </w:pPr>
            <w:r>
              <w:rPr>
                <w:rFonts w:hint="eastAsia"/>
                <w:u w:val="none"/>
                <w:lang w:val="en-US" w:eastAsia="zh-CN"/>
              </w:rPr>
              <w:t>23.809</w:t>
            </w:r>
          </w:p>
        </w:tc>
        <w:tc>
          <w:tcPr>
            <w:tcW w:w="1592" w:type="pct"/>
            <w:shd w:val="clear" w:color="auto" w:fill="auto"/>
            <w:noWrap/>
            <w:vAlign w:val="bottom"/>
          </w:tcPr>
          <w:p w14:paraId="44BCEC60">
            <w:pPr>
              <w:pStyle w:val="48"/>
              <w:rPr>
                <w:rFonts w:hint="default" w:eastAsia="宋体"/>
                <w:u w:val="none"/>
                <w:lang w:val="en-US" w:eastAsia="zh-CN"/>
              </w:rPr>
            </w:pPr>
            <w:r>
              <w:rPr>
                <w:rFonts w:hint="eastAsia"/>
                <w:u w:val="none"/>
                <w:lang w:val="en-US" w:eastAsia="zh-CN"/>
              </w:rPr>
              <w:t>0.06</w:t>
            </w:r>
          </w:p>
        </w:tc>
      </w:tr>
      <w:tr w14:paraId="49294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041666B6">
            <w:pPr>
              <w:pStyle w:val="48"/>
              <w:rPr>
                <w:rFonts w:hint="eastAsia"/>
                <w:u w:val="none"/>
              </w:rPr>
            </w:pPr>
            <w:r>
              <w:rPr>
                <w:rFonts w:hint="eastAsia"/>
                <w:u w:val="none"/>
              </w:rPr>
              <w:t xml:space="preserve">4000.00 </w:t>
            </w:r>
          </w:p>
        </w:tc>
        <w:tc>
          <w:tcPr>
            <w:tcW w:w="2118" w:type="pct"/>
            <w:shd w:val="clear" w:color="auto" w:fill="auto"/>
            <w:noWrap/>
            <w:vAlign w:val="bottom"/>
          </w:tcPr>
          <w:p w14:paraId="6A6EFD8D">
            <w:pPr>
              <w:pStyle w:val="48"/>
              <w:rPr>
                <w:rFonts w:hint="default" w:eastAsia="宋体"/>
                <w:u w:val="none"/>
                <w:lang w:val="en-US" w:eastAsia="zh-CN"/>
              </w:rPr>
            </w:pPr>
            <w:r>
              <w:rPr>
                <w:rFonts w:hint="eastAsia"/>
                <w:u w:val="none"/>
                <w:lang w:val="en-US" w:eastAsia="zh-CN"/>
              </w:rPr>
              <w:t>31.746</w:t>
            </w:r>
          </w:p>
        </w:tc>
        <w:tc>
          <w:tcPr>
            <w:tcW w:w="1592" w:type="pct"/>
            <w:shd w:val="clear" w:color="auto" w:fill="auto"/>
            <w:noWrap/>
            <w:vAlign w:val="bottom"/>
          </w:tcPr>
          <w:p w14:paraId="3F01F538">
            <w:pPr>
              <w:pStyle w:val="48"/>
              <w:rPr>
                <w:rFonts w:hint="default" w:eastAsia="宋体"/>
                <w:u w:val="none"/>
                <w:lang w:val="en-US" w:eastAsia="zh-CN"/>
              </w:rPr>
            </w:pPr>
            <w:r>
              <w:rPr>
                <w:rFonts w:hint="eastAsia"/>
                <w:u w:val="none"/>
                <w:lang w:val="en-US" w:eastAsia="zh-CN"/>
              </w:rPr>
              <w:t>0.02</w:t>
            </w:r>
          </w:p>
        </w:tc>
      </w:tr>
      <w:tr w14:paraId="6BF1B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pct"/>
            <w:shd w:val="clear" w:color="auto" w:fill="auto"/>
            <w:noWrap/>
            <w:vAlign w:val="bottom"/>
          </w:tcPr>
          <w:p w14:paraId="509D2666">
            <w:pPr>
              <w:pStyle w:val="48"/>
              <w:rPr>
                <w:rFonts w:hint="eastAsia"/>
                <w:u w:val="none"/>
              </w:rPr>
            </w:pPr>
            <w:r>
              <w:rPr>
                <w:rFonts w:hint="eastAsia"/>
                <w:u w:val="none"/>
              </w:rPr>
              <w:t xml:space="preserve">5000.00 </w:t>
            </w:r>
          </w:p>
        </w:tc>
        <w:tc>
          <w:tcPr>
            <w:tcW w:w="2118" w:type="pct"/>
            <w:shd w:val="clear" w:color="auto" w:fill="auto"/>
            <w:noWrap/>
            <w:vAlign w:val="bottom"/>
          </w:tcPr>
          <w:p w14:paraId="37D6EE59">
            <w:pPr>
              <w:pStyle w:val="48"/>
              <w:rPr>
                <w:rFonts w:hint="default" w:eastAsia="宋体"/>
                <w:u w:val="none"/>
                <w:lang w:val="en-US" w:eastAsia="zh-CN"/>
              </w:rPr>
            </w:pPr>
            <w:r>
              <w:rPr>
                <w:rFonts w:hint="eastAsia"/>
                <w:u w:val="none"/>
                <w:lang w:val="en-US" w:eastAsia="zh-CN"/>
              </w:rPr>
              <w:t>39.662</w:t>
            </w:r>
          </w:p>
        </w:tc>
        <w:tc>
          <w:tcPr>
            <w:tcW w:w="1592" w:type="pct"/>
            <w:shd w:val="clear" w:color="auto" w:fill="auto"/>
            <w:noWrap/>
            <w:vAlign w:val="bottom"/>
          </w:tcPr>
          <w:p w14:paraId="4B829743">
            <w:pPr>
              <w:pStyle w:val="48"/>
              <w:rPr>
                <w:rFonts w:hint="default" w:eastAsia="宋体"/>
                <w:u w:val="none"/>
                <w:lang w:val="en-US" w:eastAsia="zh-CN"/>
              </w:rPr>
            </w:pPr>
            <w:r>
              <w:rPr>
                <w:rFonts w:hint="eastAsia"/>
                <w:u w:val="none"/>
                <w:lang w:val="en-US" w:eastAsia="zh-CN"/>
              </w:rPr>
              <w:t>0.01</w:t>
            </w:r>
          </w:p>
        </w:tc>
      </w:tr>
    </w:tbl>
    <w:p w14:paraId="64B93EE1">
      <w:pPr>
        <w:pStyle w:val="26"/>
        <w:bidi w:val="0"/>
      </w:pPr>
      <w:r>
        <w:drawing>
          <wp:inline distT="0" distB="0" distL="114300" distR="114300">
            <wp:extent cx="5727700" cy="2852420"/>
            <wp:effectExtent l="0" t="0" r="6350" b="5080"/>
            <wp:docPr id="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3"/>
                    <pic:cNvPicPr>
                      <a:picLocks noChangeAspect="1"/>
                    </pic:cNvPicPr>
                  </pic:nvPicPr>
                  <pic:blipFill>
                    <a:blip r:embed="rId41"/>
                    <a:stretch>
                      <a:fillRect/>
                    </a:stretch>
                  </pic:blipFill>
                  <pic:spPr>
                    <a:xfrm>
                      <a:off x="0" y="0"/>
                      <a:ext cx="5727700" cy="2852420"/>
                    </a:xfrm>
                    <a:prstGeom prst="rect">
                      <a:avLst/>
                    </a:prstGeom>
                    <a:noFill/>
                    <a:ln>
                      <a:noFill/>
                    </a:ln>
                  </pic:spPr>
                </pic:pic>
              </a:graphicData>
            </a:graphic>
          </wp:inline>
        </w:drawing>
      </w:r>
    </w:p>
    <w:p w14:paraId="6FA962D6">
      <w:pPr>
        <w:pStyle w:val="24"/>
        <w:bidi w:val="0"/>
        <w:rPr>
          <w:rFonts w:hint="eastAsia"/>
          <w:lang w:val="en-US" w:eastAsia="zh-CN"/>
        </w:rPr>
      </w:pPr>
      <w:r>
        <w:rPr>
          <w:rFonts w:hint="eastAsia"/>
          <w:lang w:val="en-US" w:eastAsia="zh-CN"/>
        </w:rPr>
        <w:t>图F5-5  火灾CO轴线最大浓度距离曲线图</w:t>
      </w:r>
    </w:p>
    <w:p w14:paraId="3A37268E">
      <w:pPr>
        <w:pStyle w:val="26"/>
        <w:bidi w:val="0"/>
      </w:pPr>
      <w:r>
        <w:drawing>
          <wp:inline distT="0" distB="0" distL="114300" distR="114300">
            <wp:extent cx="5723890" cy="3527425"/>
            <wp:effectExtent l="0" t="0" r="10160" b="15875"/>
            <wp:docPr id="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5"/>
                    <pic:cNvPicPr>
                      <a:picLocks noChangeAspect="1"/>
                    </pic:cNvPicPr>
                  </pic:nvPicPr>
                  <pic:blipFill>
                    <a:blip r:embed="rId42"/>
                    <a:stretch>
                      <a:fillRect/>
                    </a:stretch>
                  </pic:blipFill>
                  <pic:spPr>
                    <a:xfrm>
                      <a:off x="0" y="0"/>
                      <a:ext cx="5723890" cy="3527425"/>
                    </a:xfrm>
                    <a:prstGeom prst="rect">
                      <a:avLst/>
                    </a:prstGeom>
                    <a:noFill/>
                    <a:ln>
                      <a:noFill/>
                    </a:ln>
                  </pic:spPr>
                </pic:pic>
              </a:graphicData>
            </a:graphic>
          </wp:inline>
        </w:drawing>
      </w:r>
    </w:p>
    <w:p w14:paraId="7D198BB8">
      <w:pPr>
        <w:pStyle w:val="24"/>
        <w:bidi w:val="0"/>
        <w:rPr>
          <w:rFonts w:hint="eastAsia"/>
          <w:lang w:val="en-US" w:eastAsia="zh-CN"/>
        </w:rPr>
      </w:pPr>
      <w:r>
        <w:rPr>
          <w:rFonts w:hint="eastAsia"/>
          <w:lang w:val="en-US" w:eastAsia="zh-CN"/>
        </w:rPr>
        <w:t>图F5-6  火灾CO超过阈值最大轮廓图</w:t>
      </w:r>
    </w:p>
    <w:p w14:paraId="1044BAA0">
      <w:pPr>
        <w:pStyle w:val="62"/>
        <w:bidi w:val="0"/>
        <w:rPr>
          <w:rFonts w:hint="eastAsia"/>
        </w:rPr>
      </w:pPr>
      <w:r>
        <w:rPr>
          <w:rFonts w:hint="eastAsia"/>
        </w:rPr>
        <w:t>在全部时间（1h）里超过给定阈值的最大廓线，即最大影响区域。</w:t>
      </w:r>
      <w:r>
        <w:rPr>
          <w:rFonts w:hint="eastAsia"/>
          <w:lang w:val="en-US" w:eastAsia="zh-CN"/>
        </w:rPr>
        <w:t>项目储罐区</w:t>
      </w:r>
      <w:r>
        <w:rPr>
          <w:rFonts w:hint="eastAsia"/>
        </w:rPr>
        <w:t>发生火灾后，预测浓度达到不同毒性终点浓度的最大影响范围分别见下表。</w:t>
      </w:r>
    </w:p>
    <w:p w14:paraId="37B83B1B">
      <w:pPr>
        <w:pStyle w:val="50"/>
        <w:bidi w:val="0"/>
      </w:pPr>
      <w:r>
        <w:rPr>
          <w:rFonts w:hint="eastAsia"/>
        </w:rPr>
        <w:t>表</w:t>
      </w:r>
      <w:r>
        <w:rPr>
          <w:rFonts w:hint="eastAsia"/>
          <w:lang w:val="en-US" w:eastAsia="zh-CN"/>
        </w:rPr>
        <w:t>F5</w:t>
      </w:r>
      <w:r>
        <w:t xml:space="preserve">-10 </w:t>
      </w:r>
      <w:r>
        <w:rPr>
          <w:rFonts w:hint="eastAsia"/>
        </w:rPr>
        <w:t>不利气象条件下CO最大影响范围一览表</w:t>
      </w:r>
    </w:p>
    <w:tbl>
      <w:tblPr>
        <w:tblStyle w:val="1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08"/>
        <w:gridCol w:w="2309"/>
        <w:gridCol w:w="2312"/>
        <w:gridCol w:w="2311"/>
      </w:tblGrid>
      <w:tr w14:paraId="61E4B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Align w:val="center"/>
          </w:tcPr>
          <w:p w14:paraId="31C05061">
            <w:pPr>
              <w:pStyle w:val="26"/>
              <w:bidi w:val="0"/>
            </w:pPr>
            <w:r>
              <w:rPr>
                <w:rFonts w:hint="eastAsia"/>
              </w:rPr>
              <w:t>气象条件</w:t>
            </w:r>
          </w:p>
        </w:tc>
        <w:tc>
          <w:tcPr>
            <w:tcW w:w="2500" w:type="pct"/>
            <w:gridSpan w:val="2"/>
            <w:vAlign w:val="center"/>
          </w:tcPr>
          <w:p w14:paraId="39D85D59">
            <w:pPr>
              <w:pStyle w:val="26"/>
              <w:bidi w:val="0"/>
            </w:pPr>
            <w:r>
              <w:rPr>
                <w:rFonts w:hint="eastAsia"/>
              </w:rPr>
              <w:t>阈值（mg</w:t>
            </w:r>
            <w:r>
              <w:t>/m</w:t>
            </w:r>
            <w:r>
              <w:rPr>
                <w:vertAlign w:val="superscript"/>
              </w:rPr>
              <w:t>3</w:t>
            </w:r>
            <w:r>
              <w:rPr>
                <w:rFonts w:hint="eastAsia"/>
              </w:rPr>
              <w:t>）</w:t>
            </w:r>
          </w:p>
        </w:tc>
        <w:tc>
          <w:tcPr>
            <w:tcW w:w="1250" w:type="pct"/>
            <w:vAlign w:val="center"/>
          </w:tcPr>
          <w:p w14:paraId="3C81FD71">
            <w:pPr>
              <w:pStyle w:val="26"/>
              <w:bidi w:val="0"/>
            </w:pPr>
            <w:r>
              <w:rPr>
                <w:rFonts w:hint="eastAsia"/>
              </w:rPr>
              <w:t>影响范围半径（m）</w:t>
            </w:r>
          </w:p>
        </w:tc>
      </w:tr>
      <w:tr w14:paraId="1A72E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Merge w:val="restart"/>
            <w:vAlign w:val="center"/>
          </w:tcPr>
          <w:p w14:paraId="1E584031">
            <w:pPr>
              <w:pStyle w:val="26"/>
              <w:bidi w:val="0"/>
            </w:pPr>
            <w:r>
              <w:rPr>
                <w:rFonts w:hint="eastAsia"/>
              </w:rPr>
              <w:t>不利气象条件</w:t>
            </w:r>
          </w:p>
        </w:tc>
        <w:tc>
          <w:tcPr>
            <w:tcW w:w="1249" w:type="pct"/>
            <w:vAlign w:val="center"/>
          </w:tcPr>
          <w:p w14:paraId="3AA35505">
            <w:pPr>
              <w:pStyle w:val="26"/>
              <w:bidi w:val="0"/>
            </w:pPr>
            <w:r>
              <w:rPr>
                <w:rFonts w:hint="eastAsia"/>
              </w:rPr>
              <w:t>毒性终点浓度-</w:t>
            </w:r>
            <w:r>
              <w:t>2</w:t>
            </w:r>
          </w:p>
        </w:tc>
        <w:tc>
          <w:tcPr>
            <w:tcW w:w="1250" w:type="pct"/>
            <w:vAlign w:val="center"/>
          </w:tcPr>
          <w:p w14:paraId="270163A7">
            <w:pPr>
              <w:pStyle w:val="26"/>
              <w:bidi w:val="0"/>
            </w:pPr>
            <w:r>
              <w:t>95</w:t>
            </w:r>
          </w:p>
        </w:tc>
        <w:tc>
          <w:tcPr>
            <w:tcW w:w="1250" w:type="pct"/>
            <w:vAlign w:val="center"/>
          </w:tcPr>
          <w:p w14:paraId="7B58D867">
            <w:pPr>
              <w:pStyle w:val="26"/>
              <w:bidi w:val="0"/>
              <w:rPr>
                <w:rFonts w:hint="default" w:eastAsia="宋体"/>
                <w:lang w:val="en-US" w:eastAsia="zh-CN"/>
              </w:rPr>
            </w:pPr>
            <w:r>
              <w:rPr>
                <w:rFonts w:hint="eastAsia"/>
                <w:lang w:val="en-US" w:eastAsia="zh-CN"/>
              </w:rPr>
              <w:t>160</w:t>
            </w:r>
          </w:p>
        </w:tc>
      </w:tr>
      <w:tr w14:paraId="475E6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Merge w:val="continue"/>
            <w:vAlign w:val="center"/>
          </w:tcPr>
          <w:p w14:paraId="44FBB2C8">
            <w:pPr>
              <w:pStyle w:val="26"/>
              <w:bidi w:val="0"/>
            </w:pPr>
          </w:p>
        </w:tc>
        <w:tc>
          <w:tcPr>
            <w:tcW w:w="1249" w:type="pct"/>
            <w:vAlign w:val="center"/>
          </w:tcPr>
          <w:p w14:paraId="07068351">
            <w:pPr>
              <w:pStyle w:val="26"/>
              <w:bidi w:val="0"/>
            </w:pPr>
            <w:r>
              <w:rPr>
                <w:rFonts w:hint="eastAsia"/>
              </w:rPr>
              <w:t>毒性终点浓度-</w:t>
            </w:r>
            <w:r>
              <w:t>1</w:t>
            </w:r>
          </w:p>
        </w:tc>
        <w:tc>
          <w:tcPr>
            <w:tcW w:w="1250" w:type="pct"/>
            <w:vAlign w:val="center"/>
          </w:tcPr>
          <w:p w14:paraId="1FE87A0B">
            <w:pPr>
              <w:pStyle w:val="26"/>
              <w:bidi w:val="0"/>
            </w:pPr>
            <w:r>
              <w:t>380</w:t>
            </w:r>
          </w:p>
        </w:tc>
        <w:tc>
          <w:tcPr>
            <w:tcW w:w="1250" w:type="pct"/>
            <w:vAlign w:val="center"/>
          </w:tcPr>
          <w:p w14:paraId="349EB3A4">
            <w:pPr>
              <w:pStyle w:val="26"/>
              <w:bidi w:val="0"/>
              <w:rPr>
                <w:rFonts w:hint="default" w:eastAsia="宋体"/>
                <w:lang w:val="en-US" w:eastAsia="zh-CN"/>
              </w:rPr>
            </w:pPr>
            <w:r>
              <w:rPr>
                <w:rFonts w:hint="eastAsia"/>
                <w:lang w:val="en-US" w:eastAsia="zh-CN"/>
              </w:rPr>
              <w:t>80</w:t>
            </w:r>
          </w:p>
        </w:tc>
      </w:tr>
    </w:tbl>
    <w:p w14:paraId="3098DBB9">
      <w:pPr>
        <w:pStyle w:val="62"/>
        <w:bidi w:val="0"/>
        <w:rPr>
          <w:rFonts w:hint="eastAsia"/>
          <w:u w:val="none"/>
          <w:lang w:val="en-US" w:eastAsia="zh-CN"/>
        </w:rPr>
      </w:pPr>
      <w:r>
        <w:rPr>
          <w:u w:val="none"/>
        </w:rPr>
        <w:t>根据上表可知，不利气象条件下：</w:t>
      </w:r>
      <w:r>
        <w:rPr>
          <w:rFonts w:hint="eastAsia"/>
          <w:u w:val="none"/>
        </w:rPr>
        <w:t>CO</w:t>
      </w:r>
      <w:r>
        <w:rPr>
          <w:u w:val="none"/>
        </w:rPr>
        <w:t>发生泄漏扩散后预测浓度达到大气毒性终点浓度-2（95mg/m</w:t>
      </w:r>
      <w:r>
        <w:rPr>
          <w:u w:val="none"/>
          <w:vertAlign w:val="superscript"/>
        </w:rPr>
        <w:t>3</w:t>
      </w:r>
      <w:r>
        <w:rPr>
          <w:u w:val="none"/>
        </w:rPr>
        <w:t>）的最大影响半径为</w:t>
      </w:r>
      <w:r>
        <w:rPr>
          <w:rFonts w:hint="eastAsia"/>
          <w:u w:val="none"/>
          <w:lang w:val="en-US" w:eastAsia="zh-CN"/>
        </w:rPr>
        <w:t>160</w:t>
      </w:r>
      <w:r>
        <w:rPr>
          <w:u w:val="none"/>
        </w:rPr>
        <w:t>m；达到大气毒性终点浓度-1（380mg/m</w:t>
      </w:r>
      <w:r>
        <w:rPr>
          <w:u w:val="none"/>
          <w:vertAlign w:val="superscript"/>
        </w:rPr>
        <w:t>3</w:t>
      </w:r>
      <w:r>
        <w:rPr>
          <w:u w:val="none"/>
        </w:rPr>
        <w:t>）的最大影响半径为</w:t>
      </w:r>
      <w:r>
        <w:rPr>
          <w:rFonts w:hint="eastAsia"/>
          <w:u w:val="none"/>
          <w:lang w:val="en-US" w:eastAsia="zh-CN"/>
        </w:rPr>
        <w:t>80</w:t>
      </w:r>
      <w:r>
        <w:rPr>
          <w:u w:val="none"/>
        </w:rPr>
        <w:t>m。</w:t>
      </w:r>
      <w:r>
        <w:rPr>
          <w:rFonts w:hint="eastAsia"/>
          <w:u w:val="none"/>
          <w:lang w:val="en-US" w:eastAsia="zh-CN"/>
        </w:rPr>
        <w:t>因此，当厂区发生火灾时，需撤离火灾区域（主要为储罐区）周边160m范围内居民，撤离范围、撤离路径、临时安置点如下图：</w:t>
      </w:r>
    </w:p>
    <w:p w14:paraId="4C91D347">
      <w:pPr>
        <w:pStyle w:val="62"/>
        <w:bidi w:val="0"/>
        <w:ind w:left="0" w:leftChars="0" w:firstLine="0" w:firstLineChars="0"/>
      </w:pPr>
      <w:r>
        <w:rPr>
          <w:sz w:val="24"/>
        </w:rPr>
        <w:pict>
          <v:shape id="_x0000_s2062" o:spid="_x0000_s2062" o:spt="61" type="#_x0000_t61" style="position:absolute;left:0pt;margin-left:20.85pt;margin-top:247.1pt;height:23.75pt;width:80.6pt;z-index:251672576;mso-width-relative:page;mso-height-relative:page;" fillcolor="#FFFFFF" filled="t" stroked="t" coordsize="21600,21600" adj="27335,-24646">
            <v:path/>
            <v:fill on="t" color2="#FFFFFF" focussize="0,0"/>
            <v:stroke color="#000000" joinstyle="miter"/>
            <v:imagedata o:title=""/>
            <o:lock v:ext="edit" aspectratio="f"/>
            <v:textbox>
              <w:txbxContent>
                <w:p w14:paraId="31F4606E">
                  <w:pPr>
                    <w:pStyle w:val="26"/>
                    <w:bidi w:val="0"/>
                    <w:rPr>
                      <w:rFonts w:hint="default"/>
                      <w:lang w:val="en-US" w:eastAsia="zh-CN"/>
                    </w:rPr>
                  </w:pPr>
                  <w:r>
                    <w:rPr>
                      <w:rFonts w:hint="eastAsia"/>
                      <w:lang w:val="en-US" w:eastAsia="zh-CN"/>
                    </w:rPr>
                    <w:t>撤离路线</w:t>
                  </w:r>
                </w:p>
              </w:txbxContent>
            </v:textbox>
          </v:shape>
        </w:pict>
      </w:r>
      <w:r>
        <w:rPr>
          <w:sz w:val="24"/>
        </w:rPr>
        <w:pict>
          <v:shape id="_x0000_s2061" o:spid="_x0000_s2061" o:spt="61" type="#_x0000_t61" style="position:absolute;left:0pt;margin-left:4pt;margin-top:100.85pt;height:23.75pt;width:80.6pt;z-index:251671552;mso-width-relative:page;mso-height-relative:page;" fillcolor="#FFFFFF" filled="t" stroked="t" coordsize="21600,21600" adj="22980,76532">
            <v:path/>
            <v:fill on="t" color2="#FFFFFF" focussize="0,0"/>
            <v:stroke color="#000000" joinstyle="miter"/>
            <v:imagedata o:title=""/>
            <o:lock v:ext="edit" aspectratio="f"/>
            <v:textbox>
              <w:txbxContent>
                <w:p w14:paraId="6DEA8005">
                  <w:pPr>
                    <w:pStyle w:val="26"/>
                    <w:bidi w:val="0"/>
                    <w:rPr>
                      <w:rFonts w:hint="default"/>
                      <w:lang w:val="en-US" w:eastAsia="zh-CN"/>
                    </w:rPr>
                  </w:pPr>
                  <w:r>
                    <w:rPr>
                      <w:rFonts w:hint="eastAsia"/>
                      <w:lang w:val="en-US" w:eastAsia="zh-CN"/>
                    </w:rPr>
                    <w:t>临时安置点</w:t>
                  </w:r>
                </w:p>
              </w:txbxContent>
            </v:textbox>
          </v:shape>
        </w:pict>
      </w:r>
      <w:r>
        <w:rPr>
          <w:sz w:val="24"/>
        </w:rPr>
        <w:pict>
          <v:shape id="_x0000_s2060" o:spid="_x0000_s2060" o:spt="61" type="#_x0000_t61" style="position:absolute;left:0pt;margin-left:35.25pt;margin-top:15.85pt;height:23.75pt;width:80.6pt;z-index:251670528;mso-width-relative:page;mso-height-relative:page;" fillcolor="#FFFFFF" filled="t" stroked="t" coordsize="21600,21600" adj="42074,909">
            <v:path/>
            <v:fill on="t" color2="#FFFFFF" focussize="0,0"/>
            <v:stroke color="#000000" joinstyle="miter"/>
            <v:imagedata o:title=""/>
            <o:lock v:ext="edit" aspectratio="f"/>
            <v:textbox>
              <w:txbxContent>
                <w:p w14:paraId="4279C380">
                  <w:pPr>
                    <w:pStyle w:val="26"/>
                    <w:bidi w:val="0"/>
                    <w:rPr>
                      <w:rFonts w:hint="default"/>
                      <w:lang w:val="en-US" w:eastAsia="zh-CN"/>
                    </w:rPr>
                  </w:pPr>
                  <w:r>
                    <w:rPr>
                      <w:rFonts w:hint="eastAsia"/>
                      <w:lang w:val="en-US" w:eastAsia="zh-CN"/>
                    </w:rPr>
                    <w:t>临时安置点</w:t>
                  </w:r>
                </w:p>
              </w:txbxContent>
            </v:textbox>
          </v:shape>
        </w:pict>
      </w:r>
      <w:r>
        <w:rPr>
          <w:sz w:val="24"/>
        </w:rPr>
        <w:pict>
          <v:shape id="_x0000_s2059" o:spid="_x0000_s2059" o:spt="3" type="#_x0000_t3" style="position:absolute;left:0pt;margin-left:182.75pt;margin-top:4pt;height:21.25pt;width:20pt;z-index:251669504;mso-width-relative:page;mso-height-relative:page;" fillcolor="#FFFF00" filled="t" stroked="t" coordsize="21600,21600">
            <v:path/>
            <v:fill on="t" color2="#FFFFFF" focussize="0,0"/>
            <v:stroke color="#92D050"/>
            <v:imagedata o:title=""/>
            <o:lock v:ext="edit" aspectratio="f"/>
          </v:shape>
        </w:pict>
      </w:r>
      <w:r>
        <w:rPr>
          <w:sz w:val="24"/>
        </w:rPr>
        <w:pict>
          <v:shape id="_x0000_s2058" o:spid="_x0000_s2058" o:spt="3" type="#_x0000_t3" style="position:absolute;left:0pt;margin-left:82.1pt;margin-top:182.75pt;height:21.25pt;width:20pt;z-index:251668480;mso-width-relative:page;mso-height-relative:page;" fillcolor="#FFFF00" filled="t" stroked="t" coordsize="21600,21600">
            <v:path/>
            <v:fill on="t" color2="#FFFFFF" focussize="0,0"/>
            <v:stroke color="#92D050"/>
            <v:imagedata o:title=""/>
            <o:lock v:ext="edit" aspectratio="f"/>
          </v:shape>
        </w:pict>
      </w:r>
      <w:r>
        <w:rPr>
          <w:sz w:val="24"/>
        </w:rPr>
        <w:pict>
          <v:line id="_x0000_s2057" o:spid="_x0000_s2057" o:spt="20" style="position:absolute;left:0pt;flip:y;margin-left:185.25pt;margin-top:20.85pt;height:113.15pt;width:10.55pt;z-index:251667456;mso-width-relative:page;mso-height-relative:page;" fillcolor="#FFFFFF" filled="t" stroked="t" coordsize="21600,21600">
            <v:path arrowok="t"/>
            <v:fill on="t" color2="#FFFFFF" focussize="0,0"/>
            <v:stroke weight="4.5pt" color="#92D050" endarrow="open"/>
            <v:imagedata o:title=""/>
            <o:lock v:ext="edit" aspectratio="f"/>
          </v:line>
        </w:pict>
      </w:r>
      <w:r>
        <w:rPr>
          <w:sz w:val="24"/>
        </w:rPr>
        <w:pict>
          <v:line id="_x0000_s2056" o:spid="_x0000_s2056" o:spt="20" style="position:absolute;left:0pt;margin-left:207.75pt;margin-top:197.75pt;height:27.5pt;width:58.1pt;z-index:251666432;mso-width-relative:page;mso-height-relative:page;" fillcolor="#FFFFFF" filled="t" stroked="t" coordsize="21600,21600">
            <v:path arrowok="t"/>
            <v:fill on="t" color2="#FFFFFF" focussize="0,0"/>
            <v:stroke weight="4.5pt" color="#92D050" endarrow="open"/>
            <v:imagedata o:title=""/>
            <o:lock v:ext="edit" aspectratio="f"/>
          </v:line>
        </w:pict>
      </w:r>
      <w:r>
        <w:rPr>
          <w:sz w:val="24"/>
        </w:rPr>
        <w:pict>
          <v:line id="_x0000_s2055" o:spid="_x0000_s2055" o:spt="20" style="position:absolute;left:0pt;flip:x;margin-left:265.25pt;margin-top:151.5pt;height:100.65pt;width:45pt;z-index:251665408;mso-width-relative:page;mso-height-relative:page;" fillcolor="#FFFFFF" filled="t" stroked="t" coordsize="21600,21600">
            <v:path arrowok="t"/>
            <v:fill on="t" color2="#FFFFFF" focussize="0,0"/>
            <v:stroke weight="4.5pt" color="#92D050" endarrow="open"/>
            <v:imagedata o:title=""/>
            <o:lock v:ext="edit" aspectratio="f"/>
          </v:line>
        </w:pict>
      </w:r>
      <w:r>
        <w:rPr>
          <w:sz w:val="24"/>
        </w:rPr>
        <w:pict>
          <v:line id="_x0000_s2054" o:spid="_x0000_s2054" o:spt="20" style="position:absolute;left:0pt;flip:x y;margin-left:92.1pt;margin-top:209pt;height:43.15pt;width:170.65pt;z-index:251664384;mso-width-relative:page;mso-height-relative:page;" fillcolor="#FFFFFF" filled="t" stroked="t" coordsize="21600,21600">
            <v:path arrowok="t"/>
            <v:fill on="t" color2="#FFFFFF" focussize="0,0"/>
            <v:stroke weight="4.5pt" color="#92D050" endarrow="open"/>
            <v:imagedata o:title=""/>
            <o:lock v:ext="edit" aspectratio="f"/>
          </v:line>
        </w:pict>
      </w:r>
      <w:r>
        <w:rPr>
          <w:sz w:val="24"/>
        </w:rPr>
        <w:pict>
          <v:shape id="_x0000_s2053" o:spid="_x0000_s2053" o:spt="61" type="#_x0000_t61" style="position:absolute;left:0pt;margin-left:354pt;margin-top:27.75pt;height:23.75pt;width:80.6pt;z-index:251663360;mso-width-relative:page;mso-height-relative:page;" fillcolor="#FFFFFF" filled="t" stroked="t" coordsize="21600,21600" adj="-6846,39562">
            <v:path/>
            <v:fill on="t" color2="#FFFFFF" focussize="0,0"/>
            <v:stroke color="#000000"/>
            <v:imagedata o:title=""/>
            <o:lock v:ext="edit" aspectratio="f"/>
            <v:textbox>
              <w:txbxContent>
                <w:p w14:paraId="055663E0">
                  <w:pPr>
                    <w:pStyle w:val="26"/>
                    <w:bidi w:val="0"/>
                    <w:rPr>
                      <w:rFonts w:hint="default"/>
                      <w:lang w:val="en-US" w:eastAsia="zh-CN"/>
                    </w:rPr>
                  </w:pPr>
                  <w:r>
                    <w:rPr>
                      <w:rFonts w:hint="eastAsia"/>
                      <w:lang w:val="en-US" w:eastAsia="zh-CN"/>
                    </w:rPr>
                    <w:t>撤离范围</w:t>
                  </w:r>
                </w:p>
              </w:txbxContent>
            </v:textbox>
          </v:shape>
        </w:pict>
      </w:r>
      <w:r>
        <w:drawing>
          <wp:inline distT="0" distB="0" distL="114300" distR="114300">
            <wp:extent cx="5728335" cy="3578860"/>
            <wp:effectExtent l="0" t="0" r="5715" b="2540"/>
            <wp:docPr id="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pic:cNvPicPr>
                      <a:picLocks noChangeAspect="1"/>
                    </pic:cNvPicPr>
                  </pic:nvPicPr>
                  <pic:blipFill>
                    <a:blip r:embed="rId43"/>
                    <a:stretch>
                      <a:fillRect/>
                    </a:stretch>
                  </pic:blipFill>
                  <pic:spPr>
                    <a:xfrm>
                      <a:off x="0" y="0"/>
                      <a:ext cx="5728335" cy="3578860"/>
                    </a:xfrm>
                    <a:prstGeom prst="rect">
                      <a:avLst/>
                    </a:prstGeom>
                    <a:noFill/>
                    <a:ln>
                      <a:noFill/>
                    </a:ln>
                  </pic:spPr>
                </pic:pic>
              </a:graphicData>
            </a:graphic>
          </wp:inline>
        </w:drawing>
      </w:r>
    </w:p>
    <w:p w14:paraId="048EE3A7">
      <w:pPr>
        <w:pStyle w:val="24"/>
        <w:bidi w:val="0"/>
        <w:rPr>
          <w:rFonts w:hint="default"/>
          <w:lang w:val="en-US" w:eastAsia="zh-CN"/>
        </w:rPr>
      </w:pPr>
      <w:r>
        <w:rPr>
          <w:rFonts w:hint="eastAsia"/>
          <w:lang w:val="en-US" w:eastAsia="zh-CN"/>
        </w:rPr>
        <w:t>图F5-7  火灾情形周边居民撤离路线及临时安置点示意图</w:t>
      </w:r>
    </w:p>
    <w:p w14:paraId="5C7CECC1">
      <w:pPr>
        <w:pStyle w:val="37"/>
        <w:bidi w:val="0"/>
        <w:rPr>
          <w:rFonts w:hint="default"/>
          <w:lang w:val="en-US" w:eastAsia="zh-CN"/>
        </w:rPr>
      </w:pPr>
      <w:r>
        <w:rPr>
          <w:rFonts w:hint="eastAsia"/>
          <w:lang w:val="en-US" w:eastAsia="zh-CN"/>
        </w:rPr>
        <w:t>F5.2地表水环境风险预测</w:t>
      </w:r>
    </w:p>
    <w:p w14:paraId="10AD48C4">
      <w:pPr>
        <w:pStyle w:val="62"/>
        <w:bidi w:val="0"/>
        <w:rPr>
          <w:rFonts w:hint="default"/>
          <w:vertAlign w:val="baseline"/>
          <w:lang w:val="en-US" w:eastAsia="zh-CN"/>
        </w:rPr>
      </w:pPr>
      <w:r>
        <w:rPr>
          <w:rFonts w:hint="eastAsia"/>
          <w:lang w:val="en-US" w:eastAsia="zh-CN"/>
        </w:rPr>
        <w:t>本项目在储罐区南侧设置了300m</w:t>
      </w:r>
      <w:r>
        <w:rPr>
          <w:rFonts w:hint="eastAsia"/>
          <w:vertAlign w:val="superscript"/>
          <w:lang w:val="en-US" w:eastAsia="zh-CN"/>
        </w:rPr>
        <w:t>3</w:t>
      </w:r>
      <w:r>
        <w:rPr>
          <w:rFonts w:hint="eastAsia"/>
          <w:vertAlign w:val="baseline"/>
          <w:lang w:val="en-US" w:eastAsia="zh-CN"/>
        </w:rPr>
        <w:t>事故应急池，当发生火灾事故时，可将消防废水导入事故应急池内，待消防结束后，采用罐车将消防废水外运至集兵镇污水处理厂处理，对周边地表水环境影响较小。</w:t>
      </w:r>
    </w:p>
    <w:p w14:paraId="0327E01F">
      <w:pPr>
        <w:pStyle w:val="37"/>
        <w:bidi w:val="0"/>
        <w:rPr>
          <w:rFonts w:hint="default"/>
          <w:lang w:val="en-US" w:eastAsia="zh-CN"/>
        </w:rPr>
      </w:pPr>
      <w:r>
        <w:rPr>
          <w:rFonts w:hint="eastAsia"/>
          <w:lang w:val="en-US" w:eastAsia="zh-CN"/>
        </w:rPr>
        <w:t>F5.3地下水环境风险预测</w:t>
      </w:r>
    </w:p>
    <w:p w14:paraId="44650CAA">
      <w:pPr>
        <w:pStyle w:val="62"/>
        <w:bidi w:val="0"/>
        <w:rPr>
          <w:rFonts w:hint="eastAsia"/>
          <w:lang w:val="en-US" w:eastAsia="zh-CN"/>
        </w:rPr>
      </w:pPr>
      <w:r>
        <w:rPr>
          <w:rFonts w:hint="eastAsia"/>
          <w:lang w:val="en-US" w:eastAsia="zh-CN"/>
        </w:rPr>
        <w:t>本项目液化天然气泄漏主要影响环境空气，基本不会形成液体污染土壤及地下水，如果残液发生泄漏则可能污染土壤及地下水，但项目残液储罐属于压力储罐，设置了压力报警装置，泄漏后能够及时发现，且储罐区进行了重点防渗，对土壤和地下水影响很小。</w:t>
      </w:r>
    </w:p>
    <w:p w14:paraId="4014469F">
      <w:pPr>
        <w:pStyle w:val="29"/>
        <w:bidi w:val="0"/>
        <w:rPr>
          <w:rFonts w:hint="default"/>
          <w:lang w:val="en-US" w:eastAsia="zh-CN"/>
        </w:rPr>
      </w:pPr>
      <w:r>
        <w:rPr>
          <w:rFonts w:hint="eastAsia"/>
          <w:lang w:val="en-US" w:eastAsia="zh-CN"/>
        </w:rPr>
        <w:t>F6环境风险管理</w:t>
      </w:r>
    </w:p>
    <w:p w14:paraId="3BDECDA1">
      <w:pPr>
        <w:pStyle w:val="37"/>
      </w:pPr>
      <w:bookmarkStart w:id="10" w:name="_Toc115366024"/>
      <w:r>
        <w:rPr>
          <w:rFonts w:hint="eastAsia"/>
          <w:lang w:val="en-US" w:eastAsia="zh-CN"/>
        </w:rPr>
        <w:t>F</w:t>
      </w:r>
      <w:r>
        <w:rPr>
          <w:rFonts w:hint="eastAsia"/>
        </w:rPr>
        <w:t>6</w:t>
      </w:r>
      <w:r>
        <w:t>.1</w:t>
      </w:r>
      <w:r>
        <w:rPr>
          <w:rFonts w:hint="eastAsia"/>
        </w:rPr>
        <w:t>环境风险管理目标</w:t>
      </w:r>
      <w:bookmarkEnd w:id="10"/>
    </w:p>
    <w:p w14:paraId="6D835E45">
      <w:pPr>
        <w:pStyle w:val="62"/>
        <w:bidi w:val="0"/>
      </w:pPr>
      <w:r>
        <w:rPr>
          <w:rFonts w:hint="eastAsia"/>
        </w:rPr>
        <w:t>环境风险管理目标是采用最低合理可行原则（as low as reasonable practicable,ALARP）管控环境风险。采取的环境风险防范措施应与社会经济技术发展水平相适应，运用科学的技术手段和管理方法，对环境风险进行有效的预防、监控、响应。</w:t>
      </w:r>
    </w:p>
    <w:p w14:paraId="63C47387">
      <w:pPr>
        <w:pStyle w:val="37"/>
      </w:pPr>
      <w:bookmarkStart w:id="11" w:name="_Toc115366025"/>
      <w:r>
        <w:rPr>
          <w:rFonts w:hint="eastAsia"/>
          <w:lang w:val="en-US" w:eastAsia="zh-CN"/>
        </w:rPr>
        <w:t>F</w:t>
      </w:r>
      <w:r>
        <w:rPr>
          <w:rFonts w:hint="eastAsia"/>
        </w:rPr>
        <w:t>6</w:t>
      </w:r>
      <w:r>
        <w:t>.2</w:t>
      </w:r>
      <w:r>
        <w:rPr>
          <w:rFonts w:hint="eastAsia"/>
        </w:rPr>
        <w:t>环境风险防范措施</w:t>
      </w:r>
      <w:bookmarkEnd w:id="11"/>
    </w:p>
    <w:p w14:paraId="0290E2A1">
      <w:pPr>
        <w:pStyle w:val="62"/>
        <w:bidi w:val="0"/>
      </w:pPr>
      <w:r>
        <w:t>根据《建设项目环境风险评价技术导则》（HJ169-2018）的要求，环境风险管理目标是采用最低合理可行原则（ALARP）管控环境风险。采取的环境风险防范措施应与社会经济技术发展水平相适应，运用科学的技术手段和管理方法，对环境风险进行有效的预防、监控、响应。</w:t>
      </w:r>
    </w:p>
    <w:p w14:paraId="3273EF7E">
      <w:pPr>
        <w:pStyle w:val="62"/>
        <w:bidi w:val="0"/>
      </w:pPr>
      <w:r>
        <w:rPr>
          <w:rFonts w:hint="eastAsia"/>
        </w:rPr>
        <w:t>建议发生事故时，第一时间通知周边</w:t>
      </w:r>
      <w:r>
        <w:rPr>
          <w:rFonts w:hint="eastAsia"/>
          <w:lang w:val="en-US" w:eastAsia="zh-CN"/>
        </w:rPr>
        <w:t>乡镇政府</w:t>
      </w:r>
      <w:r>
        <w:rPr>
          <w:rFonts w:hint="eastAsia"/>
        </w:rPr>
        <w:t>及</w:t>
      </w:r>
      <w:r>
        <w:rPr>
          <w:rFonts w:hint="eastAsia"/>
          <w:lang w:val="en-US" w:eastAsia="zh-CN"/>
        </w:rPr>
        <w:t>村委会</w:t>
      </w:r>
      <w:r>
        <w:rPr>
          <w:rFonts w:hint="eastAsia"/>
        </w:rPr>
        <w:t>，协同进行周边居民疏散，向项目下风向远离项目方向疏散，本项目员工按照项目内部疏散路线有序疏散。</w:t>
      </w:r>
    </w:p>
    <w:p w14:paraId="0B52F323">
      <w:pPr>
        <w:pStyle w:val="34"/>
      </w:pPr>
      <w:bookmarkStart w:id="12" w:name="_Toc115366026"/>
      <w:r>
        <w:rPr>
          <w:rFonts w:hint="eastAsia"/>
          <w:lang w:val="en-US" w:eastAsia="zh-CN"/>
        </w:rPr>
        <w:t>F</w:t>
      </w:r>
      <w:r>
        <w:rPr>
          <w:rFonts w:hint="eastAsia"/>
        </w:rPr>
        <w:t>6</w:t>
      </w:r>
      <w:r>
        <w:t>.2.1</w:t>
      </w:r>
      <w:r>
        <w:rPr>
          <w:rFonts w:hint="eastAsia"/>
        </w:rPr>
        <w:t>总图布置和建筑</w:t>
      </w:r>
      <w:bookmarkEnd w:id="12"/>
    </w:p>
    <w:p w14:paraId="0846457C">
      <w:pPr>
        <w:pStyle w:val="62"/>
        <w:bidi w:val="0"/>
      </w:pPr>
      <w:r>
        <w:rPr>
          <w:rFonts w:hint="eastAsia"/>
        </w:rPr>
        <w:t>针对项目的性质、生产中使用易燃易爆、有毒的危险物质，项目在工程设计上已经严格按照我国有关劳动安全、防火、防爆法规进行设计，从总图布局、工艺生产、建构筑物防火处理、防雷接地、消防、防爆等各个方面采取相应的措施。</w:t>
      </w:r>
    </w:p>
    <w:p w14:paraId="0AE46043">
      <w:pPr>
        <w:pStyle w:val="62"/>
        <w:bidi w:val="0"/>
      </w:pPr>
      <w:r>
        <w:rPr>
          <w:rFonts w:hint="eastAsia"/>
        </w:rPr>
        <w:t>（1）各功能区之间设有</w:t>
      </w:r>
      <w:r>
        <w:rPr>
          <w:rFonts w:hint="eastAsia"/>
          <w:lang w:eastAsia="zh-CN"/>
        </w:rPr>
        <w:t>环形</w:t>
      </w:r>
      <w:r>
        <w:rPr>
          <w:rFonts w:hint="eastAsia"/>
        </w:rPr>
        <w:t>通道，有利于安全疏散和消防。各建构筑物均按火灾危险等级进行设计，部分钢结构作防火处理，部分楼、地面作防腐处理。</w:t>
      </w:r>
    </w:p>
    <w:p w14:paraId="764D93BA">
      <w:pPr>
        <w:pStyle w:val="62"/>
        <w:bidi w:val="0"/>
      </w:pPr>
      <w:r>
        <w:rPr>
          <w:rFonts w:hint="eastAsia"/>
        </w:rPr>
        <w:t>（2）总图布置按规定划分爆炸危险区域，在爆炸危险区域选用防爆型仪表、电器及通讯设备。</w:t>
      </w:r>
    </w:p>
    <w:p w14:paraId="19293203">
      <w:pPr>
        <w:pStyle w:val="62"/>
        <w:bidi w:val="0"/>
      </w:pPr>
      <w:r>
        <w:rPr>
          <w:rFonts w:hint="eastAsia"/>
        </w:rPr>
        <w:t>（3）遵守安全操作规程，严禁在生产区、中间罐区明火作业，需要采用电焊作业，需上报主管部门，并作好相应的防护措施。</w:t>
      </w:r>
    </w:p>
    <w:p w14:paraId="5C705390">
      <w:pPr>
        <w:pStyle w:val="62"/>
        <w:bidi w:val="0"/>
      </w:pPr>
      <w:r>
        <w:rPr>
          <w:rFonts w:hint="eastAsia"/>
        </w:rPr>
        <w:t>（4）生产区、罐区均设禁止吸烟标志，防止人为吸烟引起明火火灾等事故，物料输送管均设有防静电装置。</w:t>
      </w:r>
    </w:p>
    <w:p w14:paraId="5C42972C">
      <w:pPr>
        <w:pStyle w:val="34"/>
      </w:pPr>
      <w:bookmarkStart w:id="13" w:name="_Toc115366027"/>
      <w:r>
        <w:rPr>
          <w:rFonts w:hint="eastAsia"/>
          <w:lang w:val="en-US" w:eastAsia="zh-CN"/>
        </w:rPr>
        <w:t>F</w:t>
      </w:r>
      <w:r>
        <w:rPr>
          <w:rFonts w:hint="eastAsia"/>
        </w:rPr>
        <w:t>6</w:t>
      </w:r>
      <w:r>
        <w:t>.2.2</w:t>
      </w:r>
      <w:r>
        <w:rPr>
          <w:rFonts w:hint="eastAsia"/>
          <w:lang w:val="en-US" w:eastAsia="zh-CN"/>
        </w:rPr>
        <w:t>液化石油气</w:t>
      </w:r>
      <w:r>
        <w:rPr>
          <w:rFonts w:hint="eastAsia"/>
        </w:rPr>
        <w:t>储罐储运和管道输送</w:t>
      </w:r>
      <w:bookmarkEnd w:id="13"/>
    </w:p>
    <w:p w14:paraId="01AE675A">
      <w:pPr>
        <w:pStyle w:val="62"/>
        <w:bidi w:val="0"/>
      </w:pPr>
      <w:r>
        <w:rPr>
          <w:rFonts w:hint="eastAsia"/>
        </w:rPr>
        <w:t>项目应严格按《危险化学品安全管理条例》的要求，加强对危险化学品的管理；制定危险化学品安全操作规程，要求操作人员严格按操作规程作业；对从事危险化学作业人员定期进行安全培训教育；经常性对危险化学品作业场所进行安全检查，并严格执行我国危险化学品运输安全的有关规定。</w:t>
      </w:r>
    </w:p>
    <w:p w14:paraId="1ABF9E8C">
      <w:pPr>
        <w:pStyle w:val="62"/>
        <w:bidi w:val="0"/>
      </w:pPr>
      <w:r>
        <w:rPr>
          <w:rFonts w:hint="eastAsia"/>
        </w:rPr>
        <w:t>（1）要按规定的路线行驶，中途不得停留，注意运输安全，严防运输事故发生。一旦发生事故，一面搞好现场保护，一面与当地公安消防和环保部门联系，消除或减缓事故造成的影响。</w:t>
      </w:r>
    </w:p>
    <w:p w14:paraId="443212D7">
      <w:pPr>
        <w:pStyle w:val="62"/>
        <w:bidi w:val="0"/>
      </w:pPr>
      <w:r>
        <w:rPr>
          <w:rFonts w:hint="eastAsia"/>
        </w:rPr>
        <w:t>（2）需在储罐区周围设围堰，用于收集突发环境事件下泄漏的物料和应急产生的消防废水；罐区和装卸站的地面均为水泥硬质地面，防止物料渗漏污染地下水。</w:t>
      </w:r>
    </w:p>
    <w:p w14:paraId="50099281">
      <w:pPr>
        <w:pStyle w:val="62"/>
        <w:bidi w:val="0"/>
      </w:pPr>
      <w:r>
        <w:rPr>
          <w:rFonts w:hint="eastAsia"/>
        </w:rPr>
        <w:t>（3）罐区储罐设液位监测装置，确保在泄漏情况下及时发现事故隐患，第一时间采取有效措施进行处置。</w:t>
      </w:r>
    </w:p>
    <w:p w14:paraId="1A4634E2">
      <w:pPr>
        <w:pStyle w:val="62"/>
        <w:bidi w:val="0"/>
      </w:pPr>
      <w:r>
        <w:rPr>
          <w:rFonts w:hint="eastAsia"/>
        </w:rPr>
        <w:t>（4）罐区储罐设压力安全阀、温度安全阀，当罐内压力超过安全设定值时，压力安全阀打开，将压力降低到正常水平，从而避免事故的发生。</w:t>
      </w:r>
    </w:p>
    <w:p w14:paraId="126789A9">
      <w:pPr>
        <w:pStyle w:val="62"/>
        <w:bidi w:val="0"/>
      </w:pPr>
      <w:r>
        <w:rPr>
          <w:rFonts w:hint="eastAsia"/>
        </w:rPr>
        <w:t>（5）管线等设备的材质应选用耐腐蚀材料，并加强防腐处理，防止腐蚀穿孔或腐蚀层脱落堵塞管道。同时应加强检修维修，对出现的故障及时排除。</w:t>
      </w:r>
    </w:p>
    <w:p w14:paraId="2918DDC8">
      <w:pPr>
        <w:pStyle w:val="62"/>
        <w:bidi w:val="0"/>
      </w:pPr>
      <w:r>
        <w:rPr>
          <w:rFonts w:hint="eastAsia"/>
        </w:rPr>
        <w:t>（6）泵与管、管与管之间</w:t>
      </w:r>
      <w:r>
        <w:rPr>
          <w:rFonts w:hint="eastAsia"/>
          <w:lang w:eastAsia="zh-CN"/>
        </w:rPr>
        <w:t>连接处</w:t>
      </w:r>
      <w:r>
        <w:rPr>
          <w:rFonts w:hint="eastAsia"/>
        </w:rPr>
        <w:t>要保持牢固、密封，并定期严格检查，使其处于完好状态。</w:t>
      </w:r>
    </w:p>
    <w:p w14:paraId="3A00FCC6">
      <w:pPr>
        <w:pStyle w:val="62"/>
        <w:bidi w:val="0"/>
      </w:pPr>
      <w:r>
        <w:rPr>
          <w:rFonts w:hint="eastAsia"/>
        </w:rPr>
        <w:t>（7）封闭管线上设置相应泄压设施，防止因太阳</w:t>
      </w:r>
      <w:r>
        <w:rPr>
          <w:rFonts w:hint="eastAsia"/>
          <w:lang w:eastAsia="zh-CN"/>
        </w:rPr>
        <w:t>暴晒</w:t>
      </w:r>
      <w:r>
        <w:rPr>
          <w:rFonts w:hint="eastAsia"/>
        </w:rPr>
        <w:t>等原因而导致超压；</w:t>
      </w:r>
    </w:p>
    <w:p w14:paraId="52EE1DD5">
      <w:pPr>
        <w:pStyle w:val="62"/>
        <w:bidi w:val="0"/>
      </w:pPr>
      <w:r>
        <w:rPr>
          <w:rFonts w:hint="eastAsia"/>
        </w:rPr>
        <w:t>（8）设置 DCS 自动报警和连锁切断设施，并设紧急事故切断阀，保证其手动操作功能。一旦发生超压或泄漏，立即自动检测并送至厂内 DCS 控制系统，安全控制系统动作。</w:t>
      </w:r>
    </w:p>
    <w:p w14:paraId="52E8AD5A">
      <w:pPr>
        <w:pStyle w:val="34"/>
      </w:pPr>
      <w:bookmarkStart w:id="14" w:name="_Toc115366029"/>
      <w:r>
        <w:rPr>
          <w:rFonts w:hint="eastAsia"/>
          <w:lang w:val="en-US" w:eastAsia="zh-CN"/>
        </w:rPr>
        <w:t>F</w:t>
      </w:r>
      <w:r>
        <w:t>6.2.</w:t>
      </w:r>
      <w:r>
        <w:rPr>
          <w:rFonts w:hint="eastAsia"/>
          <w:lang w:val="en-US" w:eastAsia="zh-CN"/>
        </w:rPr>
        <w:t>3</w:t>
      </w:r>
      <w:r>
        <w:rPr>
          <w:rFonts w:hint="eastAsia"/>
        </w:rPr>
        <w:t>火灾事故</w:t>
      </w:r>
      <w:bookmarkEnd w:id="14"/>
    </w:p>
    <w:p w14:paraId="434F2E30">
      <w:pPr>
        <w:pStyle w:val="62"/>
        <w:bidi w:val="0"/>
      </w:pPr>
      <w:r>
        <w:rPr>
          <w:rFonts w:hint="eastAsia"/>
        </w:rPr>
        <w:t>（1）</w:t>
      </w:r>
      <w:r>
        <w:rPr>
          <w:rFonts w:hint="eastAsia"/>
          <w:lang w:val="en-US" w:eastAsia="zh-CN"/>
        </w:rPr>
        <w:t>厂区内</w:t>
      </w:r>
      <w:r>
        <w:rPr>
          <w:rFonts w:hint="eastAsia"/>
        </w:rPr>
        <w:t>应设立明显的禁止明火标志、安全防火标志和防火距离警示牌。</w:t>
      </w:r>
    </w:p>
    <w:p w14:paraId="4FABAEC5">
      <w:pPr>
        <w:pStyle w:val="62"/>
        <w:bidi w:val="0"/>
      </w:pPr>
      <w:r>
        <w:rPr>
          <w:rFonts w:hint="eastAsia"/>
        </w:rPr>
        <w:t>（2）</w:t>
      </w:r>
      <w:r>
        <w:rPr>
          <w:rFonts w:hint="eastAsia"/>
          <w:lang w:val="en-US" w:eastAsia="zh-CN"/>
        </w:rPr>
        <w:t>厂区内</w:t>
      </w:r>
      <w:r>
        <w:rPr>
          <w:rFonts w:hint="eastAsia"/>
        </w:rPr>
        <w:t>应设立火灾报警信号系统，一旦发生明火，立即启动报警装置。</w:t>
      </w:r>
    </w:p>
    <w:p w14:paraId="085C9269">
      <w:pPr>
        <w:pStyle w:val="62"/>
        <w:bidi w:val="0"/>
      </w:pPr>
      <w:r>
        <w:rPr>
          <w:rFonts w:hint="eastAsia"/>
        </w:rPr>
        <w:t>（3）</w:t>
      </w:r>
      <w:r>
        <w:rPr>
          <w:rFonts w:hint="eastAsia"/>
          <w:lang w:val="en-US" w:eastAsia="zh-CN"/>
        </w:rPr>
        <w:t>厂区内</w:t>
      </w:r>
      <w:r>
        <w:rPr>
          <w:rFonts w:hint="eastAsia"/>
        </w:rPr>
        <w:t>配备各种消防器材，厂区设立消防水池；生产设备和原料输送设备装配防火抑爆装置。</w:t>
      </w:r>
    </w:p>
    <w:p w14:paraId="62698DA0">
      <w:pPr>
        <w:pStyle w:val="62"/>
        <w:bidi w:val="0"/>
      </w:pPr>
      <w:r>
        <w:rPr>
          <w:rFonts w:hint="eastAsia"/>
        </w:rPr>
        <w:t>（4）可燃气体报警的同时，应与消防水泵、固定灭火系统、进入罐区的物料阀和通讯等设施联动。</w:t>
      </w:r>
    </w:p>
    <w:p w14:paraId="066B17E8">
      <w:pPr>
        <w:pStyle w:val="62"/>
        <w:bidi w:val="0"/>
      </w:pPr>
      <w:r>
        <w:rPr>
          <w:rFonts w:hint="eastAsia"/>
        </w:rPr>
        <w:t>（5）加强消防安全宣传和教育，对工艺过程中易发生火灾爆炸的原材料、中间体及成品，应列出其主要的物理化学性能，让所有员工了解其危险性并掌握防护措施。</w:t>
      </w:r>
    </w:p>
    <w:p w14:paraId="5580DE85">
      <w:pPr>
        <w:pStyle w:val="62"/>
        <w:bidi w:val="0"/>
      </w:pPr>
      <w:r>
        <w:rPr>
          <w:rFonts w:hint="eastAsia"/>
        </w:rPr>
        <w:t>（6）加强管理，制定严格操作规程和环境管理的规章制度。建立公司安全环保部门，分管负责风险防范，配合地方政府制定完整的火灾爆炸事故应急措施。</w:t>
      </w:r>
    </w:p>
    <w:p w14:paraId="4BE579D8">
      <w:pPr>
        <w:pStyle w:val="62"/>
        <w:bidi w:val="0"/>
      </w:pPr>
      <w:r>
        <w:rPr>
          <w:rFonts w:hint="eastAsia"/>
        </w:rPr>
        <w:t>（7）</w:t>
      </w:r>
      <w:r>
        <w:rPr>
          <w:rFonts w:hint="eastAsia"/>
          <w:lang w:val="en-US" w:eastAsia="zh-CN"/>
        </w:rPr>
        <w:t>厂区内</w:t>
      </w:r>
      <w:r>
        <w:rPr>
          <w:rFonts w:hint="eastAsia"/>
        </w:rPr>
        <w:t>按规范设防火堤，已对事故情况泄漏物料及消防废水进行收集控制，防火堤已采用钢筋混凝土结构，地面全部硬化，采用混凝土铺砌，</w:t>
      </w:r>
      <w:r>
        <w:rPr>
          <w:rFonts w:hint="eastAsia"/>
          <w:lang w:val="en-US" w:eastAsia="zh-CN"/>
        </w:rPr>
        <w:t>设置</w:t>
      </w:r>
      <w:r>
        <w:rPr>
          <w:rFonts w:hint="eastAsia"/>
        </w:rPr>
        <w:t>混凝土排水沟。</w:t>
      </w:r>
      <w:r>
        <w:rPr>
          <w:rFonts w:hint="eastAsia"/>
          <w:lang w:val="en-US" w:eastAsia="zh-CN"/>
        </w:rPr>
        <w:t>项目厂区</w:t>
      </w:r>
      <w:r>
        <w:rPr>
          <w:rFonts w:hint="eastAsia"/>
        </w:rPr>
        <w:t>均已设置污水及雨水排放的切换闸门，正常及事故情况下针对不同物质</w:t>
      </w:r>
      <w:r>
        <w:t>实施分流排放控制。</w:t>
      </w:r>
    </w:p>
    <w:p w14:paraId="3D803207">
      <w:pPr>
        <w:pStyle w:val="62"/>
        <w:bidi w:val="0"/>
      </w:pPr>
      <w:r>
        <w:rPr>
          <w:rFonts w:hint="eastAsia"/>
        </w:rPr>
        <w:t>（8）若发生火灾事故时，企业应及时关闭厂区所有雨水口阀门，使消防废水和事故废液集中汇入</w:t>
      </w:r>
      <w:r>
        <w:rPr>
          <w:rFonts w:hint="eastAsia"/>
          <w:lang w:val="en-US" w:eastAsia="zh-CN"/>
        </w:rPr>
        <w:t>事故应急池</w:t>
      </w:r>
      <w:r>
        <w:rPr>
          <w:rFonts w:hint="eastAsia"/>
        </w:rPr>
        <w:t>内，严禁通过雨水口排放到周边水体。事故水池内的事故废水通过专用管道，收集后委托有处理能力的单位进行处理。</w:t>
      </w:r>
    </w:p>
    <w:p w14:paraId="7A0C1938">
      <w:pPr>
        <w:pStyle w:val="34"/>
      </w:pPr>
      <w:bookmarkStart w:id="15" w:name="_Toc115366030"/>
      <w:r>
        <w:rPr>
          <w:rFonts w:hint="eastAsia"/>
          <w:lang w:val="en-US" w:eastAsia="zh-CN"/>
        </w:rPr>
        <w:t>F</w:t>
      </w:r>
      <w:r>
        <w:rPr>
          <w:rFonts w:hint="eastAsia"/>
        </w:rPr>
        <w:t>6</w:t>
      </w:r>
      <w:r>
        <w:t>.2.</w:t>
      </w:r>
      <w:r>
        <w:rPr>
          <w:rFonts w:hint="eastAsia"/>
          <w:lang w:val="en-US" w:eastAsia="zh-CN"/>
        </w:rPr>
        <w:t>4</w:t>
      </w:r>
      <w:r>
        <w:rPr>
          <w:rFonts w:hint="eastAsia"/>
        </w:rPr>
        <w:t>大气风险防范措施</w:t>
      </w:r>
      <w:bookmarkEnd w:id="15"/>
    </w:p>
    <w:p w14:paraId="3D308203">
      <w:pPr>
        <w:pStyle w:val="62"/>
        <w:bidi w:val="0"/>
      </w:pPr>
      <w:r>
        <w:rPr>
          <w:rFonts w:hint="eastAsia"/>
        </w:rPr>
        <w:t>（1）物料泄漏应急减缓措施</w:t>
      </w:r>
    </w:p>
    <w:p w14:paraId="08F892EC">
      <w:pPr>
        <w:pStyle w:val="62"/>
        <w:bidi w:val="0"/>
      </w:pPr>
      <w:r>
        <w:rPr>
          <w:rFonts w:hint="eastAsia"/>
        </w:rPr>
        <w:t>当发生易燃易爆或有毒物料泄漏时，可根据物料性质，选择采取以下措施，防止事态进一步发展：根据事故级别启动应急预案；保护员工与居民免于暴露在危险物质中；如果泄漏仍在继续，消除泄漏源；尽量能减少蒸发率；转移泄漏物质。避免暴露主要通过隔离泄漏区域和将人员疏散到上风向安全区来实现，尤其是当泄漏液体在持续蒸发时。如果泄漏仍在继续，隔离损坏的容器，转移其中物料和堵漏，这样有助于消除泄漏源。</w:t>
      </w:r>
    </w:p>
    <w:p w14:paraId="43291571">
      <w:pPr>
        <w:pStyle w:val="62"/>
        <w:bidi w:val="0"/>
      </w:pPr>
      <w:r>
        <w:rPr>
          <w:rFonts w:hint="eastAsia"/>
        </w:rPr>
        <w:t>（2）火灾爆炸应急减缓措施</w:t>
      </w:r>
    </w:p>
    <w:p w14:paraId="1A286240">
      <w:pPr>
        <w:pStyle w:val="62"/>
        <w:bidi w:val="0"/>
      </w:pPr>
      <w:r>
        <w:rPr>
          <w:rFonts w:hint="eastAsia"/>
        </w:rPr>
        <w:t>当装置发生火灾爆炸时，根据事故级别启动应急预案；根据需要，切断着火设施上下游物料，尽可能将泄漏物质转移到另外的容器或罐车，防止发生连锁效应；在救火同时，采用水幕或喷淋的方法，防止引发继发事故；根据事故级别疏散周围居住区人群。</w:t>
      </w:r>
    </w:p>
    <w:p w14:paraId="1A4DEEB2">
      <w:pPr>
        <w:pStyle w:val="34"/>
      </w:pPr>
      <w:bookmarkStart w:id="16" w:name="_Toc115366031"/>
      <w:r>
        <w:rPr>
          <w:rFonts w:hint="eastAsia"/>
          <w:lang w:val="en-US" w:eastAsia="zh-CN"/>
        </w:rPr>
        <w:t>F</w:t>
      </w:r>
      <w:r>
        <w:rPr>
          <w:rFonts w:hint="eastAsia"/>
        </w:rPr>
        <w:t>6</w:t>
      </w:r>
      <w:r>
        <w:t>.2.</w:t>
      </w:r>
      <w:r>
        <w:rPr>
          <w:rFonts w:hint="eastAsia"/>
          <w:lang w:val="en-US" w:eastAsia="zh-CN"/>
        </w:rPr>
        <w:t>5</w:t>
      </w:r>
      <w:r>
        <w:rPr>
          <w:rFonts w:hint="eastAsia"/>
        </w:rPr>
        <w:t>事故废水风险防范措施</w:t>
      </w:r>
      <w:bookmarkEnd w:id="16"/>
    </w:p>
    <w:p w14:paraId="3ACAD40B">
      <w:pPr>
        <w:pStyle w:val="25"/>
        <w:bidi w:val="0"/>
      </w:pPr>
      <w:r>
        <w:rPr>
          <w:rFonts w:hint="eastAsia"/>
        </w:rPr>
        <w:t>依据国家相关规定以及《事故状态下水体污染的预防与控制技术要求》(Q/SY1190-2013)及《建设项目环境风险评价技术导则》(HJ169-2018)的规定，本项目建立从污染源头、过程处理和最终排放的三级防控体系，防止环境风险事故造成水环境污染。</w:t>
      </w:r>
    </w:p>
    <w:p w14:paraId="12357860">
      <w:pPr>
        <w:pStyle w:val="25"/>
        <w:bidi w:val="0"/>
      </w:pPr>
      <w:r>
        <w:rPr>
          <w:rFonts w:hint="eastAsia"/>
        </w:rPr>
        <w:t>1、预防与控制体系划分</w:t>
      </w:r>
    </w:p>
    <w:p w14:paraId="2857AE34">
      <w:pPr>
        <w:pStyle w:val="25"/>
        <w:bidi w:val="0"/>
      </w:pPr>
      <w:r>
        <w:rPr>
          <w:rFonts w:hint="eastAsia"/>
        </w:rPr>
        <w:t>一级预防于控制体系包括装置围堰、罐组防火堤及配套设施。</w:t>
      </w:r>
    </w:p>
    <w:p w14:paraId="46C2C4A0">
      <w:pPr>
        <w:pStyle w:val="25"/>
        <w:bidi w:val="0"/>
      </w:pPr>
      <w:r>
        <w:rPr>
          <w:rFonts w:hint="eastAsia"/>
        </w:rPr>
        <w:t>二级预防于控制体系包括雨水切断系统、拦污坝、防漫流及导流设施、必要的中间事故池缓冲设施及其配套设施。</w:t>
      </w:r>
    </w:p>
    <w:p w14:paraId="38FE0FC2">
      <w:pPr>
        <w:pStyle w:val="25"/>
        <w:bidi w:val="0"/>
      </w:pPr>
      <w:r>
        <w:rPr>
          <w:rFonts w:hint="eastAsia"/>
        </w:rPr>
        <w:t>三级预防与控制体系包括末端事故缓冲设施及其配套设施。</w:t>
      </w:r>
    </w:p>
    <w:p w14:paraId="05AF52F5">
      <w:pPr>
        <w:pStyle w:val="25"/>
        <w:bidi w:val="0"/>
      </w:pPr>
      <w:r>
        <w:rPr>
          <w:rFonts w:hint="eastAsia"/>
        </w:rPr>
        <w:t>当一级预防与控制体系无法达到控制事故液要求时，应立即启动二级预防与控制体系，关闭雨排水系统的总出口阀门，拦污坝上闸板，切断防漫流设施与外界的通道，确保事故液排入中间事故缓冲设施或末端事故缓冲设施。</w:t>
      </w:r>
    </w:p>
    <w:p w14:paraId="320E2D70">
      <w:pPr>
        <w:pStyle w:val="25"/>
        <w:bidi w:val="0"/>
      </w:pPr>
      <w:r>
        <w:rPr>
          <w:rFonts w:hint="eastAsia"/>
        </w:rPr>
        <w:t>一级、二级预防与</w:t>
      </w:r>
      <w:r>
        <w:rPr>
          <w:rFonts w:hint="eastAsia"/>
          <w:lang w:val="en-US" w:eastAsia="zh-CN"/>
        </w:rPr>
        <w:t>控制</w:t>
      </w:r>
      <w:r>
        <w:rPr>
          <w:rFonts w:hint="eastAsia"/>
        </w:rPr>
        <w:t>体系无法达到控制事故液要求时，应立即启动三级预防与控制体系，事故液排入末端事故缓冲设施。</w:t>
      </w:r>
    </w:p>
    <w:p w14:paraId="64F1F083">
      <w:pPr>
        <w:pStyle w:val="25"/>
        <w:bidi w:val="0"/>
      </w:pPr>
      <w:r>
        <w:rPr>
          <w:rFonts w:hint="eastAsia"/>
        </w:rPr>
        <w:t>2、一级防控</w:t>
      </w:r>
    </w:p>
    <w:p w14:paraId="229BC9CF">
      <w:pPr>
        <w:pStyle w:val="25"/>
        <w:bidi w:val="0"/>
        <w:rPr>
          <w:rFonts w:hint="default"/>
          <w:lang w:val="en-US" w:eastAsia="zh-CN"/>
        </w:rPr>
      </w:pPr>
      <w:r>
        <w:rPr>
          <w:rFonts w:hint="eastAsia"/>
          <w:lang w:val="en-US" w:eastAsia="zh-CN"/>
        </w:rPr>
        <w:t>项目储罐区设置了1m高围堰，储罐区围堰面积能够容纳单个储罐泄漏收集需求。</w:t>
      </w:r>
    </w:p>
    <w:p w14:paraId="38CFE6F1">
      <w:pPr>
        <w:pStyle w:val="25"/>
        <w:bidi w:val="0"/>
      </w:pPr>
      <w:r>
        <w:rPr>
          <w:rFonts w:hint="eastAsia"/>
        </w:rPr>
        <w:t>2、二级（厂区级）防控</w:t>
      </w:r>
    </w:p>
    <w:p w14:paraId="1ADB8F6F">
      <w:pPr>
        <w:pStyle w:val="25"/>
        <w:bidi w:val="0"/>
      </w:pPr>
      <w:r>
        <w:rPr>
          <w:rFonts w:hint="eastAsia"/>
        </w:rPr>
        <w:t>项目事故废水收集池，作为二级防控体系，用于收集包括</w:t>
      </w:r>
      <w:r>
        <w:rPr>
          <w:rFonts w:hint="eastAsia"/>
          <w:lang w:val="en-US" w:eastAsia="zh-CN"/>
        </w:rPr>
        <w:t>项目生产区</w:t>
      </w:r>
      <w:r>
        <w:rPr>
          <w:rFonts w:hint="eastAsia"/>
        </w:rPr>
        <w:t>内的事故废水，作为二级预防与控制体系。当项目事故废水突破一级防线：装置区围堰和储罐区围堤时，启动二级防线事故应急池系统进行污水调节和暂存，防止较大生产事故泄漏物料和污染消防水造成的环境污染。</w:t>
      </w:r>
    </w:p>
    <w:p w14:paraId="741A4DAB">
      <w:pPr>
        <w:pStyle w:val="25"/>
        <w:bidi w:val="0"/>
      </w:pPr>
      <w:r>
        <w:rPr>
          <w:rFonts w:hint="eastAsia"/>
        </w:rPr>
        <w:t>参照《水体污染防控紧急措施设计导则》，应急事故废水最大量的确定采用公式法计算，具体算法如下：</w:t>
      </w:r>
    </w:p>
    <w:p w14:paraId="302289BD">
      <w:pPr>
        <w:pStyle w:val="25"/>
        <w:bidi w:val="0"/>
      </w:pPr>
      <w:r>
        <w:rPr>
          <w:rFonts w:hint="eastAsia"/>
        </w:rPr>
        <w:t>V 总=(V1＋V2-V3)max+V4+V5</w:t>
      </w:r>
    </w:p>
    <w:p w14:paraId="380AF1CD">
      <w:pPr>
        <w:pStyle w:val="25"/>
        <w:bidi w:val="0"/>
      </w:pPr>
      <w:r>
        <w:rPr>
          <w:rFonts w:hint="eastAsia"/>
        </w:rPr>
        <w:t>注：(V1＋V2-V3)max 是指对收集系统范围内不同罐组或装置分别计算 V1＋V2-V3，取其中最大值。</w:t>
      </w:r>
    </w:p>
    <w:p w14:paraId="16EB0CA8">
      <w:pPr>
        <w:pStyle w:val="25"/>
        <w:bidi w:val="0"/>
      </w:pPr>
      <w:r>
        <w:rPr>
          <w:rFonts w:hint="eastAsia"/>
        </w:rPr>
        <w:t>式中：</w:t>
      </w:r>
    </w:p>
    <w:p w14:paraId="525151F0">
      <w:pPr>
        <w:pStyle w:val="25"/>
        <w:bidi w:val="0"/>
      </w:pPr>
      <w:r>
        <w:rPr>
          <w:rFonts w:hint="eastAsia"/>
        </w:rPr>
        <w:t>V1——收集系统范围内发生事故的储罐或装置的物料量，m3；</w:t>
      </w:r>
    </w:p>
    <w:p w14:paraId="14C133EA">
      <w:pPr>
        <w:pStyle w:val="25"/>
        <w:bidi w:val="0"/>
      </w:pPr>
      <w:r>
        <w:rPr>
          <w:rFonts w:hint="eastAsia"/>
        </w:rPr>
        <w:t>V2——发生事故的储罐或装置的消防水量，m3；</w:t>
      </w:r>
    </w:p>
    <w:p w14:paraId="52F155AC">
      <w:pPr>
        <w:pStyle w:val="25"/>
        <w:bidi w:val="0"/>
      </w:pPr>
      <w:r>
        <w:rPr>
          <w:rFonts w:hint="eastAsia"/>
        </w:rPr>
        <w:t>V3——发生事故时可以</w:t>
      </w:r>
      <w:r>
        <w:rPr>
          <w:rFonts w:hint="eastAsia"/>
          <w:lang w:eastAsia="zh-CN"/>
        </w:rPr>
        <w:t>传输</w:t>
      </w:r>
      <w:r>
        <w:rPr>
          <w:rFonts w:hint="eastAsia"/>
        </w:rPr>
        <w:t>到其他储存或处理设施的物料量，m3；</w:t>
      </w:r>
    </w:p>
    <w:p w14:paraId="0F709422">
      <w:pPr>
        <w:pStyle w:val="25"/>
        <w:bidi w:val="0"/>
      </w:pPr>
      <w:r>
        <w:rPr>
          <w:rFonts w:hint="eastAsia"/>
        </w:rPr>
        <w:t>V4——发生事故时仍必须进入该收集系统的生产废水量，m3；</w:t>
      </w:r>
    </w:p>
    <w:p w14:paraId="6CEF9E5C">
      <w:pPr>
        <w:pStyle w:val="25"/>
        <w:bidi w:val="0"/>
      </w:pPr>
      <w:r>
        <w:rPr>
          <w:rFonts w:hint="eastAsia"/>
        </w:rPr>
        <w:t>V5——发生事故时可能进入该收集系统的降雨量，m3。</w:t>
      </w:r>
    </w:p>
    <w:p w14:paraId="3F9B3099">
      <w:pPr>
        <w:pStyle w:val="25"/>
        <w:bidi w:val="0"/>
      </w:pPr>
      <w:r>
        <w:rPr>
          <w:rFonts w:hint="eastAsia"/>
        </w:rPr>
        <w:t>（1）收集系统范围内发生事故的储罐的物料量(V1)</w:t>
      </w:r>
    </w:p>
    <w:p w14:paraId="3FA43D1E">
      <w:pPr>
        <w:pStyle w:val="25"/>
        <w:bidi w:val="0"/>
      </w:pPr>
      <w:r>
        <w:rPr>
          <w:rFonts w:hint="eastAsia"/>
        </w:rPr>
        <w:t>载重危货车辆停车区：按本项目最大储罐进行考虑，则V1储罐区取</w:t>
      </w:r>
      <w:r>
        <w:rPr>
          <w:rFonts w:hint="eastAsia"/>
          <w:lang w:val="en-US" w:eastAsia="zh-CN"/>
        </w:rPr>
        <w:t>50</w:t>
      </w:r>
      <w:r>
        <w:rPr>
          <w:rFonts w:hint="eastAsia"/>
        </w:rPr>
        <w:t>m</w:t>
      </w:r>
      <w:r>
        <w:rPr>
          <w:rFonts w:hint="eastAsia"/>
          <w:vertAlign w:val="superscript"/>
        </w:rPr>
        <w:t>3</w:t>
      </w:r>
      <w:r>
        <w:rPr>
          <w:rFonts w:hint="eastAsia"/>
        </w:rPr>
        <w:t>；</w:t>
      </w:r>
    </w:p>
    <w:p w14:paraId="1AC97214">
      <w:pPr>
        <w:pStyle w:val="25"/>
        <w:bidi w:val="0"/>
      </w:pPr>
      <w:r>
        <w:rPr>
          <w:rFonts w:hint="eastAsia"/>
        </w:rPr>
        <w:t>（2）发生事故的储罐或装置的消防水量(V2)</w:t>
      </w:r>
    </w:p>
    <w:p w14:paraId="3D2A3C5D">
      <w:pPr>
        <w:pStyle w:val="25"/>
        <w:bidi w:val="0"/>
      </w:pPr>
      <w:r>
        <w:rPr>
          <w:rFonts w:hint="eastAsia"/>
        </w:rPr>
        <w:t>根据《石油化工企业设计防火规范》(GB50160-2008)第 7.3.4 条规定：工厂占地面积≤100ha、附近居住区人数≤1.5 万人，同一时间内火灾处数按1次计，消防用水量按区内消防用水量最大处计。罐区水消防：用移动式水枪冷却水系统，冷却水量：移动式冷却水量2</w:t>
      </w:r>
      <w:r>
        <w:rPr>
          <w:rFonts w:hint="eastAsia"/>
          <w:lang w:val="en-US" w:eastAsia="zh-CN"/>
        </w:rPr>
        <w:t>0</w:t>
      </w:r>
      <w:r>
        <w:rPr>
          <w:rFonts w:hint="eastAsia"/>
        </w:rPr>
        <w:t>L/s，火灾延续时间</w:t>
      </w:r>
      <w:r>
        <w:rPr>
          <w:rFonts w:hint="eastAsia"/>
          <w:lang w:val="en-US" w:eastAsia="zh-CN"/>
        </w:rPr>
        <w:t>2</w:t>
      </w:r>
      <w:r>
        <w:rPr>
          <w:rFonts w:hint="eastAsia"/>
        </w:rPr>
        <w:t>小时。消防冷却水量为</w:t>
      </w:r>
      <w:r>
        <w:rPr>
          <w:rFonts w:hint="eastAsia"/>
          <w:lang w:val="en-US" w:eastAsia="zh-CN"/>
        </w:rPr>
        <w:t>288</w:t>
      </w:r>
      <w:r>
        <w:rPr>
          <w:rFonts w:hint="eastAsia"/>
        </w:rPr>
        <w:t>m³。</w:t>
      </w:r>
    </w:p>
    <w:p w14:paraId="185A801F">
      <w:pPr>
        <w:pStyle w:val="25"/>
        <w:bidi w:val="0"/>
      </w:pPr>
      <w:r>
        <w:rPr>
          <w:rFonts w:hint="eastAsia"/>
        </w:rPr>
        <w:t>（3）发生事故时可以</w:t>
      </w:r>
      <w:r>
        <w:rPr>
          <w:rFonts w:hint="eastAsia"/>
          <w:lang w:eastAsia="zh-CN"/>
        </w:rPr>
        <w:t>传输</w:t>
      </w:r>
      <w:r>
        <w:rPr>
          <w:rFonts w:hint="eastAsia"/>
        </w:rPr>
        <w:t>到其他储存或处理设施的物料量(V3)</w:t>
      </w:r>
    </w:p>
    <w:p w14:paraId="62F1F1E9">
      <w:pPr>
        <w:pStyle w:val="25"/>
        <w:bidi w:val="0"/>
      </w:pPr>
      <w:r>
        <w:rPr>
          <w:rFonts w:hint="eastAsia"/>
          <w:lang w:val="en-US" w:eastAsia="zh-CN"/>
        </w:rPr>
        <w:t>项目围堰面积444.22m</w:t>
      </w:r>
      <w:r>
        <w:rPr>
          <w:rFonts w:hint="eastAsia"/>
          <w:vertAlign w:val="superscript"/>
          <w:lang w:val="en-US" w:eastAsia="zh-CN"/>
        </w:rPr>
        <w:t>2</w:t>
      </w:r>
      <w:r>
        <w:rPr>
          <w:rFonts w:hint="eastAsia"/>
          <w:vertAlign w:val="baseline"/>
          <w:lang w:val="en-US" w:eastAsia="zh-CN"/>
        </w:rPr>
        <w:t>，围堰高度为1m</w:t>
      </w:r>
      <w:r>
        <w:rPr>
          <w:rFonts w:hint="eastAsia"/>
        </w:rPr>
        <w:t>，因此V</w:t>
      </w:r>
      <w:r>
        <w:t>3=</w:t>
      </w:r>
      <w:r>
        <w:rPr>
          <w:rFonts w:hint="eastAsia"/>
          <w:lang w:val="en-US" w:eastAsia="zh-CN"/>
        </w:rPr>
        <w:t>444.22</w:t>
      </w:r>
      <w:r>
        <w:rPr>
          <w:rFonts w:hint="eastAsia"/>
        </w:rPr>
        <w:t>m³。</w:t>
      </w:r>
    </w:p>
    <w:p w14:paraId="76DA70E0">
      <w:pPr>
        <w:pStyle w:val="25"/>
        <w:bidi w:val="0"/>
      </w:pPr>
      <w:r>
        <w:rPr>
          <w:rFonts w:hint="eastAsia"/>
        </w:rPr>
        <w:t>（4）（V1+V2-V3）max 计算</w:t>
      </w:r>
    </w:p>
    <w:p w14:paraId="35293D88">
      <w:pPr>
        <w:pStyle w:val="25"/>
        <w:bidi w:val="0"/>
      </w:pPr>
      <w:r>
        <w:rPr>
          <w:rFonts w:hint="eastAsia"/>
        </w:rPr>
        <w:t>根据以上分析，计算得（V1+V2-V3）=</w:t>
      </w:r>
      <w:r>
        <w:rPr>
          <w:rFonts w:hint="eastAsia"/>
          <w:lang w:val="en-US" w:eastAsia="zh-CN"/>
        </w:rPr>
        <w:t>50</w:t>
      </w:r>
      <w:r>
        <w:rPr>
          <w:rFonts w:hint="eastAsia"/>
        </w:rPr>
        <w:t>+</w:t>
      </w:r>
      <w:r>
        <w:rPr>
          <w:rFonts w:hint="eastAsia"/>
          <w:lang w:val="en-US" w:eastAsia="zh-CN"/>
        </w:rPr>
        <w:t>288</w:t>
      </w:r>
      <w:r>
        <w:rPr>
          <w:rFonts w:hint="eastAsia"/>
        </w:rPr>
        <w:t>-</w:t>
      </w:r>
      <w:r>
        <w:rPr>
          <w:rFonts w:hint="eastAsia"/>
          <w:lang w:val="en-US" w:eastAsia="zh-CN"/>
        </w:rPr>
        <w:t>444.22</w:t>
      </w:r>
      <w:r>
        <w:rPr>
          <w:rFonts w:hint="eastAsia"/>
        </w:rPr>
        <w:t>=</w:t>
      </w:r>
      <w:r>
        <w:rPr>
          <w:rFonts w:hint="eastAsia"/>
          <w:lang w:val="en-US" w:eastAsia="zh-CN"/>
        </w:rPr>
        <w:t>-106.22，因此按0计算，泄漏物料及消防废水可在围堰内贮存</w:t>
      </w:r>
      <w:r>
        <w:rPr>
          <w:rFonts w:hint="eastAsia"/>
        </w:rPr>
        <w:t>；</w:t>
      </w:r>
    </w:p>
    <w:p w14:paraId="0A2A6380">
      <w:pPr>
        <w:pStyle w:val="25"/>
        <w:bidi w:val="0"/>
      </w:pPr>
      <w:r>
        <w:rPr>
          <w:rFonts w:hint="eastAsia"/>
        </w:rPr>
        <w:t>（5）发生事故时仍必须进入该收集系统的生产废水量（V4）</w:t>
      </w:r>
    </w:p>
    <w:p w14:paraId="1737D7DB">
      <w:pPr>
        <w:pStyle w:val="25"/>
        <w:bidi w:val="0"/>
      </w:pPr>
      <w:r>
        <w:rPr>
          <w:rFonts w:hint="eastAsia"/>
        </w:rPr>
        <w:t>本项目无生产废水，因此V</w:t>
      </w:r>
      <w:r>
        <w:t>4=0</w:t>
      </w:r>
      <w:r>
        <w:rPr>
          <w:rFonts w:hint="eastAsia"/>
        </w:rPr>
        <w:t>。</w:t>
      </w:r>
    </w:p>
    <w:p w14:paraId="5460A26E">
      <w:pPr>
        <w:pStyle w:val="25"/>
        <w:bidi w:val="0"/>
      </w:pPr>
      <w:r>
        <w:rPr>
          <w:rFonts w:hint="eastAsia"/>
        </w:rPr>
        <w:t>（6）发生事故时可能进入该收集系统的降雨量（V5）</w:t>
      </w:r>
    </w:p>
    <w:p w14:paraId="1A4446CE">
      <w:pPr>
        <w:pStyle w:val="25"/>
        <w:bidi w:val="0"/>
      </w:pPr>
      <w:r>
        <w:rPr>
          <w:rFonts w:hint="eastAsia"/>
          <w:lang w:val="en-US" w:eastAsia="zh-CN"/>
        </w:rPr>
        <w:t>衡阳县降雨暴雨最大小时强度约为60mm，考虑30min初期雨水，则为30mm，生产区面积约为7000m</w:t>
      </w:r>
      <w:r>
        <w:rPr>
          <w:rFonts w:hint="eastAsia"/>
          <w:vertAlign w:val="superscript"/>
          <w:lang w:val="en-US" w:eastAsia="zh-CN"/>
        </w:rPr>
        <w:t>2</w:t>
      </w:r>
      <w:r>
        <w:rPr>
          <w:rFonts w:hint="eastAsia"/>
          <w:vertAlign w:val="baseline"/>
          <w:lang w:val="en-US" w:eastAsia="zh-CN"/>
        </w:rPr>
        <w:t>，则初期雨水量为210m</w:t>
      </w:r>
      <w:r>
        <w:rPr>
          <w:rFonts w:hint="eastAsia"/>
          <w:vertAlign w:val="superscript"/>
          <w:lang w:val="en-US" w:eastAsia="zh-CN"/>
        </w:rPr>
        <w:t>3</w:t>
      </w:r>
      <w:r>
        <w:rPr>
          <w:rFonts w:hint="eastAsia"/>
        </w:rPr>
        <w:t>。</w:t>
      </w:r>
    </w:p>
    <w:p w14:paraId="485D1571">
      <w:pPr>
        <w:pStyle w:val="25"/>
        <w:bidi w:val="0"/>
      </w:pPr>
      <w:r>
        <w:rPr>
          <w:rFonts w:hint="eastAsia"/>
        </w:rPr>
        <w:t>（7）事故储存能力核算(V 总)：</w:t>
      </w:r>
    </w:p>
    <w:p w14:paraId="360C6A44">
      <w:pPr>
        <w:pStyle w:val="25"/>
        <w:bidi w:val="0"/>
      </w:pPr>
      <w:r>
        <w:rPr>
          <w:rFonts w:hint="eastAsia"/>
        </w:rPr>
        <w:t>V 总=</w:t>
      </w:r>
      <w:r>
        <w:rPr>
          <w:rFonts w:hint="eastAsia"/>
          <w:lang w:val="en-US" w:eastAsia="zh-CN"/>
        </w:rPr>
        <w:t>0</w:t>
      </w:r>
      <w:r>
        <w:rPr>
          <w:rFonts w:hint="eastAsia"/>
        </w:rPr>
        <w:t>+0+</w:t>
      </w:r>
      <w:r>
        <w:rPr>
          <w:rFonts w:hint="eastAsia"/>
          <w:lang w:val="en-US" w:eastAsia="zh-CN"/>
        </w:rPr>
        <w:t>210</w:t>
      </w:r>
      <w:r>
        <w:rPr>
          <w:rFonts w:hint="eastAsia"/>
        </w:rPr>
        <w:t>=</w:t>
      </w:r>
      <w:r>
        <w:rPr>
          <w:rFonts w:hint="eastAsia"/>
          <w:lang w:val="en-US" w:eastAsia="zh-CN"/>
        </w:rPr>
        <w:t>210</w:t>
      </w:r>
      <w:r>
        <w:rPr>
          <w:rFonts w:hint="eastAsia"/>
        </w:rPr>
        <w:t>m</w:t>
      </w:r>
      <w:r>
        <w:rPr>
          <w:rFonts w:hint="eastAsia"/>
          <w:vertAlign w:val="superscript"/>
        </w:rPr>
        <w:t>3</w:t>
      </w:r>
      <w:r>
        <w:rPr>
          <w:rFonts w:hint="eastAsia"/>
        </w:rPr>
        <w:t>。</w:t>
      </w:r>
    </w:p>
    <w:p w14:paraId="155580DB">
      <w:pPr>
        <w:pStyle w:val="25"/>
        <w:bidi w:val="0"/>
      </w:pPr>
      <w:r>
        <w:rPr>
          <w:rFonts w:hint="eastAsia"/>
        </w:rPr>
        <w:t>通过上述计算可知，事故池最小容积约为</w:t>
      </w:r>
      <w:r>
        <w:rPr>
          <w:rFonts w:hint="eastAsia"/>
          <w:lang w:val="en-US" w:eastAsia="zh-CN"/>
        </w:rPr>
        <w:t>210</w:t>
      </w:r>
      <w:r>
        <w:rPr>
          <w:rFonts w:hint="eastAsia"/>
        </w:rPr>
        <w:t>m</w:t>
      </w:r>
      <w:r>
        <w:rPr>
          <w:rFonts w:hint="eastAsia"/>
          <w:vertAlign w:val="superscript"/>
        </w:rPr>
        <w:t>3</w:t>
      </w:r>
      <w:r>
        <w:rPr>
          <w:rFonts w:hint="eastAsia"/>
        </w:rPr>
        <w:t>。项目设置有1个</w:t>
      </w:r>
      <w:r>
        <w:rPr>
          <w:rFonts w:hint="eastAsia"/>
          <w:lang w:val="en-US" w:eastAsia="zh-CN"/>
        </w:rPr>
        <w:t>3</w:t>
      </w:r>
      <w:r>
        <w:t>00</w:t>
      </w:r>
      <w:r>
        <w:rPr>
          <w:rFonts w:hint="eastAsia"/>
        </w:rPr>
        <w:t>m</w:t>
      </w:r>
      <w:r>
        <w:rPr>
          <w:vertAlign w:val="superscript"/>
        </w:rPr>
        <w:t>3</w:t>
      </w:r>
      <w:r>
        <w:rPr>
          <w:rFonts w:hint="eastAsia"/>
        </w:rPr>
        <w:t>的</w:t>
      </w:r>
      <w:r>
        <w:rPr>
          <w:rFonts w:hint="eastAsia"/>
          <w:lang w:val="en-US" w:eastAsia="zh-CN"/>
        </w:rPr>
        <w:t>事故应急池</w:t>
      </w:r>
      <w:r>
        <w:rPr>
          <w:rFonts w:hint="eastAsia"/>
        </w:rPr>
        <w:t>，用于收集整个</w:t>
      </w:r>
      <w:r>
        <w:rPr>
          <w:rFonts w:hint="eastAsia"/>
          <w:lang w:val="en-US" w:eastAsia="zh-CN"/>
        </w:rPr>
        <w:t>生产区</w:t>
      </w:r>
      <w:r>
        <w:rPr>
          <w:rFonts w:hint="eastAsia"/>
        </w:rPr>
        <w:t>的事故废水。</w:t>
      </w:r>
    </w:p>
    <w:p w14:paraId="0C3D1659">
      <w:pPr>
        <w:pStyle w:val="25"/>
        <w:bidi w:val="0"/>
      </w:pPr>
      <w:r>
        <w:rPr>
          <w:rFonts w:hint="eastAsia"/>
        </w:rPr>
        <w:t>3、三级防控措施</w:t>
      </w:r>
    </w:p>
    <w:p w14:paraId="1E8EFE12">
      <w:pPr>
        <w:pStyle w:val="25"/>
        <w:bidi w:val="0"/>
      </w:pPr>
      <w:r>
        <w:rPr>
          <w:rFonts w:hint="eastAsia"/>
          <w:lang w:val="en-US" w:eastAsia="zh-CN"/>
        </w:rPr>
        <w:t>项目雨水排入G107国道旁排水沟，排水沟至横江铺河还有约680m，发生事故，如果控制不及时，导致事故废水排入场外排水沟，则可在排水沟设置堵截点，防止事故废水进入地表水体</w:t>
      </w:r>
      <w:r>
        <w:rPr>
          <w:rFonts w:hint="eastAsia"/>
        </w:rPr>
        <w:t>。</w:t>
      </w:r>
    </w:p>
    <w:p w14:paraId="6EB5B2AE">
      <w:pPr>
        <w:pStyle w:val="25"/>
        <w:bidi w:val="0"/>
      </w:pPr>
      <w:r>
        <w:rPr>
          <w:rFonts w:hint="eastAsia"/>
        </w:rPr>
        <w:t>4、雨污水截止阀设置</w:t>
      </w:r>
    </w:p>
    <w:p w14:paraId="4B94BB9D">
      <w:pPr>
        <w:pStyle w:val="25"/>
        <w:bidi w:val="0"/>
      </w:pPr>
      <w:r>
        <w:rPr>
          <w:rFonts w:hint="eastAsia"/>
        </w:rPr>
        <w:t>如发生泄漏、火灾或爆炸事故，将导致</w:t>
      </w:r>
      <w:r>
        <w:rPr>
          <w:rFonts w:hint="eastAsia"/>
          <w:lang w:val="en-US" w:eastAsia="zh-CN"/>
        </w:rPr>
        <w:t>残液</w:t>
      </w:r>
      <w:r>
        <w:rPr>
          <w:rFonts w:hint="eastAsia"/>
        </w:rPr>
        <w:t>外泄，如不经处理直接排入</w:t>
      </w:r>
      <w:r>
        <w:rPr>
          <w:rFonts w:hint="eastAsia"/>
          <w:lang w:val="en-US" w:eastAsia="zh-CN"/>
        </w:rPr>
        <w:t>雨水沟，则可能污染横江铺河及湘江水质</w:t>
      </w:r>
      <w:r>
        <w:rPr>
          <w:rFonts w:hint="eastAsia"/>
        </w:rPr>
        <w:t>。为防止此类事故发生，建设项目应采取如下方案：</w:t>
      </w:r>
    </w:p>
    <w:p w14:paraId="23EE605C">
      <w:pPr>
        <w:pStyle w:val="25"/>
        <w:bidi w:val="0"/>
      </w:pPr>
      <w:r>
        <w:rPr>
          <w:rFonts w:hint="eastAsia"/>
        </w:rPr>
        <w:t>在</w:t>
      </w:r>
      <w:r>
        <w:rPr>
          <w:rFonts w:hint="eastAsia"/>
          <w:lang w:val="en-US" w:eastAsia="zh-CN"/>
        </w:rPr>
        <w:t>生产区</w:t>
      </w:r>
      <w:r>
        <w:rPr>
          <w:rFonts w:hint="eastAsia"/>
        </w:rPr>
        <w:t>外围设置截排水沟，雨水收集沟设置切换装置，正常状况下切换装置设置在进入废水系统状态，以便能及时、有效地收集厂区初期污染雨水。后期雨水用阀门切向雨水管网排放。</w:t>
      </w:r>
    </w:p>
    <w:p w14:paraId="0AF37999">
      <w:pPr>
        <w:pStyle w:val="25"/>
        <w:bidi w:val="0"/>
      </w:pPr>
      <w:r>
        <w:rPr>
          <w:rFonts w:hint="eastAsia"/>
        </w:rPr>
        <w:t>当发生火灾、爆炸事故和物料泄漏事故，物料可能通过地表径流，进入雨水收集沟，最终排入外环境。因此，建设项目雨水排放口必须设置切换装置，并设置自动化联动系统，如发生火灾、爆炸事故，应立即启动切换装置，关闭雨水排放口，以免对附近水体造成重大影响。</w:t>
      </w:r>
    </w:p>
    <w:p w14:paraId="398CA3B2">
      <w:pPr>
        <w:pStyle w:val="25"/>
        <w:bidi w:val="0"/>
      </w:pPr>
      <w:r>
        <w:rPr>
          <w:rFonts w:hint="eastAsia"/>
        </w:rPr>
        <w:t>建设项目应在污水排口设置节制闸，发生事故时将污水排放口阀门关闭，将事故污水通过阀门导入事故应急池，防止事故废水通过污水排口外排，待事故应急处理结束后，再妥善处理收集的废液。</w:t>
      </w:r>
    </w:p>
    <w:p w14:paraId="6370B795">
      <w:pPr>
        <w:pStyle w:val="25"/>
        <w:bidi w:val="0"/>
      </w:pPr>
      <w:r>
        <w:rPr>
          <w:rFonts w:hint="eastAsia"/>
        </w:rPr>
        <w:t>建设项目事故废水必须进入废水处理系统处理或委外处置，杜绝将此类废水直接排入工业园污水排放管网。</w:t>
      </w:r>
    </w:p>
    <w:p w14:paraId="763FB9C0">
      <w:pPr>
        <w:pStyle w:val="25"/>
        <w:bidi w:val="0"/>
      </w:pPr>
      <w:r>
        <w:rPr>
          <w:rFonts w:hint="eastAsia"/>
        </w:rPr>
        <w:t>5、事故废水进入外环境的控制与封堵</w:t>
      </w:r>
    </w:p>
    <w:p w14:paraId="05C5E6CD">
      <w:pPr>
        <w:pStyle w:val="25"/>
        <w:bidi w:val="0"/>
      </w:pPr>
      <w:r>
        <w:rPr>
          <w:rFonts w:hint="eastAsia"/>
        </w:rPr>
        <w:t>本项目一般情况下事故废水不会进入外环境，只有当发生火灾爆炸产生事故废水，且雨污切换阀失效，事故废水才可能通过雨水管网进入外环境，最终通过雨水管网排入</w:t>
      </w:r>
      <w:r>
        <w:rPr>
          <w:rFonts w:hint="eastAsia"/>
          <w:lang w:val="en-US" w:eastAsia="zh-CN"/>
        </w:rPr>
        <w:t>横江铺河</w:t>
      </w:r>
      <w:r>
        <w:rPr>
          <w:rFonts w:hint="eastAsia"/>
        </w:rPr>
        <w:t>，对</w:t>
      </w:r>
      <w:r>
        <w:rPr>
          <w:rFonts w:hint="eastAsia"/>
          <w:lang w:val="en-US" w:eastAsia="zh-CN"/>
        </w:rPr>
        <w:t>横江铺河</w:t>
      </w:r>
      <w:r>
        <w:rPr>
          <w:rFonts w:hint="eastAsia"/>
        </w:rPr>
        <w:t>产生不良影响。针对这种情形，建议建设单位采取封堵措施对事故废水采用沙袋进行截留，并迅速将截留的事故废水转移至事故池，防止事故废水通过雨水管网最终进入</w:t>
      </w:r>
      <w:r>
        <w:rPr>
          <w:rFonts w:hint="eastAsia"/>
          <w:lang w:val="en-US" w:eastAsia="zh-CN"/>
        </w:rPr>
        <w:t>横江铺河</w:t>
      </w:r>
      <w:r>
        <w:rPr>
          <w:rFonts w:hint="eastAsia"/>
        </w:rPr>
        <w:t>，封堵点位主要为厂区雨水排放口以及</w:t>
      </w:r>
      <w:r>
        <w:rPr>
          <w:rFonts w:hint="eastAsia"/>
          <w:lang w:val="en-US" w:eastAsia="zh-CN"/>
        </w:rPr>
        <w:t>G107国道排水沟</w:t>
      </w:r>
      <w:r>
        <w:rPr>
          <w:rFonts w:hint="eastAsia"/>
        </w:rPr>
        <w:t>排放口进入</w:t>
      </w:r>
      <w:r>
        <w:rPr>
          <w:rFonts w:hint="eastAsia"/>
          <w:lang w:val="en-US" w:eastAsia="zh-CN"/>
        </w:rPr>
        <w:t>横江铺河</w:t>
      </w:r>
      <w:r>
        <w:rPr>
          <w:rFonts w:hint="eastAsia"/>
        </w:rPr>
        <w:t>前的雨水管道。</w:t>
      </w:r>
    </w:p>
    <w:p w14:paraId="1433F741">
      <w:pPr>
        <w:pStyle w:val="34"/>
      </w:pPr>
      <w:bookmarkStart w:id="17" w:name="_Toc115366032"/>
      <w:r>
        <w:rPr>
          <w:rFonts w:hint="eastAsia"/>
          <w:lang w:val="en-US" w:eastAsia="zh-CN"/>
        </w:rPr>
        <w:t>F</w:t>
      </w:r>
      <w:r>
        <w:rPr>
          <w:rFonts w:hint="eastAsia"/>
        </w:rPr>
        <w:t>6</w:t>
      </w:r>
      <w:r>
        <w:t>.2.</w:t>
      </w:r>
      <w:r>
        <w:rPr>
          <w:rFonts w:hint="eastAsia"/>
          <w:lang w:val="en-US" w:eastAsia="zh-CN"/>
        </w:rPr>
        <w:t>6</w:t>
      </w:r>
      <w:r>
        <w:rPr>
          <w:rFonts w:hint="eastAsia"/>
        </w:rPr>
        <w:t>地下水风险防范措施</w:t>
      </w:r>
      <w:bookmarkEnd w:id="17"/>
    </w:p>
    <w:p w14:paraId="28A1359B">
      <w:pPr>
        <w:pStyle w:val="25"/>
        <w:bidi w:val="0"/>
      </w:pPr>
      <w:r>
        <w:rPr>
          <w:rFonts w:hint="eastAsia"/>
        </w:rPr>
        <w:t>针对项目可能发生的地下水污染，地下水污染防治措施按照“源头控制、分区防治、污染监控、应急响应”相结合的原则，从污染物的产生、入渗、扩散、应急响应全阶段进行控制。</w:t>
      </w:r>
    </w:p>
    <w:p w14:paraId="4B924F9A">
      <w:pPr>
        <w:pStyle w:val="37"/>
      </w:pPr>
      <w:bookmarkStart w:id="18" w:name="_Toc115366033"/>
      <w:r>
        <w:rPr>
          <w:rFonts w:hint="eastAsia"/>
          <w:lang w:val="en-US" w:eastAsia="zh-CN"/>
        </w:rPr>
        <w:t>F</w:t>
      </w:r>
      <w:r>
        <w:rPr>
          <w:rFonts w:hint="eastAsia"/>
        </w:rPr>
        <w:t>6</w:t>
      </w:r>
      <w:r>
        <w:t>.3</w:t>
      </w:r>
      <w:r>
        <w:rPr>
          <w:rFonts w:hint="eastAsia"/>
        </w:rPr>
        <w:t>突发环境事件应急预案编制要求</w:t>
      </w:r>
      <w:bookmarkEnd w:id="18"/>
    </w:p>
    <w:p w14:paraId="4704AE0C">
      <w:pPr>
        <w:pStyle w:val="25"/>
        <w:bidi w:val="0"/>
      </w:pPr>
      <w:r>
        <w:t>应急预案是指根据预测危险源、危险目标可能发生事故的类别和危害程度而制定的事故应 急救援方案，是针对危险源制定的一项应急反应计划。应急预案应按照《关于印发〈突发环境 事件应急预案管理暂行办法〉的通知》(环发[2010]113 号)、《关于印发的通知》(环发[2015]4 号)、《关于进一步加强环境影响 评价管理防范环境风险的通知》(环发[2012]77 号)和《湖南省环保厅关于进一步加强突发环境 事件应急预案管理工作的通知》（湘环函</w:t>
      </w:r>
      <w:r>
        <w:rPr>
          <w:rFonts w:hint="eastAsia"/>
          <w:lang w:eastAsia="zh-CN"/>
        </w:rPr>
        <w:t>〔2017〕107号</w:t>
      </w:r>
      <w:r>
        <w:t>）等文件要求编制，具体应急预案需要明确和制定的内容见下表。 建设单位应组织编制应急预案并三年修订一次。</w:t>
      </w:r>
    </w:p>
    <w:p w14:paraId="1995D9CE">
      <w:pPr>
        <w:pStyle w:val="63"/>
        <w:bidi w:val="0"/>
      </w:pPr>
      <w:r>
        <w:rPr>
          <w:rFonts w:hint="eastAsia"/>
        </w:rPr>
        <w:t>表</w:t>
      </w:r>
      <w:r>
        <w:rPr>
          <w:rFonts w:hint="eastAsia"/>
          <w:lang w:val="en-US" w:eastAsia="zh-CN"/>
        </w:rPr>
        <w:t>F</w:t>
      </w:r>
      <w:r>
        <w:rPr>
          <w:rFonts w:hint="eastAsia"/>
        </w:rPr>
        <w:t>6</w:t>
      </w:r>
      <w:r>
        <w:t xml:space="preserve">-1  </w:t>
      </w:r>
      <w:r>
        <w:rPr>
          <w:rFonts w:hint="eastAsia"/>
        </w:rPr>
        <w:t>环境风险应急预案主要内容及要求</w:t>
      </w:r>
    </w:p>
    <w:tbl>
      <w:tblPr>
        <w:tblStyle w:val="1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4"/>
        <w:gridCol w:w="1996"/>
        <w:gridCol w:w="6050"/>
      </w:tblGrid>
      <w:tr w14:paraId="630AA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Align w:val="center"/>
          </w:tcPr>
          <w:p w14:paraId="24D16657">
            <w:pPr>
              <w:pStyle w:val="26"/>
              <w:bidi w:val="0"/>
            </w:pPr>
            <w:r>
              <w:rPr>
                <w:rFonts w:hint="eastAsia"/>
              </w:rPr>
              <w:t>序号</w:t>
            </w:r>
          </w:p>
        </w:tc>
        <w:tc>
          <w:tcPr>
            <w:tcW w:w="1080" w:type="pct"/>
            <w:vAlign w:val="center"/>
          </w:tcPr>
          <w:p w14:paraId="104FDB6B">
            <w:pPr>
              <w:pStyle w:val="26"/>
              <w:bidi w:val="0"/>
            </w:pPr>
            <w:r>
              <w:rPr>
                <w:rFonts w:hint="eastAsia"/>
              </w:rPr>
              <w:t>项目</w:t>
            </w:r>
          </w:p>
        </w:tc>
        <w:tc>
          <w:tcPr>
            <w:tcW w:w="3273" w:type="pct"/>
          </w:tcPr>
          <w:p w14:paraId="62A15A1B">
            <w:pPr>
              <w:pStyle w:val="26"/>
              <w:bidi w:val="0"/>
            </w:pPr>
            <w:r>
              <w:rPr>
                <w:rFonts w:hint="eastAsia"/>
              </w:rPr>
              <w:t>内容及要求</w:t>
            </w:r>
          </w:p>
        </w:tc>
      </w:tr>
      <w:tr w14:paraId="26338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Align w:val="center"/>
          </w:tcPr>
          <w:p w14:paraId="2BAFE737">
            <w:pPr>
              <w:pStyle w:val="26"/>
              <w:bidi w:val="0"/>
            </w:pPr>
            <w:r>
              <w:rPr>
                <w:rFonts w:hint="eastAsia"/>
              </w:rPr>
              <w:t>1</w:t>
            </w:r>
          </w:p>
        </w:tc>
        <w:tc>
          <w:tcPr>
            <w:tcW w:w="1080" w:type="pct"/>
            <w:vAlign w:val="center"/>
          </w:tcPr>
          <w:p w14:paraId="1645F449">
            <w:pPr>
              <w:pStyle w:val="26"/>
              <w:bidi w:val="0"/>
            </w:pPr>
            <w:r>
              <w:rPr>
                <w:rFonts w:hint="eastAsia"/>
              </w:rPr>
              <w:t>预案适用范围</w:t>
            </w:r>
          </w:p>
        </w:tc>
        <w:tc>
          <w:tcPr>
            <w:tcW w:w="3273" w:type="pct"/>
          </w:tcPr>
          <w:p w14:paraId="14B95D0E">
            <w:pPr>
              <w:pStyle w:val="26"/>
              <w:bidi w:val="0"/>
            </w:pPr>
            <w:r>
              <w:rPr>
                <w:rFonts w:hint="eastAsia"/>
              </w:rPr>
              <w:t>明确预案适用的主体、地理或管理范围、事件类别和工作内容</w:t>
            </w:r>
          </w:p>
        </w:tc>
      </w:tr>
      <w:tr w14:paraId="71AC2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Align w:val="center"/>
          </w:tcPr>
          <w:p w14:paraId="2300925E">
            <w:pPr>
              <w:pStyle w:val="26"/>
              <w:bidi w:val="0"/>
            </w:pPr>
            <w:r>
              <w:rPr>
                <w:rFonts w:hint="eastAsia"/>
              </w:rPr>
              <w:t>2</w:t>
            </w:r>
          </w:p>
        </w:tc>
        <w:tc>
          <w:tcPr>
            <w:tcW w:w="1080" w:type="pct"/>
            <w:vAlign w:val="center"/>
          </w:tcPr>
          <w:p w14:paraId="67FBE48E">
            <w:pPr>
              <w:pStyle w:val="26"/>
              <w:bidi w:val="0"/>
            </w:pPr>
            <w:r>
              <w:rPr>
                <w:rFonts w:hint="eastAsia"/>
              </w:rPr>
              <w:t>环境事件分类</w:t>
            </w:r>
          </w:p>
          <w:p w14:paraId="457C1592">
            <w:pPr>
              <w:pStyle w:val="26"/>
              <w:bidi w:val="0"/>
            </w:pPr>
            <w:r>
              <w:rPr>
                <w:rFonts w:hint="eastAsia"/>
              </w:rPr>
              <w:t>与分级</w:t>
            </w:r>
          </w:p>
        </w:tc>
        <w:tc>
          <w:tcPr>
            <w:tcW w:w="3273" w:type="pct"/>
          </w:tcPr>
          <w:p w14:paraId="445450CA">
            <w:pPr>
              <w:pStyle w:val="26"/>
              <w:bidi w:val="0"/>
            </w:pPr>
            <w:r>
              <w:t>根据《企业环境风险等级评估方法》，确定</w:t>
            </w:r>
            <w:r>
              <w:rPr>
                <w:rFonts w:hint="eastAsia"/>
              </w:rPr>
              <w:t>项目</w:t>
            </w:r>
            <w:r>
              <w:t>环境风险等级。</w:t>
            </w:r>
          </w:p>
        </w:tc>
      </w:tr>
      <w:tr w14:paraId="3FE6C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Align w:val="center"/>
          </w:tcPr>
          <w:p w14:paraId="750F95B7">
            <w:pPr>
              <w:pStyle w:val="26"/>
              <w:bidi w:val="0"/>
            </w:pPr>
            <w:r>
              <w:rPr>
                <w:rFonts w:hint="eastAsia"/>
              </w:rPr>
              <w:t>3</w:t>
            </w:r>
          </w:p>
        </w:tc>
        <w:tc>
          <w:tcPr>
            <w:tcW w:w="1080" w:type="pct"/>
            <w:vAlign w:val="center"/>
          </w:tcPr>
          <w:p w14:paraId="71EF710F">
            <w:pPr>
              <w:pStyle w:val="26"/>
              <w:bidi w:val="0"/>
            </w:pPr>
            <w:r>
              <w:rPr>
                <w:rFonts w:hint="eastAsia"/>
              </w:rPr>
              <w:t>组织机构与职</w:t>
            </w:r>
          </w:p>
          <w:p w14:paraId="09D135BA">
            <w:pPr>
              <w:pStyle w:val="26"/>
              <w:bidi w:val="0"/>
            </w:pPr>
            <w:r>
              <w:rPr>
                <w:rFonts w:hint="eastAsia"/>
              </w:rPr>
              <w:t>责</w:t>
            </w:r>
          </w:p>
        </w:tc>
        <w:tc>
          <w:tcPr>
            <w:tcW w:w="3273" w:type="pct"/>
          </w:tcPr>
          <w:p w14:paraId="3A06DBFD">
            <w:pPr>
              <w:pStyle w:val="26"/>
              <w:bidi w:val="0"/>
            </w:pPr>
            <w:r>
              <w:rPr>
                <w:rFonts w:hint="eastAsia"/>
              </w:rPr>
              <w:t>①以应急组织体系结构图、应急响应流程图的形式，说明组织体系构成、应急指挥运行机制，配有应急队伍成员名单和联系方式表；</w:t>
            </w:r>
          </w:p>
          <w:p w14:paraId="34325453">
            <w:pPr>
              <w:pStyle w:val="26"/>
              <w:bidi w:val="0"/>
            </w:pPr>
            <w:r>
              <w:rPr>
                <w:rFonts w:hint="eastAsia"/>
              </w:rPr>
              <w:t>②明确组织体系的构成及其职责。一般包括应急指挥部及其办事机构、现场处置组、环境应急监测组、应急保障组以及其他必要的行动组；</w:t>
            </w:r>
          </w:p>
          <w:p w14:paraId="09D9BEB6">
            <w:pPr>
              <w:pStyle w:val="26"/>
              <w:bidi w:val="0"/>
            </w:pPr>
            <w:r>
              <w:rPr>
                <w:rFonts w:hint="eastAsia"/>
              </w:rPr>
              <w:t>③明确应急状态下指挥运行机制，建立统一的应急指挥、协调和决策程序；</w:t>
            </w:r>
          </w:p>
          <w:p w14:paraId="0175F555">
            <w:pPr>
              <w:pStyle w:val="26"/>
              <w:bidi w:val="0"/>
            </w:pPr>
            <w:r>
              <w:rPr>
                <w:rFonts w:hint="eastAsia"/>
              </w:rPr>
              <w:t>④根据应急根据突发环境事件的危害程度、影响范围、周边环境敏感点、企业应急响应能力等，建立分级应急响应机制，明确不同应急响应级别对应的指挥权限；</w:t>
            </w:r>
          </w:p>
          <w:p w14:paraId="25516D9C">
            <w:pPr>
              <w:pStyle w:val="26"/>
              <w:bidi w:val="0"/>
            </w:pPr>
            <w:r>
              <w:rPr>
                <w:rFonts w:hint="eastAsia"/>
              </w:rPr>
              <w:t>⑤说明企业与政府及其有关部门之间的关系。明确政府及其有关部门介入后，企业内部指挥协调、配合处置、参与应急保障等工作任务和责任人</w:t>
            </w:r>
          </w:p>
        </w:tc>
      </w:tr>
      <w:tr w14:paraId="2D46F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Align w:val="center"/>
          </w:tcPr>
          <w:p w14:paraId="139B194B">
            <w:pPr>
              <w:pStyle w:val="26"/>
              <w:bidi w:val="0"/>
            </w:pPr>
            <w:r>
              <w:rPr>
                <w:rFonts w:hint="eastAsia"/>
              </w:rPr>
              <w:t>4</w:t>
            </w:r>
          </w:p>
        </w:tc>
        <w:tc>
          <w:tcPr>
            <w:tcW w:w="1080" w:type="pct"/>
            <w:vAlign w:val="center"/>
          </w:tcPr>
          <w:p w14:paraId="40261C6D">
            <w:pPr>
              <w:pStyle w:val="26"/>
              <w:bidi w:val="0"/>
            </w:pPr>
            <w:r>
              <w:t>监控和预警</w:t>
            </w:r>
          </w:p>
        </w:tc>
        <w:tc>
          <w:tcPr>
            <w:tcW w:w="3273" w:type="pct"/>
          </w:tcPr>
          <w:p w14:paraId="111D54B2">
            <w:pPr>
              <w:pStyle w:val="26"/>
              <w:bidi w:val="0"/>
            </w:pPr>
            <w:r>
              <w:rPr>
                <w:rFonts w:hint="eastAsia"/>
              </w:rPr>
              <w:t>①建立企业内部监控预警方案；②明确监控信息的获得途径和分析研判的方式方法；③明确企业内部预警条件，预警等级，预警信息发布、接收、调整、解除程序、发布内容、责任人；</w:t>
            </w:r>
          </w:p>
        </w:tc>
      </w:tr>
      <w:tr w14:paraId="51EBD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Align w:val="center"/>
          </w:tcPr>
          <w:p w14:paraId="1631CDA8">
            <w:pPr>
              <w:pStyle w:val="26"/>
              <w:bidi w:val="0"/>
            </w:pPr>
            <w:r>
              <w:rPr>
                <w:rFonts w:hint="eastAsia"/>
              </w:rPr>
              <w:t>5</w:t>
            </w:r>
          </w:p>
        </w:tc>
        <w:tc>
          <w:tcPr>
            <w:tcW w:w="1080" w:type="pct"/>
            <w:vAlign w:val="center"/>
          </w:tcPr>
          <w:p w14:paraId="0FAB528B">
            <w:pPr>
              <w:pStyle w:val="26"/>
              <w:bidi w:val="0"/>
            </w:pPr>
            <w:r>
              <w:t>应急响应</w:t>
            </w:r>
          </w:p>
        </w:tc>
        <w:tc>
          <w:tcPr>
            <w:tcW w:w="3273" w:type="pct"/>
          </w:tcPr>
          <w:p w14:paraId="3A8A4DED">
            <w:pPr>
              <w:pStyle w:val="26"/>
              <w:bidi w:val="0"/>
            </w:pPr>
            <w:r>
              <w:rPr>
                <w:rFonts w:hint="eastAsia"/>
              </w:rPr>
              <w:t>①根据环境风险评估报告中的风险分析和情景构建内容，说明应对流程和措施，</w:t>
            </w:r>
          </w:p>
          <w:p w14:paraId="66DC561C">
            <w:pPr>
              <w:pStyle w:val="26"/>
              <w:bidi w:val="0"/>
            </w:pPr>
            <w:r>
              <w:rPr>
                <w:rFonts w:hint="eastAsia"/>
              </w:rPr>
              <w:t>体现：企业内部控制污染源-研判污染范围-控制污染扩散-污染处置应对流程和措施；</w:t>
            </w:r>
          </w:p>
          <w:p w14:paraId="2DE06849">
            <w:pPr>
              <w:pStyle w:val="26"/>
              <w:bidi w:val="0"/>
            </w:pPr>
            <w:r>
              <w:rPr>
                <w:rFonts w:hint="eastAsia"/>
              </w:rPr>
              <w:t>②体现必要的企业外部应急措施、配合当地人民政府的响应措施及对当地人民政府应急措施的建议；</w:t>
            </w:r>
          </w:p>
          <w:p w14:paraId="150D7284">
            <w:pPr>
              <w:pStyle w:val="26"/>
              <w:bidi w:val="0"/>
            </w:pPr>
            <w:r>
              <w:rPr>
                <w:rFonts w:hint="eastAsia"/>
              </w:rPr>
              <w:t>③分别说明可能的事件情景及应急处置方案，明确相关岗位人员采取措施的时间、地点、内容、方式、目标等；</w:t>
            </w:r>
          </w:p>
          <w:p w14:paraId="3FEEFC0F">
            <w:pPr>
              <w:pStyle w:val="26"/>
              <w:bidi w:val="0"/>
            </w:pPr>
            <w:r>
              <w:rPr>
                <w:rFonts w:hint="eastAsia"/>
              </w:rPr>
              <w:t>④将应急措施细化、落实到岗位，形成应急处置卡；</w:t>
            </w:r>
          </w:p>
          <w:p w14:paraId="4E489793">
            <w:pPr>
              <w:pStyle w:val="26"/>
              <w:bidi w:val="0"/>
            </w:pPr>
            <w:r>
              <w:rPr>
                <w:rFonts w:hint="eastAsia"/>
              </w:rPr>
              <w:t>⑤配有厂区平面布置图，应急物资表/分布图</w:t>
            </w:r>
          </w:p>
        </w:tc>
      </w:tr>
      <w:tr w14:paraId="11317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Align w:val="center"/>
          </w:tcPr>
          <w:p w14:paraId="5EC643FC">
            <w:pPr>
              <w:pStyle w:val="26"/>
              <w:bidi w:val="0"/>
            </w:pPr>
            <w:r>
              <w:rPr>
                <w:rFonts w:hint="eastAsia"/>
              </w:rPr>
              <w:t>6</w:t>
            </w:r>
          </w:p>
        </w:tc>
        <w:tc>
          <w:tcPr>
            <w:tcW w:w="1080" w:type="pct"/>
            <w:vAlign w:val="center"/>
          </w:tcPr>
          <w:p w14:paraId="772AF0F0">
            <w:pPr>
              <w:pStyle w:val="26"/>
              <w:bidi w:val="0"/>
            </w:pPr>
            <w:r>
              <w:t>应急保障</w:t>
            </w:r>
          </w:p>
        </w:tc>
        <w:tc>
          <w:tcPr>
            <w:tcW w:w="3273" w:type="pct"/>
          </w:tcPr>
          <w:p w14:paraId="456A1196">
            <w:pPr>
              <w:pStyle w:val="26"/>
              <w:bidi w:val="0"/>
            </w:pPr>
            <w:r>
              <w:rPr>
                <w:rFonts w:hint="eastAsia"/>
              </w:rPr>
              <w:t>说明环境应急预案涉及的人力资源、财力、物资以及其他技术、重要设施的保障</w:t>
            </w:r>
          </w:p>
        </w:tc>
      </w:tr>
      <w:tr w14:paraId="7349C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Align w:val="center"/>
          </w:tcPr>
          <w:p w14:paraId="32D3F035">
            <w:pPr>
              <w:pStyle w:val="26"/>
              <w:bidi w:val="0"/>
            </w:pPr>
            <w:r>
              <w:rPr>
                <w:rFonts w:hint="eastAsia"/>
              </w:rPr>
              <w:t>7</w:t>
            </w:r>
          </w:p>
        </w:tc>
        <w:tc>
          <w:tcPr>
            <w:tcW w:w="1080" w:type="pct"/>
            <w:vAlign w:val="center"/>
          </w:tcPr>
          <w:p w14:paraId="07B2F58D">
            <w:pPr>
              <w:pStyle w:val="26"/>
              <w:bidi w:val="0"/>
            </w:pPr>
            <w:r>
              <w:rPr>
                <w:rFonts w:hint="eastAsia"/>
              </w:rPr>
              <w:t>善后处置</w:t>
            </w:r>
          </w:p>
        </w:tc>
        <w:tc>
          <w:tcPr>
            <w:tcW w:w="3273" w:type="pct"/>
          </w:tcPr>
          <w:p w14:paraId="7782E2F5">
            <w:pPr>
              <w:pStyle w:val="26"/>
              <w:bidi w:val="0"/>
            </w:pPr>
            <w:r>
              <w:rPr>
                <w:rFonts w:hint="eastAsia"/>
              </w:rPr>
              <w:t>说明事后恢复的工作内容和责任人，一般包括：现场污染物的后续处理；环境应急相关设施、设备、场所的维护；配合开展环境损害评估、赔偿、事件调查处理等</w:t>
            </w:r>
          </w:p>
        </w:tc>
      </w:tr>
      <w:tr w14:paraId="60C6C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Align w:val="center"/>
          </w:tcPr>
          <w:p w14:paraId="718FB423">
            <w:pPr>
              <w:pStyle w:val="26"/>
              <w:bidi w:val="0"/>
            </w:pPr>
            <w:r>
              <w:rPr>
                <w:rFonts w:hint="eastAsia"/>
              </w:rPr>
              <w:t>8</w:t>
            </w:r>
          </w:p>
        </w:tc>
        <w:tc>
          <w:tcPr>
            <w:tcW w:w="1080" w:type="pct"/>
            <w:vAlign w:val="center"/>
          </w:tcPr>
          <w:p w14:paraId="30FE93EF">
            <w:pPr>
              <w:pStyle w:val="26"/>
              <w:bidi w:val="0"/>
            </w:pPr>
            <w:r>
              <w:rPr>
                <w:rFonts w:hint="eastAsia"/>
              </w:rPr>
              <w:t>预案管理与演</w:t>
            </w:r>
          </w:p>
          <w:p w14:paraId="317DFCFC">
            <w:pPr>
              <w:pStyle w:val="26"/>
              <w:bidi w:val="0"/>
            </w:pPr>
            <w:r>
              <w:rPr>
                <w:rFonts w:hint="eastAsia"/>
              </w:rPr>
              <w:t>练</w:t>
            </w:r>
          </w:p>
        </w:tc>
        <w:tc>
          <w:tcPr>
            <w:tcW w:w="3273" w:type="pct"/>
          </w:tcPr>
          <w:p w14:paraId="495F1C20">
            <w:pPr>
              <w:pStyle w:val="26"/>
              <w:bidi w:val="0"/>
            </w:pPr>
            <w:r>
              <w:rPr>
                <w:rFonts w:hint="eastAsia"/>
              </w:rPr>
              <w:t>安排有关环境应急预案的培训和演练；明确环境应急预案的评估修订要求</w:t>
            </w:r>
          </w:p>
        </w:tc>
      </w:tr>
    </w:tbl>
    <w:p w14:paraId="4447EBF5">
      <w:pPr>
        <w:pStyle w:val="37"/>
      </w:pPr>
      <w:bookmarkStart w:id="19" w:name="_Toc25932"/>
      <w:bookmarkStart w:id="20" w:name="_Toc29901851"/>
      <w:bookmarkStart w:id="21" w:name="_Toc113305348"/>
      <w:bookmarkStart w:id="22" w:name="_Toc26228"/>
      <w:bookmarkStart w:id="23" w:name="_Toc115366034"/>
      <w:r>
        <w:rPr>
          <w:rFonts w:hint="eastAsia"/>
          <w:lang w:val="en-US" w:eastAsia="zh-CN"/>
        </w:rPr>
        <w:t>F</w:t>
      </w:r>
      <w:r>
        <w:t>6.4</w:t>
      </w:r>
      <w:r>
        <w:rPr>
          <w:rFonts w:hint="eastAsia"/>
        </w:rPr>
        <w:t xml:space="preserve"> 建立对接、联动的风险防范体系</w:t>
      </w:r>
      <w:bookmarkEnd w:id="19"/>
      <w:bookmarkEnd w:id="20"/>
      <w:bookmarkEnd w:id="21"/>
      <w:bookmarkEnd w:id="22"/>
      <w:bookmarkEnd w:id="23"/>
    </w:p>
    <w:p w14:paraId="1633EEA6">
      <w:pPr>
        <w:pStyle w:val="62"/>
        <w:bidi w:val="0"/>
      </w:pPr>
      <w:r>
        <w:rPr>
          <w:rFonts w:hint="eastAsia"/>
        </w:rPr>
        <w:t>企业环境风险防范应建立、周边企业、政府部门对接、联动的风险防范体系。可从以下几个方面进行建设：</w:t>
      </w:r>
    </w:p>
    <w:p w14:paraId="61570535">
      <w:pPr>
        <w:pStyle w:val="62"/>
        <w:bidi w:val="0"/>
      </w:pPr>
      <w:r>
        <w:rPr>
          <w:rFonts w:hint="eastAsia"/>
        </w:rPr>
        <w:t>1、所储存和停放的危险化学品种类及数量应及时上报</w:t>
      </w:r>
      <w:r>
        <w:rPr>
          <w:rFonts w:hint="eastAsia"/>
          <w:lang w:val="en-US" w:eastAsia="zh-CN"/>
        </w:rPr>
        <w:t>衡阳县</w:t>
      </w:r>
      <w:r>
        <w:rPr>
          <w:rFonts w:hint="eastAsia"/>
        </w:rPr>
        <w:t>救援中心，并将可能发生的事故类型及对应的救援方案纳入</w:t>
      </w:r>
      <w:r>
        <w:rPr>
          <w:rFonts w:hint="eastAsia"/>
          <w:lang w:val="en-US" w:eastAsia="zh-CN"/>
        </w:rPr>
        <w:t>衡阳县环境</w:t>
      </w:r>
      <w:r>
        <w:rPr>
          <w:rFonts w:hint="eastAsia"/>
        </w:rPr>
        <w:t>风险管理体系。</w:t>
      </w:r>
    </w:p>
    <w:p w14:paraId="626FB737">
      <w:pPr>
        <w:pStyle w:val="62"/>
        <w:bidi w:val="0"/>
      </w:pPr>
      <w:r>
        <w:rPr>
          <w:rFonts w:hint="eastAsia"/>
        </w:rPr>
        <w:t>2、建设畅通的信息通道，使公司应急指挥部必须与周边企业、周边村委会、镇人民政府保持24小时的电话联系。一旦发生风险事故，可在第一时间通知相关单位组织居民疏散、撤离。</w:t>
      </w:r>
    </w:p>
    <w:p w14:paraId="72D4A792">
      <w:pPr>
        <w:pStyle w:val="62"/>
        <w:bidi w:val="0"/>
      </w:pPr>
      <w:r>
        <w:rPr>
          <w:rFonts w:hint="eastAsia"/>
        </w:rPr>
        <w:t>3、本企业预案应与</w:t>
      </w:r>
      <w:r>
        <w:rPr>
          <w:rFonts w:hint="eastAsia"/>
          <w:lang w:val="en-US" w:eastAsia="zh-CN"/>
        </w:rPr>
        <w:t>衡阳县</w:t>
      </w:r>
      <w:r>
        <w:rPr>
          <w:rFonts w:hint="eastAsia"/>
        </w:rPr>
        <w:t>突发环境事件应急预案相衔接。</w:t>
      </w:r>
    </w:p>
    <w:p w14:paraId="65FF718B">
      <w:pPr>
        <w:pStyle w:val="29"/>
      </w:pPr>
      <w:bookmarkStart w:id="24" w:name="_Toc115366035"/>
      <w:r>
        <w:rPr>
          <w:rFonts w:hint="eastAsia"/>
          <w:lang w:val="en-US" w:eastAsia="zh-CN"/>
        </w:rPr>
        <w:t>F</w:t>
      </w:r>
      <w:r>
        <w:rPr>
          <w:rFonts w:hint="eastAsia"/>
        </w:rPr>
        <w:t>7评价结论与建议</w:t>
      </w:r>
      <w:bookmarkEnd w:id="24"/>
    </w:p>
    <w:p w14:paraId="13B3D1BE">
      <w:pPr>
        <w:pStyle w:val="37"/>
      </w:pPr>
      <w:bookmarkStart w:id="25" w:name="_Toc115366036"/>
      <w:r>
        <w:rPr>
          <w:rFonts w:hint="eastAsia"/>
          <w:lang w:val="en-US" w:eastAsia="zh-CN"/>
        </w:rPr>
        <w:t>F</w:t>
      </w:r>
      <w:r>
        <w:rPr>
          <w:rFonts w:hint="eastAsia"/>
        </w:rPr>
        <w:t>7</w:t>
      </w:r>
      <w:r>
        <w:t>.1</w:t>
      </w:r>
      <w:r>
        <w:rPr>
          <w:rFonts w:hint="eastAsia"/>
        </w:rPr>
        <w:t>项目危险因素</w:t>
      </w:r>
      <w:bookmarkEnd w:id="25"/>
    </w:p>
    <w:p w14:paraId="74821D3E">
      <w:pPr>
        <w:pStyle w:val="25"/>
        <w:bidi w:val="0"/>
      </w:pPr>
      <w:r>
        <w:rPr>
          <w:rFonts w:hint="eastAsia"/>
        </w:rPr>
        <w:t>本项目的主要风险源为</w:t>
      </w:r>
      <w:r>
        <w:rPr>
          <w:rFonts w:hint="eastAsia"/>
          <w:lang w:val="en-US" w:eastAsia="zh-CN"/>
        </w:rPr>
        <w:t>液化石油气储罐、残液储罐及相应管道</w:t>
      </w:r>
      <w:r>
        <w:rPr>
          <w:rFonts w:hint="eastAsia"/>
        </w:rPr>
        <w:t>的各类风险物质。危险因素主要为泄漏、火灾和爆炸。</w:t>
      </w:r>
    </w:p>
    <w:p w14:paraId="3EA8CEB5">
      <w:pPr>
        <w:pStyle w:val="37"/>
      </w:pPr>
      <w:bookmarkStart w:id="26" w:name="_Toc115366037"/>
      <w:r>
        <w:rPr>
          <w:rFonts w:hint="eastAsia"/>
          <w:lang w:val="en-US" w:eastAsia="zh-CN"/>
        </w:rPr>
        <w:t>F</w:t>
      </w:r>
      <w:r>
        <w:rPr>
          <w:rFonts w:hint="eastAsia"/>
        </w:rPr>
        <w:t>7</w:t>
      </w:r>
      <w:r>
        <w:t>.2</w:t>
      </w:r>
      <w:r>
        <w:rPr>
          <w:rFonts w:hint="eastAsia"/>
        </w:rPr>
        <w:t>环境敏感性及事故环境影响</w:t>
      </w:r>
      <w:bookmarkEnd w:id="26"/>
    </w:p>
    <w:p w14:paraId="6D0EC0E8">
      <w:pPr>
        <w:pStyle w:val="25"/>
        <w:bidi w:val="0"/>
      </w:pPr>
      <w:r>
        <w:rPr>
          <w:rFonts w:hint="eastAsia"/>
        </w:rPr>
        <w:t>项目位于</w:t>
      </w:r>
      <w:r>
        <w:rPr>
          <w:rFonts w:hint="eastAsia"/>
          <w:lang w:val="en-US" w:eastAsia="zh-CN"/>
        </w:rPr>
        <w:t>衡阳县集兵镇太栗村胡家组</w:t>
      </w:r>
      <w:r>
        <w:rPr>
          <w:rFonts w:hint="eastAsia"/>
        </w:rPr>
        <w:t>，不涉及自然保护区、风景</w:t>
      </w:r>
      <w:r>
        <w:rPr>
          <w:rFonts w:hint="eastAsia"/>
          <w:lang w:eastAsia="zh-CN"/>
        </w:rPr>
        <w:t>名胜区</w:t>
      </w:r>
      <w:r>
        <w:rPr>
          <w:rFonts w:hint="eastAsia"/>
        </w:rPr>
        <w:t>、饮用水源保护区等环境敏感区。周边敏感目标主要为</w:t>
      </w:r>
      <w:r>
        <w:rPr>
          <w:rFonts w:hint="eastAsia"/>
          <w:lang w:val="en-US" w:eastAsia="zh-CN"/>
        </w:rPr>
        <w:t>居民住宅</w:t>
      </w:r>
      <w:r>
        <w:rPr>
          <w:rFonts w:hint="eastAsia"/>
        </w:rPr>
        <w:t>等。</w:t>
      </w:r>
    </w:p>
    <w:p w14:paraId="6A0B653C">
      <w:pPr>
        <w:pStyle w:val="37"/>
        <w:bidi w:val="0"/>
      </w:pPr>
      <w:bookmarkStart w:id="27" w:name="_Toc115366038"/>
      <w:r>
        <w:rPr>
          <w:rFonts w:hint="eastAsia"/>
          <w:lang w:val="en-US" w:eastAsia="zh-CN"/>
        </w:rPr>
        <w:t>F</w:t>
      </w:r>
      <w:r>
        <w:rPr>
          <w:rFonts w:hint="eastAsia"/>
        </w:rPr>
        <w:t>7</w:t>
      </w:r>
      <w:r>
        <w:t>.3</w:t>
      </w:r>
      <w:r>
        <w:rPr>
          <w:rFonts w:hint="eastAsia"/>
        </w:rPr>
        <w:t>环境风险防范措施和应急预案</w:t>
      </w:r>
      <w:bookmarkEnd w:id="27"/>
    </w:p>
    <w:p w14:paraId="5237B0CC">
      <w:pPr>
        <w:pStyle w:val="25"/>
        <w:bidi w:val="0"/>
      </w:pPr>
      <w:r>
        <w:rPr>
          <w:rFonts w:hint="eastAsia"/>
        </w:rPr>
        <w:t>本项目设有大气环境风险防范措施、水污染风险防范措施、地下水风险防范措施等。本项目设置了应急预案。预案明确各级应急指挥管理机构的设置、职责要求，并制定各类环境风险事故应急、救援措施；与此同时明确各级预案的职责、启动机制、联动方式，为控制本工程可能发生的各类、各级环境风险事故、降低并最终消除其环境影响，提供有效的组织保障、措施保障，可将环境风险事故造成的环境影响控制在可接受范围内。</w:t>
      </w:r>
    </w:p>
    <w:p w14:paraId="3D866192">
      <w:pPr>
        <w:pStyle w:val="37"/>
      </w:pPr>
      <w:bookmarkStart w:id="28" w:name="_Toc115366039"/>
      <w:r>
        <w:rPr>
          <w:rFonts w:hint="eastAsia"/>
          <w:lang w:val="en-US" w:eastAsia="zh-CN"/>
        </w:rPr>
        <w:t>F</w:t>
      </w:r>
      <w:r>
        <w:rPr>
          <w:rFonts w:hint="eastAsia"/>
        </w:rPr>
        <w:t>7</w:t>
      </w:r>
      <w:r>
        <w:t>.4</w:t>
      </w:r>
      <w:r>
        <w:rPr>
          <w:rFonts w:hint="eastAsia"/>
        </w:rPr>
        <w:t>环境风险评价结论与建议</w:t>
      </w:r>
      <w:bookmarkEnd w:id="28"/>
    </w:p>
    <w:p w14:paraId="257CB58A">
      <w:pPr>
        <w:pStyle w:val="25"/>
        <w:bidi w:val="0"/>
        <w:rPr>
          <w:rFonts w:hint="eastAsia"/>
          <w:lang w:val="en-US" w:eastAsia="zh-CN"/>
        </w:rPr>
      </w:pPr>
      <w:r>
        <w:rPr>
          <w:rFonts w:hint="eastAsia"/>
        </w:rPr>
        <w:t>综上所述，在严格落实报告表提出的环境风险防范措施前提下，项目环境风险可防控。当发生事故时，建设单位应严格按照应急预案要求采取必要的风险防范措施，降低对外环境的影响程度。</w:t>
      </w:r>
    </w:p>
    <w:p w14:paraId="17EA4EFF">
      <w:pPr>
        <w:pStyle w:val="62"/>
        <w:bidi w:val="0"/>
        <w:rPr>
          <w:rFonts w:hint="eastAsia"/>
          <w:lang w:val="en-US" w:eastAsia="zh-CN"/>
        </w:rPr>
      </w:pPr>
    </w:p>
    <w:p w14:paraId="3FD962BB">
      <w:pPr>
        <w:pStyle w:val="62"/>
        <w:bidi w:val="0"/>
        <w:rPr>
          <w:rFonts w:hint="eastAsia"/>
          <w:lang w:val="en-US" w:eastAsia="zh-CN"/>
        </w:rPr>
      </w:pPr>
    </w:p>
    <w:p w14:paraId="22FB52B8">
      <w:pPr>
        <w:pStyle w:val="62"/>
        <w:bidi w:val="0"/>
        <w:rPr>
          <w:rFonts w:hint="default"/>
          <w:lang w:val="en-US" w:eastAsia="zh-CN"/>
        </w:rPr>
      </w:pPr>
    </w:p>
    <w:p w14:paraId="0C52C4A6">
      <w:pPr>
        <w:pStyle w:val="62"/>
        <w:bidi w:val="0"/>
        <w:rPr>
          <w:rFonts w:hint="default"/>
          <w:lang w:val="en-US" w:eastAsia="zh-CN"/>
        </w:rPr>
        <w:sectPr>
          <w:pgSz w:w="11906" w:h="16838"/>
          <w:pgMar w:top="1080" w:right="1440" w:bottom="1080" w:left="1440" w:header="851" w:footer="794" w:gutter="0"/>
          <w:cols w:space="425" w:num="1"/>
          <w:docGrid w:type="lines" w:linePitch="312" w:charSpace="0"/>
        </w:sectPr>
      </w:pPr>
    </w:p>
    <w:p w14:paraId="2E036236">
      <w:pPr>
        <w:pStyle w:val="29"/>
      </w:pPr>
      <w:bookmarkStart w:id="29" w:name="_Toc8518"/>
      <w:r>
        <w:rPr>
          <w:rFonts w:hint="eastAsia"/>
        </w:rPr>
        <w:t>附件1：委托书</w:t>
      </w:r>
      <w:bookmarkEnd w:id="29"/>
    </w:p>
    <w:p w14:paraId="129A12CF">
      <w:pPr>
        <w:pStyle w:val="63"/>
        <w:rPr>
          <w:sz w:val="44"/>
          <w:szCs w:val="40"/>
        </w:rPr>
      </w:pPr>
    </w:p>
    <w:p w14:paraId="3BD040BA">
      <w:pPr>
        <w:pStyle w:val="63"/>
        <w:rPr>
          <w:sz w:val="44"/>
          <w:szCs w:val="40"/>
        </w:rPr>
      </w:pPr>
      <w:r>
        <w:rPr>
          <w:rFonts w:hint="eastAsia"/>
          <w:sz w:val="44"/>
          <w:szCs w:val="40"/>
        </w:rPr>
        <w:t>委托书</w:t>
      </w:r>
    </w:p>
    <w:p w14:paraId="3F4FFBE2">
      <w:pPr>
        <w:pStyle w:val="62"/>
        <w:spacing w:before="156"/>
        <w:ind w:firstLine="0" w:firstLineChars="0"/>
        <w:rPr>
          <w:rFonts w:hint="eastAsia" w:ascii="仿宋" w:hAnsi="仿宋" w:eastAsia="仿宋"/>
          <w:sz w:val="32"/>
          <w:szCs w:val="28"/>
        </w:rPr>
      </w:pPr>
      <w:r>
        <w:rPr>
          <w:rFonts w:hint="eastAsia" w:ascii="仿宋" w:hAnsi="仿宋" w:eastAsia="仿宋"/>
          <w:sz w:val="32"/>
          <w:szCs w:val="28"/>
          <w:lang w:val="en-US" w:eastAsia="zh-CN"/>
        </w:rPr>
        <w:t>长沙羽宸环保科技有限公司</w:t>
      </w:r>
      <w:r>
        <w:rPr>
          <w:rFonts w:hint="eastAsia" w:ascii="仿宋" w:hAnsi="仿宋" w:eastAsia="仿宋"/>
          <w:sz w:val="32"/>
          <w:szCs w:val="28"/>
        </w:rPr>
        <w:t>：</w:t>
      </w:r>
    </w:p>
    <w:p w14:paraId="7A7EDE8C">
      <w:pPr>
        <w:pStyle w:val="62"/>
        <w:spacing w:before="156"/>
        <w:ind w:firstLine="640"/>
        <w:rPr>
          <w:rFonts w:hint="eastAsia" w:ascii="仿宋" w:hAnsi="仿宋" w:eastAsia="仿宋"/>
          <w:sz w:val="32"/>
          <w:szCs w:val="28"/>
        </w:rPr>
      </w:pPr>
      <w:r>
        <w:rPr>
          <w:rFonts w:hint="eastAsia" w:ascii="仿宋" w:hAnsi="仿宋" w:eastAsia="仿宋"/>
          <w:sz w:val="32"/>
          <w:szCs w:val="28"/>
        </w:rPr>
        <w:t>根据《中华人民共和国环境影响评价法》等有关管理规定和要求，兹委托你单位对</w:t>
      </w:r>
      <w:r>
        <w:rPr>
          <w:rFonts w:hint="eastAsia" w:ascii="仿宋" w:hAnsi="仿宋" w:eastAsia="仿宋"/>
          <w:sz w:val="32"/>
          <w:szCs w:val="28"/>
          <w:u w:val="single"/>
        </w:rPr>
        <w:t>衡阳华永燃气有限公司液化气充装站建设项目</w:t>
      </w:r>
      <w:r>
        <w:rPr>
          <w:rFonts w:ascii="仿宋" w:hAnsi="仿宋" w:eastAsia="仿宋"/>
          <w:sz w:val="32"/>
          <w:szCs w:val="28"/>
        </w:rPr>
        <w:t>进行环境影响评价</w:t>
      </w:r>
      <w:r>
        <w:rPr>
          <w:rFonts w:hint="eastAsia" w:ascii="仿宋" w:hAnsi="仿宋" w:eastAsia="仿宋"/>
          <w:sz w:val="32"/>
          <w:szCs w:val="28"/>
        </w:rPr>
        <w:t>，希</w:t>
      </w:r>
      <w:r>
        <w:rPr>
          <w:rFonts w:ascii="仿宋" w:hAnsi="仿宋" w:eastAsia="仿宋"/>
          <w:sz w:val="32"/>
          <w:szCs w:val="28"/>
        </w:rPr>
        <w:t>望你单位接到委托后，按照国家有关环境保护要求尽快开展该项目的评价工作。我单位对提供的相关资料真实性负责。</w:t>
      </w:r>
    </w:p>
    <w:p w14:paraId="702C8BB4">
      <w:pPr>
        <w:pStyle w:val="62"/>
        <w:spacing w:before="156"/>
        <w:ind w:firstLine="640"/>
        <w:rPr>
          <w:rFonts w:hint="eastAsia" w:ascii="仿宋" w:hAnsi="仿宋" w:eastAsia="仿宋"/>
          <w:sz w:val="32"/>
          <w:szCs w:val="28"/>
        </w:rPr>
      </w:pPr>
      <w:r>
        <w:rPr>
          <w:rFonts w:hint="eastAsia" w:ascii="仿宋" w:hAnsi="仿宋" w:eastAsia="仿宋"/>
          <w:sz w:val="32"/>
          <w:szCs w:val="28"/>
        </w:rPr>
        <w:t>特此委托！</w:t>
      </w:r>
    </w:p>
    <w:p w14:paraId="77F8797D">
      <w:pPr>
        <w:pStyle w:val="62"/>
        <w:spacing w:before="156"/>
        <w:ind w:firstLine="640"/>
        <w:rPr>
          <w:rFonts w:hint="eastAsia" w:ascii="仿宋" w:hAnsi="仿宋" w:eastAsia="仿宋"/>
          <w:sz w:val="32"/>
          <w:szCs w:val="28"/>
        </w:rPr>
      </w:pPr>
    </w:p>
    <w:p w14:paraId="1259AF6B">
      <w:pPr>
        <w:pStyle w:val="62"/>
        <w:spacing w:before="156"/>
        <w:ind w:firstLine="640"/>
        <w:rPr>
          <w:rFonts w:hint="eastAsia" w:ascii="仿宋" w:hAnsi="仿宋" w:eastAsia="仿宋"/>
          <w:sz w:val="32"/>
          <w:szCs w:val="28"/>
        </w:rPr>
      </w:pPr>
    </w:p>
    <w:p w14:paraId="15AB4ADB">
      <w:pPr>
        <w:pStyle w:val="62"/>
        <w:spacing w:before="156"/>
        <w:ind w:firstLine="640"/>
        <w:jc w:val="right"/>
        <w:rPr>
          <w:rFonts w:hint="eastAsia" w:ascii="仿宋" w:hAnsi="仿宋" w:eastAsia="仿宋"/>
          <w:sz w:val="32"/>
          <w:szCs w:val="28"/>
        </w:rPr>
      </w:pPr>
      <w:r>
        <w:rPr>
          <w:rFonts w:hint="eastAsia" w:ascii="仿宋" w:hAnsi="仿宋" w:eastAsia="仿宋"/>
          <w:sz w:val="32"/>
          <w:szCs w:val="28"/>
        </w:rPr>
        <w:t>衡阳华永燃气有限公司</w:t>
      </w:r>
    </w:p>
    <w:p w14:paraId="4B49FD3F">
      <w:pPr>
        <w:pStyle w:val="25"/>
        <w:ind w:firstLine="560"/>
        <w:jc w:val="right"/>
        <w:rPr>
          <w:rFonts w:ascii="仿宋" w:hAnsi="仿宋" w:eastAsia="仿宋"/>
          <w:sz w:val="28"/>
          <w:szCs w:val="28"/>
        </w:rPr>
      </w:pPr>
      <w:r>
        <w:rPr>
          <w:rFonts w:hint="eastAsia" w:ascii="仿宋" w:hAnsi="仿宋" w:eastAsia="仿宋"/>
          <w:sz w:val="32"/>
          <w:szCs w:val="28"/>
        </w:rPr>
        <w:t>202</w:t>
      </w:r>
      <w:r>
        <w:rPr>
          <w:rFonts w:hint="eastAsia" w:ascii="仿宋" w:hAnsi="仿宋" w:eastAsia="仿宋"/>
          <w:sz w:val="32"/>
          <w:szCs w:val="28"/>
          <w:lang w:val="en-US" w:eastAsia="zh-CN"/>
        </w:rPr>
        <w:t>5</w:t>
      </w:r>
      <w:r>
        <w:rPr>
          <w:rFonts w:hint="eastAsia" w:ascii="仿宋" w:hAnsi="仿宋" w:eastAsia="仿宋"/>
          <w:sz w:val="32"/>
          <w:szCs w:val="28"/>
        </w:rPr>
        <w:t>年</w:t>
      </w:r>
      <w:r>
        <w:rPr>
          <w:rFonts w:hint="eastAsia" w:ascii="仿宋" w:hAnsi="仿宋" w:eastAsia="仿宋"/>
          <w:sz w:val="32"/>
          <w:szCs w:val="28"/>
          <w:lang w:val="en-US" w:eastAsia="zh-CN"/>
        </w:rPr>
        <w:t>3</w:t>
      </w:r>
      <w:r>
        <w:rPr>
          <w:rFonts w:hint="eastAsia" w:ascii="仿宋" w:hAnsi="仿宋" w:eastAsia="仿宋"/>
          <w:sz w:val="32"/>
          <w:szCs w:val="28"/>
        </w:rPr>
        <w:t>月1</w:t>
      </w:r>
      <w:r>
        <w:rPr>
          <w:rFonts w:hint="eastAsia" w:ascii="仿宋" w:hAnsi="仿宋" w:eastAsia="仿宋"/>
          <w:sz w:val="32"/>
          <w:szCs w:val="28"/>
          <w:lang w:val="en-US" w:eastAsia="zh-CN"/>
        </w:rPr>
        <w:t>0</w:t>
      </w:r>
      <w:r>
        <w:rPr>
          <w:rFonts w:hint="eastAsia" w:ascii="仿宋" w:hAnsi="仿宋" w:eastAsia="仿宋"/>
          <w:sz w:val="32"/>
          <w:szCs w:val="28"/>
        </w:rPr>
        <w:t>日</w:t>
      </w:r>
    </w:p>
    <w:p w14:paraId="65EE540C">
      <w:pPr>
        <w:pStyle w:val="25"/>
        <w:ind w:firstLine="0" w:firstLineChars="0"/>
        <w:sectPr>
          <w:pgSz w:w="11906" w:h="16838"/>
          <w:pgMar w:top="1080" w:right="1440" w:bottom="1080" w:left="1440" w:header="851" w:footer="992" w:gutter="0"/>
          <w:cols w:space="425" w:num="1"/>
          <w:docGrid w:type="lines" w:linePitch="312" w:charSpace="0"/>
        </w:sectPr>
      </w:pPr>
    </w:p>
    <w:p w14:paraId="629DD059">
      <w:pPr>
        <w:pStyle w:val="29"/>
        <w:rPr>
          <w:rFonts w:hint="default" w:eastAsia="宋体"/>
          <w:lang w:val="en-US" w:eastAsia="zh-CN"/>
        </w:rPr>
      </w:pPr>
      <w:bookmarkStart w:id="30" w:name="_Toc710"/>
      <w:r>
        <w:rPr>
          <w:rFonts w:hint="eastAsia"/>
        </w:rPr>
        <w:t>附件2：</w:t>
      </w:r>
      <w:r>
        <w:rPr>
          <w:rFonts w:hint="eastAsia"/>
          <w:lang w:val="en-US" w:eastAsia="zh-CN"/>
        </w:rPr>
        <w:t>项目备案证明</w:t>
      </w:r>
      <w:bookmarkEnd w:id="30"/>
    </w:p>
    <w:p w14:paraId="067B6BBD">
      <w:pPr>
        <w:pStyle w:val="25"/>
        <w:ind w:firstLine="0" w:firstLineChars="0"/>
        <w:sectPr>
          <w:pgSz w:w="11906" w:h="16838"/>
          <w:pgMar w:top="1080" w:right="1440" w:bottom="1080" w:left="1440" w:header="851" w:footer="992" w:gutter="0"/>
          <w:cols w:space="425" w:num="1"/>
          <w:docGrid w:type="lines" w:linePitch="312" w:charSpace="0"/>
        </w:sectPr>
      </w:pPr>
      <w:r>
        <w:drawing>
          <wp:inline distT="0" distB="0" distL="114300" distR="114300">
            <wp:extent cx="5730875" cy="8095615"/>
            <wp:effectExtent l="0" t="0" r="31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4"/>
                    <a:stretch>
                      <a:fillRect/>
                    </a:stretch>
                  </pic:blipFill>
                  <pic:spPr>
                    <a:xfrm>
                      <a:off x="0" y="0"/>
                      <a:ext cx="5730875" cy="8095615"/>
                    </a:xfrm>
                    <a:prstGeom prst="rect">
                      <a:avLst/>
                    </a:prstGeom>
                    <a:noFill/>
                    <a:ln>
                      <a:noFill/>
                    </a:ln>
                  </pic:spPr>
                </pic:pic>
              </a:graphicData>
            </a:graphic>
          </wp:inline>
        </w:drawing>
      </w:r>
      <w:r>
        <w:drawing>
          <wp:inline distT="0" distB="0" distL="114300" distR="114300">
            <wp:extent cx="5730240" cy="8573770"/>
            <wp:effectExtent l="0" t="0" r="3810" b="177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5"/>
                    <a:stretch>
                      <a:fillRect/>
                    </a:stretch>
                  </pic:blipFill>
                  <pic:spPr>
                    <a:xfrm>
                      <a:off x="0" y="0"/>
                      <a:ext cx="5730240" cy="8573770"/>
                    </a:xfrm>
                    <a:prstGeom prst="rect">
                      <a:avLst/>
                    </a:prstGeom>
                    <a:noFill/>
                    <a:ln>
                      <a:noFill/>
                    </a:ln>
                  </pic:spPr>
                </pic:pic>
              </a:graphicData>
            </a:graphic>
          </wp:inline>
        </w:drawing>
      </w:r>
    </w:p>
    <w:p w14:paraId="4E373D4E">
      <w:pPr>
        <w:pStyle w:val="29"/>
        <w:rPr>
          <w:rFonts w:hint="default" w:eastAsia="宋体"/>
          <w:lang w:val="en-US" w:eastAsia="zh-CN"/>
        </w:rPr>
      </w:pPr>
      <w:bookmarkStart w:id="31" w:name="_Toc9692"/>
      <w:r>
        <w:rPr>
          <w:rFonts w:hint="eastAsia"/>
        </w:rPr>
        <w:t>附件3：</w:t>
      </w:r>
      <w:r>
        <w:rPr>
          <w:rFonts w:hint="eastAsia"/>
          <w:lang w:val="en-US" w:eastAsia="zh-CN"/>
        </w:rPr>
        <w:t>建设用地规划许可证</w:t>
      </w:r>
      <w:bookmarkEnd w:id="31"/>
    </w:p>
    <w:p w14:paraId="333AA4EB">
      <w:pPr>
        <w:pStyle w:val="25"/>
        <w:ind w:firstLine="0" w:firstLineChars="0"/>
      </w:pPr>
      <w:r>
        <w:drawing>
          <wp:inline distT="0" distB="0" distL="114300" distR="114300">
            <wp:extent cx="5730240" cy="8189595"/>
            <wp:effectExtent l="0" t="0" r="3810"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6"/>
                    <a:stretch>
                      <a:fillRect/>
                    </a:stretch>
                  </pic:blipFill>
                  <pic:spPr>
                    <a:xfrm>
                      <a:off x="0" y="0"/>
                      <a:ext cx="5730240" cy="8189595"/>
                    </a:xfrm>
                    <a:prstGeom prst="rect">
                      <a:avLst/>
                    </a:prstGeom>
                    <a:noFill/>
                    <a:ln>
                      <a:noFill/>
                    </a:ln>
                  </pic:spPr>
                </pic:pic>
              </a:graphicData>
            </a:graphic>
          </wp:inline>
        </w:drawing>
      </w:r>
    </w:p>
    <w:p w14:paraId="7ED1B4DE">
      <w:pPr>
        <w:pStyle w:val="25"/>
        <w:ind w:firstLine="0" w:firstLineChars="0"/>
        <w:sectPr>
          <w:pgSz w:w="11906" w:h="16838"/>
          <w:pgMar w:top="1080" w:right="1440" w:bottom="1080" w:left="1440" w:header="851" w:footer="992" w:gutter="0"/>
          <w:cols w:space="425" w:num="1"/>
          <w:docGrid w:type="lines" w:linePitch="312" w:charSpace="0"/>
        </w:sectPr>
      </w:pPr>
      <w:r>
        <w:drawing>
          <wp:inline distT="0" distB="0" distL="114300" distR="114300">
            <wp:extent cx="5727700" cy="8317865"/>
            <wp:effectExtent l="0" t="0" r="6350"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47"/>
                    <a:stretch>
                      <a:fillRect/>
                    </a:stretch>
                  </pic:blipFill>
                  <pic:spPr>
                    <a:xfrm>
                      <a:off x="0" y="0"/>
                      <a:ext cx="5727700" cy="8317865"/>
                    </a:xfrm>
                    <a:prstGeom prst="rect">
                      <a:avLst/>
                    </a:prstGeom>
                    <a:noFill/>
                    <a:ln>
                      <a:noFill/>
                    </a:ln>
                  </pic:spPr>
                </pic:pic>
              </a:graphicData>
            </a:graphic>
          </wp:inline>
        </w:drawing>
      </w:r>
    </w:p>
    <w:p w14:paraId="7270898E">
      <w:pPr>
        <w:pStyle w:val="29"/>
        <w:rPr>
          <w:rFonts w:hint="default" w:eastAsia="宋体"/>
          <w:lang w:val="en-US" w:eastAsia="zh-CN"/>
        </w:rPr>
      </w:pPr>
      <w:bookmarkStart w:id="32" w:name="_Toc1100"/>
      <w:r>
        <w:rPr>
          <w:rFonts w:hint="eastAsia"/>
        </w:rPr>
        <w:t>附件4：</w:t>
      </w:r>
      <w:r>
        <w:rPr>
          <w:rFonts w:hint="eastAsia"/>
          <w:lang w:val="en-US" w:eastAsia="zh-CN"/>
        </w:rPr>
        <w:t>建设工程规划许可证</w:t>
      </w:r>
      <w:bookmarkEnd w:id="32"/>
    </w:p>
    <w:p w14:paraId="2E0C1483">
      <w:pPr>
        <w:pStyle w:val="25"/>
        <w:ind w:firstLine="0" w:firstLineChars="0"/>
      </w:pPr>
      <w:r>
        <w:drawing>
          <wp:inline distT="0" distB="0" distL="114300" distR="114300">
            <wp:extent cx="5728335" cy="8348980"/>
            <wp:effectExtent l="0" t="0" r="5715" b="139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48"/>
                    <a:stretch>
                      <a:fillRect/>
                    </a:stretch>
                  </pic:blipFill>
                  <pic:spPr>
                    <a:xfrm>
                      <a:off x="0" y="0"/>
                      <a:ext cx="5728335" cy="8348980"/>
                    </a:xfrm>
                    <a:prstGeom prst="rect">
                      <a:avLst/>
                    </a:prstGeom>
                    <a:noFill/>
                    <a:ln>
                      <a:noFill/>
                    </a:ln>
                  </pic:spPr>
                </pic:pic>
              </a:graphicData>
            </a:graphic>
          </wp:inline>
        </w:drawing>
      </w:r>
    </w:p>
    <w:p w14:paraId="4C9047F0">
      <w:pPr>
        <w:pStyle w:val="25"/>
        <w:ind w:firstLine="0" w:firstLineChars="0"/>
        <w:sectPr>
          <w:pgSz w:w="11906" w:h="16838"/>
          <w:pgMar w:top="1080" w:right="1440" w:bottom="1080" w:left="1440" w:header="851" w:footer="992" w:gutter="0"/>
          <w:cols w:space="425" w:num="1"/>
          <w:docGrid w:type="lines" w:linePitch="312" w:charSpace="0"/>
        </w:sectPr>
      </w:pPr>
      <w:r>
        <w:drawing>
          <wp:inline distT="0" distB="0" distL="114300" distR="114300">
            <wp:extent cx="5726430" cy="8141970"/>
            <wp:effectExtent l="0" t="0" r="7620" b="1143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49"/>
                    <a:stretch>
                      <a:fillRect/>
                    </a:stretch>
                  </pic:blipFill>
                  <pic:spPr>
                    <a:xfrm>
                      <a:off x="0" y="0"/>
                      <a:ext cx="5726430" cy="8141970"/>
                    </a:xfrm>
                    <a:prstGeom prst="rect">
                      <a:avLst/>
                    </a:prstGeom>
                    <a:noFill/>
                    <a:ln>
                      <a:noFill/>
                    </a:ln>
                  </pic:spPr>
                </pic:pic>
              </a:graphicData>
            </a:graphic>
          </wp:inline>
        </w:drawing>
      </w:r>
    </w:p>
    <w:p w14:paraId="25342107">
      <w:pPr>
        <w:pStyle w:val="29"/>
        <w:rPr>
          <w:rFonts w:hint="eastAsia"/>
          <w:lang w:val="en-US" w:eastAsia="zh-CN"/>
        </w:rPr>
      </w:pPr>
      <w:bookmarkStart w:id="33" w:name="_Toc30358"/>
      <w:r>
        <w:rPr>
          <w:rFonts w:hint="eastAsia"/>
        </w:rPr>
        <w:t>附件</w:t>
      </w:r>
      <w:r>
        <w:t>5</w:t>
      </w:r>
      <w:r>
        <w:rPr>
          <w:rFonts w:hint="eastAsia"/>
        </w:rPr>
        <w:t>：</w:t>
      </w:r>
      <w:r>
        <w:rPr>
          <w:rFonts w:hint="eastAsia"/>
          <w:lang w:val="en-US" w:eastAsia="zh-CN"/>
        </w:rPr>
        <w:t>不动产权证</w:t>
      </w:r>
      <w:bookmarkEnd w:id="33"/>
    </w:p>
    <w:p w14:paraId="63BF88A4">
      <w:pPr>
        <w:pStyle w:val="25"/>
        <w:ind w:left="0" w:leftChars="0" w:firstLine="0" w:firstLineChars="0"/>
        <w:rPr>
          <w:rFonts w:hint="default"/>
          <w:lang w:val="en-US" w:eastAsia="zh-CN"/>
        </w:rPr>
      </w:pPr>
      <w:r>
        <w:drawing>
          <wp:inline distT="0" distB="0" distL="114300" distR="114300">
            <wp:extent cx="5725160" cy="8748395"/>
            <wp:effectExtent l="0" t="0" r="8890" b="146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50"/>
                    <a:stretch>
                      <a:fillRect/>
                    </a:stretch>
                  </pic:blipFill>
                  <pic:spPr>
                    <a:xfrm>
                      <a:off x="0" y="0"/>
                      <a:ext cx="5725160" cy="8748395"/>
                    </a:xfrm>
                    <a:prstGeom prst="rect">
                      <a:avLst/>
                    </a:prstGeom>
                    <a:noFill/>
                    <a:ln>
                      <a:noFill/>
                    </a:ln>
                  </pic:spPr>
                </pic:pic>
              </a:graphicData>
            </a:graphic>
          </wp:inline>
        </w:drawing>
      </w:r>
    </w:p>
    <w:p w14:paraId="3B83E02A">
      <w:pPr>
        <w:pStyle w:val="25"/>
        <w:ind w:firstLine="0" w:firstLineChars="0"/>
        <w:sectPr>
          <w:pgSz w:w="11906" w:h="16838"/>
          <w:pgMar w:top="1080" w:right="1440" w:bottom="1080" w:left="1440" w:header="851" w:footer="794" w:gutter="0"/>
          <w:cols w:space="425" w:num="1"/>
          <w:docGrid w:type="lines" w:linePitch="312" w:charSpace="0"/>
        </w:sectPr>
      </w:pPr>
      <w:r>
        <w:drawing>
          <wp:inline distT="0" distB="0" distL="114300" distR="114300">
            <wp:extent cx="5730875" cy="8864600"/>
            <wp:effectExtent l="0" t="0" r="3175" b="1270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51"/>
                    <a:stretch>
                      <a:fillRect/>
                    </a:stretch>
                  </pic:blipFill>
                  <pic:spPr>
                    <a:xfrm>
                      <a:off x="0" y="0"/>
                      <a:ext cx="5730875" cy="8864600"/>
                    </a:xfrm>
                    <a:prstGeom prst="rect">
                      <a:avLst/>
                    </a:prstGeom>
                    <a:noFill/>
                    <a:ln>
                      <a:noFill/>
                    </a:ln>
                  </pic:spPr>
                </pic:pic>
              </a:graphicData>
            </a:graphic>
          </wp:inline>
        </w:drawing>
      </w:r>
      <w:r>
        <w:drawing>
          <wp:inline distT="0" distB="0" distL="114300" distR="114300">
            <wp:extent cx="5727700" cy="8686800"/>
            <wp:effectExtent l="0" t="0" r="635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52"/>
                    <a:stretch>
                      <a:fillRect/>
                    </a:stretch>
                  </pic:blipFill>
                  <pic:spPr>
                    <a:xfrm>
                      <a:off x="0" y="0"/>
                      <a:ext cx="5727700" cy="8686800"/>
                    </a:xfrm>
                    <a:prstGeom prst="rect">
                      <a:avLst/>
                    </a:prstGeom>
                    <a:noFill/>
                    <a:ln>
                      <a:noFill/>
                    </a:ln>
                  </pic:spPr>
                </pic:pic>
              </a:graphicData>
            </a:graphic>
          </wp:inline>
        </w:drawing>
      </w:r>
    </w:p>
    <w:p w14:paraId="6776324B">
      <w:pPr>
        <w:pStyle w:val="29"/>
        <w:bidi w:val="0"/>
        <w:rPr>
          <w:rFonts w:hint="eastAsia"/>
          <w:lang w:val="en-US" w:eastAsia="zh-CN"/>
        </w:rPr>
      </w:pPr>
      <w:bookmarkStart w:id="34" w:name="_Toc2263"/>
      <w:r>
        <w:rPr>
          <w:rFonts w:hint="eastAsia"/>
          <w:lang w:val="en-US" w:eastAsia="zh-CN"/>
        </w:rPr>
        <w:t>附件6：建筑工程施工许可证</w:t>
      </w:r>
      <w:bookmarkEnd w:id="34"/>
    </w:p>
    <w:p w14:paraId="0BD48246">
      <w:pPr>
        <w:pStyle w:val="26"/>
        <w:bidi w:val="0"/>
        <w:sectPr>
          <w:pgSz w:w="11906" w:h="16838"/>
          <w:pgMar w:top="1080" w:right="1440" w:bottom="1080" w:left="1440" w:header="851" w:footer="992" w:gutter="0"/>
          <w:cols w:space="425" w:num="1"/>
          <w:docGrid w:type="lines" w:linePitch="312" w:charSpace="0"/>
        </w:sectPr>
      </w:pPr>
      <w:r>
        <w:drawing>
          <wp:inline distT="0" distB="0" distL="114300" distR="114300">
            <wp:extent cx="5726430" cy="8278495"/>
            <wp:effectExtent l="0" t="0" r="762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3"/>
                    <a:stretch>
                      <a:fillRect/>
                    </a:stretch>
                  </pic:blipFill>
                  <pic:spPr>
                    <a:xfrm>
                      <a:off x="0" y="0"/>
                      <a:ext cx="5726430" cy="8278495"/>
                    </a:xfrm>
                    <a:prstGeom prst="rect">
                      <a:avLst/>
                    </a:prstGeom>
                    <a:noFill/>
                    <a:ln>
                      <a:noFill/>
                    </a:ln>
                  </pic:spPr>
                </pic:pic>
              </a:graphicData>
            </a:graphic>
          </wp:inline>
        </w:drawing>
      </w:r>
      <w:r>
        <w:drawing>
          <wp:inline distT="0" distB="0" distL="114300" distR="114300">
            <wp:extent cx="5730240" cy="8820785"/>
            <wp:effectExtent l="0" t="0" r="3810" b="1841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54"/>
                    <a:stretch>
                      <a:fillRect/>
                    </a:stretch>
                  </pic:blipFill>
                  <pic:spPr>
                    <a:xfrm>
                      <a:off x="0" y="0"/>
                      <a:ext cx="5730240" cy="8820785"/>
                    </a:xfrm>
                    <a:prstGeom prst="rect">
                      <a:avLst/>
                    </a:prstGeom>
                    <a:noFill/>
                    <a:ln>
                      <a:noFill/>
                    </a:ln>
                  </pic:spPr>
                </pic:pic>
              </a:graphicData>
            </a:graphic>
          </wp:inline>
        </w:drawing>
      </w:r>
      <w:r>
        <w:drawing>
          <wp:inline distT="0" distB="0" distL="114300" distR="114300">
            <wp:extent cx="5731510" cy="8877935"/>
            <wp:effectExtent l="0" t="0" r="2540" b="1841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55"/>
                    <a:stretch>
                      <a:fillRect/>
                    </a:stretch>
                  </pic:blipFill>
                  <pic:spPr>
                    <a:xfrm>
                      <a:off x="0" y="0"/>
                      <a:ext cx="5731510" cy="8877935"/>
                    </a:xfrm>
                    <a:prstGeom prst="rect">
                      <a:avLst/>
                    </a:prstGeom>
                    <a:noFill/>
                    <a:ln>
                      <a:noFill/>
                    </a:ln>
                  </pic:spPr>
                </pic:pic>
              </a:graphicData>
            </a:graphic>
          </wp:inline>
        </w:drawing>
      </w:r>
    </w:p>
    <w:p w14:paraId="4D54E494">
      <w:pPr>
        <w:pStyle w:val="29"/>
        <w:bidi w:val="0"/>
        <w:rPr>
          <w:rFonts w:hint="eastAsia"/>
          <w:lang w:val="en-US" w:eastAsia="zh-CN"/>
        </w:rPr>
      </w:pPr>
      <w:bookmarkStart w:id="35" w:name="_Toc8428"/>
      <w:r>
        <w:rPr>
          <w:rFonts w:hint="eastAsia"/>
          <w:lang w:val="en-US" w:eastAsia="zh-CN"/>
        </w:rPr>
        <w:t>附件7：建设单位营业执照</w:t>
      </w:r>
      <w:bookmarkEnd w:id="35"/>
    </w:p>
    <w:p w14:paraId="6B9E498E">
      <w:pPr>
        <w:pStyle w:val="26"/>
        <w:bidi w:val="0"/>
        <w:sectPr>
          <w:pgSz w:w="11906" w:h="16838"/>
          <w:pgMar w:top="1080" w:right="1440" w:bottom="1080" w:left="1440" w:header="851" w:footer="992" w:gutter="0"/>
          <w:cols w:space="425" w:num="1"/>
          <w:docGrid w:type="lines" w:linePitch="312" w:charSpace="0"/>
        </w:sectPr>
      </w:pPr>
      <w:r>
        <w:drawing>
          <wp:inline distT="0" distB="0" distL="114300" distR="114300">
            <wp:extent cx="5725795" cy="8209915"/>
            <wp:effectExtent l="0" t="0" r="8255" b="63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56"/>
                    <a:stretch>
                      <a:fillRect/>
                    </a:stretch>
                  </pic:blipFill>
                  <pic:spPr>
                    <a:xfrm>
                      <a:off x="0" y="0"/>
                      <a:ext cx="5725795" cy="8209915"/>
                    </a:xfrm>
                    <a:prstGeom prst="rect">
                      <a:avLst/>
                    </a:prstGeom>
                    <a:noFill/>
                    <a:ln>
                      <a:noFill/>
                    </a:ln>
                  </pic:spPr>
                </pic:pic>
              </a:graphicData>
            </a:graphic>
          </wp:inline>
        </w:drawing>
      </w:r>
    </w:p>
    <w:p w14:paraId="40F97EB7">
      <w:pPr>
        <w:pStyle w:val="29"/>
        <w:bidi w:val="0"/>
        <w:rPr>
          <w:rFonts w:hint="eastAsia"/>
          <w:lang w:val="en-US" w:eastAsia="zh-CN"/>
        </w:rPr>
      </w:pPr>
      <w:r>
        <w:rPr>
          <w:rFonts w:hint="eastAsia"/>
          <w:lang w:val="en-US" w:eastAsia="zh-CN"/>
        </w:rPr>
        <w:t>附件8：环境质量现状监测报告</w:t>
      </w:r>
    </w:p>
    <w:p w14:paraId="4CA961CE">
      <w:pPr>
        <w:pStyle w:val="30"/>
        <w:rPr>
          <w:rFonts w:hint="default"/>
          <w:lang w:val="en-US" w:eastAsia="zh-CN"/>
        </w:rPr>
        <w:sectPr>
          <w:pgSz w:w="11906" w:h="16838"/>
          <w:pgMar w:top="1080" w:right="1440" w:bottom="1080" w:left="1440" w:header="851" w:footer="992" w:gutter="0"/>
          <w:cols w:space="425" w:num="1"/>
          <w:docGrid w:type="lines" w:linePitch="312" w:charSpace="0"/>
        </w:sectPr>
      </w:pPr>
      <w:r>
        <w:drawing>
          <wp:inline distT="0" distB="0" distL="114300" distR="114300">
            <wp:extent cx="5730875" cy="8564245"/>
            <wp:effectExtent l="0" t="0" r="3175" b="8255"/>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57"/>
                    <a:stretch>
                      <a:fillRect/>
                    </a:stretch>
                  </pic:blipFill>
                  <pic:spPr>
                    <a:xfrm>
                      <a:off x="0" y="0"/>
                      <a:ext cx="5730875" cy="8564245"/>
                    </a:xfrm>
                    <a:prstGeom prst="rect">
                      <a:avLst/>
                    </a:prstGeom>
                    <a:noFill/>
                    <a:ln>
                      <a:noFill/>
                    </a:ln>
                  </pic:spPr>
                </pic:pic>
              </a:graphicData>
            </a:graphic>
          </wp:inline>
        </w:drawing>
      </w:r>
      <w:r>
        <w:drawing>
          <wp:inline distT="0" distB="0" distL="114300" distR="114300">
            <wp:extent cx="5730240" cy="8082280"/>
            <wp:effectExtent l="0" t="0" r="3810" b="13970"/>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58"/>
                    <a:stretch>
                      <a:fillRect/>
                    </a:stretch>
                  </pic:blipFill>
                  <pic:spPr>
                    <a:xfrm>
                      <a:off x="0" y="0"/>
                      <a:ext cx="5730240" cy="8082280"/>
                    </a:xfrm>
                    <a:prstGeom prst="rect">
                      <a:avLst/>
                    </a:prstGeom>
                    <a:noFill/>
                    <a:ln>
                      <a:noFill/>
                    </a:ln>
                  </pic:spPr>
                </pic:pic>
              </a:graphicData>
            </a:graphic>
          </wp:inline>
        </w:drawing>
      </w:r>
      <w:r>
        <w:drawing>
          <wp:inline distT="0" distB="0" distL="114300" distR="114300">
            <wp:extent cx="5730240" cy="8394065"/>
            <wp:effectExtent l="0" t="0" r="3810" b="6985"/>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59"/>
                    <a:stretch>
                      <a:fillRect/>
                    </a:stretch>
                  </pic:blipFill>
                  <pic:spPr>
                    <a:xfrm>
                      <a:off x="0" y="0"/>
                      <a:ext cx="5730240" cy="8394065"/>
                    </a:xfrm>
                    <a:prstGeom prst="rect">
                      <a:avLst/>
                    </a:prstGeom>
                    <a:noFill/>
                    <a:ln>
                      <a:noFill/>
                    </a:ln>
                  </pic:spPr>
                </pic:pic>
              </a:graphicData>
            </a:graphic>
          </wp:inline>
        </w:drawing>
      </w:r>
      <w:r>
        <w:drawing>
          <wp:inline distT="0" distB="0" distL="114300" distR="114300">
            <wp:extent cx="5728335" cy="8044180"/>
            <wp:effectExtent l="0" t="0" r="5715" b="13970"/>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60"/>
                    <a:stretch>
                      <a:fillRect/>
                    </a:stretch>
                  </pic:blipFill>
                  <pic:spPr>
                    <a:xfrm>
                      <a:off x="0" y="0"/>
                      <a:ext cx="5728335" cy="8044180"/>
                    </a:xfrm>
                    <a:prstGeom prst="rect">
                      <a:avLst/>
                    </a:prstGeom>
                    <a:noFill/>
                    <a:ln>
                      <a:noFill/>
                    </a:ln>
                  </pic:spPr>
                </pic:pic>
              </a:graphicData>
            </a:graphic>
          </wp:inline>
        </w:drawing>
      </w:r>
      <w:r>
        <w:drawing>
          <wp:inline distT="0" distB="0" distL="114300" distR="114300">
            <wp:extent cx="5726430" cy="7978775"/>
            <wp:effectExtent l="0" t="0" r="7620" b="3175"/>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61"/>
                    <a:stretch>
                      <a:fillRect/>
                    </a:stretch>
                  </pic:blipFill>
                  <pic:spPr>
                    <a:xfrm>
                      <a:off x="0" y="0"/>
                      <a:ext cx="5726430" cy="7978775"/>
                    </a:xfrm>
                    <a:prstGeom prst="rect">
                      <a:avLst/>
                    </a:prstGeom>
                    <a:noFill/>
                    <a:ln>
                      <a:noFill/>
                    </a:ln>
                  </pic:spPr>
                </pic:pic>
              </a:graphicData>
            </a:graphic>
          </wp:inline>
        </w:drawing>
      </w:r>
      <w:r>
        <w:drawing>
          <wp:inline distT="0" distB="0" distL="114300" distR="114300">
            <wp:extent cx="5727700" cy="6506845"/>
            <wp:effectExtent l="0" t="0" r="6350" b="8255"/>
            <wp:docPr id="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1"/>
                    </pic:cNvPicPr>
                  </pic:nvPicPr>
                  <pic:blipFill>
                    <a:blip r:embed="rId62"/>
                    <a:stretch>
                      <a:fillRect/>
                    </a:stretch>
                  </pic:blipFill>
                  <pic:spPr>
                    <a:xfrm>
                      <a:off x="0" y="0"/>
                      <a:ext cx="5727700" cy="6506845"/>
                    </a:xfrm>
                    <a:prstGeom prst="rect">
                      <a:avLst/>
                    </a:prstGeom>
                    <a:noFill/>
                    <a:ln>
                      <a:noFill/>
                    </a:ln>
                  </pic:spPr>
                </pic:pic>
              </a:graphicData>
            </a:graphic>
          </wp:inline>
        </w:drawing>
      </w:r>
    </w:p>
    <w:p w14:paraId="63304DEA">
      <w:pPr>
        <w:pStyle w:val="29"/>
      </w:pPr>
      <w:bookmarkStart w:id="36" w:name="_Toc3471"/>
      <w:r>
        <w:rPr>
          <w:rFonts w:hint="eastAsia"/>
        </w:rPr>
        <w:t>附图1：地理位置图</w:t>
      </w:r>
      <w:bookmarkEnd w:id="36"/>
    </w:p>
    <w:p w14:paraId="76705E11">
      <w:pPr>
        <w:pStyle w:val="25"/>
        <w:ind w:firstLine="0" w:firstLineChars="0"/>
        <w:jc w:val="center"/>
        <w:rPr>
          <w:rFonts w:hint="eastAsia" w:eastAsia="宋体"/>
          <w:lang w:eastAsia="zh-CN"/>
        </w:rPr>
        <w:sectPr>
          <w:pgSz w:w="16838" w:h="11906" w:orient="landscape"/>
          <w:pgMar w:top="986" w:right="1080" w:bottom="930" w:left="1080" w:header="851" w:footer="567" w:gutter="0"/>
          <w:cols w:space="425" w:num="1"/>
          <w:docGrid w:type="lines" w:linePitch="312" w:charSpace="0"/>
        </w:sectPr>
      </w:pPr>
      <w:r>
        <w:rPr>
          <w:sz w:val="24"/>
        </w:rPr>
        <w:pict>
          <v:shape id="_x0000_s2052" o:spid="_x0000_s2052" o:spt="61" type="#_x0000_t61" style="position:absolute;left:0pt;margin-left:409.85pt;margin-top:215.9pt;height:20.85pt;width:88.35pt;z-index:251661312;mso-width-relative:page;mso-height-relative:page;" fillcolor="#FFFFFF" filled="t" stroked="t" coordsize="21600,21600" adj="35670,108777">
            <v:path/>
            <v:fill on="t" color2="#FFFFFF" focussize="0,0"/>
            <v:stroke color="#000000"/>
            <v:imagedata o:title=""/>
            <o:lock v:ext="edit" aspectratio="f"/>
            <v:textbox>
              <w:txbxContent>
                <w:p w14:paraId="3D565D63">
                  <w:pPr>
                    <w:pStyle w:val="64"/>
                    <w:bidi w:val="0"/>
                    <w:jc w:val="center"/>
                    <w:rPr>
                      <w:rFonts w:hint="default"/>
                      <w:lang w:val="en-US" w:eastAsia="zh-CN"/>
                    </w:rPr>
                  </w:pPr>
                  <w:r>
                    <w:rPr>
                      <w:rFonts w:hint="eastAsia"/>
                      <w:lang w:val="en-US" w:eastAsia="zh-CN"/>
                    </w:rPr>
                    <w:t>本项目位置</w:t>
                  </w:r>
                </w:p>
              </w:txbxContent>
            </v:textbox>
          </v:shape>
        </w:pict>
      </w:r>
      <w:r>
        <w:rPr>
          <w:sz w:val="24"/>
        </w:rPr>
        <w:pict>
          <v:shape id="_x0000_s2051" o:spid="_x0000_s2051" o:spt="12" type="#_x0000_t12" style="position:absolute;left:0pt;margin-left:549.85pt;margin-top:313.4pt;height:15pt;width:15pt;z-index:251660288;mso-width-relative:page;mso-height-relative:page;" fillcolor="#FF0000" filled="t" stroked="t" coordsize="21600,21600">
            <v:path/>
            <v:fill on="t" color2="#FFFFFF" focussize="0,0"/>
            <v:stroke color="#FF0000"/>
            <v:imagedata o:title=""/>
            <o:lock v:ext="edit" aspectratio="f"/>
          </v:shape>
        </w:pict>
      </w:r>
      <w:r>
        <w:rPr>
          <w:rFonts w:hint="eastAsia" w:eastAsia="宋体"/>
          <w:lang w:eastAsia="zh-CN"/>
        </w:rPr>
        <w:drawing>
          <wp:inline distT="0" distB="0" distL="114300" distR="114300">
            <wp:extent cx="8050530" cy="5819140"/>
            <wp:effectExtent l="0" t="0" r="7620" b="10160"/>
            <wp:docPr id="22" name="图片 22" descr="h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hy-1"/>
                    <pic:cNvPicPr>
                      <a:picLocks noChangeAspect="1"/>
                    </pic:cNvPicPr>
                  </pic:nvPicPr>
                  <pic:blipFill>
                    <a:blip r:embed="rId63"/>
                    <a:srcRect l="6062" t="4843" r="5863" b="4843"/>
                    <a:stretch>
                      <a:fillRect/>
                    </a:stretch>
                  </pic:blipFill>
                  <pic:spPr>
                    <a:xfrm>
                      <a:off x="0" y="0"/>
                      <a:ext cx="8050530" cy="5819140"/>
                    </a:xfrm>
                    <a:prstGeom prst="rect">
                      <a:avLst/>
                    </a:prstGeom>
                  </pic:spPr>
                </pic:pic>
              </a:graphicData>
            </a:graphic>
          </wp:inline>
        </w:drawing>
      </w:r>
    </w:p>
    <w:p w14:paraId="0ED4C0C6">
      <w:pPr>
        <w:pStyle w:val="29"/>
      </w:pPr>
      <w:bookmarkStart w:id="37" w:name="_Toc1199"/>
      <w:r>
        <w:rPr>
          <w:rFonts w:hint="eastAsia"/>
        </w:rPr>
        <w:t>附图2：项目总平面布置图</w:t>
      </w:r>
      <w:bookmarkEnd w:id="37"/>
    </w:p>
    <w:p w14:paraId="521AA737">
      <w:pPr>
        <w:pStyle w:val="25"/>
        <w:ind w:firstLine="0" w:firstLineChars="0"/>
        <w:jc w:val="center"/>
        <w:rPr>
          <w:rFonts w:hint="eastAsia" w:eastAsia="宋体"/>
          <w:lang w:eastAsia="zh-CN"/>
        </w:rPr>
        <w:sectPr>
          <w:pgSz w:w="16838" w:h="11906" w:orient="landscape"/>
          <w:pgMar w:top="873" w:right="1080" w:bottom="873" w:left="1080" w:header="851" w:footer="567" w:gutter="0"/>
          <w:cols w:space="425" w:num="1"/>
          <w:docGrid w:type="lines" w:linePitch="312" w:charSpace="0"/>
        </w:sectPr>
      </w:pPr>
      <w:r>
        <w:rPr>
          <w:rFonts w:hint="eastAsia" w:eastAsia="宋体"/>
          <w:lang w:eastAsia="zh-CN"/>
        </w:rPr>
        <w:drawing>
          <wp:inline distT="0" distB="0" distL="114300" distR="114300">
            <wp:extent cx="8437880" cy="5755005"/>
            <wp:effectExtent l="0" t="0" r="1270" b="17145"/>
            <wp:docPr id="24" name="图片 24" descr="华永总图030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华永总图0302_00"/>
                    <pic:cNvPicPr>
                      <a:picLocks noChangeAspect="1"/>
                    </pic:cNvPicPr>
                  </pic:nvPicPr>
                  <pic:blipFill>
                    <a:blip r:embed="rId64"/>
                    <a:stretch>
                      <a:fillRect/>
                    </a:stretch>
                  </pic:blipFill>
                  <pic:spPr>
                    <a:xfrm>
                      <a:off x="0" y="0"/>
                      <a:ext cx="8437880" cy="5755005"/>
                    </a:xfrm>
                    <a:prstGeom prst="rect">
                      <a:avLst/>
                    </a:prstGeom>
                  </pic:spPr>
                </pic:pic>
              </a:graphicData>
            </a:graphic>
          </wp:inline>
        </w:drawing>
      </w:r>
    </w:p>
    <w:p w14:paraId="2FD64D4B">
      <w:pPr>
        <w:pStyle w:val="29"/>
      </w:pPr>
      <w:bookmarkStart w:id="38" w:name="_Toc5420"/>
      <w:r>
        <w:rPr>
          <w:rFonts w:hint="eastAsia"/>
        </w:rPr>
        <w:t>附图3：项目周边环境敏感目标分布图</w:t>
      </w:r>
      <w:bookmarkEnd w:id="38"/>
    </w:p>
    <w:p w14:paraId="58371FD7">
      <w:pPr>
        <w:pStyle w:val="25"/>
        <w:ind w:firstLine="0" w:firstLineChars="0"/>
        <w:jc w:val="center"/>
        <w:sectPr>
          <w:pgSz w:w="16838" w:h="11906" w:orient="landscape"/>
          <w:pgMar w:top="930" w:right="1080" w:bottom="930" w:left="1080" w:header="851" w:footer="567" w:gutter="0"/>
          <w:cols w:space="425" w:num="1"/>
          <w:docGrid w:type="lines" w:linePitch="312" w:charSpace="0"/>
        </w:sectPr>
      </w:pPr>
      <w:r>
        <w:drawing>
          <wp:inline distT="0" distB="0" distL="114300" distR="114300">
            <wp:extent cx="8747760" cy="5880735"/>
            <wp:effectExtent l="0" t="0" r="15240" b="5715"/>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65"/>
                    <a:stretch>
                      <a:fillRect/>
                    </a:stretch>
                  </pic:blipFill>
                  <pic:spPr>
                    <a:xfrm>
                      <a:off x="0" y="0"/>
                      <a:ext cx="8747760" cy="5880735"/>
                    </a:xfrm>
                    <a:prstGeom prst="rect">
                      <a:avLst/>
                    </a:prstGeom>
                    <a:noFill/>
                    <a:ln>
                      <a:noFill/>
                    </a:ln>
                  </pic:spPr>
                </pic:pic>
              </a:graphicData>
            </a:graphic>
          </wp:inline>
        </w:drawing>
      </w:r>
    </w:p>
    <w:p w14:paraId="59ED790A">
      <w:pPr>
        <w:pStyle w:val="29"/>
      </w:pPr>
      <w:bookmarkStart w:id="39" w:name="_Toc15183"/>
      <w:r>
        <w:rPr>
          <w:rFonts w:hint="eastAsia"/>
        </w:rPr>
        <w:t>附图4：环境质量监测点位图</w:t>
      </w:r>
      <w:bookmarkEnd w:id="39"/>
    </w:p>
    <w:p w14:paraId="1A0DEF72">
      <w:pPr>
        <w:pStyle w:val="64"/>
        <w:bidi w:val="0"/>
        <w:sectPr>
          <w:pgSz w:w="16838" w:h="11906" w:orient="landscape"/>
          <w:pgMar w:top="930" w:right="1080" w:bottom="930" w:left="1080" w:header="851" w:footer="992" w:gutter="0"/>
          <w:cols w:space="425" w:num="1"/>
          <w:docGrid w:type="lines" w:linePitch="312" w:charSpace="0"/>
        </w:sectPr>
      </w:pPr>
      <w:r>
        <w:drawing>
          <wp:inline distT="0" distB="0" distL="114300" distR="114300">
            <wp:extent cx="9405620" cy="5603875"/>
            <wp:effectExtent l="0" t="0" r="5080" b="1587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6"/>
                    <a:stretch>
                      <a:fillRect/>
                    </a:stretch>
                  </pic:blipFill>
                  <pic:spPr>
                    <a:xfrm>
                      <a:off x="0" y="0"/>
                      <a:ext cx="9405620" cy="5603875"/>
                    </a:xfrm>
                    <a:prstGeom prst="rect">
                      <a:avLst/>
                    </a:prstGeom>
                    <a:noFill/>
                    <a:ln>
                      <a:noFill/>
                    </a:ln>
                  </pic:spPr>
                </pic:pic>
              </a:graphicData>
            </a:graphic>
          </wp:inline>
        </w:drawing>
      </w:r>
    </w:p>
    <w:p w14:paraId="54227F9B">
      <w:pPr>
        <w:pStyle w:val="29"/>
      </w:pPr>
      <w:bookmarkStart w:id="40" w:name="_Toc22150"/>
      <w:r>
        <w:rPr>
          <w:rFonts w:hint="eastAsia"/>
        </w:rPr>
        <w:t>附图</w:t>
      </w:r>
      <w:r>
        <w:rPr>
          <w:rFonts w:hint="eastAsia"/>
          <w:lang w:val="en-US" w:eastAsia="zh-CN"/>
        </w:rPr>
        <w:t>5</w:t>
      </w:r>
      <w:r>
        <w:rPr>
          <w:rFonts w:hint="eastAsia"/>
        </w:rPr>
        <w:t>：现状照片</w:t>
      </w:r>
      <w:bookmarkEnd w:id="40"/>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21"/>
        <w:gridCol w:w="4621"/>
      </w:tblGrid>
      <w:tr w14:paraId="46E09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74ACDF24">
            <w:pPr>
              <w:pStyle w:val="48"/>
              <w:rPr>
                <w:rFonts w:hint="eastAsia" w:eastAsia="宋体"/>
                <w:lang w:eastAsia="zh-CN"/>
              </w:rPr>
            </w:pPr>
            <w:r>
              <w:rPr>
                <w:rFonts w:hint="eastAsia" w:eastAsia="宋体"/>
                <w:lang w:eastAsia="zh-CN"/>
              </w:rPr>
              <w:drawing>
                <wp:inline distT="0" distB="0" distL="114300" distR="114300">
                  <wp:extent cx="2765425" cy="2073910"/>
                  <wp:effectExtent l="0" t="0" r="15875" b="2540"/>
                  <wp:docPr id="15" name="图片 15" descr="IMG_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8720"/>
                          <pic:cNvPicPr>
                            <a:picLocks noChangeAspect="1"/>
                          </pic:cNvPicPr>
                        </pic:nvPicPr>
                        <pic:blipFill>
                          <a:blip r:embed="rId67"/>
                          <a:stretch>
                            <a:fillRect/>
                          </a:stretch>
                        </pic:blipFill>
                        <pic:spPr>
                          <a:xfrm>
                            <a:off x="0" y="0"/>
                            <a:ext cx="2765425" cy="2073910"/>
                          </a:xfrm>
                          <a:prstGeom prst="rect">
                            <a:avLst/>
                          </a:prstGeom>
                        </pic:spPr>
                      </pic:pic>
                    </a:graphicData>
                  </a:graphic>
                </wp:inline>
              </w:drawing>
            </w:r>
          </w:p>
        </w:tc>
        <w:tc>
          <w:tcPr>
            <w:tcW w:w="4621" w:type="dxa"/>
          </w:tcPr>
          <w:p w14:paraId="26F95939">
            <w:pPr>
              <w:pStyle w:val="48"/>
              <w:rPr>
                <w:rFonts w:hint="eastAsia" w:eastAsia="宋体"/>
                <w:lang w:eastAsia="zh-CN"/>
              </w:rPr>
            </w:pPr>
            <w:r>
              <w:rPr>
                <w:rFonts w:hint="eastAsia" w:eastAsia="宋体"/>
                <w:lang w:eastAsia="zh-CN"/>
              </w:rPr>
              <w:drawing>
                <wp:inline distT="0" distB="0" distL="114300" distR="114300">
                  <wp:extent cx="2765425" cy="2073910"/>
                  <wp:effectExtent l="0" t="0" r="15875" b="2540"/>
                  <wp:docPr id="16" name="图片 16" descr="IMG_8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8722"/>
                          <pic:cNvPicPr>
                            <a:picLocks noChangeAspect="1"/>
                          </pic:cNvPicPr>
                        </pic:nvPicPr>
                        <pic:blipFill>
                          <a:blip r:embed="rId68"/>
                          <a:stretch>
                            <a:fillRect/>
                          </a:stretch>
                        </pic:blipFill>
                        <pic:spPr>
                          <a:xfrm>
                            <a:off x="0" y="0"/>
                            <a:ext cx="2765425" cy="2073910"/>
                          </a:xfrm>
                          <a:prstGeom prst="rect">
                            <a:avLst/>
                          </a:prstGeom>
                        </pic:spPr>
                      </pic:pic>
                    </a:graphicData>
                  </a:graphic>
                </wp:inline>
              </w:drawing>
            </w:r>
          </w:p>
        </w:tc>
      </w:tr>
      <w:tr w14:paraId="0A36F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32193120">
            <w:pPr>
              <w:pStyle w:val="48"/>
              <w:rPr>
                <w:rFonts w:hint="default" w:eastAsia="宋体"/>
                <w:lang w:val="en-US" w:eastAsia="zh-CN"/>
              </w:rPr>
            </w:pPr>
            <w:r>
              <w:rPr>
                <w:rFonts w:hint="eastAsia"/>
                <w:lang w:val="en-US" w:eastAsia="zh-CN"/>
              </w:rPr>
              <w:t>项目主出入口</w:t>
            </w:r>
          </w:p>
        </w:tc>
        <w:tc>
          <w:tcPr>
            <w:tcW w:w="4621" w:type="dxa"/>
          </w:tcPr>
          <w:p w14:paraId="0B7E6009">
            <w:pPr>
              <w:pStyle w:val="48"/>
              <w:rPr>
                <w:rFonts w:hint="default" w:eastAsia="宋体"/>
                <w:lang w:val="en-US" w:eastAsia="zh-CN"/>
              </w:rPr>
            </w:pPr>
            <w:r>
              <w:rPr>
                <w:rFonts w:hint="eastAsia"/>
                <w:lang w:val="en-US" w:eastAsia="zh-CN"/>
              </w:rPr>
              <w:t>项目东侧现状</w:t>
            </w:r>
          </w:p>
        </w:tc>
      </w:tr>
      <w:tr w14:paraId="366EA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78BD8633">
            <w:pPr>
              <w:pStyle w:val="48"/>
              <w:rPr>
                <w:rFonts w:hint="eastAsia" w:eastAsia="宋体"/>
                <w:lang w:eastAsia="zh-CN"/>
              </w:rPr>
            </w:pPr>
            <w:r>
              <w:rPr>
                <w:rFonts w:hint="eastAsia" w:eastAsia="宋体"/>
                <w:lang w:eastAsia="zh-CN"/>
              </w:rPr>
              <w:drawing>
                <wp:inline distT="0" distB="0" distL="114300" distR="114300">
                  <wp:extent cx="2765425" cy="2073910"/>
                  <wp:effectExtent l="0" t="0" r="15875" b="2540"/>
                  <wp:docPr id="17" name="图片 17" descr="IMG_8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8725"/>
                          <pic:cNvPicPr>
                            <a:picLocks noChangeAspect="1"/>
                          </pic:cNvPicPr>
                        </pic:nvPicPr>
                        <pic:blipFill>
                          <a:blip r:embed="rId69"/>
                          <a:stretch>
                            <a:fillRect/>
                          </a:stretch>
                        </pic:blipFill>
                        <pic:spPr>
                          <a:xfrm>
                            <a:off x="0" y="0"/>
                            <a:ext cx="2765425" cy="2073910"/>
                          </a:xfrm>
                          <a:prstGeom prst="rect">
                            <a:avLst/>
                          </a:prstGeom>
                        </pic:spPr>
                      </pic:pic>
                    </a:graphicData>
                  </a:graphic>
                </wp:inline>
              </w:drawing>
            </w:r>
          </w:p>
        </w:tc>
        <w:tc>
          <w:tcPr>
            <w:tcW w:w="4621" w:type="dxa"/>
          </w:tcPr>
          <w:p w14:paraId="19D25E0C">
            <w:pPr>
              <w:pStyle w:val="48"/>
              <w:rPr>
                <w:rFonts w:hint="eastAsia" w:eastAsia="宋体"/>
                <w:lang w:eastAsia="zh-CN"/>
              </w:rPr>
            </w:pPr>
            <w:r>
              <w:rPr>
                <w:rFonts w:hint="eastAsia" w:eastAsia="宋体"/>
                <w:lang w:eastAsia="zh-CN"/>
              </w:rPr>
              <w:drawing>
                <wp:inline distT="0" distB="0" distL="114300" distR="114300">
                  <wp:extent cx="2765425" cy="2073910"/>
                  <wp:effectExtent l="0" t="0" r="15875" b="2540"/>
                  <wp:docPr id="18" name="图片 18" descr="IMG_8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8752"/>
                          <pic:cNvPicPr>
                            <a:picLocks noChangeAspect="1"/>
                          </pic:cNvPicPr>
                        </pic:nvPicPr>
                        <pic:blipFill>
                          <a:blip r:embed="rId70"/>
                          <a:stretch>
                            <a:fillRect/>
                          </a:stretch>
                        </pic:blipFill>
                        <pic:spPr>
                          <a:xfrm>
                            <a:off x="0" y="0"/>
                            <a:ext cx="2765425" cy="2073910"/>
                          </a:xfrm>
                          <a:prstGeom prst="rect">
                            <a:avLst/>
                          </a:prstGeom>
                        </pic:spPr>
                      </pic:pic>
                    </a:graphicData>
                  </a:graphic>
                </wp:inline>
              </w:drawing>
            </w:r>
          </w:p>
        </w:tc>
      </w:tr>
      <w:tr w14:paraId="00AAB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4F1EC5EE">
            <w:pPr>
              <w:pStyle w:val="48"/>
              <w:rPr>
                <w:rFonts w:hint="default" w:eastAsia="宋体"/>
                <w:lang w:val="en-US" w:eastAsia="zh-CN"/>
              </w:rPr>
            </w:pPr>
            <w:r>
              <w:rPr>
                <w:rFonts w:hint="eastAsia"/>
                <w:lang w:val="en-US" w:eastAsia="zh-CN"/>
              </w:rPr>
              <w:t>项目北侧现状</w:t>
            </w:r>
          </w:p>
        </w:tc>
        <w:tc>
          <w:tcPr>
            <w:tcW w:w="4621" w:type="dxa"/>
          </w:tcPr>
          <w:p w14:paraId="6A9C13A6">
            <w:pPr>
              <w:pStyle w:val="48"/>
              <w:rPr>
                <w:rFonts w:hint="default" w:eastAsia="宋体"/>
                <w:lang w:val="en-US" w:eastAsia="zh-CN"/>
              </w:rPr>
            </w:pPr>
            <w:r>
              <w:rPr>
                <w:rFonts w:hint="eastAsia"/>
                <w:lang w:val="en-US" w:eastAsia="zh-CN"/>
              </w:rPr>
              <w:t>项目西侧现状</w:t>
            </w:r>
          </w:p>
        </w:tc>
      </w:tr>
      <w:tr w14:paraId="6CA13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318105BD">
            <w:pPr>
              <w:pStyle w:val="48"/>
              <w:rPr>
                <w:rFonts w:hint="eastAsia" w:eastAsia="宋体"/>
                <w:lang w:eastAsia="zh-CN"/>
              </w:rPr>
            </w:pPr>
            <w:r>
              <w:rPr>
                <w:rFonts w:hint="eastAsia" w:eastAsia="宋体"/>
                <w:lang w:eastAsia="zh-CN"/>
              </w:rPr>
              <w:drawing>
                <wp:inline distT="0" distB="0" distL="114300" distR="114300">
                  <wp:extent cx="2765425" cy="2073910"/>
                  <wp:effectExtent l="0" t="0" r="15875" b="2540"/>
                  <wp:docPr id="19" name="图片 19" descr="IMG_8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8744"/>
                          <pic:cNvPicPr>
                            <a:picLocks noChangeAspect="1"/>
                          </pic:cNvPicPr>
                        </pic:nvPicPr>
                        <pic:blipFill>
                          <a:blip r:embed="rId71"/>
                          <a:stretch>
                            <a:fillRect/>
                          </a:stretch>
                        </pic:blipFill>
                        <pic:spPr>
                          <a:xfrm>
                            <a:off x="0" y="0"/>
                            <a:ext cx="2765425" cy="2073910"/>
                          </a:xfrm>
                          <a:prstGeom prst="rect">
                            <a:avLst/>
                          </a:prstGeom>
                        </pic:spPr>
                      </pic:pic>
                    </a:graphicData>
                  </a:graphic>
                </wp:inline>
              </w:drawing>
            </w:r>
          </w:p>
        </w:tc>
        <w:tc>
          <w:tcPr>
            <w:tcW w:w="4621" w:type="dxa"/>
          </w:tcPr>
          <w:p w14:paraId="3DC5E9A5">
            <w:pPr>
              <w:pStyle w:val="48"/>
              <w:rPr>
                <w:rFonts w:hint="eastAsia" w:eastAsia="宋体"/>
                <w:lang w:eastAsia="zh-CN"/>
              </w:rPr>
            </w:pPr>
            <w:r>
              <w:rPr>
                <w:rFonts w:hint="eastAsia" w:eastAsia="宋体"/>
                <w:lang w:eastAsia="zh-CN"/>
              </w:rPr>
              <w:drawing>
                <wp:inline distT="0" distB="0" distL="114300" distR="114300">
                  <wp:extent cx="2765425" cy="2073910"/>
                  <wp:effectExtent l="0" t="0" r="15875" b="2540"/>
                  <wp:docPr id="20" name="图片 20" descr="IMG_8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8748"/>
                          <pic:cNvPicPr>
                            <a:picLocks noChangeAspect="1"/>
                          </pic:cNvPicPr>
                        </pic:nvPicPr>
                        <pic:blipFill>
                          <a:blip r:embed="rId72"/>
                          <a:stretch>
                            <a:fillRect/>
                          </a:stretch>
                        </pic:blipFill>
                        <pic:spPr>
                          <a:xfrm>
                            <a:off x="0" y="0"/>
                            <a:ext cx="2765425" cy="2073910"/>
                          </a:xfrm>
                          <a:prstGeom prst="rect">
                            <a:avLst/>
                          </a:prstGeom>
                        </pic:spPr>
                      </pic:pic>
                    </a:graphicData>
                  </a:graphic>
                </wp:inline>
              </w:drawing>
            </w:r>
          </w:p>
        </w:tc>
      </w:tr>
      <w:tr w14:paraId="3CDD1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7FC5B588">
            <w:pPr>
              <w:pStyle w:val="48"/>
              <w:rPr>
                <w:rFonts w:hint="default" w:eastAsia="宋体"/>
                <w:lang w:val="en-US" w:eastAsia="zh-CN"/>
              </w:rPr>
            </w:pPr>
            <w:r>
              <w:rPr>
                <w:rFonts w:hint="eastAsia"/>
                <w:lang w:val="en-US" w:eastAsia="zh-CN"/>
              </w:rPr>
              <w:t>项目南侧现状</w:t>
            </w:r>
          </w:p>
        </w:tc>
        <w:tc>
          <w:tcPr>
            <w:tcW w:w="4621" w:type="dxa"/>
          </w:tcPr>
          <w:p w14:paraId="5ED21785">
            <w:pPr>
              <w:pStyle w:val="48"/>
              <w:rPr>
                <w:rFonts w:hint="default" w:eastAsia="宋体"/>
                <w:lang w:val="en-US" w:eastAsia="zh-CN"/>
              </w:rPr>
            </w:pPr>
            <w:r>
              <w:rPr>
                <w:rFonts w:hint="eastAsia"/>
                <w:lang w:val="en-US" w:eastAsia="zh-CN"/>
              </w:rPr>
              <w:t>项目厂区建设现状</w:t>
            </w:r>
          </w:p>
        </w:tc>
      </w:tr>
    </w:tbl>
    <w:p w14:paraId="649F3445">
      <w:pPr>
        <w:pStyle w:val="25"/>
        <w:ind w:firstLine="0" w:firstLineChars="0"/>
      </w:pPr>
    </w:p>
    <w:sectPr>
      <w:pgSz w:w="11906" w:h="16838"/>
      <w:pgMar w:top="1080" w:right="1440" w:bottom="108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10" w:usb3="00000000" w:csb0="00040000" w:csb1="00000000"/>
  </w:font>
  <w:font w:name="Segoe UI Symbol">
    <w:panose1 w:val="020B0502040204020203"/>
    <w:charset w:val="00"/>
    <w:family w:val="swiss"/>
    <w:pitch w:val="default"/>
    <w:sig w:usb0="800001E3" w:usb1="1200FFEF" w:usb2="00040000" w:usb3="04000000" w:csb0="00000001" w:csb1="40000000"/>
  </w:font>
  <w:font w:name="Cambria Math">
    <w:panose1 w:val="02040503050406030204"/>
    <w:charset w:val="00"/>
    <w:family w:val="roman"/>
    <w:pitch w:val="default"/>
    <w:sig w:usb0="E00006FF" w:usb1="420024FF" w:usb2="02000000" w:usb3="00000000" w:csb0="2000019F" w:csb1="00000000"/>
  </w:font>
  <w:font w:name="Segoe UI">
    <w:panose1 w:val="020B0502040204020203"/>
    <w:charset w:val="00"/>
    <w:family w:val="auto"/>
    <w:pitch w:val="default"/>
    <w:sig w:usb0="E4002EFF" w:usb1="C000E47F"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70545">
    <w:pPr>
      <w:pStyle w:val="13"/>
      <w:jc w:val="center"/>
    </w:pPr>
  </w:p>
  <w:p w14:paraId="6AC4358A">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55810014"/>
      <w:docPartObj>
        <w:docPartGallery w:val="autotext"/>
      </w:docPartObj>
    </w:sdtPr>
    <w:sdtContent>
      <w:p w14:paraId="1BA2EFEE">
        <w:pPr>
          <w:pStyle w:val="13"/>
          <w:jc w:val="center"/>
        </w:pPr>
        <w:r>
          <w:fldChar w:fldCharType="begin"/>
        </w:r>
        <w:r>
          <w:instrText xml:space="preserve">PAGE   \* MERGEFORMAT</w:instrText>
        </w:r>
        <w:r>
          <w:fldChar w:fldCharType="separate"/>
        </w:r>
        <w:r>
          <w:rPr>
            <w:lang w:val="zh-CN"/>
          </w:rPr>
          <w:t>2</w:t>
        </w:r>
        <w:r>
          <w:fldChar w:fldCharType="end"/>
        </w:r>
      </w:p>
    </w:sdtContent>
  </w:sdt>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2"/>
  </w:compat>
  <w:rsids>
    <w:rsidRoot w:val="00D91D15"/>
    <w:rsid w:val="0003498D"/>
    <w:rsid w:val="00047D94"/>
    <w:rsid w:val="000763DA"/>
    <w:rsid w:val="000E0A5C"/>
    <w:rsid w:val="001026FE"/>
    <w:rsid w:val="00161307"/>
    <w:rsid w:val="001A319F"/>
    <w:rsid w:val="001E647D"/>
    <w:rsid w:val="001F00CA"/>
    <w:rsid w:val="00203A21"/>
    <w:rsid w:val="00214332"/>
    <w:rsid w:val="002D2590"/>
    <w:rsid w:val="002D26A0"/>
    <w:rsid w:val="00321868"/>
    <w:rsid w:val="003D5F53"/>
    <w:rsid w:val="003F4B5A"/>
    <w:rsid w:val="0042740E"/>
    <w:rsid w:val="00476878"/>
    <w:rsid w:val="00535138"/>
    <w:rsid w:val="00535FFE"/>
    <w:rsid w:val="00541423"/>
    <w:rsid w:val="00545881"/>
    <w:rsid w:val="00555D01"/>
    <w:rsid w:val="005C4093"/>
    <w:rsid w:val="006173D8"/>
    <w:rsid w:val="006D18A0"/>
    <w:rsid w:val="006E77C3"/>
    <w:rsid w:val="006F12BB"/>
    <w:rsid w:val="0070626F"/>
    <w:rsid w:val="00730FCA"/>
    <w:rsid w:val="00736069"/>
    <w:rsid w:val="00753D24"/>
    <w:rsid w:val="0079772F"/>
    <w:rsid w:val="007A606F"/>
    <w:rsid w:val="007C5E4C"/>
    <w:rsid w:val="0081672A"/>
    <w:rsid w:val="008425F6"/>
    <w:rsid w:val="00847804"/>
    <w:rsid w:val="008C4DD0"/>
    <w:rsid w:val="00900477"/>
    <w:rsid w:val="009E2B0D"/>
    <w:rsid w:val="00A50E83"/>
    <w:rsid w:val="00A674D4"/>
    <w:rsid w:val="00A70C20"/>
    <w:rsid w:val="00AE68AF"/>
    <w:rsid w:val="00AF7389"/>
    <w:rsid w:val="00AF784C"/>
    <w:rsid w:val="00B11915"/>
    <w:rsid w:val="00B27FB7"/>
    <w:rsid w:val="00B5334F"/>
    <w:rsid w:val="00BC4737"/>
    <w:rsid w:val="00CD79FE"/>
    <w:rsid w:val="00CE6573"/>
    <w:rsid w:val="00CF2A58"/>
    <w:rsid w:val="00D55AE5"/>
    <w:rsid w:val="00D6687F"/>
    <w:rsid w:val="00D91D15"/>
    <w:rsid w:val="00EE11E9"/>
    <w:rsid w:val="00EF4173"/>
    <w:rsid w:val="00FB2BE7"/>
    <w:rsid w:val="11667369"/>
    <w:rsid w:val="168E199F"/>
    <w:rsid w:val="27D205D6"/>
    <w:rsid w:val="2B853C39"/>
    <w:rsid w:val="31E72DA4"/>
    <w:rsid w:val="34596F09"/>
    <w:rsid w:val="35E625E3"/>
    <w:rsid w:val="3DAE1A1E"/>
    <w:rsid w:val="419C5233"/>
    <w:rsid w:val="5B774521"/>
    <w:rsid w:val="5DA33C1E"/>
    <w:rsid w:val="69AF7A65"/>
    <w:rsid w:val="6C7635D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iPriority="99"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uiPriority="99" w:name="Date"/>
    <w:lsdException w:qFormat="1" w:unhideWhenUsed="0" w:uiPriority="0"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qFormat="1"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2"/>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39"/>
    <w:semiHidden/>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36"/>
    <w:semiHidden/>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42"/>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0">
    <w:name w:val="Default Paragraph Font"/>
    <w:semiHidden/>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rPr>
      <w:rFonts w:ascii="Times New Roman" w:hAnsi="Times New Roman" w:eastAsia="宋体" w:cs="Times New Roman"/>
      <w:szCs w:val="24"/>
    </w:rPr>
  </w:style>
  <w:style w:type="paragraph" w:styleId="7">
    <w:name w:val="Body Text"/>
    <w:basedOn w:val="1"/>
    <w:next w:val="8"/>
    <w:link w:val="47"/>
    <w:unhideWhenUsed/>
    <w:qFormat/>
    <w:uiPriority w:val="0"/>
    <w:pPr>
      <w:spacing w:after="120" w:line="360" w:lineRule="auto"/>
      <w:ind w:firstLine="200" w:firstLineChars="200"/>
    </w:pPr>
    <w:rPr>
      <w:rFonts w:ascii="Times New Roman" w:hAnsi="Times New Roman" w:eastAsia="宋体" w:cs="Times New Roman"/>
      <w:sz w:val="24"/>
      <w:szCs w:val="24"/>
    </w:rPr>
  </w:style>
  <w:style w:type="paragraph" w:styleId="8">
    <w:name w:val="Body Text First Indent"/>
    <w:basedOn w:val="1"/>
    <w:next w:val="7"/>
    <w:qFormat/>
    <w:uiPriority w:val="0"/>
    <w:pPr>
      <w:spacing w:line="360" w:lineRule="auto"/>
      <w:ind w:firstLine="567"/>
    </w:pPr>
    <w:rPr>
      <w:rFonts w:eastAsia="宋体" w:cs="Times New Roman"/>
      <w:kern w:val="10"/>
      <w:sz w:val="24"/>
    </w:rPr>
  </w:style>
  <w:style w:type="paragraph" w:styleId="9">
    <w:name w:val="Body Text Indent"/>
    <w:basedOn w:val="1"/>
    <w:qFormat/>
    <w:uiPriority w:val="0"/>
    <w:pPr>
      <w:spacing w:after="120"/>
      <w:ind w:left="420" w:leftChars="200"/>
    </w:pPr>
    <w:rPr>
      <w:kern w:val="0"/>
      <w:sz w:val="24"/>
      <w:szCs w:val="20"/>
    </w:rPr>
  </w:style>
  <w:style w:type="paragraph" w:styleId="10">
    <w:name w:val="Plain Text"/>
    <w:basedOn w:val="1"/>
    <w:next w:val="11"/>
    <w:link w:val="53"/>
    <w:qFormat/>
    <w:uiPriority w:val="0"/>
    <w:pPr>
      <w:spacing w:line="360" w:lineRule="auto"/>
      <w:ind w:firstLine="200" w:firstLineChars="200"/>
    </w:pPr>
    <w:rPr>
      <w:rFonts w:ascii="宋体" w:hAnsi="Courier New" w:eastAsia="宋体" w:cs="Times New Roman"/>
      <w:sz w:val="20"/>
      <w:szCs w:val="20"/>
    </w:rPr>
  </w:style>
  <w:style w:type="paragraph" w:styleId="11">
    <w:name w:val="toc 1"/>
    <w:basedOn w:val="1"/>
    <w:next w:val="1"/>
    <w:autoRedefine/>
    <w:unhideWhenUsed/>
    <w:qFormat/>
    <w:uiPriority w:val="39"/>
  </w:style>
  <w:style w:type="paragraph" w:styleId="12">
    <w:name w:val="Body Text Indent 2"/>
    <w:basedOn w:val="1"/>
    <w:link w:val="52"/>
    <w:semiHidden/>
    <w:unhideWhenUsed/>
    <w:qFormat/>
    <w:uiPriority w:val="99"/>
    <w:pPr>
      <w:spacing w:after="120" w:line="480" w:lineRule="auto"/>
      <w:ind w:left="420" w:leftChars="200" w:firstLine="200" w:firstLineChars="200"/>
    </w:pPr>
    <w:rPr>
      <w:rFonts w:ascii="Times New Roman" w:hAnsi="Times New Roman" w:eastAsia="宋体" w:cs="Times New Roman"/>
      <w:sz w:val="24"/>
      <w:szCs w:val="24"/>
    </w:rPr>
  </w:style>
  <w:style w:type="paragraph" w:styleId="13">
    <w:name w:val="footer"/>
    <w:basedOn w:val="1"/>
    <w:link w:val="44"/>
    <w:unhideWhenUsed/>
    <w:qFormat/>
    <w:uiPriority w:val="99"/>
    <w:pPr>
      <w:tabs>
        <w:tab w:val="center" w:pos="4153"/>
        <w:tab w:val="right" w:pos="8306"/>
      </w:tabs>
      <w:snapToGrid w:val="0"/>
      <w:jc w:val="left"/>
    </w:pPr>
    <w:rPr>
      <w:sz w:val="18"/>
      <w:szCs w:val="18"/>
    </w:rPr>
  </w:style>
  <w:style w:type="paragraph" w:styleId="14">
    <w:name w:val="header"/>
    <w:basedOn w:val="1"/>
    <w:link w:val="43"/>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List"/>
    <w:basedOn w:val="1"/>
    <w:next w:val="1"/>
    <w:unhideWhenUsed/>
    <w:qFormat/>
    <w:uiPriority w:val="99"/>
    <w:pPr>
      <w:widowControl/>
      <w:spacing w:line="360" w:lineRule="auto"/>
      <w:ind w:left="420" w:hanging="420"/>
      <w:jc w:val="left"/>
    </w:pPr>
    <w:rPr>
      <w:rFonts w:ascii="宋体" w:hAnsi="宋体" w:cs="宋体"/>
      <w:kern w:val="0"/>
      <w:sz w:val="24"/>
      <w:szCs w:val="20"/>
    </w:rPr>
  </w:style>
  <w:style w:type="paragraph" w:styleId="16">
    <w:name w:val="Normal (Web)"/>
    <w:basedOn w:val="1"/>
    <w:link w:val="58"/>
    <w:qFormat/>
    <w:uiPriority w:val="0"/>
    <w:pPr>
      <w:widowControl/>
      <w:spacing w:before="100" w:beforeAutospacing="1" w:after="100" w:afterAutospacing="1" w:line="360" w:lineRule="auto"/>
      <w:ind w:firstLine="200" w:firstLineChars="200"/>
      <w:jc w:val="left"/>
    </w:pPr>
    <w:rPr>
      <w:rFonts w:ascii="宋体" w:hAnsi="宋体" w:eastAsia="宋体"/>
      <w:sz w:val="24"/>
    </w:rPr>
  </w:style>
  <w:style w:type="paragraph" w:styleId="17">
    <w:name w:val="Body Text First Indent 2"/>
    <w:basedOn w:val="9"/>
    <w:qFormat/>
    <w:uiPriority w:val="0"/>
    <w:pPr>
      <w:tabs>
        <w:tab w:val="left" w:pos="540"/>
      </w:tabs>
      <w:ind w:firstLine="420" w:firstLineChars="200"/>
    </w:pPr>
    <w:rPr>
      <w:rFonts w:ascii="Times New Roman" w:hAnsi="Times New Roman"/>
    </w:rPr>
  </w:style>
  <w:style w:type="table" w:styleId="19">
    <w:name w:val="Table Grid"/>
    <w:basedOn w:val="1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basedOn w:val="20"/>
    <w:qFormat/>
    <w:uiPriority w:val="22"/>
    <w:rPr>
      <w:b/>
    </w:rPr>
  </w:style>
  <w:style w:type="character" w:styleId="22">
    <w:name w:val="Emphasis"/>
    <w:basedOn w:val="20"/>
    <w:qFormat/>
    <w:uiPriority w:val="20"/>
    <w:rPr>
      <w:i/>
    </w:rPr>
  </w:style>
  <w:style w:type="character" w:styleId="23">
    <w:name w:val="Hyperlink"/>
    <w:basedOn w:val="20"/>
    <w:unhideWhenUsed/>
    <w:qFormat/>
    <w:uiPriority w:val="99"/>
    <w:rPr>
      <w:color w:val="0563C1" w:themeColor="hyperlink"/>
      <w:u w:val="single"/>
    </w:rPr>
  </w:style>
  <w:style w:type="paragraph" w:customStyle="1" w:styleId="24">
    <w:name w:val="表头-易恒"/>
    <w:basedOn w:val="25"/>
    <w:next w:val="25"/>
    <w:link w:val="33"/>
    <w:qFormat/>
    <w:uiPriority w:val="0"/>
    <w:pPr>
      <w:spacing w:before="50" w:beforeLines="50" w:line="240" w:lineRule="auto"/>
      <w:ind w:firstLine="0" w:firstLineChars="0"/>
      <w:jc w:val="center"/>
    </w:pPr>
    <w:rPr>
      <w:b/>
    </w:rPr>
  </w:style>
  <w:style w:type="paragraph" w:customStyle="1" w:styleId="25">
    <w:name w:val="正文-易恒"/>
    <w:basedOn w:val="1"/>
    <w:link w:val="66"/>
    <w:qFormat/>
    <w:uiPriority w:val="0"/>
    <w:pPr>
      <w:spacing w:line="360" w:lineRule="auto"/>
      <w:ind w:firstLine="200" w:firstLineChars="200"/>
    </w:pPr>
    <w:rPr>
      <w:rFonts w:ascii="Times New Roman" w:hAnsi="Times New Roman" w:eastAsia="宋体" w:cs="Times New Roman"/>
      <w:sz w:val="24"/>
      <w:szCs w:val="24"/>
    </w:rPr>
  </w:style>
  <w:style w:type="paragraph" w:customStyle="1" w:styleId="26">
    <w:name w:val="表格-易恒"/>
    <w:basedOn w:val="25"/>
    <w:link w:val="27"/>
    <w:qFormat/>
    <w:uiPriority w:val="1"/>
    <w:pPr>
      <w:spacing w:line="240" w:lineRule="auto"/>
      <w:ind w:firstLine="0" w:firstLineChars="0"/>
      <w:jc w:val="center"/>
    </w:pPr>
    <w:rPr>
      <w:sz w:val="21"/>
    </w:rPr>
  </w:style>
  <w:style w:type="character" w:customStyle="1" w:styleId="27">
    <w:name w:val="表格-易恒 字符"/>
    <w:basedOn w:val="28"/>
    <w:link w:val="26"/>
    <w:qFormat/>
    <w:uiPriority w:val="1"/>
    <w:rPr>
      <w:rFonts w:ascii="Times New Roman" w:hAnsi="Times New Roman" w:eastAsia="宋体" w:cs="Times New Roman"/>
      <w:sz w:val="24"/>
      <w:szCs w:val="24"/>
    </w:rPr>
  </w:style>
  <w:style w:type="character" w:customStyle="1" w:styleId="28">
    <w:name w:val="正文-易恒 字符"/>
    <w:basedOn w:val="20"/>
    <w:link w:val="25"/>
    <w:qFormat/>
    <w:uiPriority w:val="0"/>
    <w:rPr>
      <w:rFonts w:ascii="Times New Roman" w:hAnsi="Times New Roman" w:eastAsia="宋体" w:cs="Times New Roman"/>
      <w:sz w:val="24"/>
      <w:szCs w:val="24"/>
    </w:rPr>
  </w:style>
  <w:style w:type="paragraph" w:customStyle="1" w:styleId="29">
    <w:name w:val="标题1-易恒"/>
    <w:basedOn w:val="2"/>
    <w:next w:val="30"/>
    <w:link w:val="31"/>
    <w:qFormat/>
    <w:uiPriority w:val="0"/>
    <w:pPr>
      <w:spacing w:before="0" w:after="0" w:line="360" w:lineRule="auto"/>
    </w:pPr>
    <w:rPr>
      <w:rFonts w:ascii="Times New Roman" w:hAnsi="Times New Roman" w:eastAsia="宋体"/>
      <w:sz w:val="28"/>
    </w:rPr>
  </w:style>
  <w:style w:type="paragraph" w:customStyle="1" w:styleId="30">
    <w:name w:val="正文-易恒1"/>
    <w:basedOn w:val="1"/>
    <w:qFormat/>
    <w:uiPriority w:val="0"/>
    <w:rPr>
      <w:szCs w:val="32"/>
    </w:rPr>
  </w:style>
  <w:style w:type="character" w:customStyle="1" w:styleId="31">
    <w:name w:val="标题1-易恒 字符"/>
    <w:basedOn w:val="32"/>
    <w:link w:val="29"/>
    <w:qFormat/>
    <w:uiPriority w:val="0"/>
    <w:rPr>
      <w:rFonts w:ascii="Times New Roman" w:hAnsi="Times New Roman" w:eastAsia="宋体"/>
      <w:kern w:val="44"/>
      <w:sz w:val="28"/>
      <w:szCs w:val="44"/>
    </w:rPr>
  </w:style>
  <w:style w:type="character" w:customStyle="1" w:styleId="32">
    <w:name w:val="标题 1 字符"/>
    <w:basedOn w:val="20"/>
    <w:link w:val="2"/>
    <w:qFormat/>
    <w:uiPriority w:val="9"/>
    <w:rPr>
      <w:b/>
      <w:bCs/>
      <w:kern w:val="44"/>
      <w:sz w:val="44"/>
      <w:szCs w:val="44"/>
    </w:rPr>
  </w:style>
  <w:style w:type="character" w:customStyle="1" w:styleId="33">
    <w:name w:val="表头-易恒 字符"/>
    <w:basedOn w:val="28"/>
    <w:link w:val="24"/>
    <w:qFormat/>
    <w:uiPriority w:val="0"/>
    <w:rPr>
      <w:rFonts w:ascii="Times New Roman" w:hAnsi="Times New Roman" w:eastAsia="宋体" w:cs="Times New Roman"/>
      <w:b/>
      <w:sz w:val="24"/>
      <w:szCs w:val="24"/>
    </w:rPr>
  </w:style>
  <w:style w:type="paragraph" w:customStyle="1" w:styleId="34">
    <w:name w:val="标题3-易恒"/>
    <w:basedOn w:val="4"/>
    <w:next w:val="30"/>
    <w:link w:val="35"/>
    <w:qFormat/>
    <w:uiPriority w:val="0"/>
    <w:pPr>
      <w:spacing w:before="0" w:after="0" w:line="360" w:lineRule="auto"/>
    </w:pPr>
    <w:rPr>
      <w:rFonts w:ascii="Times New Roman" w:hAnsi="Times New Roman" w:eastAsia="宋体"/>
      <w:sz w:val="24"/>
    </w:rPr>
  </w:style>
  <w:style w:type="character" w:customStyle="1" w:styleId="35">
    <w:name w:val="标题3-易恒 字符"/>
    <w:basedOn w:val="36"/>
    <w:link w:val="34"/>
    <w:qFormat/>
    <w:uiPriority w:val="0"/>
    <w:rPr>
      <w:rFonts w:ascii="Times New Roman" w:hAnsi="Times New Roman" w:eastAsia="宋体"/>
      <w:sz w:val="24"/>
      <w:szCs w:val="32"/>
    </w:rPr>
  </w:style>
  <w:style w:type="character" w:customStyle="1" w:styleId="36">
    <w:name w:val="标题 3 字符"/>
    <w:basedOn w:val="20"/>
    <w:link w:val="4"/>
    <w:semiHidden/>
    <w:qFormat/>
    <w:uiPriority w:val="9"/>
    <w:rPr>
      <w:b/>
      <w:bCs/>
      <w:sz w:val="32"/>
      <w:szCs w:val="32"/>
    </w:rPr>
  </w:style>
  <w:style w:type="paragraph" w:customStyle="1" w:styleId="37">
    <w:name w:val="标题2-易恒"/>
    <w:basedOn w:val="3"/>
    <w:next w:val="1"/>
    <w:link w:val="38"/>
    <w:qFormat/>
    <w:uiPriority w:val="0"/>
    <w:pPr>
      <w:spacing w:before="0" w:after="0" w:line="360" w:lineRule="auto"/>
    </w:pPr>
    <w:rPr>
      <w:rFonts w:ascii="Times New Roman" w:hAnsi="Times New Roman" w:eastAsia="宋体"/>
      <w:sz w:val="24"/>
    </w:rPr>
  </w:style>
  <w:style w:type="character" w:customStyle="1" w:styleId="38">
    <w:name w:val="标题2-易恒 字符"/>
    <w:basedOn w:val="39"/>
    <w:link w:val="37"/>
    <w:qFormat/>
    <w:uiPriority w:val="0"/>
    <w:rPr>
      <w:rFonts w:ascii="Times New Roman" w:hAnsi="Times New Roman" w:eastAsia="宋体" w:cstheme="majorBidi"/>
      <w:sz w:val="24"/>
      <w:szCs w:val="32"/>
    </w:rPr>
  </w:style>
  <w:style w:type="character" w:customStyle="1" w:styleId="39">
    <w:name w:val="标题 2 字符"/>
    <w:basedOn w:val="20"/>
    <w:link w:val="3"/>
    <w:semiHidden/>
    <w:qFormat/>
    <w:uiPriority w:val="9"/>
    <w:rPr>
      <w:rFonts w:asciiTheme="majorHAnsi" w:hAnsiTheme="majorHAnsi" w:eastAsiaTheme="majorEastAsia" w:cstheme="majorBidi"/>
      <w:b/>
      <w:bCs/>
      <w:sz w:val="32"/>
      <w:szCs w:val="32"/>
    </w:rPr>
  </w:style>
  <w:style w:type="paragraph" w:customStyle="1" w:styleId="40">
    <w:name w:val="标题4-易恒"/>
    <w:basedOn w:val="5"/>
    <w:next w:val="25"/>
    <w:link w:val="41"/>
    <w:qFormat/>
    <w:uiPriority w:val="0"/>
    <w:pPr>
      <w:spacing w:before="0" w:after="0" w:line="360" w:lineRule="auto"/>
    </w:pPr>
    <w:rPr>
      <w:rFonts w:ascii="Times New Roman" w:hAnsi="Times New Roman" w:eastAsia="宋体"/>
      <w:sz w:val="24"/>
    </w:rPr>
  </w:style>
  <w:style w:type="character" w:customStyle="1" w:styleId="41">
    <w:name w:val="标题4-易恒 字符"/>
    <w:basedOn w:val="42"/>
    <w:link w:val="40"/>
    <w:qFormat/>
    <w:uiPriority w:val="0"/>
    <w:rPr>
      <w:rFonts w:ascii="Times New Roman" w:hAnsi="Times New Roman" w:eastAsia="宋体" w:cstheme="majorBidi"/>
      <w:sz w:val="24"/>
      <w:szCs w:val="28"/>
    </w:rPr>
  </w:style>
  <w:style w:type="character" w:customStyle="1" w:styleId="42">
    <w:name w:val="标题 4 字符"/>
    <w:basedOn w:val="20"/>
    <w:link w:val="5"/>
    <w:semiHidden/>
    <w:qFormat/>
    <w:uiPriority w:val="9"/>
    <w:rPr>
      <w:rFonts w:asciiTheme="majorHAnsi" w:hAnsiTheme="majorHAnsi" w:eastAsiaTheme="majorEastAsia" w:cstheme="majorBidi"/>
      <w:b/>
      <w:bCs/>
      <w:sz w:val="28"/>
      <w:szCs w:val="28"/>
    </w:rPr>
  </w:style>
  <w:style w:type="character" w:customStyle="1" w:styleId="43">
    <w:name w:val="页眉 字符"/>
    <w:basedOn w:val="20"/>
    <w:link w:val="14"/>
    <w:qFormat/>
    <w:uiPriority w:val="99"/>
    <w:rPr>
      <w:sz w:val="18"/>
      <w:szCs w:val="18"/>
    </w:rPr>
  </w:style>
  <w:style w:type="character" w:customStyle="1" w:styleId="44">
    <w:name w:val="页脚 字符"/>
    <w:basedOn w:val="20"/>
    <w:link w:val="13"/>
    <w:qFormat/>
    <w:uiPriority w:val="99"/>
    <w:rPr>
      <w:sz w:val="18"/>
      <w:szCs w:val="18"/>
    </w:rPr>
  </w:style>
  <w:style w:type="character" w:customStyle="1" w:styleId="45">
    <w:name w:val="报告正文 Char Char"/>
    <w:link w:val="46"/>
    <w:qFormat/>
    <w:uiPriority w:val="0"/>
    <w:rPr>
      <w:rFonts w:eastAsia="仿宋_GB2312"/>
      <w:sz w:val="28"/>
      <w:szCs w:val="24"/>
    </w:rPr>
  </w:style>
  <w:style w:type="paragraph" w:customStyle="1" w:styleId="46">
    <w:name w:val="报告正文"/>
    <w:basedOn w:val="1"/>
    <w:link w:val="45"/>
    <w:qFormat/>
    <w:uiPriority w:val="0"/>
    <w:pPr>
      <w:spacing w:line="360" w:lineRule="auto"/>
      <w:ind w:firstLine="200" w:firstLineChars="200"/>
    </w:pPr>
    <w:rPr>
      <w:rFonts w:eastAsia="仿宋_GB2312"/>
      <w:sz w:val="28"/>
      <w:szCs w:val="24"/>
    </w:rPr>
  </w:style>
  <w:style w:type="character" w:customStyle="1" w:styleId="47">
    <w:name w:val="正文文本 字符"/>
    <w:basedOn w:val="20"/>
    <w:link w:val="7"/>
    <w:qFormat/>
    <w:uiPriority w:val="0"/>
    <w:rPr>
      <w:rFonts w:ascii="Times New Roman" w:hAnsi="Times New Roman" w:eastAsia="宋体" w:cs="Times New Roman"/>
      <w:sz w:val="24"/>
      <w:szCs w:val="24"/>
    </w:rPr>
  </w:style>
  <w:style w:type="paragraph" w:customStyle="1" w:styleId="48">
    <w:name w:val="表格-易恒1"/>
    <w:basedOn w:val="30"/>
    <w:link w:val="49"/>
    <w:qFormat/>
    <w:uiPriority w:val="0"/>
    <w:pPr>
      <w:jc w:val="center"/>
    </w:pPr>
    <w:rPr>
      <w:rFonts w:ascii="Times New Roman" w:hAnsi="Times New Roman" w:eastAsia="宋体"/>
      <w:szCs w:val="32"/>
    </w:rPr>
  </w:style>
  <w:style w:type="character" w:customStyle="1" w:styleId="49">
    <w:name w:val="表格-易恒1 字符"/>
    <w:basedOn w:val="20"/>
    <w:link w:val="48"/>
    <w:qFormat/>
    <w:uiPriority w:val="0"/>
    <w:rPr>
      <w:rFonts w:ascii="Times New Roman" w:hAnsi="Times New Roman" w:eastAsia="宋体"/>
      <w:szCs w:val="32"/>
    </w:rPr>
  </w:style>
  <w:style w:type="paragraph" w:customStyle="1" w:styleId="50">
    <w:name w:val="表头-易恒1"/>
    <w:basedOn w:val="48"/>
    <w:next w:val="30"/>
    <w:link w:val="51"/>
    <w:qFormat/>
    <w:uiPriority w:val="0"/>
    <w:pPr>
      <w:spacing w:before="50" w:beforeLines="50"/>
    </w:pPr>
    <w:rPr>
      <w:b/>
    </w:rPr>
  </w:style>
  <w:style w:type="character" w:customStyle="1" w:styleId="51">
    <w:name w:val="表头-易恒1 字符"/>
    <w:basedOn w:val="49"/>
    <w:link w:val="50"/>
    <w:qFormat/>
    <w:uiPriority w:val="0"/>
    <w:rPr>
      <w:rFonts w:ascii="Times New Roman" w:hAnsi="Times New Roman" w:eastAsia="宋体"/>
      <w:b/>
      <w:szCs w:val="32"/>
    </w:rPr>
  </w:style>
  <w:style w:type="character" w:customStyle="1" w:styleId="52">
    <w:name w:val="正文文本缩进 2 字符"/>
    <w:basedOn w:val="20"/>
    <w:link w:val="12"/>
    <w:semiHidden/>
    <w:qFormat/>
    <w:uiPriority w:val="99"/>
    <w:rPr>
      <w:rFonts w:ascii="Times New Roman" w:hAnsi="Times New Roman" w:eastAsia="宋体" w:cs="Times New Roman"/>
      <w:sz w:val="24"/>
      <w:szCs w:val="24"/>
    </w:rPr>
  </w:style>
  <w:style w:type="character" w:customStyle="1" w:styleId="53">
    <w:name w:val="纯文本 字符"/>
    <w:basedOn w:val="20"/>
    <w:link w:val="10"/>
    <w:qFormat/>
    <w:uiPriority w:val="0"/>
    <w:rPr>
      <w:rFonts w:ascii="宋体" w:hAnsi="Courier New" w:eastAsia="宋体" w:cs="Times New Roman"/>
      <w:sz w:val="20"/>
      <w:szCs w:val="20"/>
    </w:rPr>
  </w:style>
  <w:style w:type="paragraph" w:customStyle="1" w:styleId="54">
    <w:name w:val="表标题"/>
    <w:basedOn w:val="1"/>
    <w:qFormat/>
    <w:uiPriority w:val="0"/>
    <w:pPr>
      <w:jc w:val="center"/>
    </w:pPr>
    <w:rPr>
      <w:rFonts w:ascii="Times New Roman" w:hAnsi="Times New Roman" w:eastAsia="宋体" w:cs="Times New Roman"/>
      <w:b/>
      <w:kern w:val="0"/>
      <w:szCs w:val="20"/>
    </w:rPr>
  </w:style>
  <w:style w:type="paragraph" w:customStyle="1" w:styleId="55">
    <w:name w:val="A正文1"/>
    <w:basedOn w:val="1"/>
    <w:qFormat/>
    <w:uiPriority w:val="0"/>
    <w:pPr>
      <w:spacing w:line="360" w:lineRule="auto"/>
      <w:ind w:firstLine="200" w:firstLineChars="200"/>
    </w:pPr>
    <w:rPr>
      <w:rFonts w:ascii="Times New Roman" w:hAnsi="Times New Roman" w:eastAsia="宋体" w:cs="Times New Roman"/>
      <w:sz w:val="24"/>
      <w:szCs w:val="28"/>
    </w:rPr>
  </w:style>
  <w:style w:type="paragraph" w:customStyle="1" w:styleId="56">
    <w:name w:val="样式 样式 样式 小四 首行缩进:  2.25 字符 + 首行缩进:  2.25 字符 + 首行缩进:  2 字符"/>
    <w:basedOn w:val="1"/>
    <w:qFormat/>
    <w:uiPriority w:val="0"/>
    <w:pPr>
      <w:spacing w:line="440" w:lineRule="exact"/>
      <w:ind w:firstLine="200" w:firstLineChars="200"/>
    </w:pPr>
    <w:rPr>
      <w:rFonts w:ascii="Times New Roman" w:hAnsi="Times New Roman" w:eastAsia="宋体" w:cs="Times New Roman"/>
      <w:sz w:val="24"/>
      <w:szCs w:val="24"/>
    </w:rPr>
  </w:style>
  <w:style w:type="paragraph" w:customStyle="1" w:styleId="57">
    <w:name w:val="TOC Heading"/>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496" w:themeColor="accent1" w:themeShade="BF"/>
      <w:kern w:val="0"/>
      <w:sz w:val="32"/>
      <w:szCs w:val="32"/>
    </w:rPr>
  </w:style>
  <w:style w:type="character" w:customStyle="1" w:styleId="58">
    <w:name w:val="普通(网站) 字符"/>
    <w:link w:val="16"/>
    <w:qFormat/>
    <w:locked/>
    <w:uiPriority w:val="0"/>
    <w:rPr>
      <w:rFonts w:ascii="宋体" w:hAnsi="宋体" w:eastAsia="宋体"/>
      <w:sz w:val="24"/>
    </w:rPr>
  </w:style>
  <w:style w:type="paragraph" w:customStyle="1" w:styleId="59">
    <w:name w:val="Default"/>
    <w:basedOn w:val="60"/>
    <w:next w:val="15"/>
    <w:qFormat/>
    <w:uiPriority w:val="0"/>
    <w:pPr>
      <w:autoSpaceDE w:val="0"/>
      <w:autoSpaceDN w:val="0"/>
      <w:adjustRightInd w:val="0"/>
    </w:pPr>
    <w:rPr>
      <w:rFonts w:ascii="Calibri" w:hAnsi="Calibri" w:cs="Calibri"/>
      <w:color w:val="000000"/>
      <w:kern w:val="0"/>
      <w:sz w:val="24"/>
    </w:rPr>
  </w:style>
  <w:style w:type="paragraph" w:customStyle="1" w:styleId="60">
    <w:name w:val="纯文本1"/>
    <w:basedOn w:val="1"/>
    <w:qFormat/>
    <w:uiPriority w:val="0"/>
    <w:rPr>
      <w:rFonts w:ascii="宋体" w:hAnsi="Courier New"/>
    </w:rPr>
  </w:style>
  <w:style w:type="paragraph" w:customStyle="1" w:styleId="61">
    <w:name w:val="Table Text"/>
    <w:basedOn w:val="1"/>
    <w:semiHidden/>
    <w:qFormat/>
    <w:uiPriority w:val="0"/>
    <w:rPr>
      <w:rFonts w:ascii="宋体" w:hAnsi="宋体" w:eastAsia="宋体" w:cs="宋体"/>
      <w:sz w:val="20"/>
      <w:szCs w:val="20"/>
      <w:lang w:val="en-US" w:eastAsia="en-US" w:bidi="ar-SA"/>
    </w:rPr>
  </w:style>
  <w:style w:type="paragraph" w:customStyle="1" w:styleId="62">
    <w:name w:val="易恒-正文"/>
    <w:basedOn w:val="1"/>
    <w:qFormat/>
    <w:uiPriority w:val="0"/>
    <w:pPr>
      <w:spacing w:line="360" w:lineRule="auto"/>
      <w:ind w:firstLine="200" w:firstLineChars="200"/>
    </w:pPr>
    <w:rPr>
      <w:rFonts w:ascii="Times New Roman" w:hAnsi="Times New Roman" w:eastAsia="宋体"/>
      <w:sz w:val="24"/>
    </w:rPr>
  </w:style>
  <w:style w:type="paragraph" w:customStyle="1" w:styleId="63">
    <w:name w:val="易恒-表头"/>
    <w:basedOn w:val="62"/>
    <w:next w:val="62"/>
    <w:qFormat/>
    <w:uiPriority w:val="0"/>
    <w:pPr>
      <w:ind w:firstLine="0" w:firstLineChars="0"/>
      <w:jc w:val="center"/>
    </w:pPr>
    <w:rPr>
      <w:b/>
    </w:rPr>
  </w:style>
  <w:style w:type="paragraph" w:customStyle="1" w:styleId="64">
    <w:name w:val="易恒-表格"/>
    <w:basedOn w:val="62"/>
    <w:qFormat/>
    <w:uiPriority w:val="0"/>
    <w:pPr>
      <w:spacing w:line="240" w:lineRule="auto"/>
      <w:ind w:firstLine="0" w:firstLineChars="0"/>
    </w:pPr>
    <w:rPr>
      <w:sz w:val="21"/>
    </w:rPr>
  </w:style>
  <w:style w:type="table" w:customStyle="1" w:styleId="65">
    <w:name w:val="网格型1"/>
    <w:basedOn w:val="1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6">
    <w:name w:val="正文-易恒 Char"/>
    <w:link w:val="25"/>
    <w:qFormat/>
    <w:uiPriority w:val="0"/>
    <w:rPr>
      <w:rFonts w:ascii="Times New Roman" w:hAnsi="Times New Roman" w:eastAsia="宋体" w:cs="Times New Roman"/>
      <w:sz w:val="24"/>
      <w:szCs w:val="24"/>
    </w:rPr>
  </w:style>
  <w:style w:type="table" w:customStyle="1" w:styleId="67">
    <w:name w:val="TableGrid"/>
    <w:qFormat/>
    <w:uiPriority w:val="0"/>
    <w:rPr>
      <w:kern w:val="2"/>
      <w:sz w:val="21"/>
      <w:szCs w:val="22"/>
    </w:rPr>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4" Type="http://schemas.openxmlformats.org/officeDocument/2006/relationships/fontTable" Target="fontTable.xml"/><Relationship Id="rId73" Type="http://schemas.openxmlformats.org/officeDocument/2006/relationships/customXml" Target="../customXml/item1.xml"/><Relationship Id="rId72" Type="http://schemas.openxmlformats.org/officeDocument/2006/relationships/image" Target="media/image65.jpe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image" Target="media/image2.png"/><Relationship Id="rId69" Type="http://schemas.openxmlformats.org/officeDocument/2006/relationships/image" Target="media/image62.jpeg"/><Relationship Id="rId68" Type="http://schemas.openxmlformats.org/officeDocument/2006/relationships/image" Target="media/image61.jpeg"/><Relationship Id="rId67" Type="http://schemas.openxmlformats.org/officeDocument/2006/relationships/image" Target="media/image60.jpe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jpeg"/><Relationship Id="rId63" Type="http://schemas.openxmlformats.org/officeDocument/2006/relationships/image" Target="media/image56.jpe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image" Target="media/image1.png"/><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theme" Target="theme/theme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emf"/><Relationship Id="rId16" Type="http://schemas.openxmlformats.org/officeDocument/2006/relationships/oleObject" Target="embeddings/oleObject2.bin"/><Relationship Id="rId15" Type="http://schemas.openxmlformats.org/officeDocument/2006/relationships/image" Target="media/image9.emf"/><Relationship Id="rId14" Type="http://schemas.openxmlformats.org/officeDocument/2006/relationships/oleObject" Target="embeddings/oleObject1.bin"/><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0"/>
    <customShpInfo spid="_x0000_s2062"/>
    <customShpInfo spid="_x0000_s2061"/>
    <customShpInfo spid="_x0000_s2060"/>
    <customShpInfo spid="_x0000_s2059"/>
    <customShpInfo spid="_x0000_s2058"/>
    <customShpInfo spid="_x0000_s2057"/>
    <customShpInfo spid="_x0000_s2056"/>
    <customShpInfo spid="_x0000_s2055"/>
    <customShpInfo spid="_x0000_s2054"/>
    <customShpInfo spid="_x0000_s2053"/>
    <customShpInfo spid="_x0000_s2052"/>
    <customShpInfo spid="_x0000_s205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100</Pages>
  <Words>38106</Words>
  <Characters>44299</Characters>
  <Lines>20</Lines>
  <Paragraphs>5</Paragraphs>
  <TotalTime>51</TotalTime>
  <ScaleCrop>false</ScaleCrop>
  <LinksUpToDate>false</LinksUpToDate>
  <CharactersWithSpaces>44984</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2022-12-18T06:37:00Z</dcterms:created>
  <dc:creator>wenzhiliang</dc:creator>
  <cp:lastModifiedBy>温</cp:lastModifiedBy>
  <dcterms:modified xsi:type="dcterms:W3CDTF">2025-04-29T02:08:36Z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451694DBC0144F00B7F8D19CCFB8B224_12</vt:lpwstr>
  </property>
</Properties>
</file>