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2025年衡阳县重大政策和重点项目绩效目标情况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2025年，我县严格落实党政机关习惯过“紧日子”要求，精打细算，勤俭办一切事业，加之本级财力有限，在编制年初预算时，没有安排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重大政策和重点项目。如年中安排相关重大政策和重点项目，将在预算调整中对绩效目标情况进行说明，并在政府门户网站上向社会公开。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3NGVkMGIzZjhiM2Y4ZjM1NmVjZjNkZmExNTFhM2YifQ=="/>
  </w:docVars>
  <w:rsids>
    <w:rsidRoot w:val="2F1A6B25"/>
    <w:rsid w:val="2F1A6B25"/>
    <w:rsid w:val="31BE27EF"/>
    <w:rsid w:val="603D73CC"/>
    <w:rsid w:val="6753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147</Characters>
  <Lines>0</Lines>
  <Paragraphs>0</Paragraphs>
  <TotalTime>4</TotalTime>
  <ScaleCrop>false</ScaleCrop>
  <LinksUpToDate>false</LinksUpToDate>
  <CharactersWithSpaces>147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2024-03-22T01:05:00Z</dcterms:created>
  <dc:creator>蒋建军 null</dc:creator>
  <cp:lastModifiedBy>蒋建军 null</cp:lastModifiedBy>
  <dcterms:modified xsi:type="dcterms:W3CDTF">2025-04-22T03:04:30Z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74BD6E3A64174A988979A3B5ED2D3191</vt:lpwstr>
  </property>
</Properties>
</file>