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distribute"/>
        <w:rPr>
          <w:rFonts w:hint="eastAsia" w:ascii="仿宋_GB2312" w:hAnsi="仿宋_GB2312" w:eastAsia="仿宋_GB2312" w:cs="仿宋_GB2312"/>
          <w:sz w:val="36"/>
          <w:szCs w:val="36"/>
          <w:lang w:val="en-US" w:eastAsia="zh-CN"/>
        </w:rPr>
      </w:pPr>
    </w:p>
    <w:p>
      <w:pPr>
        <w:rPr>
          <w:rFonts w:hint="eastAsia" w:ascii="仿宋_GB2312" w:hAnsi="仿宋_GB2312" w:eastAsia="仿宋_GB2312" w:cs="仿宋_GB2312"/>
          <w:sz w:val="36"/>
          <w:szCs w:val="36"/>
        </w:rPr>
      </w:pPr>
    </w:p>
    <w:p>
      <w:pPr>
        <w:rPr>
          <w:rFonts w:hint="eastAsia" w:ascii="仿宋_GB2312" w:hAnsi="仿宋_GB2312" w:eastAsia="仿宋_GB2312" w:cs="仿宋_GB2312"/>
          <w:sz w:val="36"/>
          <w:szCs w:val="36"/>
        </w:rPr>
      </w:pPr>
    </w:p>
    <w:p>
      <w:pPr>
        <w:ind w:firstLine="0" w:firstLineChars="0"/>
        <w:jc w:val="center"/>
        <w:rPr>
          <w:rFonts w:hint="eastAsia" w:ascii="宋体" w:hAnsi="宋体" w:cs="宋体"/>
          <w:b/>
          <w:bCs/>
          <w:sz w:val="56"/>
          <w:szCs w:val="52"/>
        </w:rPr>
      </w:pPr>
      <w:r>
        <w:rPr>
          <w:rFonts w:hint="eastAsia" w:ascii="宋体" w:hAnsi="宋体" w:cs="宋体"/>
          <w:b/>
          <w:bCs/>
          <w:sz w:val="56"/>
          <w:szCs w:val="52"/>
        </w:rPr>
        <w:t>建设项目环境影响报告表</w:t>
      </w:r>
    </w:p>
    <w:p>
      <w:pPr>
        <w:ind w:firstLine="0" w:firstLineChars="0"/>
        <w:jc w:val="center"/>
        <w:rPr>
          <w:rFonts w:hint="eastAsia" w:ascii="宋体" w:hAnsi="宋体" w:cs="宋体"/>
          <w:b/>
          <w:bCs/>
          <w:sz w:val="52"/>
          <w:szCs w:val="48"/>
        </w:rPr>
      </w:pPr>
      <w:r>
        <w:rPr>
          <w:rFonts w:hint="eastAsia" w:ascii="宋体" w:hAnsi="宋体" w:cs="宋体"/>
          <w:b/>
          <w:bCs/>
          <w:sz w:val="52"/>
          <w:szCs w:val="48"/>
        </w:rPr>
        <w:t>（污染影响类）</w:t>
      </w:r>
    </w:p>
    <w:p>
      <w:pPr>
        <w:ind w:firstLine="880"/>
        <w:rPr>
          <w:rFonts w:eastAsia="仿宋"/>
          <w:sz w:val="44"/>
          <w:szCs w:val="44"/>
        </w:rPr>
      </w:pPr>
    </w:p>
    <w:p>
      <w:pPr>
        <w:ind w:firstLine="880"/>
        <w:rPr>
          <w:rFonts w:eastAsia="仿宋"/>
          <w:sz w:val="44"/>
          <w:szCs w:val="44"/>
        </w:rPr>
      </w:pPr>
    </w:p>
    <w:p>
      <w:pPr>
        <w:ind w:firstLine="880"/>
        <w:rPr>
          <w:rFonts w:eastAsia="仿宋"/>
          <w:sz w:val="44"/>
          <w:szCs w:val="44"/>
        </w:rPr>
      </w:pPr>
    </w:p>
    <w:p>
      <w:pPr>
        <w:ind w:firstLine="880"/>
        <w:rPr>
          <w:rFonts w:eastAsia="仿宋"/>
          <w:sz w:val="44"/>
          <w:szCs w:val="44"/>
        </w:rPr>
      </w:pPr>
    </w:p>
    <w:p>
      <w:pPr>
        <w:ind w:firstLine="803"/>
        <w:jc w:val="left"/>
        <w:rPr>
          <w:b/>
          <w:bCs/>
          <w:sz w:val="32"/>
          <w:szCs w:val="36"/>
          <w:u w:val="single"/>
        </w:rPr>
      </w:pPr>
      <w:r>
        <w:rPr>
          <w:rFonts w:hint="eastAsia"/>
          <w:b/>
          <w:bCs/>
          <w:sz w:val="40"/>
          <w:szCs w:val="36"/>
        </w:rPr>
        <w:t>项目名称：</w:t>
      </w:r>
      <w:r>
        <w:rPr>
          <w:rFonts w:hint="eastAsia"/>
          <w:b/>
          <w:bCs/>
          <w:sz w:val="32"/>
          <w:szCs w:val="36"/>
          <w:u w:val="single"/>
        </w:rPr>
        <w:t xml:space="preserve"> 湖南小明同学电器有限公司年加工200万</w:t>
      </w:r>
    </w:p>
    <w:p>
      <w:pPr>
        <w:ind w:firstLine="2891" w:firstLineChars="900"/>
        <w:jc w:val="left"/>
        <w:rPr>
          <w:b/>
          <w:bCs/>
          <w:sz w:val="32"/>
          <w:szCs w:val="36"/>
          <w:u w:val="single"/>
        </w:rPr>
      </w:pPr>
      <w:r>
        <w:rPr>
          <w:rFonts w:hint="eastAsia"/>
          <w:b/>
          <w:bCs/>
          <w:sz w:val="32"/>
          <w:szCs w:val="36"/>
          <w:u w:val="single"/>
        </w:rPr>
        <w:t xml:space="preserve"> 件金属制品建设项目                  </w:t>
      </w:r>
    </w:p>
    <w:p>
      <w:pPr>
        <w:ind w:firstLine="803"/>
        <w:jc w:val="left"/>
        <w:rPr>
          <w:b/>
          <w:bCs/>
          <w:sz w:val="32"/>
          <w:szCs w:val="36"/>
          <w:u w:val="single"/>
        </w:rPr>
      </w:pPr>
      <w:r>
        <w:rPr>
          <w:rFonts w:hint="eastAsia"/>
          <w:b/>
          <w:bCs/>
          <w:sz w:val="40"/>
          <w:szCs w:val="36"/>
        </w:rPr>
        <w:t>建设单位：</w:t>
      </w:r>
      <w:r>
        <w:rPr>
          <w:rFonts w:hint="eastAsia"/>
          <w:b/>
          <w:bCs/>
          <w:sz w:val="32"/>
          <w:szCs w:val="36"/>
          <w:u w:val="single"/>
        </w:rPr>
        <w:t xml:space="preserve"> 湖南小明同学电器有限公司</w:t>
      </w:r>
    </w:p>
    <w:p>
      <w:pPr>
        <w:ind w:firstLine="402" w:firstLineChars="100"/>
        <w:rPr>
          <w:b/>
          <w:bCs/>
          <w:sz w:val="40"/>
          <w:szCs w:val="36"/>
        </w:rPr>
      </w:pPr>
      <w:bookmarkStart w:id="0" w:name="_Hlk57884087"/>
    </w:p>
    <w:p>
      <w:pPr>
        <w:adjustRightInd w:val="0"/>
        <w:snapToGrid w:val="0"/>
        <w:spacing w:line="288" w:lineRule="auto"/>
        <w:rPr>
          <w:rFonts w:ascii="仿宋_GB2312" w:eastAsia="仿宋_GB2312"/>
          <w:sz w:val="36"/>
          <w:szCs w:val="36"/>
        </w:rPr>
      </w:pPr>
    </w:p>
    <w:p>
      <w:pPr>
        <w:adjustRightInd w:val="0"/>
        <w:snapToGrid w:val="0"/>
        <w:spacing w:line="288" w:lineRule="auto"/>
        <w:rPr>
          <w:rFonts w:ascii="仿宋_GB2312" w:eastAsia="仿宋_GB2312"/>
          <w:sz w:val="36"/>
          <w:szCs w:val="36"/>
        </w:rPr>
      </w:pPr>
    </w:p>
    <w:p>
      <w:pPr>
        <w:adjustRightInd w:val="0"/>
        <w:snapToGrid w:val="0"/>
        <w:spacing w:line="288" w:lineRule="auto"/>
        <w:rPr>
          <w:rFonts w:ascii="仿宋_GB2312" w:eastAsia="仿宋_GB2312"/>
          <w:sz w:val="36"/>
          <w:szCs w:val="36"/>
        </w:rPr>
      </w:pPr>
    </w:p>
    <w:bookmarkEnd w:id="0"/>
    <w:p>
      <w:pPr>
        <w:ind w:firstLine="0" w:firstLineChars="0"/>
        <w:jc w:val="center"/>
        <w:rPr>
          <w:b/>
          <w:bCs/>
          <w:sz w:val="36"/>
          <w:szCs w:val="32"/>
        </w:rPr>
      </w:pPr>
      <w:r>
        <w:rPr>
          <w:rFonts w:hint="eastAsia"/>
          <w:b/>
          <w:bCs/>
          <w:sz w:val="36"/>
          <w:szCs w:val="32"/>
        </w:rPr>
        <w:t>中华人民共和国生态环境部制</w:t>
      </w:r>
    </w:p>
    <w:p>
      <w:pPr>
        <w:ind w:firstLine="0" w:firstLineChars="0"/>
        <w:jc w:val="center"/>
        <w:rPr>
          <w:rFonts w:ascii="仿宋_GB2312" w:eastAsia="仿宋_GB2312"/>
          <w:sz w:val="36"/>
          <w:szCs w:val="36"/>
        </w:rPr>
        <w:sectPr>
          <w:headerReference r:id="rId5" w:type="default"/>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b/>
          <w:bCs/>
          <w:sz w:val="36"/>
          <w:szCs w:val="32"/>
        </w:rPr>
        <w:t>2025年1月</w:t>
      </w:r>
    </w:p>
    <w:p>
      <w:pPr>
        <w:pStyle w:val="24"/>
        <w:bidi w:val="0"/>
        <w:rPr>
          <w:rFonts w:hint="eastAsia" w:eastAsia="宋体"/>
          <w:sz w:val="24"/>
          <w:szCs w:val="22"/>
          <w:lang w:eastAsia="zh-CN"/>
        </w:rPr>
      </w:pPr>
      <w:r>
        <w:rPr>
          <w:rFonts w:hint="eastAsia" w:eastAsia="宋体"/>
          <w:sz w:val="24"/>
          <w:szCs w:val="22"/>
          <w:lang w:eastAsia="zh-CN"/>
        </w:rPr>
        <w:drawing>
          <wp:inline distT="0" distB="0" distL="114300" distR="114300">
            <wp:extent cx="5610860" cy="7931785"/>
            <wp:effectExtent l="0" t="0" r="8890" b="12065"/>
            <wp:docPr id="29" name="图片 29" descr="小明同学修改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小明同学修改单_00"/>
                    <pic:cNvPicPr>
                      <a:picLocks noChangeAspect="1"/>
                    </pic:cNvPicPr>
                  </pic:nvPicPr>
                  <pic:blipFill>
                    <a:blip r:embed="rId14"/>
                    <a:stretch>
                      <a:fillRect/>
                    </a:stretch>
                  </pic:blipFill>
                  <pic:spPr>
                    <a:xfrm>
                      <a:off x="0" y="0"/>
                      <a:ext cx="5610860" cy="7931785"/>
                    </a:xfrm>
                    <a:prstGeom prst="rect">
                      <a:avLst/>
                    </a:prstGeom>
                  </pic:spPr>
                </pic:pic>
              </a:graphicData>
            </a:graphic>
          </wp:inline>
        </w:drawing>
      </w:r>
    </w:p>
    <w:p>
      <w:pPr>
        <w:pStyle w:val="24"/>
        <w:bidi w:val="0"/>
        <w:rPr>
          <w:rFonts w:hint="eastAsia"/>
          <w:sz w:val="24"/>
          <w:szCs w:val="22"/>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13"/>
        <w:keepNext w:val="0"/>
        <w:keepLines w:val="0"/>
        <w:pageBreakBefore w:val="0"/>
        <w:widowControl w:val="0"/>
        <w:tabs>
          <w:tab w:val="right" w:leader="dot" w:pos="8844"/>
        </w:tabs>
        <w:kinsoku/>
        <w:wordWrap/>
        <w:overflowPunct/>
        <w:topLinePunct w:val="0"/>
        <w:autoSpaceDE/>
        <w:autoSpaceDN/>
        <w:bidi w:val="0"/>
        <w:spacing w:line="336" w:lineRule="auto"/>
        <w:ind w:firstLine="0" w:firstLineChars="0"/>
        <w:jc w:val="center"/>
        <w:textAlignment w:val="auto"/>
        <w:rPr>
          <w:rFonts w:hint="eastAsia" w:ascii="宋体" w:hAnsi="宋体" w:cs="宋体"/>
          <w:b/>
          <w:bCs/>
          <w:sz w:val="28"/>
          <w:szCs w:val="40"/>
        </w:rPr>
      </w:pPr>
      <w:r>
        <w:rPr>
          <w:rFonts w:hint="eastAsia" w:ascii="宋体" w:hAnsi="宋体" w:cs="宋体"/>
          <w:b/>
          <w:bCs/>
          <w:sz w:val="28"/>
          <w:szCs w:val="40"/>
        </w:rPr>
        <w:t>目录</w:t>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TOC \o "1-1" \h \u </w:instrText>
      </w:r>
      <w:r>
        <w:rPr>
          <w:szCs w:val="36"/>
        </w:rPr>
        <w:fldChar w:fldCharType="separate"/>
      </w:r>
      <w:r>
        <w:rPr>
          <w:szCs w:val="36"/>
        </w:rPr>
        <w:fldChar w:fldCharType="begin"/>
      </w:r>
      <w:r>
        <w:rPr>
          <w:szCs w:val="36"/>
        </w:rPr>
        <w:instrText xml:space="preserve"> HYPERLINK \l _Toc20207 </w:instrText>
      </w:r>
      <w:r>
        <w:rPr>
          <w:szCs w:val="36"/>
        </w:rPr>
        <w:fldChar w:fldCharType="separate"/>
      </w:r>
      <w:r>
        <w:rPr>
          <w:rFonts w:hint="eastAsia" w:ascii="黑体" w:hAnsi="黑体" w:eastAsia="黑体"/>
          <w:snapToGrid w:val="0"/>
          <w:szCs w:val="30"/>
        </w:rPr>
        <w:t>一、建设项目基本情况</w:t>
      </w:r>
      <w:r>
        <w:tab/>
      </w:r>
      <w:r>
        <w:fldChar w:fldCharType="begin"/>
      </w:r>
      <w:r>
        <w:instrText xml:space="preserve"> PAGEREF _Toc20207 \h </w:instrText>
      </w:r>
      <w:r>
        <w:fldChar w:fldCharType="separate"/>
      </w:r>
      <w:r>
        <w:t>1</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_Toc10253 </w:instrText>
      </w:r>
      <w:r>
        <w:rPr>
          <w:szCs w:val="36"/>
        </w:rPr>
        <w:fldChar w:fldCharType="separate"/>
      </w:r>
      <w:r>
        <w:rPr>
          <w:rFonts w:hint="eastAsia" w:ascii="黑体" w:hAnsi="黑体" w:eastAsia="黑体"/>
          <w:snapToGrid w:val="0"/>
          <w:szCs w:val="30"/>
        </w:rPr>
        <w:t>二、建设项目工程分析</w:t>
      </w:r>
      <w:r>
        <w:tab/>
      </w:r>
      <w:r>
        <w:fldChar w:fldCharType="begin"/>
      </w:r>
      <w:r>
        <w:instrText xml:space="preserve"> PAGEREF _Toc10253 \h </w:instrText>
      </w:r>
      <w:r>
        <w:fldChar w:fldCharType="separate"/>
      </w:r>
      <w:r>
        <w:t>21</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_Toc12220 </w:instrText>
      </w:r>
      <w:r>
        <w:rPr>
          <w:szCs w:val="36"/>
        </w:rPr>
        <w:fldChar w:fldCharType="separate"/>
      </w:r>
      <w:r>
        <w:rPr>
          <w:rFonts w:hint="eastAsia" w:ascii="黑体" w:hAnsi="黑体" w:eastAsia="黑体"/>
          <w:snapToGrid w:val="0"/>
          <w:szCs w:val="30"/>
        </w:rPr>
        <w:t>三、区域环境质量现状、环境保护目标及评价标准</w:t>
      </w:r>
      <w:r>
        <w:tab/>
      </w:r>
      <w:r>
        <w:fldChar w:fldCharType="begin"/>
      </w:r>
      <w:r>
        <w:instrText xml:space="preserve"> PAGEREF _Toc12220 \h </w:instrText>
      </w:r>
      <w:r>
        <w:fldChar w:fldCharType="separate"/>
      </w:r>
      <w:r>
        <w:t>38</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_Toc21763 </w:instrText>
      </w:r>
      <w:r>
        <w:rPr>
          <w:szCs w:val="36"/>
        </w:rPr>
        <w:fldChar w:fldCharType="separate"/>
      </w:r>
      <w:r>
        <w:rPr>
          <w:rFonts w:hint="eastAsia" w:ascii="黑体" w:hAnsi="黑体" w:eastAsia="黑体"/>
          <w:snapToGrid w:val="0"/>
          <w:szCs w:val="30"/>
        </w:rPr>
        <w:t>四、主要环境影响和保护措施</w:t>
      </w:r>
      <w:r>
        <w:tab/>
      </w:r>
      <w:r>
        <w:fldChar w:fldCharType="begin"/>
      </w:r>
      <w:r>
        <w:instrText xml:space="preserve"> PAGEREF _Toc21763 \h </w:instrText>
      </w:r>
      <w:r>
        <w:fldChar w:fldCharType="separate"/>
      </w:r>
      <w:r>
        <w:t>47</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_Toc7007 </w:instrText>
      </w:r>
      <w:r>
        <w:rPr>
          <w:szCs w:val="36"/>
        </w:rPr>
        <w:fldChar w:fldCharType="separate"/>
      </w:r>
      <w:r>
        <w:rPr>
          <w:rFonts w:hint="eastAsia" w:ascii="黑体" w:hAnsi="黑体" w:eastAsia="黑体"/>
          <w:snapToGrid w:val="0"/>
          <w:szCs w:val="30"/>
        </w:rPr>
        <w:t>五、环境保护措施监督检查清单</w:t>
      </w:r>
      <w:r>
        <w:tab/>
      </w:r>
      <w:r>
        <w:fldChar w:fldCharType="begin"/>
      </w:r>
      <w:r>
        <w:instrText xml:space="preserve"> PAGEREF _Toc7007 \h </w:instrText>
      </w:r>
      <w:r>
        <w:fldChar w:fldCharType="separate"/>
      </w:r>
      <w:r>
        <w:t>84</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_Toc4492 </w:instrText>
      </w:r>
      <w:r>
        <w:rPr>
          <w:szCs w:val="36"/>
        </w:rPr>
        <w:fldChar w:fldCharType="separate"/>
      </w:r>
      <w:r>
        <w:rPr>
          <w:rFonts w:hint="eastAsia" w:ascii="黑体" w:hAnsi="黑体" w:eastAsia="黑体"/>
          <w:snapToGrid w:val="0"/>
          <w:szCs w:val="30"/>
        </w:rPr>
        <w:t>六、结论</w:t>
      </w:r>
      <w:r>
        <w:tab/>
      </w:r>
      <w:r>
        <w:fldChar w:fldCharType="begin"/>
      </w:r>
      <w:r>
        <w:instrText xml:space="preserve"> PAGEREF _Toc4492 \h </w:instrText>
      </w:r>
      <w:r>
        <w:fldChar w:fldCharType="separate"/>
      </w:r>
      <w:r>
        <w:t>86</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_Toc4940 </w:instrText>
      </w:r>
      <w:r>
        <w:rPr>
          <w:szCs w:val="36"/>
        </w:rPr>
        <w:fldChar w:fldCharType="separate"/>
      </w:r>
      <w:r>
        <w:rPr>
          <w:rFonts w:hint="eastAsia" w:ascii="黑体" w:hAnsi="黑体" w:eastAsia="黑体"/>
          <w:snapToGrid w:val="0"/>
          <w:szCs w:val="32"/>
        </w:rPr>
        <w:t>附表</w:t>
      </w:r>
      <w:r>
        <w:tab/>
      </w:r>
      <w:r>
        <w:fldChar w:fldCharType="begin"/>
      </w:r>
      <w:r>
        <w:instrText xml:space="preserve"> PAGEREF _Toc4940 \h </w:instrText>
      </w:r>
      <w:r>
        <w:fldChar w:fldCharType="separate"/>
      </w:r>
      <w:r>
        <w:t>87</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_Toc31717 </w:instrText>
      </w:r>
      <w:r>
        <w:rPr>
          <w:szCs w:val="36"/>
        </w:rPr>
        <w:fldChar w:fldCharType="separate"/>
      </w:r>
      <w:r>
        <w:rPr>
          <w:rFonts w:hint="default"/>
          <w:szCs w:val="28"/>
        </w:rPr>
        <w:t xml:space="preserve">附图1 </w:t>
      </w:r>
      <w:r>
        <w:rPr>
          <w:rFonts w:hint="eastAsia"/>
          <w:szCs w:val="28"/>
        </w:rPr>
        <w:t>建设项目地理位置图</w:t>
      </w:r>
      <w:r>
        <w:tab/>
      </w:r>
      <w:r>
        <w:fldChar w:fldCharType="begin"/>
      </w:r>
      <w:r>
        <w:instrText xml:space="preserve"> PAGEREF _Toc31717 \h </w:instrText>
      </w:r>
      <w:r>
        <w:fldChar w:fldCharType="separate"/>
      </w:r>
      <w:r>
        <w:t>89</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_Toc26746 </w:instrText>
      </w:r>
      <w:r>
        <w:rPr>
          <w:szCs w:val="36"/>
        </w:rPr>
        <w:fldChar w:fldCharType="separate"/>
      </w:r>
      <w:r>
        <w:rPr>
          <w:rFonts w:hint="default"/>
          <w:szCs w:val="28"/>
        </w:rPr>
        <w:t xml:space="preserve">附图2 </w:t>
      </w:r>
      <w:r>
        <w:rPr>
          <w:rFonts w:hint="eastAsia"/>
          <w:szCs w:val="28"/>
        </w:rPr>
        <w:t>引用监测点位与项目位置关系图</w:t>
      </w:r>
      <w:r>
        <w:tab/>
      </w:r>
      <w:r>
        <w:fldChar w:fldCharType="begin"/>
      </w:r>
      <w:r>
        <w:instrText xml:space="preserve"> PAGEREF _Toc26746 \h </w:instrText>
      </w:r>
      <w:r>
        <w:fldChar w:fldCharType="separate"/>
      </w:r>
      <w:r>
        <w:t>90</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_Toc8145 </w:instrText>
      </w:r>
      <w:r>
        <w:rPr>
          <w:szCs w:val="36"/>
        </w:rPr>
        <w:fldChar w:fldCharType="separate"/>
      </w:r>
      <w:r>
        <w:rPr>
          <w:rFonts w:hint="default"/>
          <w:szCs w:val="28"/>
        </w:rPr>
        <w:t xml:space="preserve">附图3 </w:t>
      </w:r>
      <w:r>
        <w:rPr>
          <w:rFonts w:hint="eastAsia"/>
          <w:szCs w:val="28"/>
        </w:rPr>
        <w:t>项目与园区位置关系图</w:t>
      </w:r>
      <w:r>
        <w:tab/>
      </w:r>
      <w:r>
        <w:fldChar w:fldCharType="begin"/>
      </w:r>
      <w:r>
        <w:instrText xml:space="preserve"> PAGEREF _Toc8145 \h </w:instrText>
      </w:r>
      <w:r>
        <w:fldChar w:fldCharType="separate"/>
      </w:r>
      <w:r>
        <w:t>91</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_Toc29180 </w:instrText>
      </w:r>
      <w:r>
        <w:rPr>
          <w:szCs w:val="36"/>
        </w:rPr>
        <w:fldChar w:fldCharType="separate"/>
      </w:r>
      <w:r>
        <w:rPr>
          <w:rFonts w:hint="default"/>
          <w:szCs w:val="28"/>
        </w:rPr>
        <w:t xml:space="preserve">附图4 </w:t>
      </w:r>
      <w:r>
        <w:rPr>
          <w:rFonts w:hint="eastAsia"/>
          <w:szCs w:val="28"/>
          <w:lang w:val="en-US" w:eastAsia="zh-CN"/>
        </w:rPr>
        <w:t>用地规划</w:t>
      </w:r>
      <w:r>
        <w:rPr>
          <w:rFonts w:hint="eastAsia"/>
          <w:szCs w:val="28"/>
        </w:rPr>
        <w:t>图</w:t>
      </w:r>
      <w:r>
        <w:tab/>
      </w:r>
      <w:r>
        <w:fldChar w:fldCharType="begin"/>
      </w:r>
      <w:r>
        <w:instrText xml:space="preserve"> PAGEREF _Toc29180 \h </w:instrText>
      </w:r>
      <w:r>
        <w:fldChar w:fldCharType="separate"/>
      </w:r>
      <w:r>
        <w:t>92</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_Toc1176 </w:instrText>
      </w:r>
      <w:r>
        <w:rPr>
          <w:szCs w:val="36"/>
        </w:rPr>
        <w:fldChar w:fldCharType="separate"/>
      </w:r>
      <w:r>
        <w:rPr>
          <w:rFonts w:hint="default"/>
          <w:szCs w:val="28"/>
        </w:rPr>
        <w:t xml:space="preserve">附图5 </w:t>
      </w:r>
      <w:r>
        <w:rPr>
          <w:rFonts w:hint="eastAsia"/>
          <w:szCs w:val="28"/>
        </w:rPr>
        <w:t>项目总平面布置图</w:t>
      </w:r>
      <w:r>
        <w:tab/>
      </w:r>
      <w:r>
        <w:fldChar w:fldCharType="begin"/>
      </w:r>
      <w:r>
        <w:instrText xml:space="preserve"> PAGEREF _Toc1176 \h </w:instrText>
      </w:r>
      <w:r>
        <w:fldChar w:fldCharType="separate"/>
      </w:r>
      <w:r>
        <w:t>93</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_Toc7258 </w:instrText>
      </w:r>
      <w:r>
        <w:rPr>
          <w:szCs w:val="36"/>
        </w:rPr>
        <w:fldChar w:fldCharType="separate"/>
      </w:r>
      <w:r>
        <w:rPr>
          <w:rFonts w:hint="default"/>
          <w:szCs w:val="28"/>
        </w:rPr>
        <w:t xml:space="preserve">附图6 </w:t>
      </w:r>
      <w:r>
        <w:rPr>
          <w:rFonts w:hint="eastAsia"/>
          <w:szCs w:val="28"/>
        </w:rPr>
        <w:t>废水排放路径图</w:t>
      </w:r>
      <w:r>
        <w:tab/>
      </w:r>
      <w:r>
        <w:fldChar w:fldCharType="begin"/>
      </w:r>
      <w:r>
        <w:instrText xml:space="preserve"> PAGEREF _Toc7258 \h </w:instrText>
      </w:r>
      <w:r>
        <w:fldChar w:fldCharType="separate"/>
      </w:r>
      <w:r>
        <w:t>95</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_Toc25986 </w:instrText>
      </w:r>
      <w:r>
        <w:rPr>
          <w:szCs w:val="36"/>
        </w:rPr>
        <w:fldChar w:fldCharType="separate"/>
      </w:r>
      <w:r>
        <w:rPr>
          <w:rFonts w:hint="default"/>
          <w:szCs w:val="28"/>
        </w:rPr>
        <w:t xml:space="preserve">附图7 </w:t>
      </w:r>
      <w:r>
        <w:rPr>
          <w:rFonts w:hint="eastAsia"/>
          <w:szCs w:val="28"/>
        </w:rPr>
        <w:t>区域水系图</w:t>
      </w:r>
      <w:r>
        <w:tab/>
      </w:r>
      <w:r>
        <w:fldChar w:fldCharType="begin"/>
      </w:r>
      <w:r>
        <w:instrText xml:space="preserve"> PAGEREF _Toc25986 \h </w:instrText>
      </w:r>
      <w:r>
        <w:fldChar w:fldCharType="separate"/>
      </w:r>
      <w:r>
        <w:t>96</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_Toc6962 </w:instrText>
      </w:r>
      <w:r>
        <w:rPr>
          <w:szCs w:val="36"/>
        </w:rPr>
        <w:fldChar w:fldCharType="separate"/>
      </w:r>
      <w:r>
        <w:rPr>
          <w:rFonts w:hint="default"/>
          <w:szCs w:val="28"/>
        </w:rPr>
        <w:t xml:space="preserve">附图8 </w:t>
      </w:r>
      <w:r>
        <w:rPr>
          <w:rFonts w:hint="eastAsia"/>
          <w:szCs w:val="28"/>
        </w:rPr>
        <w:t>大气环境保护目标图</w:t>
      </w:r>
      <w:r>
        <w:tab/>
      </w:r>
      <w:r>
        <w:fldChar w:fldCharType="begin"/>
      </w:r>
      <w:r>
        <w:instrText xml:space="preserve"> PAGEREF _Toc6962 \h </w:instrText>
      </w:r>
      <w:r>
        <w:fldChar w:fldCharType="separate"/>
      </w:r>
      <w:r>
        <w:t>97</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_Toc16222 </w:instrText>
      </w:r>
      <w:r>
        <w:rPr>
          <w:szCs w:val="36"/>
        </w:rPr>
        <w:fldChar w:fldCharType="separate"/>
      </w:r>
      <w:r>
        <w:rPr>
          <w:rFonts w:hint="default"/>
          <w:szCs w:val="28"/>
        </w:rPr>
        <w:t xml:space="preserve">附图9 </w:t>
      </w:r>
      <w:r>
        <w:rPr>
          <w:rFonts w:hint="eastAsia"/>
          <w:szCs w:val="28"/>
        </w:rPr>
        <w:t>项目周边环境图</w:t>
      </w:r>
      <w:r>
        <w:tab/>
      </w:r>
      <w:r>
        <w:fldChar w:fldCharType="begin"/>
      </w:r>
      <w:r>
        <w:instrText xml:space="preserve"> PAGEREF _Toc16222 \h </w:instrText>
      </w:r>
      <w:r>
        <w:fldChar w:fldCharType="separate"/>
      </w:r>
      <w:r>
        <w:t>98</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_Toc22804 </w:instrText>
      </w:r>
      <w:r>
        <w:rPr>
          <w:szCs w:val="36"/>
        </w:rPr>
        <w:fldChar w:fldCharType="separate"/>
      </w:r>
      <w:r>
        <w:rPr>
          <w:rFonts w:hint="default"/>
          <w:szCs w:val="28"/>
        </w:rPr>
        <w:t xml:space="preserve">附件1 </w:t>
      </w:r>
      <w:r>
        <w:rPr>
          <w:rFonts w:hint="eastAsia"/>
          <w:szCs w:val="28"/>
        </w:rPr>
        <w:t>委托书</w:t>
      </w:r>
      <w:r>
        <w:tab/>
      </w:r>
      <w:r>
        <w:fldChar w:fldCharType="begin"/>
      </w:r>
      <w:r>
        <w:instrText xml:space="preserve"> PAGEREF _Toc22804 \h </w:instrText>
      </w:r>
      <w:r>
        <w:fldChar w:fldCharType="separate"/>
      </w:r>
      <w:r>
        <w:t>99</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_Toc14195 </w:instrText>
      </w:r>
      <w:r>
        <w:rPr>
          <w:szCs w:val="36"/>
        </w:rPr>
        <w:fldChar w:fldCharType="separate"/>
      </w:r>
      <w:r>
        <w:rPr>
          <w:rFonts w:hint="default"/>
          <w:szCs w:val="28"/>
        </w:rPr>
        <w:t xml:space="preserve">附件2 </w:t>
      </w:r>
      <w:r>
        <w:rPr>
          <w:rFonts w:hint="eastAsia"/>
          <w:szCs w:val="28"/>
        </w:rPr>
        <w:t>营业执照</w:t>
      </w:r>
      <w:r>
        <w:tab/>
      </w:r>
      <w:r>
        <w:fldChar w:fldCharType="begin"/>
      </w:r>
      <w:r>
        <w:instrText xml:space="preserve"> PAGEREF _Toc14195 \h </w:instrText>
      </w:r>
      <w:r>
        <w:fldChar w:fldCharType="separate"/>
      </w:r>
      <w:r>
        <w:t>100</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_Toc7997 </w:instrText>
      </w:r>
      <w:r>
        <w:rPr>
          <w:szCs w:val="36"/>
        </w:rPr>
        <w:fldChar w:fldCharType="separate"/>
      </w:r>
      <w:r>
        <w:rPr>
          <w:rFonts w:hint="default"/>
          <w:szCs w:val="28"/>
        </w:rPr>
        <w:t xml:space="preserve">附件3 </w:t>
      </w:r>
      <w:r>
        <w:rPr>
          <w:rFonts w:hint="eastAsia"/>
          <w:szCs w:val="28"/>
        </w:rPr>
        <w:t>生产项目备案证明</w:t>
      </w:r>
      <w:r>
        <w:tab/>
      </w:r>
      <w:r>
        <w:fldChar w:fldCharType="begin"/>
      </w:r>
      <w:r>
        <w:instrText xml:space="preserve"> PAGEREF _Toc7997 \h </w:instrText>
      </w:r>
      <w:r>
        <w:fldChar w:fldCharType="separate"/>
      </w:r>
      <w:r>
        <w:t>101</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_Toc3799 </w:instrText>
      </w:r>
      <w:r>
        <w:rPr>
          <w:szCs w:val="36"/>
        </w:rPr>
        <w:fldChar w:fldCharType="separate"/>
      </w:r>
      <w:r>
        <w:rPr>
          <w:rFonts w:hint="default"/>
          <w:szCs w:val="28"/>
        </w:rPr>
        <w:t xml:space="preserve">附件4 </w:t>
      </w:r>
      <w:r>
        <w:rPr>
          <w:rFonts w:hint="eastAsia"/>
          <w:szCs w:val="28"/>
        </w:rPr>
        <w:t>厂房租赁合同</w:t>
      </w:r>
      <w:r>
        <w:tab/>
      </w:r>
      <w:r>
        <w:fldChar w:fldCharType="begin"/>
      </w:r>
      <w:r>
        <w:instrText xml:space="preserve"> PAGEREF _Toc3799 \h </w:instrText>
      </w:r>
      <w:r>
        <w:fldChar w:fldCharType="separate"/>
      </w:r>
      <w:r>
        <w:t>103</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_Toc31764 </w:instrText>
      </w:r>
      <w:r>
        <w:rPr>
          <w:szCs w:val="36"/>
        </w:rPr>
        <w:fldChar w:fldCharType="separate"/>
      </w:r>
      <w:r>
        <w:rPr>
          <w:rFonts w:hint="default"/>
          <w:szCs w:val="28"/>
        </w:rPr>
        <w:t xml:space="preserve">附件5 </w:t>
      </w:r>
      <w:r>
        <w:rPr>
          <w:rFonts w:hint="eastAsia"/>
          <w:szCs w:val="28"/>
        </w:rPr>
        <w:t>《原湖南省环境保护厅关于西渡经济开发区环境影响报告书的批复》（湘环评〔2013〕285号）</w:t>
      </w:r>
      <w:r>
        <w:tab/>
      </w:r>
      <w:r>
        <w:fldChar w:fldCharType="begin"/>
      </w:r>
      <w:r>
        <w:instrText xml:space="preserve"> PAGEREF _Toc31764 \h </w:instrText>
      </w:r>
      <w:r>
        <w:fldChar w:fldCharType="separate"/>
      </w:r>
      <w:r>
        <w:t>113</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_Toc11632 </w:instrText>
      </w:r>
      <w:r>
        <w:rPr>
          <w:szCs w:val="36"/>
        </w:rPr>
        <w:fldChar w:fldCharType="separate"/>
      </w:r>
      <w:r>
        <w:rPr>
          <w:rFonts w:hint="default"/>
          <w:szCs w:val="28"/>
        </w:rPr>
        <w:t xml:space="preserve">附件6 </w:t>
      </w:r>
      <w:r>
        <w:rPr>
          <w:rFonts w:hint="eastAsia"/>
          <w:szCs w:val="28"/>
        </w:rPr>
        <w:t>《湖南省生态环境厅关于湖南衡阳西渡高新技术产业园区环境影响跟踪评价工作意见的函》（湘环评函〔2022〕85号）</w:t>
      </w:r>
      <w:r>
        <w:tab/>
      </w:r>
      <w:r>
        <w:fldChar w:fldCharType="begin"/>
      </w:r>
      <w:r>
        <w:instrText xml:space="preserve"> PAGEREF _Toc11632 \h </w:instrText>
      </w:r>
      <w:r>
        <w:fldChar w:fldCharType="separate"/>
      </w:r>
      <w:r>
        <w:t>118</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_Toc26258 </w:instrText>
      </w:r>
      <w:r>
        <w:rPr>
          <w:szCs w:val="36"/>
        </w:rPr>
        <w:fldChar w:fldCharType="separate"/>
      </w:r>
      <w:r>
        <w:rPr>
          <w:rFonts w:hint="default"/>
          <w:szCs w:val="28"/>
        </w:rPr>
        <w:t xml:space="preserve">附件7 </w:t>
      </w:r>
      <w:r>
        <w:rPr>
          <w:rFonts w:hint="eastAsia"/>
          <w:szCs w:val="28"/>
        </w:rPr>
        <w:t>西渡高新区环境质量检测报告</w:t>
      </w:r>
      <w:r>
        <w:tab/>
      </w:r>
      <w:r>
        <w:fldChar w:fldCharType="begin"/>
      </w:r>
      <w:r>
        <w:instrText xml:space="preserve"> PAGEREF _Toc26258 \h </w:instrText>
      </w:r>
      <w:r>
        <w:fldChar w:fldCharType="separate"/>
      </w:r>
      <w:r>
        <w:t>124</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_Toc27195 </w:instrText>
      </w:r>
      <w:r>
        <w:rPr>
          <w:szCs w:val="36"/>
        </w:rPr>
        <w:fldChar w:fldCharType="separate"/>
      </w:r>
      <w:r>
        <w:rPr>
          <w:rFonts w:hint="default"/>
          <w:szCs w:val="28"/>
        </w:rPr>
        <w:t xml:space="preserve">附件8 </w:t>
      </w:r>
      <w:r>
        <w:rPr>
          <w:rFonts w:hint="eastAsia"/>
          <w:szCs w:val="28"/>
          <w:lang w:eastAsia="zh-CN"/>
        </w:rPr>
        <w:t>湖南坚利美超硬材料有限公司坚利美超硬材料建设项目监</w:t>
      </w:r>
      <w:r>
        <w:rPr>
          <w:rFonts w:hint="eastAsia"/>
          <w:szCs w:val="28"/>
        </w:rPr>
        <w:t>测报告</w:t>
      </w:r>
      <w:r>
        <w:tab/>
      </w:r>
      <w:r>
        <w:fldChar w:fldCharType="begin"/>
      </w:r>
      <w:r>
        <w:instrText xml:space="preserve"> PAGEREF _Toc27195 \h </w:instrText>
      </w:r>
      <w:r>
        <w:fldChar w:fldCharType="separate"/>
      </w:r>
      <w:r>
        <w:t>134</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_Toc19972 </w:instrText>
      </w:r>
      <w:r>
        <w:rPr>
          <w:szCs w:val="36"/>
        </w:rPr>
        <w:fldChar w:fldCharType="separate"/>
      </w:r>
      <w:r>
        <w:rPr>
          <w:rFonts w:hint="default" w:ascii="Times New Roman" w:hAnsi="Times New Roman" w:eastAsia="宋体"/>
          <w:szCs w:val="28"/>
          <w:lang w:val="en-US" w:eastAsia="zh-CN"/>
        </w:rPr>
        <w:t xml:space="preserve">附件9 </w:t>
      </w:r>
      <w:r>
        <w:rPr>
          <w:rFonts w:hint="eastAsia" w:ascii="Times New Roman" w:hAnsi="Times New Roman" w:eastAsia="宋体"/>
          <w:szCs w:val="28"/>
          <w:lang w:val="en-US" w:eastAsia="zh-CN"/>
        </w:rPr>
        <w:t>专家意见</w:t>
      </w:r>
      <w:r>
        <w:tab/>
      </w:r>
      <w:r>
        <w:fldChar w:fldCharType="begin"/>
      </w:r>
      <w:r>
        <w:instrText xml:space="preserve"> PAGEREF _Toc19972 \h </w:instrText>
      </w:r>
      <w:r>
        <w:fldChar w:fldCharType="separate"/>
      </w:r>
      <w:r>
        <w:t>141</w:t>
      </w:r>
      <w:r>
        <w:fldChar w:fldCharType="end"/>
      </w:r>
      <w:r>
        <w:rPr>
          <w:szCs w:val="36"/>
        </w:rPr>
        <w:fldChar w:fldCharType="end"/>
      </w:r>
    </w:p>
    <w:p>
      <w:pPr>
        <w:pStyle w:val="13"/>
        <w:keepNext w:val="0"/>
        <w:keepLines w:val="0"/>
        <w:pageBreakBefore w:val="0"/>
        <w:widowControl w:val="0"/>
        <w:tabs>
          <w:tab w:val="right" w:leader="dot" w:pos="8844"/>
        </w:tabs>
        <w:kinsoku/>
        <w:wordWrap/>
        <w:overflowPunct/>
        <w:topLinePunct w:val="0"/>
        <w:autoSpaceDE/>
        <w:autoSpaceDN/>
        <w:bidi w:val="0"/>
        <w:spacing w:line="336" w:lineRule="auto"/>
        <w:textAlignment w:val="auto"/>
      </w:pPr>
      <w:r>
        <w:rPr>
          <w:szCs w:val="36"/>
        </w:rPr>
        <w:fldChar w:fldCharType="begin"/>
      </w:r>
      <w:r>
        <w:rPr>
          <w:szCs w:val="36"/>
        </w:rPr>
        <w:instrText xml:space="preserve"> HYPERLINK \l _Toc8842 </w:instrText>
      </w:r>
      <w:r>
        <w:rPr>
          <w:szCs w:val="36"/>
        </w:rPr>
        <w:fldChar w:fldCharType="separate"/>
      </w:r>
      <w:r>
        <w:rPr>
          <w:rFonts w:hint="default" w:ascii="Times New Roman" w:hAnsi="Times New Roman" w:eastAsia="宋体"/>
          <w:szCs w:val="28"/>
          <w:lang w:val="en-US" w:eastAsia="zh-CN"/>
        </w:rPr>
        <w:t xml:space="preserve">附件10 </w:t>
      </w:r>
      <w:r>
        <w:rPr>
          <w:rFonts w:hint="eastAsia" w:ascii="Times New Roman" w:hAnsi="Times New Roman" w:eastAsia="宋体"/>
          <w:szCs w:val="28"/>
          <w:lang w:val="en-US" w:eastAsia="zh-CN"/>
        </w:rPr>
        <w:t>专家签到表</w:t>
      </w:r>
      <w:r>
        <w:tab/>
      </w:r>
      <w:r>
        <w:fldChar w:fldCharType="begin"/>
      </w:r>
      <w:r>
        <w:instrText xml:space="preserve"> PAGEREF _Toc8842 \h </w:instrText>
      </w:r>
      <w:r>
        <w:fldChar w:fldCharType="separate"/>
      </w:r>
      <w:r>
        <w:t>144</w:t>
      </w:r>
      <w:r>
        <w:fldChar w:fldCharType="end"/>
      </w:r>
      <w:r>
        <w:rPr>
          <w:szCs w:val="36"/>
        </w:rPr>
        <w:fldChar w:fldCharType="end"/>
      </w:r>
    </w:p>
    <w:p>
      <w:pPr>
        <w:keepNext w:val="0"/>
        <w:keepLines w:val="0"/>
        <w:pageBreakBefore w:val="0"/>
        <w:widowControl w:val="0"/>
        <w:kinsoku/>
        <w:wordWrap/>
        <w:overflowPunct/>
        <w:topLinePunct w:val="0"/>
        <w:autoSpaceDE/>
        <w:autoSpaceDN/>
        <w:bidi w:val="0"/>
        <w:adjustRightInd w:val="0"/>
        <w:snapToGrid w:val="0"/>
        <w:spacing w:line="336" w:lineRule="auto"/>
        <w:ind w:firstLine="480"/>
        <w:textAlignment w:val="auto"/>
        <w:rPr>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szCs w:val="36"/>
        </w:rPr>
        <w:fldChar w:fldCharType="end"/>
      </w:r>
    </w:p>
    <w:p>
      <w:pPr>
        <w:pStyle w:val="15"/>
        <w:jc w:val="center"/>
        <w:outlineLvl w:val="0"/>
        <w:rPr>
          <w:rFonts w:hint="eastAsia" w:ascii="黑体" w:hAnsi="黑体" w:eastAsia="黑体"/>
          <w:snapToGrid w:val="0"/>
          <w:sz w:val="30"/>
          <w:szCs w:val="30"/>
        </w:rPr>
      </w:pPr>
      <w:bookmarkStart w:id="1" w:name="_Toc20207"/>
      <w:r>
        <w:rPr>
          <w:rFonts w:hint="eastAsia" w:ascii="黑体" w:hAnsi="黑体" w:eastAsia="黑体"/>
          <w:snapToGrid w:val="0"/>
          <w:sz w:val="30"/>
          <w:szCs w:val="30"/>
        </w:rPr>
        <w:t>一、建设项目基本情况</w:t>
      </w:r>
      <w:bookmarkEnd w:id="1"/>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98"/>
        <w:gridCol w:w="2778"/>
        <w:gridCol w:w="1886"/>
        <w:gridCol w:w="32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建设项目名称</w:t>
            </w:r>
          </w:p>
        </w:tc>
        <w:tc>
          <w:tcPr>
            <w:tcW w:w="7735" w:type="dxa"/>
            <w:gridSpan w:val="3"/>
            <w:vAlign w:val="center"/>
          </w:tcPr>
          <w:p>
            <w:pPr>
              <w:spacing w:line="240" w:lineRule="auto"/>
              <w:ind w:firstLine="0" w:firstLineChars="0"/>
              <w:jc w:val="center"/>
            </w:pPr>
            <w:r>
              <w:rPr>
                <w:rFonts w:hint="eastAsia"/>
              </w:rPr>
              <w:t>湖南小明同学电器有限公司年加工200万件金属制品建设项目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项目代码</w:t>
            </w:r>
          </w:p>
        </w:tc>
        <w:tc>
          <w:tcPr>
            <w:tcW w:w="7735" w:type="dxa"/>
            <w:gridSpan w:val="3"/>
            <w:vAlign w:val="center"/>
          </w:tcPr>
          <w:p>
            <w:pPr>
              <w:spacing w:line="240" w:lineRule="auto"/>
              <w:ind w:firstLine="0" w:firstLineChars="0"/>
              <w:jc w:val="center"/>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建设单位联系人</w:t>
            </w:r>
          </w:p>
        </w:tc>
        <w:tc>
          <w:tcPr>
            <w:tcW w:w="2783" w:type="dxa"/>
            <w:vAlign w:val="center"/>
          </w:tcPr>
          <w:p>
            <w:pPr>
              <w:spacing w:line="240" w:lineRule="auto"/>
              <w:ind w:firstLine="0" w:firstLineChars="0"/>
              <w:jc w:val="center"/>
            </w:pPr>
            <w:r>
              <w:rPr>
                <w:rFonts w:hint="eastAsia"/>
              </w:rPr>
              <w:t>邹锦先</w:t>
            </w:r>
          </w:p>
        </w:tc>
        <w:tc>
          <w:tcPr>
            <w:tcW w:w="1833" w:type="dxa"/>
            <w:vAlign w:val="center"/>
          </w:tcPr>
          <w:p>
            <w:pPr>
              <w:spacing w:line="240" w:lineRule="auto"/>
              <w:ind w:firstLine="0" w:firstLineChars="0"/>
              <w:jc w:val="center"/>
            </w:pPr>
            <w:r>
              <w:rPr>
                <w:rFonts w:hint="eastAsia"/>
              </w:rPr>
              <w:t>联系方式</w:t>
            </w:r>
          </w:p>
        </w:tc>
        <w:tc>
          <w:tcPr>
            <w:tcW w:w="3119" w:type="dxa"/>
            <w:vAlign w:val="center"/>
          </w:tcPr>
          <w:p>
            <w:pPr>
              <w:spacing w:line="240" w:lineRule="auto"/>
              <w:ind w:firstLine="0" w:firstLineChars="0"/>
              <w:jc w:val="center"/>
            </w:pPr>
            <w:r>
              <w:rPr>
                <w:rFonts w:hint="eastAsia"/>
              </w:rPr>
              <w:t>15876082594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建设地点</w:t>
            </w:r>
          </w:p>
        </w:tc>
        <w:tc>
          <w:tcPr>
            <w:tcW w:w="7735" w:type="dxa"/>
            <w:gridSpan w:val="3"/>
            <w:vAlign w:val="center"/>
          </w:tcPr>
          <w:p>
            <w:pPr>
              <w:spacing w:line="240" w:lineRule="auto"/>
              <w:ind w:firstLine="0" w:firstLineChars="0"/>
              <w:jc w:val="center"/>
            </w:pPr>
            <w:r>
              <w:rPr>
                <w:rFonts w:hint="eastAsia"/>
              </w:rPr>
              <w:t>湖南省衡阳市衡阳县西渡镇西渡高新区内船山西路与洪山路交汇处东北角双创中心内厂房28栋与23栋一层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地理坐标</w:t>
            </w:r>
          </w:p>
        </w:tc>
        <w:tc>
          <w:tcPr>
            <w:tcW w:w="7735" w:type="dxa"/>
            <w:gridSpan w:val="3"/>
            <w:vAlign w:val="center"/>
          </w:tcPr>
          <w:p>
            <w:pPr>
              <w:spacing w:line="240" w:lineRule="auto"/>
              <w:ind w:firstLine="0" w:firstLineChars="0"/>
              <w:jc w:val="center"/>
            </w:pPr>
            <w:r>
              <w:rPr>
                <w:rFonts w:hint="eastAsia"/>
              </w:rPr>
              <w:t>（</w:t>
            </w:r>
            <w:r>
              <w:rPr>
                <w:rFonts w:hint="eastAsia"/>
                <w:lang w:val="en-US" w:eastAsia="zh-CN"/>
              </w:rPr>
              <w:t>东经</w:t>
            </w:r>
            <w:r>
              <w:t xml:space="preserve"> </w:t>
            </w:r>
            <w:r>
              <w:rPr>
                <w:rFonts w:hint="eastAsia"/>
              </w:rPr>
              <w:t>112</w:t>
            </w:r>
            <w:r>
              <w:t xml:space="preserve"> </w:t>
            </w:r>
            <w:r>
              <w:rPr>
                <w:rFonts w:hint="eastAsia"/>
              </w:rPr>
              <w:t>度</w:t>
            </w:r>
            <w:r>
              <w:t xml:space="preserve"> </w:t>
            </w:r>
            <w:r>
              <w:rPr>
                <w:rFonts w:hint="eastAsia"/>
              </w:rPr>
              <w:t>24</w:t>
            </w:r>
            <w:r>
              <w:t xml:space="preserve"> </w:t>
            </w:r>
            <w:r>
              <w:rPr>
                <w:rFonts w:hint="eastAsia"/>
              </w:rPr>
              <w:t>分</w:t>
            </w:r>
            <w:r>
              <w:t xml:space="preserve"> </w:t>
            </w:r>
            <w:r>
              <w:rPr>
                <w:rFonts w:hint="eastAsia"/>
              </w:rPr>
              <w:t>53.309</w:t>
            </w:r>
            <w:r>
              <w:t xml:space="preserve"> </w:t>
            </w:r>
            <w:r>
              <w:rPr>
                <w:rFonts w:hint="eastAsia"/>
              </w:rPr>
              <w:t>秒，</w:t>
            </w:r>
            <w:r>
              <w:rPr>
                <w:rFonts w:hint="eastAsia"/>
                <w:lang w:val="en-US" w:eastAsia="zh-CN"/>
              </w:rPr>
              <w:t>北纬</w:t>
            </w:r>
            <w:r>
              <w:t xml:space="preserve"> </w:t>
            </w:r>
            <w:r>
              <w:rPr>
                <w:rFonts w:hint="eastAsia"/>
              </w:rPr>
              <w:t>26</w:t>
            </w:r>
            <w:r>
              <w:t xml:space="preserve"> </w:t>
            </w:r>
            <w:r>
              <w:rPr>
                <w:rFonts w:hint="eastAsia"/>
              </w:rPr>
              <w:t>度</w:t>
            </w:r>
            <w:r>
              <w:t xml:space="preserve"> </w:t>
            </w:r>
            <w:r>
              <w:rPr>
                <w:rFonts w:hint="eastAsia"/>
              </w:rPr>
              <w:t>59</w:t>
            </w:r>
            <w:r>
              <w:t xml:space="preserve"> </w:t>
            </w:r>
            <w:r>
              <w:rPr>
                <w:rFonts w:hint="eastAsia"/>
              </w:rPr>
              <w:t>分</w:t>
            </w:r>
            <w:r>
              <w:t xml:space="preserve"> </w:t>
            </w:r>
            <w:r>
              <w:rPr>
                <w:rFonts w:hint="eastAsia"/>
              </w:rPr>
              <w:t>18.895</w:t>
            </w:r>
            <w:r>
              <w:t xml:space="preserve"> </w:t>
            </w:r>
            <w:r>
              <w:rPr>
                <w:rFonts w:hint="eastAsia"/>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国民经济</w:t>
            </w:r>
          </w:p>
          <w:p>
            <w:pPr>
              <w:spacing w:line="240" w:lineRule="auto"/>
              <w:ind w:firstLine="0" w:firstLineChars="0"/>
              <w:jc w:val="center"/>
            </w:pPr>
            <w:r>
              <w:rPr>
                <w:rFonts w:hint="eastAsia"/>
              </w:rPr>
              <w:t>行业类别</w:t>
            </w:r>
          </w:p>
        </w:tc>
        <w:tc>
          <w:tcPr>
            <w:tcW w:w="2783" w:type="dxa"/>
            <w:vAlign w:val="center"/>
          </w:tcPr>
          <w:p>
            <w:pPr>
              <w:spacing w:line="240" w:lineRule="auto"/>
              <w:ind w:firstLine="0" w:firstLineChars="0"/>
              <w:jc w:val="center"/>
              <w:rPr>
                <w:rFonts w:hint="default" w:eastAsia="宋体"/>
                <w:lang w:val="en-US" w:eastAsia="zh-CN"/>
              </w:rPr>
            </w:pPr>
            <w:r>
              <w:rPr>
                <w:rFonts w:hint="eastAsia"/>
              </w:rPr>
              <w:t>C33</w:t>
            </w:r>
            <w:r>
              <w:rPr>
                <w:rFonts w:hint="eastAsia"/>
                <w:lang w:val="en-US" w:eastAsia="zh-CN"/>
              </w:rPr>
              <w:t>89 其他金属制日用品制造</w:t>
            </w:r>
          </w:p>
        </w:tc>
        <w:tc>
          <w:tcPr>
            <w:tcW w:w="1833" w:type="dxa"/>
            <w:vAlign w:val="center"/>
          </w:tcPr>
          <w:p>
            <w:pPr>
              <w:spacing w:line="240" w:lineRule="auto"/>
              <w:ind w:firstLine="0" w:firstLineChars="0"/>
              <w:jc w:val="center"/>
            </w:pPr>
            <w:bookmarkStart w:id="2" w:name="_Hlk49843745"/>
            <w:r>
              <w:rPr>
                <w:rFonts w:hint="eastAsia"/>
              </w:rPr>
              <w:t>建设项目</w:t>
            </w:r>
          </w:p>
          <w:p>
            <w:pPr>
              <w:spacing w:line="240" w:lineRule="auto"/>
              <w:ind w:firstLine="0" w:firstLineChars="0"/>
              <w:jc w:val="center"/>
            </w:pPr>
            <w:r>
              <w:rPr>
                <w:rFonts w:hint="eastAsia"/>
              </w:rPr>
              <w:t>行业类别</w:t>
            </w:r>
            <w:bookmarkEnd w:id="2"/>
          </w:p>
        </w:tc>
        <w:tc>
          <w:tcPr>
            <w:tcW w:w="3119" w:type="dxa"/>
            <w:vAlign w:val="center"/>
          </w:tcPr>
          <w:p>
            <w:pPr>
              <w:spacing w:line="240" w:lineRule="auto"/>
              <w:ind w:firstLine="0" w:firstLineChars="0"/>
              <w:jc w:val="center"/>
              <w:rPr>
                <w:rFonts w:hint="eastAsia"/>
              </w:rPr>
            </w:pPr>
            <w:r>
              <w:rPr>
                <w:rFonts w:hint="eastAsia"/>
              </w:rPr>
              <w:t>三十、金属</w:t>
            </w:r>
            <w:r>
              <w:rPr>
                <w:rFonts w:hint="eastAsia"/>
                <w:lang w:val="en-US" w:eastAsia="zh-CN"/>
              </w:rPr>
              <w:t>制品</w:t>
            </w:r>
            <w:r>
              <w:rPr>
                <w:rFonts w:hint="eastAsia"/>
              </w:rPr>
              <w:t>业33-66金</w:t>
            </w:r>
          </w:p>
          <w:p>
            <w:pPr>
              <w:spacing w:line="240" w:lineRule="auto"/>
              <w:ind w:firstLine="0" w:firstLineChars="0"/>
              <w:jc w:val="center"/>
            </w:pPr>
            <w:r>
              <w:rPr>
                <w:rFonts w:hint="eastAsia"/>
              </w:rPr>
              <w:t>属制日用品制造338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建设性质</w:t>
            </w:r>
          </w:p>
        </w:tc>
        <w:tc>
          <w:tcPr>
            <w:tcW w:w="2783" w:type="dxa"/>
            <w:vAlign w:val="center"/>
          </w:tcPr>
          <w:p>
            <w:pPr>
              <w:spacing w:line="240" w:lineRule="auto"/>
              <w:ind w:firstLine="0" w:firstLineChars="0"/>
            </w:pPr>
            <w:r>
              <w:rPr>
                <w:rFonts w:hint="eastAsia"/>
              </w:rPr>
              <w:sym w:font="Wingdings 2" w:char="0052"/>
            </w:r>
            <w:r>
              <w:rPr>
                <w:rFonts w:hint="eastAsia"/>
              </w:rPr>
              <w:t>新建（迁建）</w:t>
            </w:r>
          </w:p>
          <w:p>
            <w:pPr>
              <w:spacing w:line="240" w:lineRule="auto"/>
              <w:ind w:firstLine="0" w:firstLineChars="0"/>
            </w:pPr>
            <w:r>
              <w:rPr>
                <w:rFonts w:hint="eastAsia"/>
              </w:rPr>
              <w:t>□改建</w:t>
            </w:r>
          </w:p>
          <w:p>
            <w:pPr>
              <w:spacing w:line="240" w:lineRule="auto"/>
              <w:ind w:firstLine="0" w:firstLineChars="0"/>
            </w:pPr>
            <w:r>
              <w:rPr>
                <w:rFonts w:hint="eastAsia"/>
              </w:rPr>
              <w:t>□扩建</w:t>
            </w:r>
          </w:p>
          <w:p>
            <w:pPr>
              <w:spacing w:line="240" w:lineRule="auto"/>
              <w:ind w:firstLine="0" w:firstLineChars="0"/>
            </w:pPr>
            <w:r>
              <w:rPr>
                <w:rFonts w:hint="eastAsia"/>
              </w:rPr>
              <w:t>□技术改造</w:t>
            </w:r>
          </w:p>
        </w:tc>
        <w:tc>
          <w:tcPr>
            <w:tcW w:w="1833" w:type="dxa"/>
            <w:vAlign w:val="center"/>
          </w:tcPr>
          <w:p>
            <w:pPr>
              <w:spacing w:line="240" w:lineRule="auto"/>
              <w:ind w:firstLine="0" w:firstLineChars="0"/>
              <w:jc w:val="center"/>
            </w:pPr>
            <w:r>
              <w:rPr>
                <w:rFonts w:hint="eastAsia"/>
              </w:rPr>
              <w:t>建设项目</w:t>
            </w:r>
          </w:p>
          <w:p>
            <w:pPr>
              <w:spacing w:line="240" w:lineRule="auto"/>
              <w:ind w:firstLine="0" w:firstLineChars="0"/>
              <w:jc w:val="center"/>
            </w:pPr>
            <w:r>
              <w:rPr>
                <w:rFonts w:hint="eastAsia"/>
              </w:rPr>
              <w:t>申报情形</w:t>
            </w:r>
          </w:p>
        </w:tc>
        <w:tc>
          <w:tcPr>
            <w:tcW w:w="3119" w:type="dxa"/>
            <w:vAlign w:val="center"/>
          </w:tcPr>
          <w:p>
            <w:pPr>
              <w:spacing w:line="240" w:lineRule="auto"/>
              <w:ind w:firstLine="0" w:firstLineChars="0"/>
              <w:jc w:val="left"/>
            </w:pPr>
            <w:r>
              <w:rPr>
                <w:rFonts w:hint="eastAsia"/>
              </w:rPr>
              <w:sym w:font="Wingdings 2" w:char="0052"/>
            </w:r>
            <w:r>
              <w:rPr>
                <w:rFonts w:hint="eastAsia"/>
              </w:rPr>
              <w:t>首次申报项目</w:t>
            </w:r>
          </w:p>
          <w:p>
            <w:pPr>
              <w:spacing w:line="240" w:lineRule="auto"/>
              <w:ind w:firstLine="0" w:firstLineChars="0"/>
              <w:jc w:val="left"/>
            </w:pPr>
            <w:r>
              <w:rPr>
                <w:rFonts w:hint="eastAsia"/>
              </w:rPr>
              <w:t>□不予批准后再次申报项目</w:t>
            </w:r>
          </w:p>
          <w:p>
            <w:pPr>
              <w:spacing w:line="240" w:lineRule="auto"/>
              <w:ind w:firstLine="0" w:firstLineChars="0"/>
              <w:jc w:val="left"/>
            </w:pPr>
            <w:r>
              <w:rPr>
                <w:rFonts w:hint="eastAsia"/>
              </w:rPr>
              <w:sym w:font="Wingdings 2" w:char="00A3"/>
            </w:r>
            <w:r>
              <w:rPr>
                <w:rFonts w:hint="eastAsia"/>
              </w:rPr>
              <w:t>超五年重新审核项目</w:t>
            </w:r>
          </w:p>
          <w:p>
            <w:pPr>
              <w:spacing w:line="240" w:lineRule="auto"/>
              <w:ind w:firstLine="0" w:firstLineChars="0"/>
              <w:jc w:val="left"/>
            </w:pPr>
            <w:r>
              <w:rPr>
                <w:rFonts w:hint="eastAsia"/>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项目审批（核准</w:t>
            </w:r>
            <w:r>
              <w:t>/</w:t>
            </w:r>
          </w:p>
          <w:p>
            <w:pPr>
              <w:spacing w:line="240" w:lineRule="auto"/>
              <w:ind w:firstLine="0" w:firstLineChars="0"/>
              <w:jc w:val="center"/>
            </w:pPr>
            <w:r>
              <w:rPr>
                <w:rFonts w:hint="eastAsia"/>
              </w:rPr>
              <w:t>备案）部门（选填）</w:t>
            </w:r>
          </w:p>
        </w:tc>
        <w:tc>
          <w:tcPr>
            <w:tcW w:w="2783" w:type="dxa"/>
            <w:vAlign w:val="center"/>
          </w:tcPr>
          <w:p>
            <w:pPr>
              <w:spacing w:line="240" w:lineRule="auto"/>
              <w:ind w:firstLine="0" w:firstLineChars="0"/>
              <w:jc w:val="center"/>
            </w:pPr>
            <w:r>
              <w:rPr>
                <w:rFonts w:hint="eastAsia"/>
              </w:rPr>
              <w:t>湖南衡阳西渡高新技术产业园区管理委员会</w:t>
            </w:r>
          </w:p>
        </w:tc>
        <w:tc>
          <w:tcPr>
            <w:tcW w:w="1833" w:type="dxa"/>
            <w:vAlign w:val="center"/>
          </w:tcPr>
          <w:p>
            <w:pPr>
              <w:spacing w:line="240" w:lineRule="auto"/>
              <w:ind w:firstLine="0" w:firstLineChars="0"/>
              <w:jc w:val="center"/>
            </w:pPr>
            <w:r>
              <w:rPr>
                <w:rFonts w:hint="eastAsia"/>
              </w:rPr>
              <w:t>项目审批（核准</w:t>
            </w:r>
            <w:r>
              <w:t>/</w:t>
            </w:r>
          </w:p>
          <w:p>
            <w:pPr>
              <w:spacing w:line="240" w:lineRule="auto"/>
              <w:ind w:firstLine="0" w:firstLineChars="0"/>
              <w:jc w:val="center"/>
            </w:pPr>
            <w:r>
              <w:rPr>
                <w:rFonts w:hint="eastAsia"/>
              </w:rPr>
              <w:t>备案）文号（选填）</w:t>
            </w:r>
          </w:p>
        </w:tc>
        <w:tc>
          <w:tcPr>
            <w:tcW w:w="3119" w:type="dxa"/>
            <w:vAlign w:val="center"/>
          </w:tcPr>
          <w:p>
            <w:pPr>
              <w:spacing w:line="240" w:lineRule="auto"/>
              <w:ind w:firstLine="0" w:firstLineChars="0"/>
              <w:jc w:val="center"/>
            </w:pPr>
            <w:r>
              <w:rPr>
                <w:rFonts w:hint="eastAsia"/>
              </w:rPr>
              <w:t>2412-430400-04-05-378813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总投资（万元）</w:t>
            </w:r>
          </w:p>
        </w:tc>
        <w:tc>
          <w:tcPr>
            <w:tcW w:w="2783" w:type="dxa"/>
            <w:vAlign w:val="center"/>
          </w:tcPr>
          <w:p>
            <w:pPr>
              <w:spacing w:line="240" w:lineRule="auto"/>
              <w:ind w:firstLine="0" w:firstLineChars="0"/>
              <w:jc w:val="center"/>
            </w:pPr>
            <w:r>
              <w:rPr>
                <w:rFonts w:hint="eastAsia"/>
              </w:rPr>
              <w:t>700</w:t>
            </w:r>
          </w:p>
        </w:tc>
        <w:tc>
          <w:tcPr>
            <w:tcW w:w="1833" w:type="dxa"/>
            <w:tcMar>
              <w:top w:w="16" w:type="dxa"/>
              <w:left w:w="16" w:type="dxa"/>
              <w:right w:w="16" w:type="dxa"/>
            </w:tcMar>
            <w:vAlign w:val="center"/>
          </w:tcPr>
          <w:p>
            <w:pPr>
              <w:spacing w:line="240" w:lineRule="auto"/>
              <w:ind w:firstLine="0" w:firstLineChars="0"/>
              <w:jc w:val="center"/>
            </w:pPr>
            <w:r>
              <w:rPr>
                <w:rFonts w:hint="eastAsia"/>
              </w:rPr>
              <w:t>环保投资（万元）</w:t>
            </w:r>
          </w:p>
        </w:tc>
        <w:tc>
          <w:tcPr>
            <w:tcW w:w="3119" w:type="dxa"/>
            <w:vAlign w:val="center"/>
          </w:tcPr>
          <w:p>
            <w:pPr>
              <w:spacing w:line="240" w:lineRule="auto"/>
              <w:ind w:firstLine="0" w:firstLineChars="0"/>
              <w:jc w:val="center"/>
            </w:pPr>
            <w:r>
              <w:rPr>
                <w:rFonts w:hint="eastAsia"/>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环保投资占比（</w:t>
            </w:r>
            <w:r>
              <w:t>%</w:t>
            </w:r>
            <w:r>
              <w:rPr>
                <w:rFonts w:hint="eastAsia"/>
              </w:rPr>
              <w:t>）</w:t>
            </w:r>
          </w:p>
        </w:tc>
        <w:tc>
          <w:tcPr>
            <w:tcW w:w="2783" w:type="dxa"/>
            <w:vAlign w:val="center"/>
          </w:tcPr>
          <w:p>
            <w:pPr>
              <w:spacing w:line="240" w:lineRule="auto"/>
              <w:ind w:firstLine="0" w:firstLineChars="0"/>
              <w:jc w:val="center"/>
            </w:pPr>
            <w:r>
              <w:rPr>
                <w:rFonts w:hint="eastAsia"/>
              </w:rPr>
              <w:t>14.29</w:t>
            </w:r>
          </w:p>
        </w:tc>
        <w:tc>
          <w:tcPr>
            <w:tcW w:w="1833" w:type="dxa"/>
            <w:tcMar>
              <w:top w:w="16" w:type="dxa"/>
              <w:left w:w="16" w:type="dxa"/>
              <w:right w:w="16" w:type="dxa"/>
            </w:tcMar>
            <w:vAlign w:val="center"/>
          </w:tcPr>
          <w:p>
            <w:pPr>
              <w:spacing w:line="240" w:lineRule="auto"/>
              <w:ind w:firstLine="0" w:firstLineChars="0"/>
              <w:jc w:val="center"/>
            </w:pPr>
            <w:r>
              <w:rPr>
                <w:rFonts w:hint="eastAsia"/>
              </w:rPr>
              <w:t>施工工期</w:t>
            </w:r>
          </w:p>
        </w:tc>
        <w:tc>
          <w:tcPr>
            <w:tcW w:w="3119" w:type="dxa"/>
            <w:vAlign w:val="center"/>
          </w:tcPr>
          <w:p>
            <w:pPr>
              <w:spacing w:line="240" w:lineRule="auto"/>
              <w:ind w:firstLine="0" w:firstLineChars="0"/>
              <w:jc w:val="center"/>
            </w:pPr>
            <w:r>
              <w:rPr>
                <w:rFonts w:hint="eastAsia"/>
              </w:rPr>
              <w:t>1个月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35" w:type="dxa"/>
            <w:tcMar>
              <w:top w:w="16" w:type="dxa"/>
              <w:left w:w="16" w:type="dxa"/>
              <w:right w:w="16" w:type="dxa"/>
            </w:tcMar>
            <w:vAlign w:val="center"/>
          </w:tcPr>
          <w:p>
            <w:pPr>
              <w:spacing w:line="240" w:lineRule="auto"/>
              <w:ind w:firstLine="0" w:firstLineChars="0"/>
              <w:jc w:val="center"/>
            </w:pPr>
            <w:r>
              <w:rPr>
                <w:rFonts w:hint="eastAsia"/>
              </w:rPr>
              <w:t>是否开工建设</w:t>
            </w:r>
          </w:p>
        </w:tc>
        <w:tc>
          <w:tcPr>
            <w:tcW w:w="2783" w:type="dxa"/>
            <w:vAlign w:val="center"/>
          </w:tcPr>
          <w:p>
            <w:pPr>
              <w:spacing w:line="240" w:lineRule="auto"/>
              <w:ind w:firstLine="0" w:firstLineChars="0"/>
              <w:jc w:val="left"/>
            </w:pPr>
            <w:r>
              <w:rPr>
                <w:rFonts w:hint="eastAsia"/>
              </w:rPr>
              <w:sym w:font="Wingdings 2" w:char="0052"/>
            </w:r>
            <w:r>
              <w:rPr>
                <w:rFonts w:hint="eastAsia"/>
              </w:rPr>
              <w:t>否</w:t>
            </w:r>
          </w:p>
          <w:p>
            <w:pPr>
              <w:spacing w:line="240" w:lineRule="auto"/>
              <w:ind w:firstLine="0" w:firstLineChars="0"/>
              <w:jc w:val="left"/>
            </w:pPr>
            <w:r>
              <w:rPr>
                <w:rFonts w:hint="eastAsia"/>
              </w:rPr>
              <w:sym w:font="Wingdings 2" w:char="00A3"/>
            </w:r>
            <w:r>
              <w:rPr>
                <w:rFonts w:hint="eastAsia"/>
              </w:rPr>
              <w:t>是：</w:t>
            </w:r>
          </w:p>
        </w:tc>
        <w:tc>
          <w:tcPr>
            <w:tcW w:w="1833" w:type="dxa"/>
            <w:tcMar>
              <w:top w:w="16" w:type="dxa"/>
              <w:left w:w="16" w:type="dxa"/>
              <w:right w:w="16" w:type="dxa"/>
            </w:tcMar>
            <w:vAlign w:val="center"/>
          </w:tcPr>
          <w:p>
            <w:pPr>
              <w:spacing w:line="240" w:lineRule="auto"/>
              <w:ind w:firstLine="0" w:firstLineChars="0"/>
              <w:jc w:val="center"/>
            </w:pPr>
            <w:r>
              <w:rPr>
                <w:rFonts w:hint="eastAsia"/>
              </w:rPr>
              <w:t>用地（用海）</w:t>
            </w:r>
          </w:p>
          <w:p>
            <w:pPr>
              <w:spacing w:line="240" w:lineRule="auto"/>
              <w:ind w:firstLine="0" w:firstLineChars="0"/>
              <w:jc w:val="center"/>
            </w:pPr>
            <w:r>
              <w:rPr>
                <w:rFonts w:hint="eastAsia"/>
              </w:rPr>
              <w:t>面积（</w:t>
            </w:r>
            <w:r>
              <w:t>m</w:t>
            </w:r>
            <w:r>
              <w:rPr>
                <w:vertAlign w:val="superscript"/>
              </w:rPr>
              <w:t>2</w:t>
            </w:r>
            <w:r>
              <w:rPr>
                <w:rFonts w:hint="eastAsia"/>
              </w:rPr>
              <w:t>）</w:t>
            </w:r>
          </w:p>
        </w:tc>
        <w:tc>
          <w:tcPr>
            <w:tcW w:w="3119" w:type="dxa"/>
            <w:vAlign w:val="center"/>
          </w:tcPr>
          <w:p>
            <w:pPr>
              <w:spacing w:line="240" w:lineRule="auto"/>
              <w:ind w:firstLine="0" w:firstLineChars="0"/>
              <w:jc w:val="center"/>
              <w:rPr>
                <w:rFonts w:hint="default" w:eastAsia="宋体"/>
                <w:lang w:val="en-US" w:eastAsia="zh-CN"/>
              </w:rPr>
            </w:pPr>
            <w:r>
              <w:rPr>
                <w:rFonts w:hint="eastAsia"/>
                <w:lang w:val="en-US" w:eastAsia="zh-CN"/>
              </w:rPr>
              <w:t>2391.2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5" w:type="dxa"/>
            <w:vAlign w:val="center"/>
          </w:tcPr>
          <w:p>
            <w:pPr>
              <w:spacing w:line="240" w:lineRule="auto"/>
              <w:ind w:firstLine="0" w:firstLineChars="0"/>
              <w:jc w:val="center"/>
            </w:pPr>
            <w:r>
              <w:rPr>
                <w:rFonts w:hint="eastAsia"/>
              </w:rPr>
              <w:t>专项评价设置情况</w:t>
            </w:r>
          </w:p>
        </w:tc>
        <w:tc>
          <w:tcPr>
            <w:tcW w:w="7735" w:type="dxa"/>
            <w:gridSpan w:val="3"/>
            <w:vAlign w:val="center"/>
          </w:tcPr>
          <w:p>
            <w:pPr>
              <w:ind w:firstLine="480"/>
            </w:pPr>
            <w:r>
              <w:rPr>
                <w:rFonts w:hint="eastAsia"/>
              </w:rPr>
              <w:t>根据《建设项目环境影响报告表编制技术指南（污染影响类）（试行）》中专项评价设置原则表判定，本项目不设置专项评价，具体情况详见下表。</w:t>
            </w:r>
          </w:p>
          <w:p>
            <w:pPr>
              <w:pStyle w:val="37"/>
              <w:spacing w:before="72" w:after="120"/>
              <w:rPr>
                <w:rFonts w:hint="default"/>
              </w:rPr>
            </w:pPr>
            <w:r>
              <w:t>表1-1 专项评价设置判断表</w:t>
            </w:r>
          </w:p>
          <w:tbl>
            <w:tblPr>
              <w:tblStyle w:val="1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3196"/>
              <w:gridCol w:w="3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000000" w:sz="12" w:space="0"/>
                    <w:left w:val="nil"/>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b/>
                      <w:color w:val="000000"/>
                      <w:sz w:val="21"/>
                      <w:szCs w:val="21"/>
                    </w:rPr>
                    <w:t>专项评价的类别</w:t>
                  </w:r>
                </w:p>
              </w:tc>
              <w:tc>
                <w:tcPr>
                  <w:tcW w:w="2090"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b/>
                      <w:color w:val="000000"/>
                      <w:sz w:val="21"/>
                      <w:szCs w:val="21"/>
                    </w:rPr>
                    <w:t>设置原则</w:t>
                  </w:r>
                </w:p>
              </w:tc>
              <w:tc>
                <w:tcPr>
                  <w:tcW w:w="2105" w:type="pct"/>
                  <w:tcBorders>
                    <w:top w:val="single" w:color="000000" w:sz="12" w:space="0"/>
                    <w:left w:val="single" w:color="auto" w:sz="4" w:space="0"/>
                    <w:bottom w:val="single" w:color="000000" w:sz="4" w:space="0"/>
                    <w:right w:val="nil"/>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项目判断情况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000000"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大气</w:t>
                  </w:r>
                </w:p>
              </w:tc>
              <w:tc>
                <w:tcPr>
                  <w:tcW w:w="2090"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color w:val="000000"/>
                      <w:sz w:val="21"/>
                      <w:szCs w:val="21"/>
                    </w:rPr>
                    <w:t>排放废气含有毒有害污染物</w:t>
                  </w:r>
                  <w:r>
                    <w:rPr>
                      <w:color w:val="000000"/>
                      <w:sz w:val="21"/>
                      <w:szCs w:val="21"/>
                      <w:vertAlign w:val="superscript"/>
                    </w:rPr>
                    <w:t>1</w:t>
                  </w:r>
                  <w:r>
                    <w:rPr>
                      <w:color w:val="000000"/>
                      <w:sz w:val="21"/>
                      <w:szCs w:val="21"/>
                    </w:rPr>
                    <w:t>、二噁英、苯并[a]芘、氰化物、氯气且厂界外500米范围内有环境空气保护目标</w:t>
                  </w:r>
                  <w:r>
                    <w:rPr>
                      <w:color w:val="000000"/>
                      <w:sz w:val="21"/>
                      <w:szCs w:val="21"/>
                      <w:vertAlign w:val="superscript"/>
                    </w:rPr>
                    <w:t>2</w:t>
                  </w:r>
                  <w:r>
                    <w:rPr>
                      <w:color w:val="000000"/>
                      <w:sz w:val="21"/>
                      <w:szCs w:val="21"/>
                    </w:rPr>
                    <w:t>的建设项目</w:t>
                  </w:r>
                </w:p>
              </w:tc>
              <w:tc>
                <w:tcPr>
                  <w:tcW w:w="2105"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szCs w:val="21"/>
                    </w:rPr>
                  </w:pPr>
                  <w:r>
                    <w:rPr>
                      <w:rFonts w:hint="eastAsia"/>
                      <w:lang w:val="en-US" w:eastAsia="zh-CN"/>
                    </w:rPr>
                    <w:t>本项目运营期废气产生来源主要为焊接、酸洗、喷粉、固化、生物质燃烧；焊接工序主要污染物为颗粒物，酸洗工序主要污染物为盐酸雾（氯化氢），喷粉工序主要污染物为颗粒物，固化工序主要污染物为VOCs，成型生物质燃烧主要产生颗粒物、SO</w:t>
                  </w:r>
                  <w:r>
                    <w:rPr>
                      <w:rFonts w:hint="eastAsia"/>
                      <w:vertAlign w:val="subscript"/>
                      <w:lang w:val="en-US" w:eastAsia="zh-CN"/>
                    </w:rPr>
                    <w:t>2</w:t>
                  </w:r>
                  <w:r>
                    <w:rPr>
                      <w:rFonts w:hint="eastAsia"/>
                      <w:lang w:val="en-US" w:eastAsia="zh-CN"/>
                    </w:rPr>
                    <w:t>、NO</w:t>
                  </w:r>
                  <w:r>
                    <w:rPr>
                      <w:rFonts w:hint="eastAsia"/>
                      <w:vertAlign w:val="subscript"/>
                      <w:lang w:val="en-US" w:eastAsia="zh-CN"/>
                    </w:rPr>
                    <w:t>x</w:t>
                  </w:r>
                  <w:r>
                    <w:rPr>
                      <w:rFonts w:hint="eastAsia"/>
                      <w:lang w:val="en-US" w:eastAsia="zh-CN"/>
                    </w:rPr>
                    <w:t>。</w:t>
                  </w:r>
                  <w:r>
                    <w:rPr>
                      <w:rFonts w:hint="eastAsia"/>
                      <w:color w:val="000000"/>
                      <w:szCs w:val="21"/>
                    </w:rPr>
                    <w:t>不涉及排放含有毒有害污染物</w:t>
                  </w:r>
                  <w:r>
                    <w:rPr>
                      <w:color w:val="000000"/>
                      <w:szCs w:val="21"/>
                    </w:rPr>
                    <w:t>、二噁英、苯并[a]芘、氰化物、氯气</w:t>
                  </w:r>
                  <w:r>
                    <w:rPr>
                      <w:rFonts w:hint="eastAsia"/>
                      <w:color w:val="000000"/>
                      <w:szCs w:val="21"/>
                    </w:rPr>
                    <w:t>等污染物，无需设置专项评价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地表水</w:t>
                  </w:r>
                </w:p>
              </w:tc>
              <w:tc>
                <w:tcPr>
                  <w:tcW w:w="209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color w:val="000000"/>
                      <w:sz w:val="21"/>
                      <w:szCs w:val="21"/>
                    </w:rPr>
                    <w:t>新增工业废水直排建设项目（槽罐车外送污水处理厂的除外）；新增废水直排的污水集中处理厂</w:t>
                  </w:r>
                </w:p>
              </w:tc>
              <w:tc>
                <w:tcPr>
                  <w:tcW w:w="2105"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本项目位于西渡高新区创新创业园内，经隔油池除油</w:t>
                  </w:r>
                  <w:r>
                    <w:rPr>
                      <w:rFonts w:hint="eastAsia"/>
                      <w:color w:val="000000"/>
                      <w:sz w:val="21"/>
                      <w:szCs w:val="21"/>
                      <w:lang w:val="en-US" w:eastAsia="zh-CN"/>
                    </w:rPr>
                    <w:t>后的</w:t>
                  </w:r>
                  <w:r>
                    <w:rPr>
                      <w:rFonts w:hint="eastAsia"/>
                      <w:color w:val="000000"/>
                      <w:sz w:val="21"/>
                      <w:szCs w:val="21"/>
                    </w:rPr>
                    <w:t>除油清洗废水与酸洗清洗废水、磷化清洗废水、保洁废水和</w:t>
                  </w:r>
                  <w:r>
                    <w:rPr>
                      <w:rFonts w:hint="eastAsia"/>
                      <w:color w:val="000000"/>
                      <w:sz w:val="21"/>
                      <w:szCs w:val="21"/>
                      <w:lang w:eastAsia="zh-CN"/>
                    </w:rPr>
                    <w:t>碱液喷淋塔</w:t>
                  </w:r>
                  <w:r>
                    <w:rPr>
                      <w:rFonts w:hint="eastAsia"/>
                      <w:color w:val="000000"/>
                      <w:sz w:val="21"/>
                      <w:szCs w:val="21"/>
                    </w:rPr>
                    <w:t>废水一起经“调节池+一体化</w:t>
                  </w:r>
                  <w:r>
                    <w:rPr>
                      <w:rFonts w:hint="eastAsia"/>
                      <w:color w:val="000000"/>
                      <w:sz w:val="21"/>
                      <w:szCs w:val="21"/>
                      <w:lang w:val="en-US" w:eastAsia="zh-CN"/>
                    </w:rPr>
                    <w:t>处理设施（pH调节+混凝沉淀+二沉池（斜管沉淀））</w:t>
                  </w:r>
                  <w:r>
                    <w:rPr>
                      <w:rFonts w:hint="eastAsia"/>
                      <w:color w:val="000000"/>
                      <w:sz w:val="21"/>
                      <w:szCs w:val="21"/>
                    </w:rPr>
                    <w:t>”预处理达综排3级标准与接管标准中较严者后，进入市政污水管网</w:t>
                  </w:r>
                  <w:r>
                    <w:rPr>
                      <w:rFonts w:hint="eastAsia"/>
                      <w:color w:val="000000"/>
                      <w:sz w:val="21"/>
                      <w:szCs w:val="21"/>
                      <w:lang w:eastAsia="zh-CN"/>
                    </w:rPr>
                    <w:t>，</w:t>
                  </w:r>
                  <w:r>
                    <w:rPr>
                      <w:rFonts w:hint="eastAsia"/>
                      <w:color w:val="000000"/>
                      <w:sz w:val="21"/>
                      <w:szCs w:val="21"/>
                    </w:rPr>
                    <w:t>排至衡阳西渡高新区污水处理厂进行深度处理；生活污水</w:t>
                  </w:r>
                  <w:r>
                    <w:rPr>
                      <w:rFonts w:hint="eastAsia"/>
                      <w:color w:val="000000"/>
                      <w:sz w:val="21"/>
                      <w:szCs w:val="21"/>
                      <w:lang w:val="en-US" w:eastAsia="zh-CN"/>
                    </w:rPr>
                    <w:t>经</w:t>
                  </w:r>
                  <w:r>
                    <w:rPr>
                      <w:rFonts w:hint="eastAsia"/>
                      <w:color w:val="000000"/>
                      <w:sz w:val="21"/>
                      <w:szCs w:val="21"/>
                    </w:rPr>
                    <w:t>化粪池处理后</w:t>
                  </w:r>
                  <w:r>
                    <w:rPr>
                      <w:rFonts w:hint="eastAsia"/>
                      <w:color w:val="000000"/>
                      <w:sz w:val="21"/>
                      <w:szCs w:val="21"/>
                      <w:lang w:val="en-US" w:eastAsia="zh-CN"/>
                    </w:rPr>
                    <w:t>排入</w:t>
                  </w:r>
                  <w:r>
                    <w:rPr>
                      <w:rFonts w:hint="eastAsia"/>
                      <w:color w:val="000000"/>
                      <w:sz w:val="21"/>
                      <w:szCs w:val="21"/>
                    </w:rPr>
                    <w:t>市政管网进入</w:t>
                  </w:r>
                  <w:r>
                    <w:rPr>
                      <w:rFonts w:hint="eastAsia"/>
                      <w:color w:val="000000"/>
                      <w:sz w:val="21"/>
                    </w:rPr>
                    <w:t>衡阳西渡高新区污水处理厂处理</w:t>
                  </w:r>
                  <w:r>
                    <w:rPr>
                      <w:rFonts w:hint="eastAsia"/>
                      <w:color w:val="000000"/>
                      <w:sz w:val="21"/>
                      <w:szCs w:val="21"/>
                    </w:rPr>
                    <w:t>，无需设置专项评价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环境风险</w:t>
                  </w:r>
                </w:p>
              </w:tc>
              <w:tc>
                <w:tcPr>
                  <w:tcW w:w="209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color w:val="000000"/>
                      <w:sz w:val="21"/>
                      <w:szCs w:val="21"/>
                    </w:rPr>
                    <w:t>有毒有害和易燃易爆危险物质存储量超过临界量</w:t>
                  </w:r>
                  <w:r>
                    <w:rPr>
                      <w:color w:val="000000"/>
                      <w:sz w:val="21"/>
                      <w:szCs w:val="21"/>
                      <w:vertAlign w:val="superscript"/>
                    </w:rPr>
                    <w:t>3</w:t>
                  </w:r>
                  <w:r>
                    <w:rPr>
                      <w:color w:val="000000"/>
                      <w:sz w:val="21"/>
                      <w:szCs w:val="21"/>
                    </w:rPr>
                    <w:t>的建设项目</w:t>
                  </w:r>
                </w:p>
              </w:tc>
              <w:tc>
                <w:tcPr>
                  <w:tcW w:w="2105"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不涉及，无需设置专项评价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生态</w:t>
                  </w:r>
                </w:p>
              </w:tc>
              <w:tc>
                <w:tcPr>
                  <w:tcW w:w="209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color w:val="000000"/>
                      <w:sz w:val="21"/>
                      <w:szCs w:val="21"/>
                    </w:rPr>
                    <w:t>取水口下游500米范围内有重要水生生物的自然产卵场、索饵场、越冬场和洄游通道的新增河道取水的污染类建设项目</w:t>
                  </w:r>
                </w:p>
              </w:tc>
              <w:tc>
                <w:tcPr>
                  <w:tcW w:w="2105"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不涉及，无需设置专项评价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3" w:type="pct"/>
                  <w:tcBorders>
                    <w:top w:val="single" w:color="auto"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海洋</w:t>
                  </w:r>
                </w:p>
              </w:tc>
              <w:tc>
                <w:tcPr>
                  <w:tcW w:w="2090"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color w:val="000000"/>
                      <w:sz w:val="21"/>
                      <w:szCs w:val="21"/>
                    </w:rPr>
                    <w:t>直接向海排放污染物的海洋工程建设项目</w:t>
                  </w:r>
                </w:p>
              </w:tc>
              <w:tc>
                <w:tcPr>
                  <w:tcW w:w="2105" w:type="pct"/>
                  <w:tcBorders>
                    <w:top w:val="single" w:color="auto"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不涉及，无需设置专项评价</w:t>
                  </w:r>
                </w:p>
              </w:tc>
            </w:tr>
          </w:tbl>
          <w:p>
            <w:pPr>
              <w:ind w:firstLine="0" w:firstLineChars="0"/>
              <w:rPr>
                <w:sz w:val="21"/>
                <w:szCs w:val="21"/>
              </w:rPr>
            </w:pPr>
            <w:r>
              <w:rPr>
                <w:rFonts w:hint="eastAsia"/>
                <w:sz w:val="21"/>
                <w:szCs w:val="21"/>
              </w:rPr>
              <w:t>注：1.废气中有毒有害污染物指纳入《有毒有害大气污染物名录》的污染物（不包括无排放标准的污染物）。</w:t>
            </w:r>
          </w:p>
          <w:p>
            <w:pPr>
              <w:ind w:firstLine="420"/>
              <w:rPr>
                <w:sz w:val="21"/>
                <w:szCs w:val="21"/>
              </w:rPr>
            </w:pPr>
            <w:r>
              <w:rPr>
                <w:rFonts w:hint="eastAsia"/>
                <w:sz w:val="21"/>
                <w:szCs w:val="21"/>
              </w:rPr>
              <w:t>2.环境空气保护目标指自然保护区、风景名胜区、居住区、文化区和农村地区中人群较集中的区域。</w:t>
            </w:r>
          </w:p>
          <w:p>
            <w:pPr>
              <w:ind w:firstLine="420"/>
            </w:pPr>
            <w:r>
              <w:rPr>
                <w:rFonts w:hint="eastAsia"/>
                <w:sz w:val="21"/>
                <w:szCs w:val="21"/>
              </w:rPr>
              <w:t>3.临界量及其计算方法可参考《建设项目环境风险评价技术导则》（HJ 169-2018）附录B、附录C。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5" w:type="dxa"/>
            <w:vAlign w:val="center"/>
          </w:tcPr>
          <w:p>
            <w:pPr>
              <w:spacing w:line="240" w:lineRule="auto"/>
              <w:ind w:firstLine="0" w:firstLineChars="0"/>
              <w:jc w:val="center"/>
            </w:pPr>
            <w:r>
              <w:rPr>
                <w:rFonts w:hint="eastAsia"/>
              </w:rPr>
              <w:t>规划情况</w:t>
            </w:r>
          </w:p>
        </w:tc>
        <w:tc>
          <w:tcPr>
            <w:tcW w:w="7735" w:type="dxa"/>
            <w:gridSpan w:val="3"/>
            <w:vAlign w:val="center"/>
          </w:tcPr>
          <w:p>
            <w:pPr>
              <w:ind w:firstLine="480"/>
            </w:pPr>
            <w:r>
              <w:rPr>
                <w:rFonts w:hint="eastAsia"/>
              </w:rPr>
              <w:t>《衡阳西渡高新技术产业开发区发展规划》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5" w:type="dxa"/>
            <w:vAlign w:val="center"/>
          </w:tcPr>
          <w:p>
            <w:pPr>
              <w:spacing w:line="240" w:lineRule="auto"/>
              <w:ind w:firstLine="0" w:firstLineChars="0"/>
              <w:jc w:val="center"/>
            </w:pPr>
            <w:r>
              <w:rPr>
                <w:rFonts w:hint="eastAsia"/>
              </w:rPr>
              <w:t>规划环境影响评价情况</w:t>
            </w:r>
          </w:p>
        </w:tc>
        <w:tc>
          <w:tcPr>
            <w:tcW w:w="7735" w:type="dxa"/>
            <w:gridSpan w:val="3"/>
            <w:vAlign w:val="center"/>
          </w:tcPr>
          <w:p>
            <w:pPr>
              <w:ind w:firstLine="480"/>
            </w:pPr>
            <w:r>
              <w:rPr>
                <w:rFonts w:hint="eastAsia"/>
              </w:rPr>
              <w:t>《衡阳西渡经济开发区环境影响评价报告书》于2013年12月9日取得原湖南省环境保护厅的批复（湘环评〔2013〕285号）；《湖南衡阳西渡高新技术产业园区环境影响跟踪评价报告书》于2022年8月25日取得湖南省生态环境厅的复函（湘环评函〔2022〕85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5" w:type="dxa"/>
            <w:vAlign w:val="center"/>
          </w:tcPr>
          <w:p>
            <w:pPr>
              <w:spacing w:line="240" w:lineRule="auto"/>
              <w:ind w:firstLine="0" w:firstLineChars="0"/>
              <w:jc w:val="center"/>
            </w:pPr>
            <w:r>
              <w:rPr>
                <w:rFonts w:hint="eastAsia"/>
              </w:rPr>
              <w:t>规划及规划环境影响评价符合性分析</w:t>
            </w:r>
          </w:p>
        </w:tc>
        <w:tc>
          <w:tcPr>
            <w:tcW w:w="7735" w:type="dxa"/>
            <w:gridSpan w:val="3"/>
            <w:vAlign w:val="center"/>
          </w:tcPr>
          <w:p>
            <w:pPr>
              <w:pStyle w:val="2"/>
              <w:spacing w:before="120"/>
            </w:pPr>
            <w:bookmarkStart w:id="3" w:name="_Toc10241"/>
            <w:bookmarkStart w:id="4" w:name="_Toc4870"/>
            <w:bookmarkStart w:id="5" w:name="_Toc13326"/>
            <w:bookmarkStart w:id="6" w:name="_Toc32623"/>
            <w:r>
              <w:rPr>
                <w:rFonts w:hint="eastAsia"/>
              </w:rPr>
              <w:t>1、与西渡高新技术产业园产业定位相符性分析</w:t>
            </w:r>
            <w:bookmarkEnd w:id="3"/>
            <w:bookmarkEnd w:id="4"/>
            <w:bookmarkEnd w:id="5"/>
            <w:bookmarkEnd w:id="6"/>
          </w:p>
          <w:p>
            <w:pPr>
              <w:ind w:firstLine="480"/>
            </w:pPr>
            <w:r>
              <w:rPr>
                <w:rFonts w:hint="eastAsia"/>
              </w:rPr>
              <w:t>根据湖南省</w:t>
            </w:r>
            <w:bookmarkStart w:id="227" w:name="_GoBack"/>
            <w:bookmarkEnd w:id="227"/>
            <w:r>
              <w:rPr>
                <w:rFonts w:hint="eastAsia"/>
                <w:lang w:eastAsia="zh-CN"/>
              </w:rPr>
              <w:t>发展和改革委员会</w:t>
            </w:r>
            <w:r>
              <w:rPr>
                <w:rFonts w:hint="eastAsia"/>
              </w:rPr>
              <w:t>的批复文件，湖南衡阳西渡高新技术产业园区的主导产业为医药、智能机器、非金属矿物制品；产业布局自西向东依次布置外贸加工区、机械电子制造业区、物流区、生物医药产业区及农产品加工区。</w:t>
            </w:r>
          </w:p>
          <w:p>
            <w:pPr>
              <w:ind w:firstLine="480"/>
            </w:pPr>
            <w:r>
              <w:rPr>
                <w:rFonts w:hint="eastAsia"/>
              </w:rPr>
              <w:t>本项目属于金属制</w:t>
            </w:r>
            <w:r>
              <w:rPr>
                <w:rFonts w:hint="eastAsia"/>
                <w:lang w:val="en-US" w:eastAsia="zh-CN"/>
              </w:rPr>
              <w:t>品</w:t>
            </w:r>
            <w:r>
              <w:rPr>
                <w:rFonts w:hint="eastAsia"/>
              </w:rPr>
              <w:t>业，与西渡高新技术产业园产业定位规划不违背。</w:t>
            </w:r>
          </w:p>
          <w:p>
            <w:pPr>
              <w:pStyle w:val="2"/>
              <w:spacing w:before="120"/>
            </w:pPr>
            <w:bookmarkStart w:id="7" w:name="_Toc18011"/>
            <w:bookmarkStart w:id="8" w:name="_Toc23480"/>
            <w:bookmarkStart w:id="9" w:name="_Toc21798"/>
            <w:bookmarkStart w:id="10" w:name="_Toc23546"/>
            <w:r>
              <w:rPr>
                <w:rFonts w:hint="eastAsia"/>
              </w:rPr>
              <w:t>2、与园区准入条件相符性分析</w:t>
            </w:r>
            <w:bookmarkEnd w:id="7"/>
            <w:bookmarkEnd w:id="8"/>
            <w:bookmarkEnd w:id="9"/>
            <w:bookmarkEnd w:id="10"/>
          </w:p>
          <w:p>
            <w:pPr>
              <w:ind w:firstLine="480"/>
            </w:pPr>
            <w:r>
              <w:t>根据湖南省</w:t>
            </w:r>
            <w:r>
              <w:rPr>
                <w:rFonts w:hint="eastAsia"/>
                <w:lang w:eastAsia="zh-CN"/>
              </w:rPr>
              <w:t>发展和改革委员会</w:t>
            </w:r>
            <w:r>
              <w:t>的批复文件，湖南衡阳西渡高新技术产业园区的主导产业为医药、智能机器、非金属矿物制品。原规划环评主导产业为生物医药、外贸加工和机电子制造产业为主导，辅以发展农产品加工业。</w:t>
            </w:r>
          </w:p>
          <w:p>
            <w:pPr>
              <w:pStyle w:val="37"/>
              <w:spacing w:before="72" w:after="120"/>
              <w:rPr>
                <w:rFonts w:hint="default"/>
              </w:rPr>
            </w:pPr>
            <w:r>
              <w:t>表1-2西渡高新区准入与限制行业类型一览表</w:t>
            </w:r>
          </w:p>
          <w:tbl>
            <w:tblPr>
              <w:tblStyle w:val="19"/>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9"/>
              <w:gridCol w:w="3592"/>
              <w:gridCol w:w="35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 w:type="pct"/>
                  <w:vMerge w:val="restart"/>
                  <w:vAlign w:val="center"/>
                </w:tcPr>
                <w:p>
                  <w:pPr>
                    <w:pStyle w:val="24"/>
                    <w:rPr>
                      <w:b/>
                      <w:bCs/>
                    </w:rPr>
                  </w:pPr>
                  <w:r>
                    <w:rPr>
                      <w:rFonts w:hint="eastAsia"/>
                      <w:b/>
                      <w:bCs/>
                    </w:rPr>
                    <w:t>类型</w:t>
                  </w:r>
                </w:p>
              </w:tc>
              <w:tc>
                <w:tcPr>
                  <w:tcW w:w="4692" w:type="pct"/>
                  <w:gridSpan w:val="2"/>
                  <w:vAlign w:val="center"/>
                </w:tcPr>
                <w:p>
                  <w:pPr>
                    <w:pStyle w:val="24"/>
                    <w:rPr>
                      <w:b/>
                      <w:bCs/>
                    </w:rPr>
                  </w:pPr>
                  <w:r>
                    <w:rPr>
                      <w:rFonts w:hint="eastAsia"/>
                      <w:b/>
                      <w:bCs/>
                    </w:rPr>
                    <w:t>行业类别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 w:type="pct"/>
                  <w:vMerge w:val="continue"/>
                  <w:tcBorders>
                    <w:bottom w:val="single" w:color="auto" w:sz="4" w:space="0"/>
                  </w:tcBorders>
                  <w:vAlign w:val="center"/>
                </w:tcPr>
                <w:p>
                  <w:pPr>
                    <w:pStyle w:val="24"/>
                    <w:rPr>
                      <w:b/>
                      <w:bCs/>
                    </w:rPr>
                  </w:pPr>
                </w:p>
              </w:tc>
              <w:tc>
                <w:tcPr>
                  <w:tcW w:w="2345" w:type="pct"/>
                  <w:tcBorders>
                    <w:bottom w:val="single" w:color="auto" w:sz="4" w:space="0"/>
                  </w:tcBorders>
                  <w:vAlign w:val="center"/>
                </w:tcPr>
                <w:p>
                  <w:pPr>
                    <w:pStyle w:val="24"/>
                    <w:rPr>
                      <w:b/>
                      <w:bCs/>
                    </w:rPr>
                  </w:pPr>
                  <w:r>
                    <w:rPr>
                      <w:rFonts w:hint="eastAsia"/>
                      <w:b/>
                      <w:bCs/>
                    </w:rPr>
                    <w:t>一类工业用地</w:t>
                  </w:r>
                </w:p>
              </w:tc>
              <w:tc>
                <w:tcPr>
                  <w:tcW w:w="2346" w:type="pct"/>
                  <w:tcBorders>
                    <w:bottom w:val="single" w:color="auto" w:sz="4" w:space="0"/>
                  </w:tcBorders>
                  <w:vAlign w:val="center"/>
                </w:tcPr>
                <w:p>
                  <w:pPr>
                    <w:pStyle w:val="24"/>
                    <w:rPr>
                      <w:b/>
                      <w:bCs/>
                    </w:rPr>
                  </w:pPr>
                  <w:r>
                    <w:rPr>
                      <w:rFonts w:hint="eastAsia"/>
                      <w:b/>
                      <w:bCs/>
                    </w:rPr>
                    <w:t>二类工业用地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 w:type="pct"/>
                  <w:tcBorders>
                    <w:top w:val="single" w:color="auto" w:sz="4" w:space="0"/>
                  </w:tcBorders>
                  <w:vAlign w:val="center"/>
                </w:tcPr>
                <w:p>
                  <w:pPr>
                    <w:pStyle w:val="24"/>
                  </w:pPr>
                  <w:r>
                    <w:rPr>
                      <w:rFonts w:hint="eastAsia"/>
                    </w:rPr>
                    <w:t>鼓励类</w:t>
                  </w:r>
                </w:p>
              </w:tc>
              <w:tc>
                <w:tcPr>
                  <w:tcW w:w="2345" w:type="pct"/>
                  <w:tcBorders>
                    <w:top w:val="single" w:color="auto" w:sz="4" w:space="0"/>
                  </w:tcBorders>
                  <w:vAlign w:val="center"/>
                </w:tcPr>
                <w:p>
                  <w:pPr>
                    <w:pStyle w:val="24"/>
                  </w:pPr>
                  <w:r>
                    <w:rPr>
                      <w:rFonts w:hint="eastAsia"/>
                    </w:rPr>
                    <w:t>①生活用品领域，积极发展服装缝纫加工（不含印染）、鞋帽加工（不含制革）、箱包加工（不含制革）为重点的生活用品制造，积极发展高端品牌服装、鞋帽和箱包产品，扩大生活用品外贸订单的规模，提升产业经济总量和出口创汇额。鼓励发展用于工程机械、交通装备等配套于开发区内机械电子制造产业的纺织品缝纫加工，加强非织造技术、新兴材料技术和应用技术三大技术的开发能力。</w:t>
                  </w:r>
                </w:p>
                <w:p>
                  <w:pPr>
                    <w:pStyle w:val="24"/>
                  </w:pPr>
                  <w:r>
                    <w:rPr>
                      <w:rFonts w:hint="eastAsia"/>
                    </w:rPr>
                    <w:t>②壮大现有基础，推动制造规模的扩张和产业结构的升级，培育新的经济增长点。把握技术革命带来的产业重整机遇，积极承接沿海等地区的电子信息产业转移，统筹信息技术创新、应用和管理各个环节，以信息化和工业化融合为主线，以华高、飞翔、金鼎等电子电容器企业和项目为依托，以高、中档电子原件制造为方向，重点发展薄膜电容器、液晶数码板和由电子原件集成制造的变电成套设备，形成电子信息产品制造群体。</w:t>
                  </w:r>
                </w:p>
                <w:p>
                  <w:pPr>
                    <w:pStyle w:val="24"/>
                  </w:pPr>
                </w:p>
              </w:tc>
              <w:tc>
                <w:tcPr>
                  <w:tcW w:w="2346" w:type="pct"/>
                  <w:tcBorders>
                    <w:top w:val="single" w:color="auto" w:sz="4" w:space="0"/>
                  </w:tcBorders>
                  <w:vAlign w:val="center"/>
                </w:tcPr>
                <w:p>
                  <w:pPr>
                    <w:pStyle w:val="24"/>
                  </w:pPr>
                  <w:r>
                    <w:rPr>
                      <w:rFonts w:hint="eastAsia"/>
                    </w:rPr>
                    <w:t>①以湖南衡泰数控机床、双雁运输机械、云天锅炉、中重机械等重点项目为基础，重点发展数控机床、交通装备、工程机械、特色机械产品（压力容器与热力装置）；以提高先进机械装备制造业自主创新能力为重点，集中力量开展核心技术和关键共性技术攻关，推进产业高端化发展，努力实现产业升级和企业扩容，壮大机械装备制造业发展规模。</w:t>
                  </w:r>
                </w:p>
                <w:p>
                  <w:pPr>
                    <w:pStyle w:val="24"/>
                  </w:pPr>
                  <w:r>
                    <w:rPr>
                      <w:rFonts w:hint="eastAsia"/>
                    </w:rPr>
                    <w:t>②中成药及保健品：围绕新药开发和质量控制技术瓶颈，充分应用超临界萃取、超微粉碎技术、大孔树脂吸附、膜分离等先进工艺以及多功能集成提取装备、自动化数控干燥设备等先进装备，重点发展治疗心脑血管、肿瘤等疾病和免疫功能保健、补益等胶囊、颗粒和喷雾剂等产品的研发，同时，加强安全有效、质量可控的关键技术的开发和应用。</w:t>
                  </w:r>
                </w:p>
                <w:p>
                  <w:pPr>
                    <w:pStyle w:val="24"/>
                  </w:pPr>
                  <w:r>
                    <w:rPr>
                      <w:rFonts w:hint="eastAsia"/>
                    </w:rPr>
                    <w:t>③化学药制剂：以湖南恒生制造等企业为龙头，以抗感染、抗病毒、抗肿瘤类的粉针剂（头孢菌素类）、冻干粉针剂、注射剂为制造重点，充分利用已经建立的各种专业化平台，进一步加强新型制剂的技术研究，实现化学制药规模的稳步扩大。</w:t>
                  </w:r>
                </w:p>
                <w:p>
                  <w:pPr>
                    <w:pStyle w:val="24"/>
                  </w:pPr>
                  <w:r>
                    <w:rPr>
                      <w:rFonts w:hint="eastAsia"/>
                    </w:rPr>
                    <w:t>④以现代米业为龙头企业，发展无公害的农产品加工业。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 w:type="pct"/>
                  <w:vAlign w:val="center"/>
                </w:tcPr>
                <w:p>
                  <w:pPr>
                    <w:pStyle w:val="24"/>
                  </w:pPr>
                  <w:r>
                    <w:rPr>
                      <w:rFonts w:hint="eastAsia"/>
                    </w:rPr>
                    <w:t>限制类</w:t>
                  </w:r>
                </w:p>
              </w:tc>
              <w:tc>
                <w:tcPr>
                  <w:tcW w:w="2345" w:type="pct"/>
                  <w:vAlign w:val="center"/>
                </w:tcPr>
                <w:p>
                  <w:pPr>
                    <w:pStyle w:val="24"/>
                  </w:pPr>
                  <w:r>
                    <w:rPr>
                      <w:rFonts w:hint="eastAsia"/>
                    </w:rPr>
                    <w:t>①《产业结构调整指导目录（2019本）》的限制类的各类轻工类产业。</w:t>
                  </w:r>
                </w:p>
                <w:p>
                  <w:pPr>
                    <w:pStyle w:val="24"/>
                  </w:pPr>
                  <w:r>
                    <w:rPr>
                      <w:rFonts w:hint="eastAsia"/>
                    </w:rPr>
                    <w:t>②靠近县城一侧，限制引进气型污染大的机械电子企业，如含喷涂工艺的机械电子企业。</w:t>
                  </w:r>
                </w:p>
              </w:tc>
              <w:tc>
                <w:tcPr>
                  <w:tcW w:w="2346" w:type="pct"/>
                  <w:vAlign w:val="center"/>
                </w:tcPr>
                <w:p>
                  <w:pPr>
                    <w:pStyle w:val="24"/>
                  </w:pPr>
                  <w:r>
                    <w:rPr>
                      <w:rFonts w:hint="eastAsia"/>
                    </w:rPr>
                    <w:t>①《产业结构调整指导目录（2019本）》的限制类的各类机械类产业。</w:t>
                  </w:r>
                </w:p>
                <w:p>
                  <w:pPr>
                    <w:pStyle w:val="24"/>
                  </w:pPr>
                  <w:r>
                    <w:rPr>
                      <w:rFonts w:hint="eastAsia"/>
                    </w:rPr>
                    <w:t>②以春天制药等企业为核心，限制发展以头孢菌素类、抗肿瘤类为主体的化学原料药片剂、胶囊、颗粒剂产品制造群，加快制药关键技术突破和品质升级，实现原料药的高端化和</w:t>
                  </w:r>
                  <w:r>
                    <w:rPr>
                      <w:rFonts w:hint="eastAsia"/>
                      <w:lang w:val="en-US" w:eastAsia="zh-CN"/>
                    </w:rPr>
                    <w:t>特</w:t>
                  </w:r>
                  <w:r>
                    <w:rPr>
                      <w:rFonts w:hint="eastAsia"/>
                    </w:rPr>
                    <w:t>色化。合成化学原料药、提取类生物医药。</w:t>
                  </w:r>
                </w:p>
                <w:p>
                  <w:pPr>
                    <w:pStyle w:val="24"/>
                  </w:pPr>
                  <w:r>
                    <w:rPr>
                      <w:rFonts w:hint="eastAsia"/>
                    </w:rPr>
                    <w:t>③粮食转化乙醇、食用植物油料转化生物燃料项目等企业。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 w:type="pct"/>
                  <w:vAlign w:val="center"/>
                </w:tcPr>
                <w:p>
                  <w:pPr>
                    <w:pStyle w:val="24"/>
                  </w:pPr>
                  <w:r>
                    <w:rPr>
                      <w:rFonts w:hint="eastAsia"/>
                    </w:rPr>
                    <w:t>禁止类</w:t>
                  </w:r>
                </w:p>
              </w:tc>
              <w:tc>
                <w:tcPr>
                  <w:tcW w:w="2345" w:type="pct"/>
                  <w:vAlign w:val="center"/>
                </w:tcPr>
                <w:p>
                  <w:pPr>
                    <w:pStyle w:val="24"/>
                  </w:pPr>
                  <w:r>
                    <w:rPr>
                      <w:rFonts w:hint="eastAsia"/>
                    </w:rPr>
                    <w:t>①明令禁止的落后淘汰的工艺、设备、产品。</w:t>
                  </w:r>
                </w:p>
                <w:p>
                  <w:pPr>
                    <w:pStyle w:val="24"/>
                  </w:pPr>
                  <w:r>
                    <w:rPr>
                      <w:rFonts w:hint="eastAsia"/>
                    </w:rPr>
                    <w:t>②明令禁止的落后淘汰的工艺、设备、产品，电子行业的PCB、电路板、电镀等涉重金属或者产生重金属污染等企业。</w:t>
                  </w:r>
                </w:p>
              </w:tc>
              <w:tc>
                <w:tcPr>
                  <w:tcW w:w="2346" w:type="pct"/>
                  <w:vAlign w:val="center"/>
                </w:tcPr>
                <w:p>
                  <w:pPr>
                    <w:pStyle w:val="24"/>
                  </w:pPr>
                  <w:r>
                    <w:rPr>
                      <w:rFonts w:hint="eastAsia"/>
                    </w:rPr>
                    <w:t>①国家产业政策规定的限制类产业以及落后生产工艺装备和落后产品。不符合行业准入条件的项目。不符合产业政策的专业热处理项目电镀生产线；耗水量大的大型机械设备项目；废水中含有持久性有毒有害有机物的项目。明令禁止的落后淘汰的工艺、设备、产品，电子行业的PCB、电路板、电镀等涉重金属或者产生重金属污染等企业。</w:t>
                  </w:r>
                </w:p>
                <w:p>
                  <w:pPr>
                    <w:pStyle w:val="24"/>
                  </w:pPr>
                  <w:r>
                    <w:rPr>
                      <w:rFonts w:hint="eastAsia"/>
                    </w:rPr>
                    <w:t>②明令禁止的落后淘汰的工艺、设备、产品：生物工程类。</w:t>
                  </w:r>
                </w:p>
                <w:p>
                  <w:pPr>
                    <w:pStyle w:val="24"/>
                  </w:pPr>
                  <w:r>
                    <w:rPr>
                      <w:rFonts w:hint="eastAsia"/>
                    </w:rPr>
                    <w:t>③以野外资源为原料的珍贵濒危野生动植物加工。</w:t>
                  </w:r>
                </w:p>
              </w:tc>
            </w:tr>
          </w:tbl>
          <w:p>
            <w:pPr>
              <w:ind w:firstLine="480"/>
            </w:pPr>
            <w:r>
              <w:rPr>
                <w:rFonts w:hint="eastAsia"/>
                <w:lang w:val="en-US" w:eastAsia="zh-CN"/>
              </w:rPr>
              <w:t>根据附图3用地规划图，</w:t>
            </w:r>
            <w:r>
              <w:rPr>
                <w:rFonts w:hint="eastAsia"/>
              </w:rPr>
              <w:t>本项目所在地规划为一类用地，本项目属于C3389其他金属制日用品制造，不属于上表一类工业用地中限制类、禁止类，为允许类，与园区准入条件相符。</w:t>
            </w:r>
          </w:p>
          <w:p>
            <w:pPr>
              <w:pStyle w:val="2"/>
              <w:keepLines/>
              <w:overflowPunct/>
              <w:snapToGrid/>
              <w:spacing w:before="120"/>
              <w:rPr>
                <w:rFonts w:hint="eastAsia"/>
              </w:rPr>
            </w:pPr>
            <w:bookmarkStart w:id="11" w:name="_Toc26332"/>
            <w:bookmarkStart w:id="12" w:name="_Toc26948"/>
            <w:bookmarkStart w:id="13" w:name="_Toc24476"/>
            <w:bookmarkStart w:id="14" w:name="_Toc7225"/>
            <w:r>
              <w:rPr>
                <w:rFonts w:hint="eastAsia"/>
              </w:rPr>
              <w:t>3、与规划环评的符合性分析</w:t>
            </w:r>
            <w:bookmarkEnd w:id="11"/>
            <w:bookmarkEnd w:id="12"/>
            <w:bookmarkEnd w:id="13"/>
            <w:bookmarkEnd w:id="14"/>
          </w:p>
          <w:p>
            <w:pPr>
              <w:pStyle w:val="37"/>
              <w:bidi w:val="0"/>
              <w:rPr>
                <w:rFonts w:hint="default"/>
                <w:lang w:val="en-US" w:eastAsia="zh-CN"/>
              </w:rPr>
            </w:pPr>
            <w:r>
              <w:rPr>
                <w:rFonts w:hint="eastAsia"/>
                <w:lang w:val="en-US" w:eastAsia="zh-CN"/>
              </w:rPr>
              <w:t>表1-3 本项目与</w:t>
            </w:r>
            <w:r>
              <w:rPr>
                <w:rFonts w:hint="eastAsia"/>
              </w:rPr>
              <w:t>湘环评〔2013〕285号</w:t>
            </w:r>
            <w:r>
              <w:rPr>
                <w:rFonts w:hint="eastAsia"/>
                <w:lang w:val="en-US" w:eastAsia="zh-CN"/>
              </w:rPr>
              <w:t>文相符性分析一览表</w:t>
            </w:r>
          </w:p>
          <w:tbl>
            <w:tblPr>
              <w:tblStyle w:val="19"/>
              <w:tblW w:w="499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4092"/>
              <w:gridCol w:w="2595"/>
              <w:gridCol w:w="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000000" w:sz="12" w:space="0"/>
                    <w:left w:val="nil"/>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序号</w:t>
                  </w:r>
                </w:p>
              </w:tc>
              <w:tc>
                <w:tcPr>
                  <w:tcW w:w="2679"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湘环评〔2013〕285号</w:t>
                  </w:r>
                </w:p>
              </w:tc>
              <w:tc>
                <w:tcPr>
                  <w:tcW w:w="1699"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项目情况</w:t>
                  </w:r>
                </w:p>
              </w:tc>
              <w:tc>
                <w:tcPr>
                  <w:tcW w:w="310" w:type="pct"/>
                  <w:tcBorders>
                    <w:top w:val="single" w:color="000000" w:sz="12" w:space="0"/>
                    <w:left w:val="single" w:color="auto" w:sz="4" w:space="0"/>
                    <w:bottom w:val="single" w:color="000000" w:sz="4" w:space="0"/>
                    <w:right w:val="nil"/>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000000"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1</w:t>
                  </w:r>
                </w:p>
              </w:tc>
              <w:tc>
                <w:tcPr>
                  <w:tcW w:w="2679"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cs="宋体"/>
                      <w:color w:val="000000"/>
                      <w:sz w:val="21"/>
                      <w:szCs w:val="21"/>
                    </w:rPr>
                    <w:t>进一步优化规划布局，经开区内各功能区相对集中布置，严格按照功能区划进行有序开发建设，处理好经开区内部各功能组团及经开区与周边工业、生活、配套服务等各功能组团间的关系，充分利用自然地形和绿化隔离带使各功能区隔离，按报告书要求，将经开区中部南、北两侧均临近规划居住区的二类工业用地调整为一类工业用地，对现状居住工业混杂局面逐步调整，控制在规划道路两侧新建对噪声敏感的建筑物，确保功能区划明确、产业相对集中、生态环境优良，减轻功能区相互干扰影响</w:t>
                  </w:r>
                  <w:r>
                    <w:rPr>
                      <w:rFonts w:hint="eastAsia" w:cs="宋体"/>
                      <w:color w:val="000000"/>
                      <w:sz w:val="21"/>
                      <w:szCs w:val="21"/>
                    </w:rPr>
                    <w:t>。</w:t>
                  </w:r>
                </w:p>
              </w:tc>
              <w:tc>
                <w:tcPr>
                  <w:tcW w:w="1699"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s="宋体"/>
                      <w:color w:val="000000"/>
                      <w:sz w:val="21"/>
                      <w:szCs w:val="21"/>
                    </w:rPr>
                    <w:t>项目位于衡阳西渡高新区内船山西路与洪山路交汇处东北角双创中心内厂房28栋与23栋一层，位于西渡高新产业园区内，项目用地为一类工业用地，项目周边均为工业用地，50m范围内无噪声敏感目标，符合规划环评审查意见要求。</w:t>
                  </w:r>
                </w:p>
              </w:tc>
              <w:tc>
                <w:tcPr>
                  <w:tcW w:w="310" w:type="pct"/>
                  <w:tcBorders>
                    <w:top w:val="single" w:color="000000"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2</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s="宋体"/>
                      <w:color w:val="000000"/>
                      <w:sz w:val="21"/>
                      <w:szCs w:val="21"/>
                    </w:rPr>
                    <w:t>严格执行经开区入园企业准入制度，入园项目选址必须符和经开区总体发展规划、用地规划、环保规划及主导产业定位要求，不得引进国家明令淘汰和禁止发展的能耗物耗高、环境污染严重、不符合产业政策的建设项目，禁止气型污染严重企业、涉重金属企业入驻，严格控制三类工业。管委会和地方环保行政主管部门必须按照报告书提出的经开区准入限制行业类型一览表做好项目的招商把关，在入园项目前期和建设期，必须严格执行建设项目环境影响评价和“三同时”管理制度，推行清洁生产工艺，确保排污浓度、总量满足达标排放和总量控制要求；加强对规划区内企业的环境监管，完善企业环保手续、确保污防设施正常运营、达标排放，总体满足产业定位和地方环保管理要求。</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cs="宋体"/>
                      <w:color w:val="000000"/>
                      <w:sz w:val="21"/>
                      <w:szCs w:val="21"/>
                    </w:rPr>
                    <w:t>本项目不属于经开区准入限制行业类型一览表中的限制行业，在按本报告提出的污染防治措施后能确保各类污染物达标排放</w:t>
                  </w:r>
                  <w:r>
                    <w:rPr>
                      <w:rFonts w:hint="eastAsia" w:cs="宋体"/>
                      <w:color w:val="000000"/>
                      <w:sz w:val="21"/>
                      <w:szCs w:val="21"/>
                    </w:rPr>
                    <w:t>，符合规划环评审查意见要求。</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3</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落实经开区水污染控制措施。经开区排水实施雨污分流，近期排水经收集后排入衡阳县县城污水处理厂深度处理，远期经开区自建污水处理厂，其选址、规模、处理工艺等另行环评论证，污水处理厂尾水排放执行《城镇污水处理厂污染物排放标准》（GB18918-2002）中的一级B标准，经专管排入蒸水。加快实施衡阳县城污水处理厂扩建、园区污水处理厂建设、配套排水管网建设等基础设施建设，截污、排污管网必须与道路建设、区域开发、项目引进同步进行，保障经开区废水实现集中深度处理，在经开区与集中污水处理厂接管运营完成前，应限制引进水型污染企业，已建成企业废水应经自行处理满足《污水综合排放标准》（GB 8978-1996）一级标准后方可外排。</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bidi w:val="0"/>
                    <w:rPr>
                      <w:color w:val="000000"/>
                      <w:szCs w:val="21"/>
                    </w:rPr>
                  </w:pPr>
                  <w:r>
                    <w:rPr>
                      <w:rFonts w:hint="eastAsia"/>
                    </w:rPr>
                    <w:t>本项目按经开区政策要求落实水污染防治措施，排水实施雨污分流。本项目经隔油池除油</w:t>
                  </w:r>
                  <w:r>
                    <w:rPr>
                      <w:rFonts w:hint="eastAsia"/>
                      <w:lang w:val="en-US" w:eastAsia="zh-CN"/>
                    </w:rPr>
                    <w:t>后的</w:t>
                  </w:r>
                  <w:r>
                    <w:rPr>
                      <w:rFonts w:hint="eastAsia"/>
                    </w:rPr>
                    <w:t>除油清洗废水与酸洗清洗废水、磷化清洗废水、保洁废水和</w:t>
                  </w:r>
                  <w:r>
                    <w:rPr>
                      <w:rFonts w:hint="eastAsia"/>
                      <w:lang w:eastAsia="zh-CN"/>
                    </w:rPr>
                    <w:t>碱液喷淋塔</w:t>
                  </w:r>
                  <w:r>
                    <w:rPr>
                      <w:rFonts w:hint="eastAsia"/>
                    </w:rPr>
                    <w:t>废水一起经“调节池+一体化</w:t>
                  </w:r>
                  <w:r>
                    <w:rPr>
                      <w:rFonts w:hint="eastAsia"/>
                      <w:lang w:val="en-US" w:eastAsia="zh-CN"/>
                    </w:rPr>
                    <w:t>处理设施（pH调节+混凝沉淀+二沉池（斜管沉淀））</w:t>
                  </w:r>
                  <w:r>
                    <w:rPr>
                      <w:rFonts w:hint="eastAsia"/>
                    </w:rPr>
                    <w:t>”预处理达综排3级标准与接管标准中较严者后，进入市政污水管网</w:t>
                  </w:r>
                  <w:r>
                    <w:rPr>
                      <w:rFonts w:hint="eastAsia"/>
                      <w:lang w:eastAsia="zh-CN"/>
                    </w:rPr>
                    <w:t>，</w:t>
                  </w:r>
                  <w:r>
                    <w:rPr>
                      <w:rFonts w:hint="eastAsia"/>
                    </w:rPr>
                    <w:t>排至衡阳西渡高新区污水处理厂进行深度处理；生活污水依托双创中心化粪池预处理后经市政管网排至衡阳西渡高新技术产业园区污水处理厂处理达标排放。</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4</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按报告书要求做好经开区大气污染控制措施。管委会应积极推广清洁能源，严格控制新建10th以下燃煤锅炉，凡10th以下锅炉必须采用燃气等清洁燃料，园区燃煤含硫率应确保控制在1%以内。建立经开区清洁生产管理考核机制，对各企业工艺废气产出的生产节点，应配置废气收集与净化处理装置，确保达标排放；加强生产工艺研究与技术改进，采取有效措施，减少入园企业工艺废气的无组织排放；入园企业各生产装置排放的废气须经处理达到相应的行业排放标准及《大气污染物综合排放标准》中二级标准要求。合理优化工业布局，在不同性质的工业企业间设置合理的问隔距离，防止相互干扰。</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lang w:val="en-US" w:eastAsia="zh-CN"/>
                    </w:rPr>
                    <w:t>本项目运营期废气产生来源主要为焊接、酸洗、喷粉、固化、生物质燃烧；焊接工序主要污染物为颗粒物，酸洗工序主要污染物为盐酸雾（氯化氢），喷粉工序主要污染物为颗粒物，固化工序主要污染物为VOCs，成型生物质燃烧主要产生颗粒物、SO</w:t>
                  </w:r>
                  <w:r>
                    <w:rPr>
                      <w:rFonts w:hint="eastAsia"/>
                      <w:vertAlign w:val="subscript"/>
                      <w:lang w:val="en-US" w:eastAsia="zh-CN"/>
                    </w:rPr>
                    <w:t>2</w:t>
                  </w:r>
                  <w:r>
                    <w:rPr>
                      <w:rFonts w:hint="eastAsia"/>
                      <w:lang w:val="en-US" w:eastAsia="zh-CN"/>
                    </w:rPr>
                    <w:t>、NO</w:t>
                  </w:r>
                  <w:r>
                    <w:rPr>
                      <w:rFonts w:hint="eastAsia"/>
                      <w:vertAlign w:val="subscript"/>
                      <w:lang w:val="en-US" w:eastAsia="zh-CN"/>
                    </w:rPr>
                    <w:t>x</w:t>
                  </w:r>
                  <w:r>
                    <w:rPr>
                      <w:rFonts w:hint="eastAsia"/>
                      <w:lang w:val="en-US" w:eastAsia="zh-CN"/>
                    </w:rPr>
                    <w:t>。焊接工序的颗粒物经集中式焊烟净化器处理后经1根27米高排气筒（DA001）排放，酸洗工序的酸雾经碱液喷淋塔处理后经1根27米高排气筒（DA002）排放，喷粉工序的颗粒物（粉尘）利用密闭的滤芯粉末回收装置对粉末进行回收，不设置排气筒，只有少量粉尘无组织排放；固化工序产生的VOCs不设置处理设施，收集后经1根27米高排气筒（DA003）排放，成型生物质燃烧产生的颗粒物、SO</w:t>
                  </w:r>
                  <w:r>
                    <w:rPr>
                      <w:rFonts w:hint="eastAsia"/>
                      <w:vertAlign w:val="subscript"/>
                      <w:lang w:val="en-US" w:eastAsia="zh-CN"/>
                    </w:rPr>
                    <w:t>2</w:t>
                  </w:r>
                  <w:r>
                    <w:rPr>
                      <w:rFonts w:hint="eastAsia"/>
                      <w:lang w:val="en-US" w:eastAsia="zh-CN"/>
                    </w:rPr>
                    <w:t>、NO</w:t>
                  </w:r>
                  <w:r>
                    <w:rPr>
                      <w:rFonts w:hint="eastAsia"/>
                      <w:vertAlign w:val="subscript"/>
                      <w:lang w:val="en-US" w:eastAsia="zh-CN"/>
                    </w:rPr>
                    <w:t>x</w:t>
                  </w:r>
                  <w:r>
                    <w:rPr>
                      <w:rFonts w:hint="eastAsia"/>
                      <w:lang w:val="en-US" w:eastAsia="zh-CN"/>
                    </w:rPr>
                    <w:t>经收集，经过旋风除尘+布袋除尘处理后，经1根27米高排气筒（DA004）排放。</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5</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做好经开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严防二次污染。</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本项目采取工业固体废物和生活垃圾分类收集、转运、综合利用和安全处置；规范固体废物处理措施，危险固废按国家有关规定交由资质单位或妥善处置。</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6</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经开区要建立专职环境监督管理机构，建立健全环境风险事故防范措施和应急预案，严防环境风险事故发生。</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项目建成后企业应制定相应的应急措施，严防环境风险事故发生。</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7</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按经开区开发规划统筹制定拆迁安置方案，妥善落实移民生产生活安置措施，防止移民再次安置和次生环境问题。</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项目不涉及移民、拆迁。</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8</w:t>
                  </w:r>
                </w:p>
              </w:tc>
              <w:tc>
                <w:tcPr>
                  <w:tcW w:w="267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做好建设期的生态保护和水土保持工作。经开区建设过程中应按照景观设计和功能分隔要求保留一定的自然山体绿地，切实做好生态环境的保护、恢复和补偿工作，落实水土保持措施以减少经开区开发建设过程中对区域生态环境的影响。</w:t>
                  </w:r>
                </w:p>
              </w:tc>
              <w:tc>
                <w:tcPr>
                  <w:tcW w:w="1699"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w:t>
                  </w:r>
                  <w:r>
                    <w:rPr>
                      <w:rFonts w:hint="eastAsia" w:cs="宋体"/>
                      <w:color w:val="000000"/>
                      <w:sz w:val="21"/>
                      <w:szCs w:val="21"/>
                    </w:rPr>
                    <w:t>位于衡阳西渡高新区内船山西路与洪山路交汇处东北角双创中心内厂房28栋与23栋一层，位于西渡高新产业园区内，</w:t>
                  </w:r>
                  <w:r>
                    <w:rPr>
                      <w:rFonts w:hint="eastAsia"/>
                      <w:color w:val="000000"/>
                      <w:sz w:val="21"/>
                      <w:szCs w:val="21"/>
                    </w:rPr>
                    <w:t>对区域生态环境无影响。</w:t>
                  </w:r>
                </w:p>
              </w:tc>
              <w:tc>
                <w:tcPr>
                  <w:tcW w:w="310"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tcBorders>
                    <w:top w:val="single" w:color="auto"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9</w:t>
                  </w:r>
                </w:p>
              </w:tc>
              <w:tc>
                <w:tcPr>
                  <w:tcW w:w="2679"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污染物总量控制：COD＜560 t/a、氨氮≤80 ta、SO</w:t>
                  </w:r>
                  <w:r>
                    <w:rPr>
                      <w:rFonts w:hint="eastAsia"/>
                      <w:color w:val="000000"/>
                      <w:sz w:val="21"/>
                      <w:szCs w:val="21"/>
                      <w:vertAlign w:val="subscript"/>
                    </w:rPr>
                    <w:t>2</w:t>
                  </w:r>
                  <w:r>
                    <w:rPr>
                      <w:rFonts w:hint="eastAsia"/>
                      <w:color w:val="000000"/>
                      <w:sz w:val="21"/>
                      <w:szCs w:val="21"/>
                    </w:rPr>
                    <w:t>＜660 t/a、NOx≤750 t/a，总量指标纳入当地环保部门污染物总量控制管理。</w:t>
                  </w:r>
                </w:p>
              </w:tc>
              <w:tc>
                <w:tcPr>
                  <w:tcW w:w="1699"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5"/>
                    <w:spacing w:line="240" w:lineRule="auto"/>
                    <w:ind w:firstLine="0" w:firstLineChars="0"/>
                    <w:rPr>
                      <w:color w:val="000000"/>
                      <w:kern w:val="2"/>
                      <w:sz w:val="21"/>
                      <w:szCs w:val="21"/>
                    </w:rPr>
                  </w:pPr>
                  <w:r>
                    <w:rPr>
                      <w:rFonts w:hint="eastAsia"/>
                      <w:color w:val="000000"/>
                      <w:kern w:val="2"/>
                      <w:sz w:val="21"/>
                      <w:szCs w:val="21"/>
                    </w:rPr>
                    <w:t>本项目经隔油池除油后的除油清洗废水与酸洗清洗废水、磷化清洗废水、保洁废水和</w:t>
                  </w:r>
                  <w:r>
                    <w:rPr>
                      <w:rFonts w:hint="eastAsia"/>
                      <w:color w:val="000000"/>
                      <w:kern w:val="2"/>
                      <w:sz w:val="21"/>
                      <w:szCs w:val="21"/>
                      <w:lang w:eastAsia="zh-CN"/>
                    </w:rPr>
                    <w:t>碱液喷淋塔</w:t>
                  </w:r>
                  <w:r>
                    <w:rPr>
                      <w:rFonts w:hint="eastAsia"/>
                      <w:color w:val="000000"/>
                      <w:kern w:val="2"/>
                      <w:sz w:val="21"/>
                      <w:szCs w:val="21"/>
                    </w:rPr>
                    <w:t>废水一起经“调节池+一体化</w:t>
                  </w:r>
                  <w:r>
                    <w:rPr>
                      <w:rFonts w:hint="eastAsia"/>
                      <w:color w:val="000000"/>
                      <w:kern w:val="2"/>
                      <w:sz w:val="21"/>
                      <w:szCs w:val="21"/>
                      <w:lang w:val="en-US" w:eastAsia="zh-CN"/>
                    </w:rPr>
                    <w:t>处理设施</w:t>
                  </w:r>
                  <w:r>
                    <w:rPr>
                      <w:rFonts w:hint="eastAsia"/>
                      <w:color w:val="000000"/>
                      <w:kern w:val="2"/>
                      <w:sz w:val="21"/>
                      <w:szCs w:val="21"/>
                    </w:rPr>
                    <w:t>（pH调节+混凝沉淀+二沉池（斜管沉淀））”预处理达综排3级标准与接管标准中较严者后，进入市政污水管网</w:t>
                  </w:r>
                  <w:r>
                    <w:rPr>
                      <w:rFonts w:hint="eastAsia"/>
                      <w:color w:val="000000"/>
                      <w:kern w:val="2"/>
                      <w:sz w:val="21"/>
                      <w:szCs w:val="21"/>
                      <w:lang w:eastAsia="zh-CN"/>
                    </w:rPr>
                    <w:t>，</w:t>
                  </w:r>
                  <w:r>
                    <w:rPr>
                      <w:rFonts w:hint="eastAsia"/>
                      <w:color w:val="000000"/>
                      <w:kern w:val="2"/>
                      <w:sz w:val="21"/>
                      <w:szCs w:val="21"/>
                    </w:rPr>
                    <w:t>排至衡阳西渡高新区污水处理厂进行深度处理；生活污水依托双创中心化粪池预处理后经市政管网排至衡阳西渡高新技术产业园区污水处理厂处理达标排放。因此，本项目无需设废水总量控制指标。</w:t>
                  </w:r>
                </w:p>
                <w:p>
                  <w:pPr>
                    <w:spacing w:line="240" w:lineRule="auto"/>
                    <w:ind w:firstLine="0" w:firstLineChars="0"/>
                    <w:jc w:val="center"/>
                    <w:rPr>
                      <w:color w:val="000000"/>
                      <w:sz w:val="21"/>
                      <w:szCs w:val="21"/>
                    </w:rPr>
                  </w:pPr>
                  <w:r>
                    <w:rPr>
                      <w:rFonts w:hint="eastAsia"/>
                      <w:color w:val="000000"/>
                      <w:sz w:val="21"/>
                      <w:szCs w:val="21"/>
                      <w:lang w:val="en-US" w:eastAsia="zh-CN"/>
                    </w:rPr>
                    <w:t>本项目的大气污染物VOCs排放纳入衡阳县整体VOCs排放管理，本项目VOCs排放达标，故实行区域VOCs排放等量替代，项目涉及的其他</w:t>
                  </w:r>
                  <w:r>
                    <w:rPr>
                      <w:rFonts w:hint="eastAsia"/>
                      <w:color w:val="000000"/>
                      <w:sz w:val="21"/>
                      <w:szCs w:val="21"/>
                    </w:rPr>
                    <w:t>大气污染物排放总量</w:t>
                  </w:r>
                  <w:r>
                    <w:rPr>
                      <w:rFonts w:hint="eastAsia"/>
                      <w:color w:val="000000"/>
                      <w:sz w:val="21"/>
                      <w:szCs w:val="21"/>
                      <w:lang w:val="en-US" w:eastAsia="zh-CN"/>
                    </w:rPr>
                    <w:t>指标纳入当地环保部门污染物总量控制管理</w:t>
                  </w:r>
                  <w:r>
                    <w:rPr>
                      <w:rFonts w:hint="eastAsia"/>
                      <w:color w:val="000000"/>
                      <w:sz w:val="21"/>
                      <w:szCs w:val="21"/>
                    </w:rPr>
                    <w:t>。</w:t>
                  </w:r>
                </w:p>
              </w:tc>
              <w:tc>
                <w:tcPr>
                  <w:tcW w:w="310" w:type="pct"/>
                  <w:tcBorders>
                    <w:top w:val="single" w:color="auto"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bl>
          <w:p>
            <w:pPr>
              <w:ind w:firstLine="480"/>
            </w:pPr>
            <w:r>
              <w:rPr>
                <w:rFonts w:hint="eastAsia"/>
              </w:rPr>
              <w:t>综上分析，本项目与《西渡经济开发区环境影响报告书的批复》（湘环评〔2013〕285号）相符。</w:t>
            </w:r>
          </w:p>
          <w:p>
            <w:pPr>
              <w:pStyle w:val="2"/>
              <w:spacing w:before="120"/>
              <w:rPr>
                <w:rFonts w:hint="eastAsia"/>
              </w:rPr>
            </w:pPr>
            <w:bookmarkStart w:id="15" w:name="_Toc3048"/>
            <w:bookmarkStart w:id="16" w:name="_Toc22191"/>
            <w:bookmarkStart w:id="17" w:name="_Toc15983"/>
            <w:bookmarkStart w:id="18" w:name="_Toc7747"/>
            <w:r>
              <w:rPr>
                <w:rFonts w:hint="eastAsia"/>
              </w:rPr>
              <w:t>4、</w:t>
            </w:r>
            <w:r>
              <w:rPr>
                <w:rFonts w:hint="eastAsia"/>
                <w:u w:val="single"/>
              </w:rPr>
              <w:t>与《湖南衡阳西渡高新技术产业园区环境影响跟踪评价》符合性分析</w:t>
            </w:r>
            <w:bookmarkEnd w:id="15"/>
            <w:bookmarkEnd w:id="16"/>
            <w:bookmarkEnd w:id="17"/>
            <w:bookmarkEnd w:id="18"/>
          </w:p>
          <w:p>
            <w:pPr>
              <w:pStyle w:val="37"/>
              <w:bidi w:val="0"/>
              <w:rPr>
                <w:rFonts w:hint="default"/>
                <w:lang w:val="en-US" w:eastAsia="zh-CN"/>
              </w:rPr>
            </w:pPr>
            <w:r>
              <w:rPr>
                <w:rFonts w:hint="eastAsia"/>
                <w:lang w:val="en-US" w:eastAsia="zh-CN"/>
              </w:rPr>
              <w:t>表1-4 本项目与</w:t>
            </w:r>
            <w:r>
              <w:rPr>
                <w:rFonts w:hint="eastAsia"/>
              </w:rPr>
              <w:t>湘环评函〔2022〕85号</w:t>
            </w:r>
            <w:r>
              <w:rPr>
                <w:rFonts w:hint="eastAsia"/>
                <w:lang w:val="en-US" w:eastAsia="zh-CN"/>
              </w:rPr>
              <w:t>文相符性分析一览表</w:t>
            </w:r>
          </w:p>
          <w:tbl>
            <w:tblPr>
              <w:tblStyle w:val="19"/>
              <w:tblW w:w="73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3971"/>
              <w:gridCol w:w="2438"/>
              <w:gridCol w:w="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000000" w:sz="12" w:space="0"/>
                    <w:left w:val="nil"/>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序号</w:t>
                  </w:r>
                </w:p>
              </w:tc>
              <w:tc>
                <w:tcPr>
                  <w:tcW w:w="2710"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湘环评函〔2022〕85号</w:t>
                  </w:r>
                </w:p>
              </w:tc>
              <w:tc>
                <w:tcPr>
                  <w:tcW w:w="1664"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项目情况</w:t>
                  </w:r>
                </w:p>
              </w:tc>
              <w:tc>
                <w:tcPr>
                  <w:tcW w:w="318" w:type="pct"/>
                  <w:tcBorders>
                    <w:top w:val="single" w:color="000000" w:sz="12" w:space="0"/>
                    <w:left w:val="single" w:color="auto" w:sz="4" w:space="0"/>
                    <w:bottom w:val="single" w:color="000000" w:sz="4" w:space="0"/>
                    <w:right w:val="nil"/>
                  </w:tcBorders>
                  <w:shd w:val="clear" w:color="auto" w:fill="FFFFFF"/>
                  <w:vAlign w:val="center"/>
                </w:tcPr>
                <w:p>
                  <w:pPr>
                    <w:spacing w:line="240" w:lineRule="auto"/>
                    <w:ind w:firstLine="0" w:firstLineChars="0"/>
                    <w:jc w:val="center"/>
                    <w:rPr>
                      <w:b/>
                      <w:color w:val="000000"/>
                      <w:sz w:val="21"/>
                      <w:szCs w:val="21"/>
                    </w:rPr>
                  </w:pPr>
                  <w:r>
                    <w:rPr>
                      <w:rFonts w:hint="eastAsia"/>
                      <w:b/>
                      <w:color w:val="000000"/>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000000"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1</w:t>
                  </w:r>
                </w:p>
              </w:tc>
              <w:tc>
                <w:tcPr>
                  <w:tcW w:w="2710"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按程序做好高新区规划调整。规划实施以来，高新区未严楼按照规划功能分区进行布置，存在不同性质的工业企业交错布设，未进行分区管控；存在区域实际开发用地现状、产业定位与原规划及城市总体规划不符等情形；区域整体开发强度偏低高新区应结合衡阳市国土空间规划和环境可行性结论，尽快按规定程序开展规划调整工作，通过优化空间布局、用地性质调整、引导产业集中、严格控规等措施因地制宜地调整产业区功能布局和产业布局，并按规划修编相关要求完善国土、规划、环保等相关手续，做到规范、有序和可持续发展。基于高新区常年主导风向生态环境敏感点较多，周边的工业企业应强化污染防治设施的治理效果，按要求设置一定的绿化隔离带，最大程度地避免对邻近生态环境敏感区的不良环境影响。后续引进企业，应合理引导企业布局，确保各行业企业在其相应的规划产业片区内发展，严禁跨红线布局。</w:t>
                  </w:r>
                </w:p>
              </w:tc>
              <w:tc>
                <w:tcPr>
                  <w:tcW w:w="1664"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本项目严格按照高新区规划调整，对污染防治设施的治理效果严格要求。</w:t>
                  </w:r>
                </w:p>
              </w:tc>
              <w:tc>
                <w:tcPr>
                  <w:tcW w:w="318" w:type="pct"/>
                  <w:tcBorders>
                    <w:top w:val="single" w:color="000000"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2</w:t>
                  </w:r>
                </w:p>
              </w:tc>
              <w:tc>
                <w:tcPr>
                  <w:tcW w:w="271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严格产业环境准入。衡阳西渡高新区后续发展与规划调整须符合高新区“三线一单”环境准入要求、长江经济带发展负面清单指南(试行)、湖南省湘江保护条例及《报告书》提出的环境准入条件和负面清单要求。应对不符合产业定位、环境准入和用地规划要求的企业，在严格确保污染物不增加的前提下予以保留。入驻企业应按照《关于加强重点行业建设项目区域削减措施监督管理的通知》等有关文件要求，依据区域环境质量改善目标，制定配套区域污染物削减方案，采取有效的污染物区域削减措施，腾出足够的环境容量。鉴于较为密集的生态环境敏感点位于高新区常年主导风向下风向，高新区必须禁止气型污染严重的企业、涉重排放企业入驻，严格控制三类工业。入驻企业应优先考虑使用清洁能源、能耗低、技术工艺先进、清洁生产和环境管理水平高污染防治技术成熟的企业，须严格执行环境保护“三同时”制度，确保外排污染物满足排污许可证管控要求。</w:t>
                  </w:r>
                </w:p>
              </w:tc>
              <w:tc>
                <w:tcPr>
                  <w:tcW w:w="166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本项目符合高新区“三线一单”环境准入要求、长江经济带发展负面清单指南(试行)、湖南省湘江保护条例及《报告书》提出的环境准入条件和负面清单要求。</w:t>
                  </w:r>
                </w:p>
              </w:tc>
              <w:tc>
                <w:tcPr>
                  <w:tcW w:w="318"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3</w:t>
                  </w:r>
                </w:p>
              </w:tc>
              <w:tc>
                <w:tcPr>
                  <w:tcW w:w="271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进一步落实高新区污染管控措施。进一步完善区域雨污分流和污污分流系统、污水收集管建设，确保高新区废水应收尽收；鉴于高新区基础设施尚不完善，区域内的污水未全部纳入污水处理厂集中深度处理，且受纳水体蒸水目前环境容量有限，污水处理厂配套接管未完成的区域，应禁止引进水型污染企业，并加快办理污水处理厂入河排污口论证手续。优化能源结构，推广清洁能源。加强高新区大气污染防治，加大对区内山泰化工、恒生制药、得阳鞋业等重点排污企业废气治理措施运行情况及废气无组织排放的监管，确保大气污染物达标排放，对治理设施不能有效运行的企业，采取停产措施。做好工业固体废物和生活垃圾的分类收集、转运、综合利用和无害化处理，建立完善的固废管理体系。对危险废物应严格按照国家有关规定综合利用或妥善处置，对危险废物产生企业和经营单位，应强化日常环境监管，高新区范围内仍有企业存在环保手续履行不到位的情形，须严格落实排污许可制度和污染物排放总量控制，重点抓好企业环保手续的完善工作。</w:t>
                  </w:r>
                </w:p>
              </w:tc>
              <w:tc>
                <w:tcPr>
                  <w:tcW w:w="166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本项目位于衡阳西渡高新区双创中心内厂房28栋与23栋一层，位于西渡高新产业园区内，本项目</w:t>
                  </w:r>
                  <w:r>
                    <w:rPr>
                      <w:rFonts w:hint="eastAsia"/>
                      <w:color w:val="000000"/>
                      <w:sz w:val="21"/>
                      <w:szCs w:val="21"/>
                      <w:lang w:val="en-US" w:eastAsia="zh-CN"/>
                    </w:rPr>
                    <w:t>生产综合废水经厂内污水处理设施</w:t>
                  </w:r>
                  <w:r>
                    <w:rPr>
                      <w:rFonts w:hint="eastAsia"/>
                      <w:color w:val="000000"/>
                      <w:sz w:val="21"/>
                      <w:szCs w:val="21"/>
                    </w:rPr>
                    <w:t>预处理达综排3级标准与接管标准中较严者后，进入市政污水管网</w:t>
                  </w:r>
                  <w:r>
                    <w:rPr>
                      <w:rFonts w:hint="eastAsia"/>
                      <w:color w:val="000000"/>
                      <w:sz w:val="21"/>
                      <w:szCs w:val="21"/>
                      <w:lang w:eastAsia="zh-CN"/>
                    </w:rPr>
                    <w:t>，</w:t>
                  </w:r>
                  <w:r>
                    <w:rPr>
                      <w:rFonts w:hint="eastAsia"/>
                      <w:color w:val="000000"/>
                      <w:sz w:val="21"/>
                      <w:szCs w:val="21"/>
                    </w:rPr>
                    <w:t>排至衡阳西渡高新区污水处理厂进行深度处理；生活污水依托双创中心化粪池预处理后经市政管网排至衡阳西渡高新技术产业园区污水处理厂处理达标排放。项目不属于气型污染严重的企业、不属于涉重排放企业，不属于三类工业，本项目采取工业固体废物和生活垃圾分类收集、转运、综合利用和安全处置；规范固体废物处理措施，危险固废按国家有关规定综合利用或妥善处置。</w:t>
                  </w:r>
                </w:p>
              </w:tc>
              <w:tc>
                <w:tcPr>
                  <w:tcW w:w="318"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4</w:t>
                  </w:r>
                </w:p>
              </w:tc>
              <w:tc>
                <w:tcPr>
                  <w:tcW w:w="271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完善高新区环境监测体系。严格落实跟踪评价提出的监测方案，应结合高新区规划的功能分区、产业布局、重点企业分布、特征污染物的排放种类和状况、环境敏感目标分布等,建立健全环境空气、地表水地下水、土壤等环境要素的监控体系，并按《报告书》提出的要求，对相应点位（断面）开展跟踪监测加强对高新区重点排放单位、环保投诉较多企业的监督性监测。</w:t>
                  </w:r>
                </w:p>
              </w:tc>
              <w:tc>
                <w:tcPr>
                  <w:tcW w:w="166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本项目建成后将按照本环评提出的监测方案落实相关工作。</w:t>
                  </w:r>
                </w:p>
              </w:tc>
              <w:tc>
                <w:tcPr>
                  <w:tcW w:w="318"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5</w:t>
                  </w:r>
                </w:p>
              </w:tc>
              <w:tc>
                <w:tcPr>
                  <w:tcW w:w="271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健全高新区环境风险防控体系。加强高新区重要环境风险源管控，加强高新区危险化学品储运的环境风险管理，严格落实应急响应联动机制，确保区域环境安全。</w:t>
                  </w:r>
                </w:p>
              </w:tc>
              <w:tc>
                <w:tcPr>
                  <w:tcW w:w="166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项目建成后企业应制定相应的应急措施，严防环境风险事故发生，确保区域环境安全。</w:t>
                  </w:r>
                </w:p>
              </w:tc>
              <w:tc>
                <w:tcPr>
                  <w:tcW w:w="318"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6</w:t>
                  </w:r>
                </w:p>
              </w:tc>
              <w:tc>
                <w:tcPr>
                  <w:tcW w:w="2710"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加强对环境敏感点的保护。严格做好控规，杜绝在规划的工业用地上新增环境敏感目标、建设居民区。做好商业用地居住用地周边的规划控制,在下-轮规划调整中应从提升指导性、可操作性的角度出发推动产业集中布局、降低环境影响，强化产城融合度较高区域产业准入，严格控制气型污染企业入驻，加强对现有企业的污染防治措施。按要求做好功能区及具体项目用地周边规划控制，衡阳西渡高新区应根据开发规划统筹制定拆迁安置方案，落实移民生产生活安置措施，防治移民再次安置和次生环境问题。</w:t>
                  </w:r>
                </w:p>
              </w:tc>
              <w:tc>
                <w:tcPr>
                  <w:tcW w:w="166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本项目租用园区内已建厂房用于生产，未新增环境敏感目标，且厂区用地为工业用地，不涉及移民再次安置和次生环境问题。</w:t>
                  </w:r>
                </w:p>
              </w:tc>
              <w:tc>
                <w:tcPr>
                  <w:tcW w:w="318" w:type="pct"/>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 w:type="pct"/>
                  <w:tcBorders>
                    <w:top w:val="single" w:color="auto"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7</w:t>
                  </w:r>
                </w:p>
              </w:tc>
              <w:tc>
                <w:tcPr>
                  <w:tcW w:w="2710"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做好高新区后续开发过程中生态环境保护和水土保持。尽可能保留自然水体，施工期对土石方开挖、堆存及回填要实施围挡、护坡等措施，裸露地及时恢复植被，防止后续开发建设中的扬尘污染和水土流失。</w:t>
                  </w:r>
                </w:p>
              </w:tc>
              <w:tc>
                <w:tcPr>
                  <w:tcW w:w="1664"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本项目租用园区内已建厂房用于生产，不涉及土石方开挖、堆存及回填工程。</w:t>
                  </w:r>
                </w:p>
              </w:tc>
              <w:tc>
                <w:tcPr>
                  <w:tcW w:w="318" w:type="pct"/>
                  <w:tcBorders>
                    <w:top w:val="single" w:color="auto"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color w:val="000000"/>
                      <w:sz w:val="21"/>
                      <w:szCs w:val="21"/>
                    </w:rPr>
                  </w:pPr>
                  <w:r>
                    <w:rPr>
                      <w:rFonts w:hint="eastAsia"/>
                      <w:color w:val="000000"/>
                      <w:sz w:val="21"/>
                      <w:szCs w:val="21"/>
                    </w:rPr>
                    <w:t>符合</w:t>
                  </w:r>
                </w:p>
              </w:tc>
            </w:tr>
          </w:tbl>
          <w:p>
            <w:pPr>
              <w:ind w:firstLine="480"/>
            </w:pPr>
            <w:r>
              <w:rPr>
                <w:rFonts w:hint="eastAsia"/>
              </w:rPr>
              <w:t>综上分析，项目与《湖南衡阳西渡高新技术产业园区环境影响跟踪评价》（湘环评〔2022〕85号）审查意见相符。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35" w:type="dxa"/>
            <w:vAlign w:val="center"/>
          </w:tcPr>
          <w:p>
            <w:pPr>
              <w:spacing w:line="240" w:lineRule="auto"/>
              <w:ind w:firstLine="0" w:firstLineChars="0"/>
              <w:jc w:val="center"/>
            </w:pPr>
            <w:r>
              <w:rPr>
                <w:rFonts w:hint="eastAsia"/>
              </w:rPr>
              <w:t>其他符合性分析</w:t>
            </w:r>
          </w:p>
        </w:tc>
        <w:tc>
          <w:tcPr>
            <w:tcW w:w="7735" w:type="dxa"/>
            <w:gridSpan w:val="3"/>
            <w:vAlign w:val="center"/>
          </w:tcPr>
          <w:p>
            <w:pPr>
              <w:pStyle w:val="2"/>
              <w:keepLines/>
              <w:overflowPunct/>
              <w:snapToGrid/>
              <w:spacing w:before="120"/>
            </w:pPr>
            <w:bookmarkStart w:id="19" w:name="_Toc9960"/>
            <w:bookmarkStart w:id="20" w:name="_Toc19983"/>
            <w:bookmarkStart w:id="21" w:name="_Toc19740"/>
            <w:bookmarkStart w:id="22" w:name="_Toc5223"/>
            <w:r>
              <w:rPr>
                <w:rFonts w:hint="eastAsia"/>
              </w:rPr>
              <w:t>1、产业政策符合性分析</w:t>
            </w:r>
            <w:bookmarkEnd w:id="19"/>
            <w:bookmarkEnd w:id="20"/>
            <w:bookmarkEnd w:id="21"/>
            <w:bookmarkEnd w:id="22"/>
          </w:p>
          <w:p>
            <w:pPr>
              <w:ind w:firstLine="480"/>
            </w:pPr>
            <w:r>
              <w:rPr>
                <w:rFonts w:hint="eastAsia"/>
              </w:rPr>
              <w:t>本项目属于《国民经济行业分类》中的“C3389其他金属制日用品制造”，根据《产业结构调整指导目录（2024年本）》，本项目不属于鼓励类、限制类和淘汰类，视为允许类。本项目建设符合国家的产业政策。</w:t>
            </w:r>
          </w:p>
          <w:p>
            <w:pPr>
              <w:pStyle w:val="2"/>
              <w:spacing w:before="120"/>
            </w:pPr>
            <w:bookmarkStart w:id="23" w:name="_Toc11627"/>
            <w:bookmarkStart w:id="24" w:name="_Toc6166"/>
            <w:bookmarkStart w:id="25" w:name="_Toc28675"/>
            <w:bookmarkStart w:id="26" w:name="_Toc27093"/>
            <w:r>
              <w:rPr>
                <w:rFonts w:hint="eastAsia"/>
              </w:rPr>
              <w:t>2、《市场准入负面清单（2022年版）》符合性分析</w:t>
            </w:r>
            <w:bookmarkEnd w:id="23"/>
            <w:bookmarkEnd w:id="24"/>
            <w:bookmarkEnd w:id="25"/>
            <w:bookmarkEnd w:id="26"/>
          </w:p>
          <w:p>
            <w:pPr>
              <w:ind w:firstLine="480"/>
            </w:pPr>
            <w:r>
              <w:rPr>
                <w:rFonts w:hint="eastAsia"/>
              </w:rPr>
              <w:t>本项目属于C3389其他金属制日用品制造，根据《市场准入负面清单（2022年版）》，本项目不属于禁止类建设项目范围。因此项目符合相关要求。</w:t>
            </w:r>
          </w:p>
          <w:p>
            <w:pPr>
              <w:pStyle w:val="2"/>
              <w:keepLines/>
              <w:overflowPunct/>
              <w:snapToGrid/>
              <w:spacing w:before="120"/>
              <w:rPr>
                <w:color w:val="FF0000"/>
                <w:szCs w:val="24"/>
              </w:rPr>
            </w:pPr>
            <w:bookmarkStart w:id="27" w:name="_Toc6863"/>
            <w:bookmarkStart w:id="28" w:name="_Toc31805"/>
            <w:bookmarkStart w:id="29" w:name="_Toc29068"/>
            <w:bookmarkStart w:id="30" w:name="_Toc27352"/>
            <w:r>
              <w:rPr>
                <w:rFonts w:hint="eastAsia"/>
              </w:rPr>
              <w:t>3</w:t>
            </w:r>
            <w:r>
              <w:rPr>
                <w:rFonts w:hint="eastAsia"/>
                <w:szCs w:val="24"/>
              </w:rPr>
              <w:t>、</w:t>
            </w:r>
            <w:r>
              <w:rPr>
                <w:rFonts w:hint="eastAsia"/>
                <w:color w:val="auto"/>
                <w:szCs w:val="24"/>
                <w:lang w:val="en-US" w:eastAsia="zh-CN"/>
              </w:rPr>
              <w:t>与分区管控文件要求</w:t>
            </w:r>
            <w:r>
              <w:rPr>
                <w:rFonts w:hint="eastAsia"/>
                <w:color w:val="auto"/>
                <w:szCs w:val="24"/>
              </w:rPr>
              <w:t>符合性分析</w:t>
            </w:r>
            <w:bookmarkEnd w:id="27"/>
            <w:bookmarkEnd w:id="28"/>
            <w:bookmarkEnd w:id="29"/>
            <w:bookmarkEnd w:id="30"/>
          </w:p>
          <w:p>
            <w:pPr>
              <w:ind w:firstLine="480"/>
            </w:pPr>
            <w:r>
              <w:rPr>
                <w:rFonts w:hint="eastAsia"/>
              </w:rPr>
              <w:t>（1）生态保护红线</w:t>
            </w:r>
          </w:p>
          <w:p>
            <w:pPr>
              <w:ind w:firstLine="480"/>
            </w:pPr>
            <w:r>
              <w:rPr>
                <w:rFonts w:hint="eastAsia"/>
              </w:rPr>
              <w:t>①与湘政发〔2018〕20号符合性分析</w:t>
            </w:r>
          </w:p>
          <w:p>
            <w:pPr>
              <w:ind w:firstLine="480"/>
            </w:pPr>
            <w:r>
              <w:t>根据湖南省人民政府关于印发《湖南省生态保护红线》的通知（</w:t>
            </w:r>
            <w:r>
              <w:rPr>
                <w:rFonts w:hint="eastAsia"/>
              </w:rPr>
              <w:t>湘政发〔2018〕20号</w:t>
            </w:r>
            <w:r>
              <w:t>），生态保护红线分布如下：</w:t>
            </w:r>
            <w:r>
              <w:rPr>
                <w:rFonts w:hint="eastAsia"/>
              </w:rPr>
              <w:t>1、武陵山区生物多样性维护生态保护红线；2、雪峰山区生物多样性维护—水源涵养生态保护红线；3、越城岭生物多样性维护生态保护红线；4、洞庭湖区生物多样性维护生态保护红线（包括长江岸线）；5、南岭水源涵养-生物多样性维护生态保护红线；6、罗霄山水源涵养—生物多样性维护生态保护红线；7、幕阜山水源涵养-生物多样性维护生态保护红线；8、长株潭城市群区域水土保持生态保护红线；9、湘中衡阳盆地—祁邵丘陵区水土保持生态保护红线。</w:t>
            </w:r>
          </w:p>
          <w:p>
            <w:pPr>
              <w:ind w:firstLine="480"/>
            </w:pPr>
            <w:r>
              <w:t>本项目位于衡阳西渡高新技术产业园区内，不在上述生态保护红线区域范围内，符合湖南省人民政府关于印发《湖南省生态保护红线》的通知（湘政发〔2018〕20号）要求。</w:t>
            </w:r>
          </w:p>
          <w:p>
            <w:pPr>
              <w:ind w:firstLine="480"/>
            </w:pPr>
            <w:r>
              <w:rPr>
                <w:rFonts w:hint="eastAsia"/>
              </w:rPr>
              <w:t>②与湘政发〔2020〕12号符合性分析</w:t>
            </w:r>
          </w:p>
          <w:p>
            <w:pPr>
              <w:ind w:firstLine="480"/>
            </w:pPr>
            <w:r>
              <w:rPr>
                <w:rFonts w:hint="eastAsia"/>
              </w:rPr>
              <w:t>2020年6月30日，湖南省人民政府发布了湖南省人民政府关于实施“三线一单”生态环境分区管控的意见（湘政发〔2020〕12号），对全省按行政区域实行生态环境分区管控。全省共</w:t>
            </w:r>
            <w:r>
              <w:t>划定860个环境管控单元，其中：优先保护单元253个，面积占全省国土面积的37.50%；重点管控单元358个（全省144个省级以上产业园区均划为重点管控单元），面积占比21.38%；一般管控单元249个，面积占比41.12%</w:t>
            </w:r>
            <w:r>
              <w:rPr>
                <w:rFonts w:hint="eastAsia"/>
              </w:rPr>
              <w:t>。</w:t>
            </w:r>
          </w:p>
          <w:p>
            <w:pPr>
              <w:ind w:firstLine="480"/>
            </w:pPr>
            <w:r>
              <w:rPr>
                <w:rFonts w:hint="eastAsia"/>
              </w:rPr>
              <w:t>环境管控单元包括优先保护、重点管控和一般管控单元三类。优先保护单元指以生态环境保护为主的区域，主要包括各类自然保护地、饮用水源保护区、环境空气一类功能区、永久基本农田保护区等。重点管控单元指涉及水、大气、土壤、自然资源等资源环境要素重点管控的区域，主要包括城镇规划区、省级以上产业园区和开发强度污染物排放强度高的区域等。一般管控单元指优先保护单元和重点管控单无之外的其他区域。根据分区环境管控要求，优先保护单元应依法禁止或限制大规模、高强度的工业和城镇建设，在功能受损的优先保护单元优先开展生态保护修复活动，恢复生态系统服务功能。重点管控单元应优化空间布局，加强污染物排放控制和环境风险防控，不断提升资源利用效率，解决生态环境质量不达标、生态环境风险高等问题。一般管控单元主要落实生态环境保护基本要求。</w:t>
            </w:r>
          </w:p>
          <w:p>
            <w:pPr>
              <w:ind w:firstLine="480"/>
            </w:pPr>
            <w:r>
              <w:rPr>
                <w:rFonts w:hint="eastAsia"/>
              </w:rPr>
              <w:t>本项目位于衡阳西渡高新技术产业园区内，为环境管控单元中的重点管控单元，结合表1-</w:t>
            </w:r>
            <w:r>
              <w:rPr>
                <w:rFonts w:hint="eastAsia"/>
                <w:lang w:val="en-US" w:eastAsia="zh-CN"/>
              </w:rPr>
              <w:t>5</w:t>
            </w:r>
            <w:r>
              <w:rPr>
                <w:rFonts w:hint="eastAsia"/>
              </w:rPr>
              <w:t>可知，本项目空间布局合理，且不属于气型污染严重、涉重金属项目，生产采用成熟的工艺设备，营运期通过预防和治理措施，对生态环境影响较小，符合重点管控单元的环境管控要求。</w:t>
            </w:r>
          </w:p>
          <w:p>
            <w:pPr>
              <w:ind w:firstLine="480"/>
            </w:pPr>
            <w:r>
              <w:rPr>
                <w:rFonts w:hint="eastAsia"/>
              </w:rPr>
              <w:t>（2）环境质量底线</w:t>
            </w:r>
          </w:p>
          <w:p>
            <w:pPr>
              <w:ind w:firstLine="480"/>
            </w:pPr>
            <w:r>
              <w:t>本次报告以环境质量评价标准作为项目所在区域的环境质量底线，大气环境质量需满足《环境空气质量标准》</w:t>
            </w:r>
            <w:r>
              <w:rPr>
                <w:rFonts w:hint="eastAsia"/>
              </w:rPr>
              <w:t>（</w:t>
            </w:r>
            <w:r>
              <w:t>GB</w:t>
            </w:r>
            <w:r>
              <w:rPr>
                <w:rFonts w:hint="eastAsia"/>
              </w:rPr>
              <w:t xml:space="preserve"> </w:t>
            </w:r>
            <w:r>
              <w:t>3095-2012</w:t>
            </w:r>
            <w:r>
              <w:rPr>
                <w:rFonts w:hint="eastAsia"/>
              </w:rPr>
              <w:t>）</w:t>
            </w:r>
            <w:r>
              <w:t>中的二级标准</w:t>
            </w:r>
            <w:r>
              <w:rPr>
                <w:rFonts w:hint="eastAsia"/>
              </w:rPr>
              <w:t>，</w:t>
            </w:r>
            <w:r>
              <w:t>地表水环境质量需满足《地表水环境质量标准》</w:t>
            </w:r>
            <w:r>
              <w:rPr>
                <w:rFonts w:hint="eastAsia"/>
              </w:rPr>
              <w:t>（</w:t>
            </w:r>
            <w:r>
              <w:t>GB</w:t>
            </w:r>
            <w:r>
              <w:rPr>
                <w:rFonts w:hint="eastAsia"/>
              </w:rPr>
              <w:t xml:space="preserve"> </w:t>
            </w:r>
            <w:r>
              <w:t>3838-2002</w:t>
            </w:r>
            <w:r>
              <w:rPr>
                <w:rFonts w:hint="eastAsia"/>
              </w:rPr>
              <w:t>）</w:t>
            </w:r>
            <w:r>
              <w:t>中的Ⅲ类标准</w:t>
            </w:r>
            <w:r>
              <w:rPr>
                <w:rFonts w:hint="eastAsia"/>
              </w:rPr>
              <w:t>，</w:t>
            </w:r>
            <w:r>
              <w:t>声环境质量需满足《声环境质量标准》</w:t>
            </w:r>
            <w:r>
              <w:rPr>
                <w:rFonts w:hint="eastAsia"/>
              </w:rPr>
              <w:t>（</w:t>
            </w:r>
            <w:r>
              <w:t>GB</w:t>
            </w:r>
            <w:r>
              <w:rPr>
                <w:rFonts w:hint="eastAsia"/>
              </w:rPr>
              <w:t xml:space="preserve"> </w:t>
            </w:r>
            <w:r>
              <w:t>3096-2008</w:t>
            </w:r>
            <w:r>
              <w:rPr>
                <w:rFonts w:hint="eastAsia"/>
              </w:rPr>
              <w:t>）</w:t>
            </w:r>
            <w:r>
              <w:t>中的3类标准。</w:t>
            </w:r>
          </w:p>
          <w:p>
            <w:pPr>
              <w:ind w:firstLine="480"/>
            </w:pPr>
            <w:r>
              <w:t>根据项目所在地环境质量现状调查和污染排放影响分析可知，本项目废气、废水、噪声在采取本环评提出的控制措施后能够达标排放，固废能得到妥善处置，运营期对区域内环境影响较小，环境质量可以保持现有水平，不会对区域环境质量底线造成冲击。</w:t>
            </w:r>
          </w:p>
          <w:p>
            <w:pPr>
              <w:ind w:firstLine="480"/>
            </w:pPr>
            <w:r>
              <w:rPr>
                <w:rFonts w:hint="eastAsia"/>
              </w:rPr>
              <w:t>（3）资源利用上限</w:t>
            </w:r>
          </w:p>
          <w:p>
            <w:pPr>
              <w:ind w:firstLine="480"/>
            </w:pPr>
            <w:r>
              <w:rPr>
                <w:rFonts w:hint="eastAsia"/>
              </w:rPr>
              <w:t>本项目属于C3389其他金属制日用品制造，不属于高耗能、高污染、资源型企业。</w:t>
            </w:r>
            <w:r>
              <w:rPr>
                <w:rFonts w:hint="eastAsia"/>
                <w:lang w:val="zh-CN"/>
              </w:rPr>
              <w:t>营运期使用的能源主要为电能、水资源、</w:t>
            </w:r>
            <w:r>
              <w:rPr>
                <w:rFonts w:hint="eastAsia"/>
              </w:rPr>
              <w:t>生物质</w:t>
            </w:r>
            <w:r>
              <w:rPr>
                <w:rFonts w:hint="eastAsia"/>
                <w:lang w:val="en-US" w:eastAsia="zh-CN"/>
              </w:rPr>
              <w:t>成型</w:t>
            </w:r>
            <w:r>
              <w:rPr>
                <w:rFonts w:hint="eastAsia"/>
              </w:rPr>
              <w:t>燃料</w:t>
            </w:r>
            <w:r>
              <w:rPr>
                <w:rFonts w:hint="eastAsia"/>
                <w:lang w:val="zh-CN"/>
              </w:rPr>
              <w:t>，</w:t>
            </w:r>
            <w:r>
              <w:rPr>
                <w:rFonts w:hint="eastAsia"/>
              </w:rPr>
              <w:t>用水来自市政供水管网，用电来自市政供电。本项目位于衡阳西渡高新区双创中心内厂房28栋与23栋一层，不涉及新增用地，不涉及基本农田，土地资源消耗符合相关要求。因此项目符合资源利用上限要求。</w:t>
            </w:r>
          </w:p>
          <w:p>
            <w:pPr>
              <w:ind w:firstLine="480"/>
              <w:rPr>
                <w:u w:val="single"/>
              </w:rPr>
            </w:pPr>
            <w:r>
              <w:rPr>
                <w:rFonts w:hint="eastAsia"/>
                <w:u w:val="single"/>
              </w:rPr>
              <w:t>（4）生态环境准入清单</w:t>
            </w:r>
          </w:p>
          <w:p>
            <w:pPr>
              <w:keepNext w:val="0"/>
              <w:keepLines w:val="0"/>
              <w:pageBreakBefore w:val="0"/>
              <w:widowControl w:val="0"/>
              <w:kinsoku/>
              <w:wordWrap/>
              <w:overflowPunct/>
              <w:topLinePunct w:val="0"/>
              <w:autoSpaceDE/>
              <w:autoSpaceDN/>
              <w:bidi w:val="0"/>
              <w:adjustRightInd/>
              <w:snapToGrid/>
              <w:ind w:firstLine="480"/>
              <w:textAlignment w:val="auto"/>
              <w:rPr>
                <w:u w:val="single"/>
              </w:rPr>
            </w:pPr>
            <w:r>
              <w:rPr>
                <w:u w:val="single"/>
              </w:rPr>
              <w:t>根据</w:t>
            </w:r>
            <w:r>
              <w:rPr>
                <w:rFonts w:hint="eastAsia"/>
                <w:u w:val="single"/>
              </w:rPr>
              <w:t>《湖南省生态环境分区管控总体管控要求暨省级以上产业园区生态环境准入清单》湘环函〔2024〕26号</w:t>
            </w:r>
            <w:r>
              <w:rPr>
                <w:u w:val="single"/>
              </w:rPr>
              <w:t>，本项目位于</w:t>
            </w:r>
            <w:r>
              <w:rPr>
                <w:rFonts w:hint="eastAsia"/>
                <w:u w:val="single"/>
              </w:rPr>
              <w:t>湖南</w:t>
            </w:r>
            <w:r>
              <w:rPr>
                <w:u w:val="single"/>
              </w:rPr>
              <w:t>衡阳西渡高新技术产业园区，所在区域为重点管控单元</w:t>
            </w:r>
            <w:r>
              <w:rPr>
                <w:rFonts w:hint="eastAsia"/>
                <w:u w:val="single"/>
              </w:rPr>
              <w:t>，环</w:t>
            </w:r>
            <w:r>
              <w:rPr>
                <w:u w:val="single"/>
              </w:rPr>
              <w:t>境管控单元编码为</w:t>
            </w:r>
            <w:r>
              <w:rPr>
                <w:rFonts w:hint="eastAsia"/>
                <w:u w:val="single"/>
              </w:rPr>
              <w:t>ZH43042120002</w:t>
            </w:r>
            <w:r>
              <w:rPr>
                <w:u w:val="single"/>
              </w:rPr>
              <w:t>。本项目与湖南衡阳西渡高新技术产业园区生态环境准入清单符合性分析见表1-</w:t>
            </w:r>
            <w:r>
              <w:rPr>
                <w:rFonts w:hint="eastAsia"/>
                <w:u w:val="single"/>
                <w:lang w:val="en-US" w:eastAsia="zh-CN"/>
              </w:rPr>
              <w:t>5</w:t>
            </w:r>
            <w:r>
              <w:rPr>
                <w:rFonts w:hint="eastAsia"/>
                <w:u w:val="single"/>
              </w:rPr>
              <w:t>。</w:t>
            </w:r>
          </w:p>
          <w:p>
            <w:pPr>
              <w:pStyle w:val="37"/>
              <w:bidi w:val="0"/>
            </w:pPr>
            <w:r>
              <w:rPr>
                <w:rFonts w:hint="eastAsia"/>
                <w:u w:val="single"/>
              </w:rPr>
              <w:t>表1-</w:t>
            </w:r>
            <w:r>
              <w:rPr>
                <w:rFonts w:hint="eastAsia"/>
                <w:u w:val="single"/>
                <w:lang w:val="en-US" w:eastAsia="zh-CN"/>
              </w:rPr>
              <w:t>5</w:t>
            </w:r>
            <w:r>
              <w:rPr>
                <w:rFonts w:hint="eastAsia"/>
                <w:u w:val="single"/>
              </w:rPr>
              <w:t xml:space="preserve"> 本项目与湖南</w:t>
            </w:r>
            <w:r>
              <w:rPr>
                <w:u w:val="single"/>
              </w:rPr>
              <w:t>衡阳西渡高新技术产业园区</w:t>
            </w:r>
            <w:r>
              <w:rPr>
                <w:rFonts w:hint="eastAsia"/>
                <w:u w:val="single"/>
              </w:rPr>
              <w:t>环境管控要求</w:t>
            </w:r>
            <w:r>
              <w:rPr>
                <w:rFonts w:hint="eastAsia"/>
                <w:u w:val="single"/>
                <w:lang w:val="en-US" w:eastAsia="zh-CN"/>
              </w:rPr>
              <w:t>符合性分析一览表</w:t>
            </w:r>
          </w:p>
          <w:tbl>
            <w:tblPr>
              <w:tblStyle w:val="19"/>
              <w:tblW w:w="497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745"/>
              <w:gridCol w:w="2996"/>
              <w:gridCol w:w="2973"/>
              <w:gridCol w:w="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000000" w:sz="12" w:space="0"/>
                    <w:left w:val="nil"/>
                    <w:bottom w:val="single" w:color="auto" w:sz="4" w:space="0"/>
                    <w:right w:val="single" w:color="auto" w:sz="4" w:space="0"/>
                    <w:tl2br w:val="nil"/>
                  </w:tcBorders>
                  <w:shd w:val="clear" w:color="auto" w:fill="FFFFFF"/>
                  <w:vAlign w:val="center"/>
                </w:tcPr>
                <w:p>
                  <w:pPr>
                    <w:pStyle w:val="24"/>
                    <w:rPr>
                      <w:b/>
                      <w:bCs/>
                    </w:rPr>
                  </w:pPr>
                  <w:r>
                    <w:rPr>
                      <w:rFonts w:hint="eastAsia"/>
                      <w:b/>
                      <w:bCs/>
                    </w:rPr>
                    <w:t>序号</w:t>
                  </w:r>
                </w:p>
              </w:tc>
              <w:tc>
                <w:tcPr>
                  <w:tcW w:w="490"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bCs/>
                    </w:rPr>
                  </w:pPr>
                  <w:r>
                    <w:rPr>
                      <w:rFonts w:hint="eastAsia"/>
                      <w:b/>
                      <w:bCs/>
                    </w:rPr>
                    <w:t>管控维度</w:t>
                  </w:r>
                </w:p>
              </w:tc>
              <w:tc>
                <w:tcPr>
                  <w:tcW w:w="1970"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bCs/>
                    </w:rPr>
                  </w:pPr>
                  <w:r>
                    <w:rPr>
                      <w:rFonts w:hint="eastAsia"/>
                      <w:b/>
                      <w:bCs/>
                    </w:rPr>
                    <w:t>管控要求</w:t>
                  </w:r>
                </w:p>
              </w:tc>
              <w:tc>
                <w:tcPr>
                  <w:tcW w:w="1955"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bCs/>
                    </w:rPr>
                  </w:pPr>
                  <w:r>
                    <w:rPr>
                      <w:rFonts w:hint="eastAsia"/>
                      <w:b/>
                      <w:bCs/>
                      <w:lang w:val="en-US" w:eastAsia="zh-CN"/>
                    </w:rPr>
                    <w:t>符合性</w:t>
                  </w:r>
                  <w:r>
                    <w:rPr>
                      <w:rFonts w:hint="eastAsia"/>
                      <w:b/>
                      <w:bCs/>
                    </w:rPr>
                    <w:t>分析</w:t>
                  </w:r>
                </w:p>
              </w:tc>
              <w:tc>
                <w:tcPr>
                  <w:tcW w:w="298" w:type="pct"/>
                  <w:tcBorders>
                    <w:top w:val="single" w:color="000000" w:sz="12" w:space="0"/>
                    <w:left w:val="single" w:color="auto" w:sz="4" w:space="0"/>
                    <w:bottom w:val="single" w:color="auto" w:sz="4" w:space="0"/>
                    <w:right w:val="nil"/>
                  </w:tcBorders>
                  <w:shd w:val="clear" w:color="auto" w:fill="FFFFFF"/>
                  <w:vAlign w:val="center"/>
                </w:tcPr>
                <w:p>
                  <w:pPr>
                    <w:pStyle w:val="24"/>
                    <w:rPr>
                      <w:rFonts w:hint="eastAsia" w:eastAsia="宋体"/>
                      <w:b/>
                      <w:bCs/>
                      <w:lang w:eastAsia="zh-CN"/>
                    </w:rPr>
                  </w:pPr>
                  <w:r>
                    <w:rPr>
                      <w:rFonts w:hint="eastAsia"/>
                      <w:b/>
                      <w:bCs/>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1</w:t>
                  </w:r>
                </w:p>
              </w:tc>
              <w:tc>
                <w:tcPr>
                  <w:tcW w:w="49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t>空间布局约束</w:t>
                  </w:r>
                </w:p>
              </w:tc>
              <w:tc>
                <w:tcPr>
                  <w:tcW w:w="197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rPr>
                  </w:pPr>
                  <w:r>
                    <w:rPr>
                      <w:rFonts w:hint="eastAsia"/>
                    </w:rPr>
                    <w:t>（1.1）优化区域产业布局。遏制高耗能高排放项目，进一步优化产业结构和能源结构，积极引导低投入、低消耗、低排放和高效率的现代产业发展。</w:t>
                  </w:r>
                </w:p>
                <w:p>
                  <w:pPr>
                    <w:pStyle w:val="24"/>
                    <w:jc w:val="left"/>
                  </w:pPr>
                  <w:r>
                    <w:rPr>
                      <w:rFonts w:hint="eastAsia"/>
                    </w:rPr>
                    <w:t>区块一</w:t>
                  </w:r>
                  <w:r>
                    <w:rPr>
                      <w:rFonts w:hint="eastAsia"/>
                      <w:lang w:eastAsia="zh-CN"/>
                    </w:rPr>
                    <w:t>：</w:t>
                  </w:r>
                  <w:r>
                    <w:rPr>
                      <w:rFonts w:hint="eastAsia"/>
                    </w:rPr>
                    <w:t>(1.2)禁止气型污染严重企业入驻。</w:t>
                  </w:r>
                </w:p>
              </w:tc>
              <w:tc>
                <w:tcPr>
                  <w:tcW w:w="195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eastAsia="宋体"/>
                      <w:lang w:eastAsia="zh-CN"/>
                    </w:rPr>
                  </w:pPr>
                  <w:r>
                    <w:rPr>
                      <w:rFonts w:hint="eastAsia"/>
                    </w:rPr>
                    <w:t>本项目</w:t>
                  </w:r>
                  <w:r>
                    <w:rPr>
                      <w:rFonts w:hint="eastAsia"/>
                      <w:lang w:eastAsia="zh-CN"/>
                    </w:rPr>
                    <w:t>不属于高耗能高排放项目，且本项目不在区块一内。</w:t>
                  </w:r>
                </w:p>
              </w:tc>
              <w:tc>
                <w:tcPr>
                  <w:tcW w:w="298" w:type="pct"/>
                  <w:tcBorders>
                    <w:top w:val="single" w:color="auto" w:sz="4" w:space="0"/>
                    <w:left w:val="single" w:color="auto" w:sz="4" w:space="0"/>
                    <w:bottom w:val="single" w:color="auto" w:sz="4" w:space="0"/>
                    <w:right w:val="nil"/>
                  </w:tcBorders>
                  <w:shd w:val="clear" w:color="auto" w:fill="FFFFFF"/>
                  <w:vAlign w:val="center"/>
                </w:tcPr>
                <w:p>
                  <w:pPr>
                    <w:pStyle w:val="24"/>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2</w:t>
                  </w:r>
                </w:p>
              </w:tc>
              <w:tc>
                <w:tcPr>
                  <w:tcW w:w="49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t>污染物排放管控</w:t>
                  </w:r>
                </w:p>
              </w:tc>
              <w:tc>
                <w:tcPr>
                  <w:tcW w:w="197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rPr>
                  </w:pPr>
                  <w:r>
                    <w:rPr>
                      <w:rFonts w:hint="eastAsia"/>
                    </w:rPr>
                    <w:t>（2.1）废水</w:t>
                  </w:r>
                  <w:r>
                    <w:rPr>
                      <w:rFonts w:hint="eastAsia"/>
                      <w:lang w:eastAsia="zh-CN"/>
                    </w:rPr>
                    <w:t>：</w:t>
                  </w:r>
                  <w:r>
                    <w:rPr>
                      <w:rFonts w:hint="eastAsia"/>
                    </w:rPr>
                    <w:t>高新区废水排水实行雨污分流。推进污水处理设施分类管理、分期升级改造，污水管网全覆盖、污水全收集、污水集中处理设施稳定达标运行，进一步完善西渡高新区污水处理厂及配套管网建设和提质改造。</w:t>
                  </w:r>
                </w:p>
                <w:p>
                  <w:pPr>
                    <w:pStyle w:val="24"/>
                    <w:rPr>
                      <w:rFonts w:hint="eastAsia"/>
                    </w:rPr>
                  </w:pPr>
                  <w:r>
                    <w:rPr>
                      <w:rFonts w:hint="eastAsia"/>
                    </w:rPr>
                    <w:t>区块一、区块二、区块三、区块四、区块五</w:t>
                  </w:r>
                  <w:r>
                    <w:rPr>
                      <w:rFonts w:hint="eastAsia"/>
                      <w:lang w:eastAsia="zh-CN"/>
                    </w:rPr>
                    <w:t>：</w:t>
                  </w:r>
                  <w:r>
                    <w:rPr>
                      <w:rFonts w:hint="eastAsia"/>
                    </w:rPr>
                    <w:t>污水经收集后排入西渡高新技术产业园区工业污水处理厂，处理达标后外排至蒸水。</w:t>
                  </w:r>
                </w:p>
                <w:p>
                  <w:pPr>
                    <w:pStyle w:val="24"/>
                    <w:rPr>
                      <w:rFonts w:hint="eastAsia"/>
                    </w:rPr>
                  </w:pPr>
                  <w:r>
                    <w:rPr>
                      <w:rFonts w:hint="eastAsia"/>
                    </w:rPr>
                    <w:t>区块六</w:t>
                  </w:r>
                  <w:r>
                    <w:rPr>
                      <w:rFonts w:hint="eastAsia"/>
                      <w:lang w:eastAsia="zh-CN"/>
                    </w:rPr>
                    <w:t>：</w:t>
                  </w:r>
                  <w:r>
                    <w:rPr>
                      <w:rFonts w:hint="eastAsia"/>
                    </w:rPr>
                    <w:t>近期污水经处理后回用，不外排。远期待污水处理厂和管网建成后纳入污水处理厂处理后达标排放。</w:t>
                  </w:r>
                </w:p>
                <w:p>
                  <w:pPr>
                    <w:pStyle w:val="24"/>
                    <w:rPr>
                      <w:rFonts w:hint="eastAsia"/>
                      <w:lang w:eastAsia="zh-CN"/>
                    </w:rPr>
                  </w:pPr>
                  <w:r>
                    <w:rPr>
                      <w:rFonts w:hint="eastAsia"/>
                    </w:rPr>
                    <w:t>（2.2）废气</w:t>
                  </w:r>
                  <w:r>
                    <w:rPr>
                      <w:rFonts w:hint="eastAsia"/>
                      <w:lang w:eastAsia="zh-CN"/>
                    </w:rPr>
                    <w:t>：</w:t>
                  </w:r>
                  <w:r>
                    <w:rPr>
                      <w:rFonts w:hint="eastAsia"/>
                    </w:rPr>
                    <w:t>对各企业工艺废气产出的生产节点，应配置废气收集与净化处理装置，确保达标排放</w:t>
                  </w:r>
                  <w:r>
                    <w:rPr>
                      <w:rFonts w:hint="eastAsia"/>
                      <w:lang w:eastAsia="zh-CN"/>
                    </w:rPr>
                    <w:t>；</w:t>
                  </w:r>
                  <w:r>
                    <w:rPr>
                      <w:rFonts w:hint="eastAsia"/>
                    </w:rPr>
                    <w:t>采取有效措施，减少入园企业工艺废气的无组织排放。加大低VOCs含量原辅材料的推广使用力度，从源头减少VOCs产生。推进使用先进生产工艺设备</w:t>
                  </w:r>
                  <w:r>
                    <w:rPr>
                      <w:rFonts w:hint="eastAsia"/>
                      <w:lang w:eastAsia="zh-CN"/>
                    </w:rPr>
                    <w:t>，</w:t>
                  </w:r>
                  <w:r>
                    <w:rPr>
                      <w:rFonts w:hint="eastAsia"/>
                    </w:rPr>
                    <w:t>减少无组织排放</w:t>
                  </w:r>
                  <w:r>
                    <w:rPr>
                      <w:rFonts w:hint="eastAsia"/>
                      <w:lang w:eastAsia="zh-CN"/>
                    </w:rPr>
                    <w:t>。</w:t>
                  </w:r>
                </w:p>
                <w:p>
                  <w:pPr>
                    <w:pStyle w:val="24"/>
                    <w:bidi w:val="0"/>
                  </w:pPr>
                  <w:r>
                    <w:rPr>
                      <w:rFonts w:hint="eastAsia"/>
                    </w:rPr>
                    <w:t>（2.</w:t>
                  </w:r>
                  <w:r>
                    <w:rPr>
                      <w:rFonts w:hint="eastAsia"/>
                      <w:lang w:val="en-US" w:eastAsia="zh-CN"/>
                    </w:rPr>
                    <w:t>3</w:t>
                  </w:r>
                  <w:r>
                    <w:rPr>
                      <w:rFonts w:hint="eastAsia"/>
                    </w:rPr>
                    <w:t>）固废</w:t>
                  </w:r>
                  <w:r>
                    <w:rPr>
                      <w:rFonts w:hint="eastAsia"/>
                      <w:lang w:eastAsia="zh-CN"/>
                    </w:rPr>
                    <w:t>：</w:t>
                  </w:r>
                  <w:r>
                    <w:rPr>
                      <w:rFonts w:hint="eastAsia"/>
                    </w:rPr>
                    <w:t>做好工业固体废物和生活垃圾的分类收集、转运、综合利用和无害化处置，建立统一的固废收集、贮存、运输、综合利用和安全处置的运营管理体系</w:t>
                  </w:r>
                  <w:r>
                    <w:rPr>
                      <w:rFonts w:hint="eastAsia"/>
                      <w:lang w:eastAsia="zh-CN"/>
                    </w:rPr>
                    <w:t>；</w:t>
                  </w:r>
                  <w:r>
                    <w:rPr>
                      <w:rFonts w:hint="eastAsia"/>
                    </w:rPr>
                    <w:t>推进清洁生产，减少固体废物产生量</w:t>
                  </w:r>
                  <w:r>
                    <w:rPr>
                      <w:rFonts w:hint="eastAsia"/>
                      <w:lang w:eastAsia="zh-CN"/>
                    </w:rPr>
                    <w:t>；</w:t>
                  </w:r>
                  <w:r>
                    <w:rPr>
                      <w:rFonts w:hint="eastAsia"/>
                    </w:rPr>
                    <w:t>加强固体废物的资源化进程，提高综合利用率</w:t>
                  </w:r>
                  <w:r>
                    <w:rPr>
                      <w:rFonts w:hint="eastAsia"/>
                      <w:lang w:eastAsia="zh-CN"/>
                    </w:rPr>
                    <w:t>；</w:t>
                  </w:r>
                  <w:r>
                    <w:rPr>
                      <w:rFonts w:hint="eastAsia"/>
                    </w:rPr>
                    <w:t>规范固体废物处置措施，严防二次污染。</w:t>
                  </w:r>
                </w:p>
              </w:tc>
              <w:tc>
                <w:tcPr>
                  <w:tcW w:w="195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lang w:eastAsia="zh-CN"/>
                    </w:rPr>
                  </w:pPr>
                  <w:r>
                    <w:rPr>
                      <w:rFonts w:hint="eastAsia"/>
                      <w:lang w:eastAsia="zh-CN"/>
                    </w:rPr>
                    <w:t>（</w:t>
                  </w:r>
                  <w:r>
                    <w:rPr>
                      <w:rFonts w:hint="eastAsia"/>
                      <w:lang w:val="en-US" w:eastAsia="zh-CN"/>
                    </w:rPr>
                    <w:t>1</w:t>
                  </w:r>
                  <w:r>
                    <w:rPr>
                      <w:rFonts w:hint="eastAsia"/>
                      <w:lang w:eastAsia="zh-CN"/>
                    </w:rPr>
                    <w:t>）废水：本项目实行“雨污分流”，雨水经管道流入园区雨水收集管网；</w:t>
                  </w:r>
                  <w:r>
                    <w:rPr>
                      <w:rFonts w:hint="eastAsia"/>
                      <w:color w:val="000000"/>
                      <w:sz w:val="21"/>
                      <w:szCs w:val="21"/>
                      <w:lang w:val="en-US" w:eastAsia="zh-CN"/>
                    </w:rPr>
                    <w:t>生产综合废水经厂内污水处理设施</w:t>
                  </w:r>
                  <w:r>
                    <w:rPr>
                      <w:rFonts w:hint="eastAsia"/>
                      <w:color w:val="000000"/>
                      <w:sz w:val="21"/>
                      <w:szCs w:val="21"/>
                    </w:rPr>
                    <w:t>预处理达综排3级标准与接管标准中较严者后，进入市政污水管网</w:t>
                  </w:r>
                  <w:r>
                    <w:rPr>
                      <w:rFonts w:hint="eastAsia"/>
                      <w:color w:val="000000"/>
                      <w:sz w:val="21"/>
                      <w:szCs w:val="21"/>
                      <w:lang w:eastAsia="zh-CN"/>
                    </w:rPr>
                    <w:t>，</w:t>
                  </w:r>
                  <w:r>
                    <w:rPr>
                      <w:rFonts w:hint="eastAsia"/>
                      <w:color w:val="000000"/>
                      <w:sz w:val="21"/>
                      <w:szCs w:val="21"/>
                    </w:rPr>
                    <w:t>排至衡阳西渡高新区污水处理厂进行深度处理；生活污水依托双创中心化粪池预处理后经市政管网排至衡阳西渡高新技术产业园区污水处理厂处理达标排放。</w:t>
                  </w:r>
                </w:p>
                <w:p>
                  <w:pPr>
                    <w:pStyle w:val="24"/>
                    <w:bidi w:val="0"/>
                    <w:rPr>
                      <w:rFonts w:hint="eastAsia"/>
                      <w:lang w:eastAsia="zh-CN"/>
                    </w:rPr>
                  </w:pPr>
                  <w:r>
                    <w:rPr>
                      <w:rFonts w:hint="eastAsia"/>
                      <w:lang w:eastAsia="zh-CN"/>
                    </w:rPr>
                    <w:t>（</w:t>
                  </w:r>
                  <w:r>
                    <w:rPr>
                      <w:rFonts w:hint="eastAsia"/>
                      <w:lang w:val="en-US" w:eastAsia="zh-CN"/>
                    </w:rPr>
                    <w:t>2</w:t>
                  </w:r>
                  <w:r>
                    <w:rPr>
                      <w:rFonts w:hint="eastAsia"/>
                      <w:lang w:eastAsia="zh-CN"/>
                    </w:rPr>
                    <w:t>）废气：本项目运营期废气产生来源主要为焊接、酸洗、喷粉、固化、生物质燃烧；焊接工序主要污染物为颗粒物，酸洗工序主要污染物为盐酸雾（氯化氢），喷粉工序主要污染物为颗粒物，固化工序主要污染物为VOCs，成型生物质燃烧主要产生颗粒物、SO</w:t>
                  </w:r>
                  <w:r>
                    <w:rPr>
                      <w:rFonts w:hint="eastAsia"/>
                      <w:vertAlign w:val="subscript"/>
                      <w:lang w:eastAsia="zh-CN"/>
                    </w:rPr>
                    <w:t>2</w:t>
                  </w:r>
                  <w:r>
                    <w:rPr>
                      <w:rFonts w:hint="eastAsia"/>
                      <w:lang w:eastAsia="zh-CN"/>
                    </w:rPr>
                    <w:t>、NO</w:t>
                  </w:r>
                  <w:r>
                    <w:rPr>
                      <w:rFonts w:hint="eastAsia"/>
                      <w:vertAlign w:val="subscript"/>
                      <w:lang w:eastAsia="zh-CN"/>
                    </w:rPr>
                    <w:t>x</w:t>
                  </w:r>
                  <w:r>
                    <w:rPr>
                      <w:rFonts w:hint="eastAsia"/>
                      <w:lang w:eastAsia="zh-CN"/>
                    </w:rPr>
                    <w:t>。焊接工序的颗粒物经集中式焊烟净化器处理后经1根27米高排气筒（DA001）排放，酸洗工序的酸雾经碱液喷淋塔处理后经1根27米高排气筒（DA002）排放，喷粉工序的颗粒物（粉尘）利用密闭的滤芯粉末回收装置对粉末进行回收，不设置排气筒，只有少量粉尘无组织排放；固化工序产生的VOCs不设置处理设施，收集后经1根27米高排气筒（DA003）排放，成型生物质燃烧产生的颗粒物、SO</w:t>
                  </w:r>
                  <w:r>
                    <w:rPr>
                      <w:rFonts w:hint="eastAsia"/>
                      <w:vertAlign w:val="subscript"/>
                      <w:lang w:eastAsia="zh-CN"/>
                    </w:rPr>
                    <w:t>2</w:t>
                  </w:r>
                  <w:r>
                    <w:rPr>
                      <w:rFonts w:hint="eastAsia"/>
                      <w:lang w:eastAsia="zh-CN"/>
                    </w:rPr>
                    <w:t>、NO</w:t>
                  </w:r>
                  <w:r>
                    <w:rPr>
                      <w:rFonts w:hint="eastAsia"/>
                      <w:vertAlign w:val="subscript"/>
                      <w:lang w:eastAsia="zh-CN"/>
                    </w:rPr>
                    <w:t>x</w:t>
                  </w:r>
                  <w:r>
                    <w:rPr>
                      <w:rFonts w:hint="eastAsia"/>
                      <w:lang w:eastAsia="zh-CN"/>
                    </w:rPr>
                    <w:t>经收集，经过旋风除尘+布袋除尘处理后，经1根27米高排气筒（DA004）排放。</w:t>
                  </w:r>
                </w:p>
                <w:p>
                  <w:pPr>
                    <w:pStyle w:val="24"/>
                    <w:bidi w:val="0"/>
                  </w:pPr>
                  <w:r>
                    <w:rPr>
                      <w:rFonts w:hint="eastAsia"/>
                      <w:lang w:eastAsia="zh-CN"/>
                    </w:rPr>
                    <w:t>（</w:t>
                  </w:r>
                  <w:r>
                    <w:rPr>
                      <w:rFonts w:hint="eastAsia"/>
                      <w:lang w:val="en-US" w:eastAsia="zh-CN"/>
                    </w:rPr>
                    <w:t>3</w:t>
                  </w:r>
                  <w:r>
                    <w:rPr>
                      <w:rFonts w:hint="eastAsia"/>
                      <w:lang w:eastAsia="zh-CN"/>
                    </w:rPr>
                    <w:t>）固废：</w:t>
                  </w:r>
                  <w:r>
                    <w:rPr>
                      <w:rFonts w:hint="eastAsia"/>
                      <w:b w:val="0"/>
                      <w:color w:val="000000"/>
                      <w:lang w:val="en-US" w:eastAsia="zh-CN"/>
                    </w:rPr>
                    <w:t>本项目固废按照国家有关规定综合利用或妥善处置。</w:t>
                  </w:r>
                </w:p>
              </w:tc>
              <w:tc>
                <w:tcPr>
                  <w:tcW w:w="298" w:type="pct"/>
                  <w:tcBorders>
                    <w:top w:val="single" w:color="auto" w:sz="4" w:space="0"/>
                    <w:left w:val="single" w:color="auto" w:sz="4" w:space="0"/>
                    <w:bottom w:val="single" w:color="auto" w:sz="4" w:space="0"/>
                    <w:right w:val="nil"/>
                  </w:tcBorders>
                  <w:shd w:val="clear" w:color="auto" w:fill="FFFFFF"/>
                  <w:vAlign w:val="center"/>
                </w:tcPr>
                <w:p>
                  <w:pPr>
                    <w:pStyle w:val="24"/>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3</w:t>
                  </w:r>
                </w:p>
              </w:tc>
              <w:tc>
                <w:tcPr>
                  <w:tcW w:w="49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t>环境风险防控</w:t>
                  </w:r>
                </w:p>
              </w:tc>
              <w:tc>
                <w:tcPr>
                  <w:tcW w:w="197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rPr>
                  </w:pPr>
                  <w:r>
                    <w:rPr>
                      <w:rFonts w:hint="eastAsia"/>
                    </w:rPr>
                    <w:t>（3.1）高新区应建立健全环境风险防控体系，严格落实《湖南衡阳西渡经济开发区突发环境事件应急预案》中提出的各项环境风险事故防范措施，严防环境风险事故发生，提高应急处置能力。</w:t>
                  </w:r>
                </w:p>
                <w:p>
                  <w:pPr>
                    <w:pStyle w:val="24"/>
                    <w:rPr>
                      <w:rFonts w:hint="eastAsia"/>
                    </w:rPr>
                  </w:pPr>
                  <w:r>
                    <w:rPr>
                      <w:rFonts w:hint="eastAsia"/>
                    </w:rPr>
                    <w:t>（3.2）高新区可能发生突发环境事件的污染物排放企业，生产、储存、运输、使用危险化学品的企业，产生、收集、贮存、运输、利用、处置危险废物的企业等应当编制和实施环境应急预案</w:t>
                  </w:r>
                  <w:r>
                    <w:rPr>
                      <w:rFonts w:hint="eastAsia"/>
                      <w:lang w:eastAsia="zh-CN"/>
                    </w:rPr>
                    <w:t>；</w:t>
                  </w:r>
                  <w:r>
                    <w:rPr>
                      <w:rFonts w:hint="eastAsia"/>
                    </w:rPr>
                    <w:t>鼓励其他企业制定单独的环境应急预案，或在突发事件应急预案中制定环境应急预案专章，并备案。</w:t>
                  </w:r>
                </w:p>
                <w:p>
                  <w:pPr>
                    <w:pStyle w:val="24"/>
                  </w:pPr>
                  <w:r>
                    <w:rPr>
                      <w:rFonts w:hint="eastAsia"/>
                    </w:rPr>
                    <w:t>（3.</w:t>
                  </w:r>
                  <w:r>
                    <w:rPr>
                      <w:rFonts w:hint="eastAsia"/>
                      <w:lang w:val="en-US" w:eastAsia="zh-CN"/>
                    </w:rPr>
                    <w:t>3</w:t>
                  </w:r>
                  <w:r>
                    <w:rPr>
                      <w:rFonts w:hint="eastAsia"/>
                    </w:rPr>
                    <w:t>）建设用地土壤风险防控</w:t>
                  </w:r>
                  <w:r>
                    <w:rPr>
                      <w:rFonts w:hint="eastAsia"/>
                      <w:lang w:eastAsia="zh-CN"/>
                    </w:rPr>
                    <w:t>：</w:t>
                  </w:r>
                  <w:r>
                    <w:rPr>
                      <w:rFonts w:hint="eastAsia"/>
                    </w:rPr>
                    <w:t>严格污染地块准入管理。加强对建设用地土壤环境状况调查、风险评估和污染地块治理与修复的监管。</w:t>
                  </w:r>
                </w:p>
              </w:tc>
              <w:tc>
                <w:tcPr>
                  <w:tcW w:w="195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bidi w:val="0"/>
                    <w:rPr>
                      <w:rFonts w:hint="default"/>
                      <w:b w:val="0"/>
                      <w:color w:val="000000"/>
                      <w:lang w:val="en-US" w:eastAsia="zh-CN"/>
                    </w:rPr>
                  </w:pPr>
                  <w:r>
                    <w:rPr>
                      <w:rFonts w:hint="eastAsia"/>
                      <w:b w:val="0"/>
                      <w:color w:val="000000"/>
                      <w:lang w:val="en-US" w:eastAsia="zh-CN"/>
                    </w:rPr>
                    <w:t>（1）</w:t>
                  </w:r>
                  <w:r>
                    <w:rPr>
                      <w:rFonts w:hint="default"/>
                      <w:b w:val="0"/>
                      <w:color w:val="000000"/>
                      <w:lang w:val="en-US" w:eastAsia="zh-CN"/>
                    </w:rPr>
                    <w:t>严格落实《湖南衡阳西渡经济开发区突发环境事件应急预案》中提出的各项环境风险事故防范指施，严防环境风险事故发生</w:t>
                  </w:r>
                  <w:r>
                    <w:rPr>
                      <w:rFonts w:hint="eastAsia"/>
                      <w:b w:val="0"/>
                      <w:color w:val="000000"/>
                      <w:lang w:val="en-US" w:eastAsia="zh-CN"/>
                    </w:rPr>
                    <w:t>。</w:t>
                  </w:r>
                </w:p>
                <w:p>
                  <w:pPr>
                    <w:pStyle w:val="24"/>
                    <w:bidi w:val="0"/>
                    <w:rPr>
                      <w:rFonts w:hint="default"/>
                      <w:b w:val="0"/>
                      <w:color w:val="000000"/>
                      <w:lang w:val="en-US" w:eastAsia="zh-CN"/>
                    </w:rPr>
                  </w:pPr>
                  <w:r>
                    <w:rPr>
                      <w:rFonts w:hint="eastAsia"/>
                      <w:lang w:eastAsia="zh-CN"/>
                    </w:rPr>
                    <w:t>（</w:t>
                  </w:r>
                  <w:r>
                    <w:rPr>
                      <w:rFonts w:hint="eastAsia"/>
                      <w:lang w:val="en-US" w:eastAsia="zh-CN"/>
                    </w:rPr>
                    <w:t>2</w:t>
                  </w:r>
                  <w:r>
                    <w:rPr>
                      <w:rFonts w:hint="eastAsia"/>
                      <w:lang w:eastAsia="zh-CN"/>
                    </w:rPr>
                    <w:t>）</w:t>
                  </w:r>
                  <w:r>
                    <w:rPr>
                      <w:rFonts w:hint="eastAsia"/>
                      <w:b w:val="0"/>
                      <w:color w:val="000000"/>
                      <w:lang w:val="en-US" w:eastAsia="zh-CN"/>
                    </w:rPr>
                    <w:t>建设单位在项目建成投产前应根据企业实际情况制定突发环境应急预案，并于衡阳市生态环境局衡阳县分局备案。</w:t>
                  </w:r>
                </w:p>
                <w:p>
                  <w:pPr>
                    <w:pStyle w:val="24"/>
                    <w:bidi w:val="0"/>
                  </w:pPr>
                  <w:r>
                    <w:rPr>
                      <w:rFonts w:hint="eastAsia"/>
                      <w:lang w:eastAsia="zh-CN"/>
                    </w:rPr>
                    <w:t>（</w:t>
                  </w:r>
                  <w:r>
                    <w:rPr>
                      <w:rFonts w:hint="eastAsia"/>
                      <w:lang w:val="en-US" w:eastAsia="zh-CN"/>
                    </w:rPr>
                    <w:t>3</w:t>
                  </w:r>
                  <w:r>
                    <w:rPr>
                      <w:rFonts w:hint="eastAsia"/>
                      <w:lang w:eastAsia="zh-CN"/>
                    </w:rPr>
                    <w:t>）</w:t>
                  </w:r>
                  <w:r>
                    <w:rPr>
                      <w:rFonts w:hint="eastAsia"/>
                    </w:rPr>
                    <w:t>本项目位于衡阳西渡高新区双创中心，该地块不在衡阳市污染地块名录中。</w:t>
                  </w:r>
                </w:p>
              </w:tc>
              <w:tc>
                <w:tcPr>
                  <w:tcW w:w="298" w:type="pct"/>
                  <w:tcBorders>
                    <w:top w:val="single" w:color="auto" w:sz="4" w:space="0"/>
                    <w:left w:val="single" w:color="auto" w:sz="4" w:space="0"/>
                    <w:bottom w:val="single" w:color="auto" w:sz="4" w:space="0"/>
                    <w:right w:val="nil"/>
                  </w:tcBorders>
                  <w:shd w:val="clear" w:color="auto" w:fill="FFFFFF"/>
                  <w:vAlign w:val="center"/>
                </w:tcPr>
                <w:p>
                  <w:pPr>
                    <w:pStyle w:val="24"/>
                  </w:pPr>
                  <w:r>
                    <w:rPr>
                      <w:rFonts w:hint="eastAsia"/>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nil"/>
                    <w:bottom w:val="single" w:color="000000" w:sz="12" w:space="0"/>
                    <w:right w:val="single" w:color="auto" w:sz="4" w:space="0"/>
                  </w:tcBorders>
                  <w:shd w:val="clear" w:color="auto" w:fill="FFFFFF"/>
                  <w:vAlign w:val="center"/>
                </w:tcPr>
                <w:p>
                  <w:pPr>
                    <w:pStyle w:val="24"/>
                  </w:pPr>
                  <w:r>
                    <w:rPr>
                      <w:rFonts w:hint="eastAsia"/>
                    </w:rPr>
                    <w:t>4</w:t>
                  </w:r>
                </w:p>
              </w:tc>
              <w:tc>
                <w:tcPr>
                  <w:tcW w:w="490"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pPr>
                  <w:r>
                    <w:t>资源开发效率要求</w:t>
                  </w:r>
                </w:p>
              </w:tc>
              <w:tc>
                <w:tcPr>
                  <w:tcW w:w="1970"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rFonts w:hint="eastAsia"/>
                    </w:rPr>
                  </w:pPr>
                  <w:r>
                    <w:rPr>
                      <w:rFonts w:hint="eastAsia"/>
                    </w:rPr>
                    <w:t>（</w:t>
                  </w:r>
                  <w:r>
                    <w:rPr>
                      <w:rFonts w:hint="eastAsia"/>
                      <w:lang w:val="en-US" w:eastAsia="zh-CN"/>
                    </w:rPr>
                    <w:t>4.1</w:t>
                  </w:r>
                  <w:r>
                    <w:rPr>
                      <w:rFonts w:hint="eastAsia"/>
                    </w:rPr>
                    <w:t>）能源</w:t>
                  </w:r>
                  <w:r>
                    <w:rPr>
                      <w:rFonts w:hint="eastAsia"/>
                      <w:lang w:eastAsia="zh-CN"/>
                    </w:rPr>
                    <w:t>：</w:t>
                  </w:r>
                  <w:r>
                    <w:rPr>
                      <w:rFonts w:hint="eastAsia"/>
                    </w:rPr>
                    <w:t>高新区应积极推广清洁能源，高新区燃煤含硫率应确保控制在1%以内。</w:t>
                  </w:r>
                </w:p>
                <w:p>
                  <w:pPr>
                    <w:pStyle w:val="24"/>
                    <w:rPr>
                      <w:rFonts w:hint="eastAsia" w:eastAsia="宋体"/>
                      <w:lang w:eastAsia="zh-CN"/>
                    </w:rPr>
                  </w:pPr>
                  <w:r>
                    <w:rPr>
                      <w:rFonts w:hint="eastAsia"/>
                    </w:rPr>
                    <w:t>（</w:t>
                  </w:r>
                  <w:r>
                    <w:rPr>
                      <w:rFonts w:hint="eastAsia"/>
                      <w:lang w:val="en-US" w:eastAsia="zh-CN"/>
                    </w:rPr>
                    <w:t>4.2</w:t>
                  </w:r>
                  <w:r>
                    <w:rPr>
                      <w:rFonts w:hint="eastAsia"/>
                    </w:rPr>
                    <w:t>）水资源</w:t>
                  </w:r>
                  <w:r>
                    <w:rPr>
                      <w:rFonts w:hint="eastAsia"/>
                      <w:lang w:eastAsia="zh-CN"/>
                    </w:rPr>
                    <w:t>：</w:t>
                  </w:r>
                  <w:r>
                    <w:rPr>
                      <w:rFonts w:hint="eastAsia"/>
                    </w:rPr>
                    <w:t>落实水资源消耗总量和强度双控行动，2025年，衡阳县用水总量4.9206亿立方米，万元工业增加值用水量比2020年下降(%)12.0</w:t>
                  </w:r>
                  <w:r>
                    <w:rPr>
                      <w:rFonts w:hint="eastAsia"/>
                      <w:lang w:eastAsia="zh-CN"/>
                    </w:rPr>
                    <w:t>；</w:t>
                  </w:r>
                </w:p>
                <w:p>
                  <w:pPr>
                    <w:pStyle w:val="24"/>
                    <w:rPr>
                      <w:rFonts w:hint="eastAsia" w:eastAsia="宋体"/>
                      <w:lang w:eastAsia="zh-CN"/>
                    </w:rPr>
                  </w:pPr>
                  <w:r>
                    <w:rPr>
                      <w:rFonts w:hint="eastAsia"/>
                    </w:rPr>
                    <w:t>（</w:t>
                  </w:r>
                  <w:r>
                    <w:rPr>
                      <w:rFonts w:hint="eastAsia"/>
                      <w:lang w:val="en-US" w:eastAsia="zh-CN"/>
                    </w:rPr>
                    <w:t>4.3</w:t>
                  </w:r>
                  <w:r>
                    <w:rPr>
                      <w:rFonts w:hint="eastAsia"/>
                    </w:rPr>
                    <w:t>）土地资源</w:t>
                  </w:r>
                  <w:r>
                    <w:rPr>
                      <w:rFonts w:hint="eastAsia"/>
                      <w:lang w:eastAsia="zh-CN"/>
                    </w:rPr>
                    <w:t>：</w:t>
                  </w:r>
                  <w:r>
                    <w:rPr>
                      <w:rFonts w:hint="eastAsia"/>
                    </w:rPr>
                    <w:t>提高土地使用效率和节约集约程度</w:t>
                  </w:r>
                  <w:r>
                    <w:rPr>
                      <w:rFonts w:hint="eastAsia"/>
                      <w:lang w:eastAsia="zh-CN"/>
                    </w:rPr>
                    <w:t>，</w:t>
                  </w:r>
                  <w:r>
                    <w:rPr>
                      <w:rFonts w:hint="eastAsia"/>
                    </w:rPr>
                    <w:t>工业用地固定资产投入强度250万元/亩</w:t>
                  </w:r>
                  <w:r>
                    <w:rPr>
                      <w:rFonts w:hint="eastAsia"/>
                      <w:lang w:eastAsia="zh-CN"/>
                    </w:rPr>
                    <w:t>，</w:t>
                  </w:r>
                  <w:r>
                    <w:rPr>
                      <w:rFonts w:hint="eastAsia"/>
                    </w:rPr>
                    <w:t>工业用地地均税收15万元/亩</w:t>
                  </w:r>
                  <w:r>
                    <w:rPr>
                      <w:rFonts w:hint="eastAsia"/>
                      <w:lang w:eastAsia="zh-CN"/>
                    </w:rPr>
                    <w:t>。</w:t>
                  </w:r>
                </w:p>
              </w:tc>
              <w:tc>
                <w:tcPr>
                  <w:tcW w:w="1955"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pPr>
                  <w:r>
                    <w:rPr>
                      <w:rFonts w:hint="eastAsia"/>
                      <w:lang w:eastAsia="zh-CN"/>
                    </w:rPr>
                    <w:t>本</w:t>
                  </w:r>
                  <w:r>
                    <w:rPr>
                      <w:rFonts w:hint="eastAsia"/>
                    </w:rPr>
                    <w:t>项目使用水、电、生物质</w:t>
                  </w:r>
                  <w:r>
                    <w:rPr>
                      <w:rFonts w:hint="eastAsia"/>
                      <w:lang w:val="en-US" w:eastAsia="zh-CN"/>
                    </w:rPr>
                    <w:t>成型</w:t>
                  </w:r>
                  <w:r>
                    <w:rPr>
                      <w:rFonts w:hint="eastAsia"/>
                    </w:rPr>
                    <w:t>燃料清洁能源</w:t>
                  </w:r>
                  <w:r>
                    <w:rPr>
                      <w:rFonts w:hint="eastAsia"/>
                      <w:lang w:eastAsia="zh-CN"/>
                    </w:rPr>
                    <w:t>；</w:t>
                  </w:r>
                  <w:r>
                    <w:rPr>
                      <w:rFonts w:hint="eastAsia"/>
                    </w:rPr>
                    <w:t>本项目生产综合废水经厂内污水处理设施预处理达综排3级标准与接管标准中较严者后，进入市政污水管网</w:t>
                  </w:r>
                  <w:r>
                    <w:rPr>
                      <w:rFonts w:hint="eastAsia"/>
                      <w:lang w:eastAsia="zh-CN"/>
                    </w:rPr>
                    <w:t>，</w:t>
                  </w:r>
                  <w:r>
                    <w:rPr>
                      <w:rFonts w:hint="eastAsia"/>
                    </w:rPr>
                    <w:t>排至衡阳西渡高新区污水处理厂进行深度处理；生活污水依托双创中心化粪池预处理后经市政管网排至衡阳西渡高新技术产业园区污水处理厂处理达标排放。项目在现有厂区内进行，不涉及新增用地。</w:t>
                  </w:r>
                </w:p>
              </w:tc>
              <w:tc>
                <w:tcPr>
                  <w:tcW w:w="298" w:type="pct"/>
                  <w:tcBorders>
                    <w:top w:val="single" w:color="auto" w:sz="4" w:space="0"/>
                    <w:left w:val="single" w:color="auto" w:sz="4" w:space="0"/>
                    <w:bottom w:val="single" w:color="000000" w:sz="12" w:space="0"/>
                    <w:right w:val="nil"/>
                  </w:tcBorders>
                  <w:shd w:val="clear" w:color="auto" w:fill="FFFFFF"/>
                  <w:vAlign w:val="center"/>
                </w:tcPr>
                <w:p>
                  <w:pPr>
                    <w:pStyle w:val="24"/>
                  </w:pPr>
                  <w:r>
                    <w:rPr>
                      <w:rFonts w:hint="eastAsia"/>
                    </w:rPr>
                    <w:t>符合</w:t>
                  </w:r>
                </w:p>
              </w:tc>
            </w:tr>
          </w:tbl>
          <w:p>
            <w:pPr>
              <w:ind w:firstLine="480"/>
            </w:pPr>
            <w:r>
              <w:t>由上表可知，项目符合</w:t>
            </w:r>
            <w:r>
              <w:rPr>
                <w:rFonts w:hint="eastAsia"/>
              </w:rPr>
              <w:t>《湖南省生态环境分区管控总体管控要求暨省级以上产业园区生态环境准入清单》湘环函〔2024〕26号</w:t>
            </w:r>
            <w:r>
              <w:t>的要求。</w:t>
            </w:r>
          </w:p>
          <w:p>
            <w:pPr>
              <w:pStyle w:val="2"/>
              <w:spacing w:before="120"/>
              <w:rPr>
                <w:rFonts w:hint="eastAsia"/>
              </w:rPr>
            </w:pPr>
            <w:bookmarkStart w:id="31" w:name="_Toc17306"/>
            <w:bookmarkStart w:id="32" w:name="_Toc16964"/>
            <w:bookmarkStart w:id="33" w:name="_Toc10659"/>
            <w:bookmarkStart w:id="34" w:name="_Toc11660"/>
            <w:r>
              <w:rPr>
                <w:rFonts w:hint="eastAsia"/>
              </w:rPr>
              <w:t>4、与《湖南省大气污染防治“守护蓝天”攻坚行动计划（2023-2025年）》符合性分析</w:t>
            </w:r>
            <w:bookmarkEnd w:id="31"/>
            <w:bookmarkEnd w:id="32"/>
            <w:bookmarkEnd w:id="33"/>
            <w:bookmarkEnd w:id="34"/>
          </w:p>
          <w:p>
            <w:pPr>
              <w:pStyle w:val="37"/>
              <w:bidi w:val="0"/>
              <w:rPr>
                <w:rFonts w:hint="eastAsia"/>
                <w:lang w:val="en-US" w:eastAsia="zh-CN"/>
              </w:rPr>
            </w:pPr>
            <w:r>
              <w:rPr>
                <w:rFonts w:hint="eastAsia"/>
                <w:lang w:val="en-US" w:eastAsia="zh-CN"/>
              </w:rPr>
              <w:t>表1-6 本项目与</w:t>
            </w:r>
            <w:r>
              <w:rPr>
                <w:rFonts w:hint="eastAsia"/>
              </w:rPr>
              <w:t>《湖南省大气污染防治“守护蓝天”攻坚行动计划（2023-2025年）》符合性分析</w:t>
            </w:r>
            <w:r>
              <w:rPr>
                <w:rFonts w:hint="eastAsia"/>
                <w:lang w:val="en-US" w:eastAsia="zh-CN"/>
              </w:rPr>
              <w:t>一览表</w:t>
            </w:r>
          </w:p>
          <w:tbl>
            <w:tblPr>
              <w:tblStyle w:val="19"/>
              <w:tblW w:w="760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
              <w:gridCol w:w="4483"/>
              <w:gridCol w:w="2098"/>
              <w:gridCol w:w="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 w:type="pct"/>
                  <w:tcBorders>
                    <w:top w:val="single" w:color="000000" w:sz="12" w:space="0"/>
                    <w:left w:val="nil"/>
                    <w:bottom w:val="single" w:color="000000" w:sz="4" w:space="0"/>
                    <w:right w:val="single" w:color="auto" w:sz="4" w:space="0"/>
                  </w:tcBorders>
                  <w:shd w:val="clear" w:color="auto" w:fill="FFFFFF"/>
                  <w:vAlign w:val="center"/>
                </w:tcPr>
                <w:p>
                  <w:pPr>
                    <w:pStyle w:val="24"/>
                    <w:rPr>
                      <w:b/>
                      <w:color w:val="000000"/>
                    </w:rPr>
                  </w:pPr>
                  <w:r>
                    <w:rPr>
                      <w:rFonts w:hint="eastAsia"/>
                      <w:b/>
                      <w:color w:val="000000"/>
                    </w:rPr>
                    <w:t>序号</w:t>
                  </w:r>
                </w:p>
              </w:tc>
              <w:tc>
                <w:tcPr>
                  <w:tcW w:w="2946"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计划要求</w:t>
                  </w:r>
                </w:p>
              </w:tc>
              <w:tc>
                <w:tcPr>
                  <w:tcW w:w="1379"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符合性分析</w:t>
                  </w:r>
                </w:p>
              </w:tc>
              <w:tc>
                <w:tcPr>
                  <w:tcW w:w="345" w:type="pct"/>
                  <w:tcBorders>
                    <w:top w:val="single" w:color="000000" w:sz="12" w:space="0"/>
                    <w:left w:val="single" w:color="auto" w:sz="4" w:space="0"/>
                    <w:bottom w:val="single" w:color="000000" w:sz="4" w:space="0"/>
                    <w:right w:val="nil"/>
                  </w:tcBorders>
                  <w:shd w:val="clear" w:color="auto" w:fill="FFFFFF"/>
                  <w:vAlign w:val="center"/>
                </w:tcPr>
                <w:p>
                  <w:pPr>
                    <w:pStyle w:val="24"/>
                    <w:rPr>
                      <w:b/>
                      <w:color w:val="000000"/>
                    </w:rPr>
                  </w:pPr>
                  <w:r>
                    <w:rPr>
                      <w:rFonts w:hint="eastAsia"/>
                      <w:b/>
                      <w:color w:val="000000"/>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 w:type="pct"/>
                  <w:tcBorders>
                    <w:top w:val="single" w:color="000000"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1</w:t>
                  </w:r>
                </w:p>
              </w:tc>
              <w:tc>
                <w:tcPr>
                  <w:tcW w:w="2946"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推动能源绿色低碳转型。严格落实煤炭等量、减量替代，提高电煤消费占比。多渠道扩展天然气气源，扩大外受电比重，持续推进“煤改气”“煤改电”工程，大力推进使用清洁能源或电厂热力、工业余热等替代锅炉、炉窑燃料用煤，加快推动玻璃、地板砖等建材行业企业以及有色冶炼行业鼓风炉、反射炉等“煤改气”，依法依规推进煤气发生炉有序退出，推动非化石能源发展。</w:t>
                  </w:r>
                </w:p>
              </w:tc>
              <w:tc>
                <w:tcPr>
                  <w:tcW w:w="1379"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本项目使用水、电、</w:t>
                  </w:r>
                  <w:r>
                    <w:rPr>
                      <w:rFonts w:hint="eastAsia"/>
                    </w:rPr>
                    <w:t>生物质</w:t>
                  </w:r>
                  <w:r>
                    <w:rPr>
                      <w:rFonts w:hint="eastAsia"/>
                      <w:lang w:val="en-US" w:eastAsia="zh-CN"/>
                    </w:rPr>
                    <w:t>成型</w:t>
                  </w:r>
                  <w:r>
                    <w:rPr>
                      <w:rFonts w:hint="eastAsia"/>
                    </w:rPr>
                    <w:t>燃料</w:t>
                  </w:r>
                  <w:r>
                    <w:rPr>
                      <w:rFonts w:hint="eastAsia"/>
                      <w:color w:val="000000"/>
                    </w:rPr>
                    <w:t>清洁能源，不涉及煤炭化石能源。</w:t>
                  </w:r>
                </w:p>
              </w:tc>
              <w:tc>
                <w:tcPr>
                  <w:tcW w:w="345"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2</w:t>
                  </w:r>
                </w:p>
              </w:tc>
              <w:tc>
                <w:tcPr>
                  <w:tcW w:w="294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优化产业结构和布局。严格项目准入，遏制“两高一低”项目盲目发展。落实产业规划及产业政策，严格执行重点行业产能置换办法，依法依规淘汰落后产能。优化产业链布局，开展传统产业集群排查整治，推进重点涉气企业入区入园。</w:t>
                  </w:r>
                </w:p>
              </w:tc>
              <w:tc>
                <w:tcPr>
                  <w:tcW w:w="137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本项目属于金属制</w:t>
                  </w:r>
                  <w:r>
                    <w:rPr>
                      <w:rFonts w:hint="eastAsia"/>
                      <w:color w:val="000000"/>
                      <w:lang w:val="en-US" w:eastAsia="zh-CN"/>
                    </w:rPr>
                    <w:t>品</w:t>
                  </w:r>
                  <w:r>
                    <w:rPr>
                      <w:rFonts w:hint="eastAsia"/>
                      <w:color w:val="000000"/>
                    </w:rPr>
                    <w:t>业，且已取得园区管委会的同意。</w:t>
                  </w:r>
                </w:p>
              </w:tc>
              <w:tc>
                <w:tcPr>
                  <w:tcW w:w="345"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3</w:t>
                  </w:r>
                </w:p>
              </w:tc>
              <w:tc>
                <w:tcPr>
                  <w:tcW w:w="294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加大低VOCs原辅材料替代力度。建立多部门联合执法机制，加大监督检查力度，确保生产、销售、使用符合VOCs含量限值标准的产品。以工业涂装、包装印刷和胶粘剂使用等为重点，在企业清洁生产审核中明确提出低VOCs原辅材料替代要求。</w:t>
                  </w:r>
                </w:p>
              </w:tc>
              <w:tc>
                <w:tcPr>
                  <w:tcW w:w="137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本项目属于金属制</w:t>
                  </w:r>
                  <w:r>
                    <w:rPr>
                      <w:rFonts w:hint="eastAsia"/>
                      <w:color w:val="000000"/>
                      <w:lang w:val="en-US" w:eastAsia="zh-CN"/>
                    </w:rPr>
                    <w:t>品</w:t>
                  </w:r>
                  <w:r>
                    <w:rPr>
                      <w:rFonts w:hint="eastAsia"/>
                      <w:color w:val="000000"/>
                    </w:rPr>
                    <w:t>业，且根据污染源核算可知，VOCs的排放量较小。</w:t>
                  </w:r>
                </w:p>
              </w:tc>
              <w:tc>
                <w:tcPr>
                  <w:tcW w:w="345"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1" w:hRule="atLeast"/>
              </w:trPr>
              <w:tc>
                <w:tcPr>
                  <w:tcW w:w="327"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4</w:t>
                  </w:r>
                </w:p>
              </w:tc>
              <w:tc>
                <w:tcPr>
                  <w:tcW w:w="294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推进锅窑炉超低排放与深度治理。全面开展钢铁、水泥行业超低排放改造，深入开展锅炉窑炉深度治理和简易低效处理设施排查，对高排放重点行业开展专项整治。生物质锅炉使用专用炉具和成型燃料并配套高效治理设施，推动城市建成区生物质锅炉安装烟气在线监测设施。到2025年，全面完成钢铁和重点城市水泥企业超低排放改造。</w:t>
                  </w:r>
                </w:p>
              </w:tc>
              <w:tc>
                <w:tcPr>
                  <w:tcW w:w="137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w:t>
                  </w:r>
                  <w:r>
                    <w:rPr>
                      <w:rFonts w:hint="eastAsia"/>
                      <w:color w:val="000000"/>
                      <w:lang w:val="en-US" w:eastAsia="zh-CN"/>
                    </w:rPr>
                    <w:t>使用热风炉，</w:t>
                  </w:r>
                  <w:r>
                    <w:rPr>
                      <w:rFonts w:hint="eastAsia"/>
                      <w:color w:val="000000"/>
                    </w:rPr>
                    <w:t>使用成型生物质颗粒作为燃料，燃烧废气</w:t>
                  </w:r>
                  <w:r>
                    <w:rPr>
                      <w:rFonts w:hint="eastAsia"/>
                      <w:color w:val="000000"/>
                      <w:lang w:val="en-US" w:eastAsia="zh-CN"/>
                    </w:rPr>
                    <w:t>经旋风除尘+</w:t>
                  </w:r>
                  <w:r>
                    <w:rPr>
                      <w:rFonts w:hint="eastAsia"/>
                      <w:color w:val="000000"/>
                    </w:rPr>
                    <w:t>布袋除尘处理</w:t>
                  </w:r>
                  <w:r>
                    <w:rPr>
                      <w:rFonts w:hint="eastAsia"/>
                      <w:color w:val="000000"/>
                      <w:lang w:val="en-US" w:eastAsia="zh-CN"/>
                    </w:rPr>
                    <w:t>后</w:t>
                  </w:r>
                  <w:r>
                    <w:rPr>
                      <w:rFonts w:hint="eastAsia"/>
                      <w:lang w:eastAsia="zh-CN"/>
                    </w:rPr>
                    <w:t>经1根27米高排气筒</w:t>
                  </w:r>
                  <w:r>
                    <w:rPr>
                      <w:rFonts w:hint="eastAsia"/>
                      <w:color w:val="000000"/>
                      <w:lang w:val="en-US" w:eastAsia="zh-CN"/>
                    </w:rPr>
                    <w:t>排放</w:t>
                  </w:r>
                  <w:r>
                    <w:rPr>
                      <w:rFonts w:hint="eastAsia"/>
                      <w:color w:val="000000"/>
                    </w:rPr>
                    <w:t>，污染物排放符合要求。</w:t>
                  </w:r>
                </w:p>
              </w:tc>
              <w:tc>
                <w:tcPr>
                  <w:tcW w:w="345"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7" w:type="pct"/>
                  <w:tcBorders>
                    <w:top w:val="single" w:color="auto" w:sz="4" w:space="0"/>
                    <w:left w:val="nil"/>
                    <w:bottom w:val="single" w:color="000000" w:sz="12" w:space="0"/>
                    <w:right w:val="single" w:color="auto" w:sz="4" w:space="0"/>
                  </w:tcBorders>
                  <w:shd w:val="clear" w:color="auto" w:fill="FFFFFF"/>
                  <w:vAlign w:val="center"/>
                </w:tcPr>
                <w:p>
                  <w:pPr>
                    <w:pStyle w:val="24"/>
                    <w:rPr>
                      <w:color w:val="000000"/>
                    </w:rPr>
                  </w:pPr>
                  <w:r>
                    <w:rPr>
                      <w:rFonts w:hint="eastAsia"/>
                      <w:color w:val="000000"/>
                    </w:rPr>
                    <w:t>5</w:t>
                  </w:r>
                </w:p>
              </w:tc>
              <w:tc>
                <w:tcPr>
                  <w:tcW w:w="2946"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开展涉VOCs重点行业全流程整治。持续开展VOCs治理突出问题排查，清理整顿简易低效、不合规定治理设施，强化无组织和非正常工况废气排放管控。规范开展泄漏检测与修复。</w:t>
                  </w:r>
                </w:p>
              </w:tc>
              <w:tc>
                <w:tcPr>
                  <w:tcW w:w="1379"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本项目属于金属制</w:t>
                  </w:r>
                  <w:r>
                    <w:rPr>
                      <w:rFonts w:hint="eastAsia"/>
                      <w:color w:val="000000"/>
                      <w:lang w:val="en-US" w:eastAsia="zh-CN"/>
                    </w:rPr>
                    <w:t>品</w:t>
                  </w:r>
                  <w:r>
                    <w:rPr>
                      <w:rFonts w:hint="eastAsia"/>
                      <w:color w:val="000000"/>
                    </w:rPr>
                    <w:t>业，</w:t>
                  </w:r>
                  <w:r>
                    <w:rPr>
                      <w:rFonts w:hint="eastAsia"/>
                      <w:color w:val="000000"/>
                      <w:lang w:val="en-US" w:eastAsia="zh-CN"/>
                    </w:rPr>
                    <w:t>不属于涉</w:t>
                  </w:r>
                  <w:r>
                    <w:rPr>
                      <w:rFonts w:hint="eastAsia"/>
                      <w:color w:val="000000"/>
                    </w:rPr>
                    <w:t>VOCs</w:t>
                  </w:r>
                  <w:r>
                    <w:rPr>
                      <w:rFonts w:hint="eastAsia"/>
                      <w:color w:val="000000"/>
                      <w:lang w:val="en-US" w:eastAsia="zh-CN"/>
                    </w:rPr>
                    <w:t>重点行业</w:t>
                  </w:r>
                  <w:r>
                    <w:rPr>
                      <w:rFonts w:hint="eastAsia"/>
                      <w:color w:val="000000"/>
                    </w:rPr>
                    <w:t>。</w:t>
                  </w:r>
                </w:p>
              </w:tc>
              <w:tc>
                <w:tcPr>
                  <w:tcW w:w="345" w:type="pct"/>
                  <w:tcBorders>
                    <w:top w:val="single" w:color="auto" w:sz="4" w:space="0"/>
                    <w:left w:val="single" w:color="auto" w:sz="4" w:space="0"/>
                    <w:bottom w:val="single" w:color="000000" w:sz="12" w:space="0"/>
                    <w:right w:val="nil"/>
                  </w:tcBorders>
                  <w:shd w:val="clear" w:color="auto" w:fill="FFFFFF"/>
                  <w:vAlign w:val="center"/>
                </w:tcPr>
                <w:p>
                  <w:pPr>
                    <w:pStyle w:val="24"/>
                    <w:rPr>
                      <w:color w:val="000000"/>
                    </w:rPr>
                  </w:pPr>
                  <w:r>
                    <w:rPr>
                      <w:rFonts w:hint="eastAsia"/>
                      <w:color w:val="000000"/>
                    </w:rPr>
                    <w:t>符合</w:t>
                  </w:r>
                </w:p>
              </w:tc>
            </w:tr>
          </w:tbl>
          <w:p>
            <w:pPr>
              <w:ind w:firstLine="480"/>
            </w:pPr>
            <w:r>
              <w:rPr>
                <w:rFonts w:hint="eastAsia"/>
              </w:rPr>
              <w:t>综上分析，本项目与《湖南省大气污染防治“守护蓝天”攻坚行动计划（2023-2025年）》相符。</w:t>
            </w:r>
          </w:p>
          <w:p>
            <w:pPr>
              <w:pStyle w:val="2"/>
              <w:spacing w:before="120"/>
              <w:rPr>
                <w:rFonts w:hint="eastAsia"/>
              </w:rPr>
            </w:pPr>
            <w:bookmarkStart w:id="35" w:name="_Toc30534"/>
            <w:bookmarkStart w:id="36" w:name="_Toc11566"/>
            <w:bookmarkStart w:id="37" w:name="_Toc12875"/>
            <w:bookmarkStart w:id="38" w:name="_Toc16847"/>
            <w:r>
              <w:rPr>
                <w:rFonts w:hint="eastAsia"/>
              </w:rPr>
              <w:t>5、与《衡阳市“十四五”空气质量改善规划》符合性分析</w:t>
            </w:r>
            <w:bookmarkEnd w:id="35"/>
            <w:bookmarkEnd w:id="36"/>
            <w:bookmarkEnd w:id="37"/>
            <w:bookmarkEnd w:id="38"/>
          </w:p>
          <w:p>
            <w:pPr>
              <w:pStyle w:val="37"/>
              <w:bidi w:val="0"/>
              <w:rPr>
                <w:rFonts w:hint="eastAsia"/>
                <w:lang w:val="en-US" w:eastAsia="zh-CN"/>
              </w:rPr>
            </w:pPr>
            <w:r>
              <w:rPr>
                <w:rFonts w:hint="eastAsia"/>
                <w:lang w:val="en-US" w:eastAsia="zh-CN"/>
              </w:rPr>
              <w:t>表1-7 本项目与</w:t>
            </w:r>
            <w:r>
              <w:rPr>
                <w:rFonts w:hint="eastAsia"/>
              </w:rPr>
              <w:t>《衡阳市“十四五”空气质量改善规划》符合性分析</w:t>
            </w:r>
            <w:r>
              <w:rPr>
                <w:rFonts w:hint="eastAsia"/>
                <w:lang w:val="en-US" w:eastAsia="zh-CN"/>
              </w:rPr>
              <w:t>一览表</w:t>
            </w:r>
          </w:p>
          <w:tbl>
            <w:tblPr>
              <w:tblStyle w:val="19"/>
              <w:tblW w:w="76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3918"/>
              <w:gridCol w:w="2307"/>
              <w:gridCol w:w="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0" w:type="pct"/>
                  <w:tcBorders>
                    <w:top w:val="single" w:color="000000" w:sz="12" w:space="0"/>
                    <w:left w:val="nil"/>
                    <w:bottom w:val="single" w:color="000000" w:sz="4" w:space="0"/>
                    <w:right w:val="single" w:color="auto" w:sz="4" w:space="0"/>
                  </w:tcBorders>
                  <w:shd w:val="clear" w:color="auto" w:fill="FFFFFF"/>
                  <w:vAlign w:val="center"/>
                </w:tcPr>
                <w:p>
                  <w:pPr>
                    <w:pStyle w:val="24"/>
                    <w:rPr>
                      <w:b/>
                      <w:color w:val="000000"/>
                    </w:rPr>
                  </w:pPr>
                  <w:r>
                    <w:rPr>
                      <w:rFonts w:hint="eastAsia"/>
                      <w:b/>
                      <w:color w:val="000000"/>
                    </w:rPr>
                    <w:t>序号</w:t>
                  </w:r>
                </w:p>
              </w:tc>
              <w:tc>
                <w:tcPr>
                  <w:tcW w:w="2565"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规划要求</w:t>
                  </w:r>
                </w:p>
              </w:tc>
              <w:tc>
                <w:tcPr>
                  <w:tcW w:w="1510"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符合性分析</w:t>
                  </w:r>
                </w:p>
              </w:tc>
              <w:tc>
                <w:tcPr>
                  <w:tcW w:w="483" w:type="pct"/>
                  <w:tcBorders>
                    <w:top w:val="single" w:color="000000" w:sz="12" w:space="0"/>
                    <w:left w:val="single" w:color="auto" w:sz="4" w:space="0"/>
                    <w:bottom w:val="single" w:color="000000" w:sz="4" w:space="0"/>
                    <w:right w:val="nil"/>
                  </w:tcBorders>
                  <w:shd w:val="clear" w:color="auto" w:fill="FFFFFF"/>
                  <w:vAlign w:val="center"/>
                </w:tcPr>
                <w:p>
                  <w:pPr>
                    <w:pStyle w:val="24"/>
                    <w:rPr>
                      <w:b/>
                      <w:color w:val="000000"/>
                    </w:rPr>
                  </w:pPr>
                  <w:r>
                    <w:rPr>
                      <w:rFonts w:hint="eastAsia"/>
                      <w:b/>
                      <w:color w:val="000000"/>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000000"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1</w:t>
                  </w:r>
                </w:p>
              </w:tc>
              <w:tc>
                <w:tcPr>
                  <w:tcW w:w="2565"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color w:val="000000"/>
                    </w:rPr>
                    <w:t>优化产业结构，促进产业产品绿色升级</w:t>
                  </w:r>
                  <w:r>
                    <w:rPr>
                      <w:rFonts w:hint="eastAsia"/>
                      <w:color w:val="000000"/>
                    </w:rPr>
                    <w:t>。坚决遏制高耗能、高排放项目盲目发展，严控高污染高排放行业产能。深入实施传统支柱型产业转型升级技术路线和行动计划，制定重点转型升级产业目录。以钢铁、水泥、有色、化工、砖瓦、陶瓷等资源消耗大、能耗高、污染重的行业为重点，从技术工艺改造、原辅料替代、资源能源梯级利用等方面降低能耗和污染物排放，加快推进行业绿色转型。加快推进城市建成区重污染企业搬迁、升级改造或关闭退出。新建工业项目向产业园区集聚发展，新建化工项目进入符合区域规划和规划环评要求的化工园区。</w:t>
                  </w:r>
                </w:p>
              </w:tc>
              <w:tc>
                <w:tcPr>
                  <w:tcW w:w="1510"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bCs/>
                      <w:color w:val="000000"/>
                      <w:kern w:val="2"/>
                      <w:szCs w:val="21"/>
                    </w:rPr>
                  </w:pPr>
                  <w:r>
                    <w:rPr>
                      <w:rFonts w:hint="eastAsia"/>
                      <w:color w:val="000000"/>
                    </w:rPr>
                    <w:t>本项目属于金属制</w:t>
                  </w:r>
                  <w:r>
                    <w:rPr>
                      <w:rFonts w:hint="eastAsia"/>
                      <w:color w:val="000000"/>
                      <w:lang w:val="en-US" w:eastAsia="zh-CN"/>
                    </w:rPr>
                    <w:t>品</w:t>
                  </w:r>
                  <w:r>
                    <w:rPr>
                      <w:rFonts w:hint="eastAsia"/>
                      <w:color w:val="000000"/>
                    </w:rPr>
                    <w:t>业，且已取得园区管委会的同意，</w:t>
                  </w:r>
                  <w:r>
                    <w:rPr>
                      <w:color w:val="000000"/>
                    </w:rPr>
                    <w:t>符合规划相关要求。</w:t>
                  </w:r>
                </w:p>
              </w:tc>
              <w:tc>
                <w:tcPr>
                  <w:tcW w:w="483"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2</w:t>
                  </w:r>
                </w:p>
              </w:tc>
              <w:tc>
                <w:tcPr>
                  <w:tcW w:w="25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color w:val="000000"/>
                    </w:rPr>
                    <w:t>优化能源结构，加快能源清洁低碳高效发展</w:t>
                  </w:r>
                  <w:r>
                    <w:rPr>
                      <w:rFonts w:hint="eastAsia"/>
                      <w:color w:val="000000"/>
                    </w:rPr>
                    <w:t>。推进能源结构优化，大力发展清洁能源。优化能源结构，提升供给侧非化石能源比重，提高消费侧电力比重，增加天然气供应量，降低煤炭消费比重。积极发展太阳能光伏、风电、生物质能等清洁能源推进非化石能源规模化利用。大力推进电能替代煤炭，积极稳妥推进以气代煤，因地制宜推进生物质等能源代煤，开展氢能源代煤示范。推进热电联产、集中供热和工业余热利用，关停热电联产集中供热管网覆盖区域内的燃煤锅炉、工业密炉。</w:t>
                  </w:r>
                </w:p>
              </w:tc>
              <w:tc>
                <w:tcPr>
                  <w:tcW w:w="15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本项目使用水、电、</w:t>
                  </w:r>
                  <w:r>
                    <w:rPr>
                      <w:rFonts w:hint="eastAsia"/>
                    </w:rPr>
                    <w:t>生物质</w:t>
                  </w:r>
                  <w:r>
                    <w:rPr>
                      <w:rFonts w:hint="eastAsia"/>
                      <w:lang w:val="en-US" w:eastAsia="zh-CN"/>
                    </w:rPr>
                    <w:t>成型</w:t>
                  </w:r>
                  <w:r>
                    <w:rPr>
                      <w:rFonts w:hint="eastAsia"/>
                    </w:rPr>
                    <w:t>燃料</w:t>
                  </w:r>
                  <w:r>
                    <w:rPr>
                      <w:rFonts w:hint="eastAsia"/>
                      <w:color w:val="000000"/>
                    </w:rPr>
                    <w:t>清洁能源，</w:t>
                  </w:r>
                  <w:r>
                    <w:rPr>
                      <w:color w:val="000000"/>
                    </w:rPr>
                    <w:t>符合规划相关要求。</w:t>
                  </w:r>
                </w:p>
              </w:tc>
              <w:tc>
                <w:tcPr>
                  <w:tcW w:w="48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3</w:t>
                  </w:r>
                </w:p>
              </w:tc>
              <w:tc>
                <w:tcPr>
                  <w:tcW w:w="25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color w:val="000000"/>
                    </w:rPr>
                    <w:t>强化VOCs全过程综合治理</w:t>
                  </w:r>
                  <w:r>
                    <w:rPr>
                      <w:rFonts w:hint="eastAsia"/>
                      <w:color w:val="000000"/>
                    </w:rPr>
                    <w:t>，优化含VOCs原辅材料和产品结构。严格控制生产和使用高VOCs含量溶剂型涂料、油墨、胶粘剂、清洗剂等建设项目，现有高VOCs含量产品生产企业要加快产品升级转型，提高水性、高固体分、无溶剂、粉末等低VOCs含量产品的比重。</w:t>
                  </w:r>
                </w:p>
              </w:tc>
              <w:tc>
                <w:tcPr>
                  <w:tcW w:w="15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本项目属于金属制</w:t>
                  </w:r>
                  <w:r>
                    <w:rPr>
                      <w:rFonts w:hint="eastAsia"/>
                      <w:color w:val="000000"/>
                      <w:lang w:val="en-US" w:eastAsia="zh-CN"/>
                    </w:rPr>
                    <w:t>品</w:t>
                  </w:r>
                  <w:r>
                    <w:rPr>
                      <w:rFonts w:hint="eastAsia"/>
                      <w:color w:val="000000"/>
                    </w:rPr>
                    <w:t>业，不使用溶剂型涂料，喷粉工序使用的材料为粉末涂料，并采用静电喷涂工艺，且根据污染源核算可知，VOCs的排放量较小，无需设置处理措施，项目有机废气经收集后</w:t>
                  </w:r>
                  <w:r>
                    <w:rPr>
                      <w:rFonts w:hint="eastAsia"/>
                      <w:color w:val="000000"/>
                      <w:lang w:val="en-US" w:eastAsia="zh-CN"/>
                    </w:rPr>
                    <w:t>经27</w:t>
                  </w:r>
                  <w:r>
                    <w:rPr>
                      <w:rFonts w:hint="eastAsia"/>
                      <w:color w:val="000000"/>
                    </w:rPr>
                    <w:t>m</w:t>
                  </w:r>
                  <w:r>
                    <w:rPr>
                      <w:rFonts w:hint="eastAsia"/>
                      <w:color w:val="000000"/>
                      <w:lang w:val="en-US" w:eastAsia="zh-CN"/>
                    </w:rPr>
                    <w:t>高</w:t>
                  </w:r>
                  <w:r>
                    <w:rPr>
                      <w:rFonts w:hint="eastAsia"/>
                      <w:color w:val="000000"/>
                    </w:rPr>
                    <w:t>排气筒高空排放，符合政策相关要求。</w:t>
                  </w:r>
                </w:p>
              </w:tc>
              <w:tc>
                <w:tcPr>
                  <w:tcW w:w="48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0"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4</w:t>
                  </w:r>
                </w:p>
              </w:tc>
              <w:tc>
                <w:tcPr>
                  <w:tcW w:w="2565"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color w:val="000000"/>
                    </w:rPr>
                    <w:t>推进重点行业污染深度治理</w:t>
                  </w:r>
                  <w:r>
                    <w:rPr>
                      <w:rFonts w:hint="eastAsia"/>
                      <w:color w:val="000000"/>
                    </w:rPr>
                    <w:t>。推动钢铁、水泥、焦化及锅炉超低排放改造。推进玻璃、铸造、石灰、矿棉等行业实施深度治理。按照《湖南省工业炉窑大气污染综合治理实施方案》要求，完成重点行业工业</w:t>
                  </w:r>
                  <w:r>
                    <w:rPr>
                      <w:rFonts w:hint="eastAsia"/>
                      <w:color w:val="000000"/>
                      <w:lang w:val="en-US" w:eastAsia="zh-CN"/>
                    </w:rPr>
                    <w:t>炉窑</w:t>
                  </w:r>
                  <w:r>
                    <w:rPr>
                      <w:rFonts w:hint="eastAsia"/>
                      <w:color w:val="000000"/>
                    </w:rPr>
                    <w:t>提标改造。</w:t>
                  </w:r>
                </w:p>
              </w:tc>
              <w:tc>
                <w:tcPr>
                  <w:tcW w:w="15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lang w:val="en-US" w:eastAsia="zh-CN"/>
                    </w:rPr>
                    <w:t>本项目属于金属制品业，不属于重点行业，且</w:t>
                  </w:r>
                  <w:r>
                    <w:rPr>
                      <w:rFonts w:hint="eastAsia"/>
                      <w:color w:val="000000"/>
                    </w:rPr>
                    <w:t>本项目使用</w:t>
                  </w:r>
                  <w:r>
                    <w:rPr>
                      <w:rFonts w:hint="eastAsia"/>
                      <w:color w:val="000000"/>
                      <w:lang w:val="en-US" w:eastAsia="zh-CN"/>
                    </w:rPr>
                    <w:t>热风炉</w:t>
                  </w:r>
                  <w:r>
                    <w:rPr>
                      <w:rFonts w:hint="eastAsia"/>
                      <w:color w:val="000000"/>
                    </w:rPr>
                    <w:t>，</w:t>
                  </w:r>
                  <w:r>
                    <w:rPr>
                      <w:rFonts w:hint="eastAsia"/>
                      <w:color w:val="000000"/>
                      <w:lang w:val="en-US" w:eastAsia="zh-CN"/>
                    </w:rPr>
                    <w:t>燃烧成型生物质的废气通过处理后达标排放，符合</w:t>
                  </w:r>
                  <w:r>
                    <w:rPr>
                      <w:rFonts w:hint="eastAsia"/>
                      <w:color w:val="000000"/>
                    </w:rPr>
                    <w:t>《湖南省工业炉窑大气污染综合治理实施方案》</w:t>
                  </w:r>
                  <w:r>
                    <w:rPr>
                      <w:rFonts w:hint="eastAsia"/>
                      <w:color w:val="000000"/>
                      <w:lang w:val="en-US" w:eastAsia="zh-CN"/>
                    </w:rPr>
                    <w:t>相关要求，</w:t>
                  </w:r>
                  <w:r>
                    <w:rPr>
                      <w:color w:val="000000"/>
                    </w:rPr>
                    <w:t>符合规划相关要求。</w:t>
                  </w:r>
                </w:p>
              </w:tc>
              <w:tc>
                <w:tcPr>
                  <w:tcW w:w="48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0" w:type="pct"/>
                  <w:tcBorders>
                    <w:top w:val="single" w:color="auto" w:sz="4" w:space="0"/>
                    <w:left w:val="nil"/>
                    <w:bottom w:val="single" w:color="000000" w:sz="12" w:space="0"/>
                    <w:right w:val="single" w:color="auto" w:sz="4" w:space="0"/>
                  </w:tcBorders>
                  <w:shd w:val="clear" w:color="auto" w:fill="FFFFFF"/>
                  <w:vAlign w:val="center"/>
                </w:tcPr>
                <w:p>
                  <w:pPr>
                    <w:pStyle w:val="24"/>
                    <w:rPr>
                      <w:color w:val="000000"/>
                    </w:rPr>
                  </w:pPr>
                  <w:r>
                    <w:rPr>
                      <w:rFonts w:hint="eastAsia"/>
                      <w:color w:val="000000"/>
                    </w:rPr>
                    <w:t>5</w:t>
                  </w:r>
                </w:p>
              </w:tc>
              <w:tc>
                <w:tcPr>
                  <w:tcW w:w="2565"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color w:val="000000"/>
                    </w:rPr>
                    <w:t>深化扬尘污染综合治理</w:t>
                  </w:r>
                  <w:r>
                    <w:rPr>
                      <w:rFonts w:hint="eastAsia"/>
                      <w:color w:val="000000"/>
                    </w:rPr>
                    <w:t>。全面推行绿色施工。按照衡阳市《建筑工地扬尘防治“十严禁”》和《关于进一步加强全市建筑工地扬尘污染防治工作》的规范要求，严格执行“六个百分之百”。加强建筑工地沙石、建筑垃圾等堆场管理，必须采取洒水、覆盖、绿化等有效的防尘措施，减少扬尘污染。</w:t>
                  </w:r>
                </w:p>
              </w:tc>
              <w:tc>
                <w:tcPr>
                  <w:tcW w:w="1510"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color w:val="000000"/>
                    </w:rPr>
                    <w:t>项目</w:t>
                  </w:r>
                  <w:r>
                    <w:rPr>
                      <w:rFonts w:hint="eastAsia"/>
                      <w:color w:val="000000"/>
                    </w:rPr>
                    <w:t>租赁衡阳西渡高新区双创中心内现有厂房</w:t>
                  </w:r>
                  <w:r>
                    <w:rPr>
                      <w:color w:val="000000"/>
                    </w:rPr>
                    <w:t>进行生产，不新增用地，只需在厂</w:t>
                  </w:r>
                  <w:r>
                    <w:rPr>
                      <w:rFonts w:hint="eastAsia"/>
                      <w:color w:val="000000"/>
                    </w:rPr>
                    <w:t>区</w:t>
                  </w:r>
                  <w:r>
                    <w:rPr>
                      <w:color w:val="000000"/>
                    </w:rPr>
                    <w:t>范围内进行</w:t>
                  </w:r>
                  <w:r>
                    <w:rPr>
                      <w:rFonts w:hint="eastAsia"/>
                      <w:color w:val="000000"/>
                    </w:rPr>
                    <w:t>设备安装、调试</w:t>
                  </w:r>
                  <w:r>
                    <w:rPr>
                      <w:color w:val="000000"/>
                    </w:rPr>
                    <w:t>，施工期扬尘产生较少</w:t>
                  </w:r>
                  <w:r>
                    <w:rPr>
                      <w:rFonts w:hint="eastAsia"/>
                      <w:color w:val="000000"/>
                    </w:rPr>
                    <w:t>；本项目运营期废气产生来源主要为焊接、酸洗、喷粉、固化、生物质燃烧；焊接工序主要污染物为颗粒物，酸洗工序主要污染物为盐酸雾（氯化氢），喷粉工序主要污染物为颗粒物，固化工序主要污染物为VOCs，成型生物质燃烧主要产生颗粒物、SO</w:t>
                  </w:r>
                  <w:r>
                    <w:rPr>
                      <w:rFonts w:hint="eastAsia"/>
                      <w:color w:val="000000"/>
                      <w:vertAlign w:val="subscript"/>
                    </w:rPr>
                    <w:t>2</w:t>
                  </w:r>
                  <w:r>
                    <w:rPr>
                      <w:rFonts w:hint="eastAsia"/>
                      <w:color w:val="000000"/>
                    </w:rPr>
                    <w:t>、NO</w:t>
                  </w:r>
                  <w:r>
                    <w:rPr>
                      <w:rFonts w:hint="eastAsia"/>
                      <w:color w:val="000000"/>
                      <w:vertAlign w:val="subscript"/>
                    </w:rPr>
                    <w:t>x</w:t>
                  </w:r>
                  <w:r>
                    <w:rPr>
                      <w:rFonts w:hint="eastAsia"/>
                      <w:color w:val="000000"/>
                    </w:rPr>
                    <w:t>。焊接工序的颗粒物经集中式焊烟净化器处理后经1根27米高排气筒（DA001）排放，酸洗工序的酸雾经</w:t>
                  </w:r>
                  <w:r>
                    <w:rPr>
                      <w:rFonts w:hint="eastAsia"/>
                      <w:color w:val="000000"/>
                      <w:lang w:eastAsia="zh-CN"/>
                    </w:rPr>
                    <w:t>碱液喷淋塔</w:t>
                  </w:r>
                  <w:r>
                    <w:rPr>
                      <w:rFonts w:hint="eastAsia"/>
                      <w:color w:val="000000"/>
                    </w:rPr>
                    <w:t>处理后经1根27米高排气筒（DA002）排放，喷粉工序的颗粒物（粉尘）利用密闭的滤芯粉末回收装置对粉末进行回收，不设置排气筒，只有少量粉尘无组织排放；固化工序产生的VOCs不设置处理设施，收集后经1根27米高排气筒（DA003）排放，成型生物质燃烧产生的颗粒物、SO</w:t>
                  </w:r>
                  <w:r>
                    <w:rPr>
                      <w:rFonts w:hint="eastAsia"/>
                      <w:color w:val="000000"/>
                      <w:vertAlign w:val="subscript"/>
                    </w:rPr>
                    <w:t>2</w:t>
                  </w:r>
                  <w:r>
                    <w:rPr>
                      <w:rFonts w:hint="eastAsia"/>
                      <w:color w:val="000000"/>
                    </w:rPr>
                    <w:t>、NO</w:t>
                  </w:r>
                  <w:r>
                    <w:rPr>
                      <w:rFonts w:hint="eastAsia"/>
                      <w:color w:val="000000"/>
                      <w:vertAlign w:val="subscript"/>
                    </w:rPr>
                    <w:t>x</w:t>
                  </w:r>
                  <w:r>
                    <w:rPr>
                      <w:rFonts w:hint="eastAsia"/>
                      <w:color w:val="000000"/>
                    </w:rPr>
                    <w:t>经收集，经过旋风除尘+布袋除尘处理后，经1根27米高排气筒（DA004）排放。对大气环境影响较小</w:t>
                  </w:r>
                  <w:r>
                    <w:rPr>
                      <w:rFonts w:hint="eastAsia"/>
                      <w:color w:val="000000"/>
                      <w:lang w:eastAsia="zh-CN"/>
                    </w:rPr>
                    <w:t>，</w:t>
                  </w:r>
                  <w:r>
                    <w:rPr>
                      <w:rFonts w:hint="eastAsia"/>
                      <w:color w:val="000000"/>
                    </w:rPr>
                    <w:t>符合规划相关要求。</w:t>
                  </w:r>
                </w:p>
              </w:tc>
              <w:tc>
                <w:tcPr>
                  <w:tcW w:w="483" w:type="pct"/>
                  <w:tcBorders>
                    <w:top w:val="single" w:color="auto" w:sz="4" w:space="0"/>
                    <w:left w:val="single" w:color="auto" w:sz="4" w:space="0"/>
                    <w:bottom w:val="single" w:color="000000" w:sz="12" w:space="0"/>
                    <w:right w:val="nil"/>
                  </w:tcBorders>
                  <w:shd w:val="clear" w:color="auto" w:fill="FFFFFF"/>
                  <w:vAlign w:val="center"/>
                </w:tcPr>
                <w:p>
                  <w:pPr>
                    <w:pStyle w:val="24"/>
                    <w:rPr>
                      <w:color w:val="000000"/>
                    </w:rPr>
                  </w:pPr>
                  <w:r>
                    <w:rPr>
                      <w:rFonts w:hint="eastAsia"/>
                      <w:color w:val="000000"/>
                    </w:rPr>
                    <w:t>符合</w:t>
                  </w:r>
                </w:p>
              </w:tc>
            </w:tr>
          </w:tbl>
          <w:p>
            <w:pPr>
              <w:ind w:firstLine="480"/>
            </w:pPr>
            <w:r>
              <w:rPr>
                <w:rFonts w:hint="eastAsia"/>
              </w:rPr>
              <w:t>综上分析，本项目与《衡阳市“十四五”空气质量改善规划》相符。</w:t>
            </w:r>
          </w:p>
          <w:p>
            <w:pPr>
              <w:pStyle w:val="2"/>
              <w:spacing w:before="120"/>
              <w:rPr>
                <w:rFonts w:hint="eastAsia"/>
              </w:rPr>
            </w:pPr>
            <w:bookmarkStart w:id="39" w:name="_Toc27031"/>
            <w:bookmarkStart w:id="40" w:name="_Toc14365"/>
            <w:bookmarkStart w:id="41" w:name="_Toc8780"/>
            <w:bookmarkStart w:id="42" w:name="_Toc15106"/>
            <w:r>
              <w:rPr>
                <w:rFonts w:hint="eastAsia"/>
              </w:rPr>
              <w:t>6、与《挥发性有机物（VOCs）污染防治技术政策》符合性分析</w:t>
            </w:r>
            <w:bookmarkEnd w:id="39"/>
            <w:bookmarkEnd w:id="40"/>
            <w:bookmarkEnd w:id="41"/>
            <w:bookmarkEnd w:id="42"/>
          </w:p>
          <w:p>
            <w:pPr>
              <w:pStyle w:val="37"/>
              <w:bidi w:val="0"/>
              <w:rPr>
                <w:rFonts w:hint="eastAsia"/>
                <w:lang w:val="en-US" w:eastAsia="zh-CN"/>
              </w:rPr>
            </w:pPr>
            <w:r>
              <w:rPr>
                <w:rFonts w:hint="eastAsia"/>
                <w:lang w:val="en-US" w:eastAsia="zh-CN"/>
              </w:rPr>
              <w:t>表1-8 本项目与</w:t>
            </w:r>
            <w:r>
              <w:rPr>
                <w:rFonts w:hint="eastAsia"/>
              </w:rPr>
              <w:t>《挥发性有机物（VOCs）污染防治技术政策》符合性分析</w:t>
            </w:r>
            <w:r>
              <w:rPr>
                <w:rFonts w:hint="eastAsia"/>
                <w:lang w:val="en-US" w:eastAsia="zh-CN"/>
              </w:rPr>
              <w:t>一览表</w:t>
            </w:r>
          </w:p>
          <w:tbl>
            <w:tblPr>
              <w:tblStyle w:val="19"/>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3834"/>
              <w:gridCol w:w="2882"/>
              <w:gridCol w:w="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000000" w:sz="12" w:space="0"/>
                    <w:left w:val="nil"/>
                    <w:bottom w:val="single" w:color="000000" w:sz="4" w:space="0"/>
                    <w:right w:val="single" w:color="auto" w:sz="4" w:space="0"/>
                  </w:tcBorders>
                  <w:shd w:val="clear" w:color="auto" w:fill="FFFFFF"/>
                  <w:vAlign w:val="center"/>
                </w:tcPr>
                <w:p>
                  <w:pPr>
                    <w:pStyle w:val="24"/>
                    <w:rPr>
                      <w:b/>
                      <w:color w:val="000000"/>
                    </w:rPr>
                  </w:pPr>
                  <w:r>
                    <w:rPr>
                      <w:rFonts w:hint="eastAsia"/>
                      <w:b/>
                      <w:color w:val="000000"/>
                    </w:rPr>
                    <w:t>序号</w:t>
                  </w:r>
                </w:p>
              </w:tc>
              <w:tc>
                <w:tcPr>
                  <w:tcW w:w="2506"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政策内容</w:t>
                  </w:r>
                </w:p>
              </w:tc>
              <w:tc>
                <w:tcPr>
                  <w:tcW w:w="1884"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color w:val="000000"/>
                    </w:rPr>
                  </w:pPr>
                  <w:r>
                    <w:rPr>
                      <w:rFonts w:hint="eastAsia"/>
                      <w:b/>
                      <w:color w:val="000000"/>
                    </w:rPr>
                    <w:t>符合性分析</w:t>
                  </w:r>
                </w:p>
              </w:tc>
              <w:tc>
                <w:tcPr>
                  <w:tcW w:w="313" w:type="pct"/>
                  <w:tcBorders>
                    <w:top w:val="single" w:color="000000" w:sz="12" w:space="0"/>
                    <w:left w:val="single" w:color="auto" w:sz="4" w:space="0"/>
                    <w:bottom w:val="single" w:color="000000" w:sz="4" w:space="0"/>
                    <w:right w:val="nil"/>
                  </w:tcBorders>
                  <w:shd w:val="clear" w:color="auto" w:fill="FFFFFF"/>
                  <w:vAlign w:val="center"/>
                </w:tcPr>
                <w:p>
                  <w:pPr>
                    <w:pStyle w:val="24"/>
                    <w:rPr>
                      <w:b/>
                      <w:color w:val="000000"/>
                    </w:rPr>
                  </w:pPr>
                  <w:r>
                    <w:rPr>
                      <w:rFonts w:hint="eastAsia"/>
                      <w:b/>
                      <w:color w:val="000000"/>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000000"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1</w:t>
                  </w:r>
                </w:p>
              </w:tc>
              <w:tc>
                <w:tcPr>
                  <w:tcW w:w="2506"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在涂装、印刷、粘合、工业清洗等含VOCs产品的使用过程中的VOCs污染防治技术措施包括：（1）鼓励使用通过环境标志产品认证的环保型涂料、油墨、胶粘剂和清洗剂；（2）根据涂装工艺的不同，鼓励使用水性涂料、高固份涂料、粉末涂料、紫外光固化（UV）涂料等环保型涂料；推广采用静电喷涂、淋涂、辊涂、浸涂等效率较高的涂装工艺；应尽量避免无VOCs净化、回收措施的露天喷涂作业。</w:t>
                  </w:r>
                </w:p>
              </w:tc>
              <w:tc>
                <w:tcPr>
                  <w:tcW w:w="1884"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本项目属于金属制</w:t>
                  </w:r>
                  <w:r>
                    <w:rPr>
                      <w:rFonts w:hint="eastAsia"/>
                      <w:color w:val="000000"/>
                      <w:lang w:val="en-US" w:eastAsia="zh-CN"/>
                    </w:rPr>
                    <w:t>品</w:t>
                  </w:r>
                  <w:r>
                    <w:rPr>
                      <w:rFonts w:hint="eastAsia"/>
                      <w:color w:val="000000"/>
                    </w:rPr>
                    <w:t>业，</w:t>
                  </w:r>
                  <w:r>
                    <w:rPr>
                      <w:rFonts w:hint="eastAsia"/>
                      <w:color w:val="000000"/>
                      <w:lang w:val="en-US" w:eastAsia="zh-CN"/>
                    </w:rPr>
                    <w:t>喷粉</w:t>
                  </w:r>
                  <w:r>
                    <w:rPr>
                      <w:rFonts w:hint="eastAsia"/>
                      <w:color w:val="000000"/>
                    </w:rPr>
                    <w:t>工序使用的材料为粉末涂料，并采用静电喷涂工艺，符合政策相关要求。</w:t>
                  </w:r>
                </w:p>
              </w:tc>
              <w:tc>
                <w:tcPr>
                  <w:tcW w:w="313"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2</w:t>
                  </w:r>
                </w:p>
              </w:tc>
              <w:tc>
                <w:tcPr>
                  <w:tcW w:w="250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.含VOCs产品的使用过程中，应采取废气收集措施，提高废气收集效率，减少废气的无组织排放与逸散，并对收集后的废气进行回收或处理后达标排放。</w:t>
                  </w:r>
                </w:p>
              </w:tc>
              <w:tc>
                <w:tcPr>
                  <w:tcW w:w="18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本项目设置密闭的</w:t>
                  </w:r>
                  <w:r>
                    <w:rPr>
                      <w:rFonts w:hint="eastAsia"/>
                      <w:color w:val="000000"/>
                      <w:lang w:val="en-US" w:eastAsia="zh-CN"/>
                    </w:rPr>
                    <w:t>喷粉</w:t>
                  </w:r>
                  <w:r>
                    <w:rPr>
                      <w:rFonts w:hint="eastAsia"/>
                      <w:color w:val="000000"/>
                    </w:rPr>
                    <w:t>房，喷粉和固化均在密闭的</w:t>
                  </w:r>
                  <w:r>
                    <w:rPr>
                      <w:rFonts w:hint="eastAsia"/>
                      <w:color w:val="000000"/>
                      <w:lang w:val="en-US" w:eastAsia="zh-CN"/>
                    </w:rPr>
                    <w:t>空间</w:t>
                  </w:r>
                  <w:r>
                    <w:rPr>
                      <w:rFonts w:hint="eastAsia"/>
                      <w:color w:val="000000"/>
                    </w:rPr>
                    <w:t>内进行，无组织排放的废气较少，固化工序产生的有机废气排放浓度符合政策相关要求。</w:t>
                  </w:r>
                </w:p>
              </w:tc>
              <w:tc>
                <w:tcPr>
                  <w:tcW w:w="31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3</w:t>
                  </w:r>
                </w:p>
              </w:tc>
              <w:tc>
                <w:tcPr>
                  <w:tcW w:w="250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18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本项目固化工序产生的有机废气较少，排放浓度</w:t>
                  </w:r>
                  <w:r>
                    <w:rPr>
                      <w:color w:val="000000"/>
                    </w:rPr>
                    <w:t>符合</w:t>
                  </w:r>
                  <w:r>
                    <w:rPr>
                      <w:rFonts w:hint="eastAsia"/>
                      <w:color w:val="000000"/>
                    </w:rPr>
                    <w:t>政策</w:t>
                  </w:r>
                  <w:r>
                    <w:rPr>
                      <w:color w:val="000000"/>
                    </w:rPr>
                    <w:t>相关要求</w:t>
                  </w:r>
                  <w:r>
                    <w:rPr>
                      <w:rFonts w:hint="eastAsia"/>
                      <w:color w:val="000000"/>
                    </w:rPr>
                    <w:t>。</w:t>
                  </w:r>
                </w:p>
              </w:tc>
              <w:tc>
                <w:tcPr>
                  <w:tcW w:w="31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4</w:t>
                  </w:r>
                </w:p>
              </w:tc>
              <w:tc>
                <w:tcPr>
                  <w:tcW w:w="250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严格控制VOCs处理过程中产生的二次污染，对于催化燃烧和热力焚烧过程中产生的含硫、氮、氯等无机废气，以及吸附、吸收、冷凝、生物等治理过程中所产生的含有机物废水，应处理后达标排放。</w:t>
                  </w:r>
                </w:p>
              </w:tc>
              <w:tc>
                <w:tcPr>
                  <w:tcW w:w="18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本项目VOCs处理过程中无废水产生，符合政策相关要求。</w:t>
                  </w:r>
                </w:p>
              </w:tc>
              <w:tc>
                <w:tcPr>
                  <w:tcW w:w="31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5</w:t>
                  </w:r>
                </w:p>
              </w:tc>
              <w:tc>
                <w:tcPr>
                  <w:tcW w:w="250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对于不能再生的过滤材料、吸附剂及催化剂等净化材料，应按照国家固体废物管理的相关规定处理处置。</w:t>
                  </w:r>
                </w:p>
              </w:tc>
              <w:tc>
                <w:tcPr>
                  <w:tcW w:w="188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项目产生的固体废物处理方式符合政策相关要求。</w:t>
                  </w:r>
                </w:p>
              </w:tc>
              <w:tc>
                <w:tcPr>
                  <w:tcW w:w="313"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 w:type="pct"/>
                  <w:tcBorders>
                    <w:top w:val="single" w:color="auto" w:sz="4" w:space="0"/>
                    <w:left w:val="nil"/>
                    <w:bottom w:val="single" w:color="000000" w:sz="12" w:space="0"/>
                    <w:right w:val="single" w:color="auto" w:sz="4" w:space="0"/>
                  </w:tcBorders>
                  <w:shd w:val="clear" w:color="auto" w:fill="FFFFFF"/>
                  <w:vAlign w:val="center"/>
                </w:tcPr>
                <w:p>
                  <w:pPr>
                    <w:pStyle w:val="24"/>
                    <w:rPr>
                      <w:color w:val="000000"/>
                    </w:rPr>
                  </w:pPr>
                  <w:r>
                    <w:rPr>
                      <w:rFonts w:hint="eastAsia"/>
                      <w:color w:val="000000"/>
                    </w:rPr>
                    <w:t>6</w:t>
                  </w:r>
                </w:p>
              </w:tc>
              <w:tc>
                <w:tcPr>
                  <w:tcW w:w="2506"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鼓励企业自行开展VOCs监测，并及时主动向当地环保行政主管部门报送监测结果。企业应建立健全VOCs治理设施的运行维护规程和台帐等日常管理制度，并根据工艺要求定期对各类设备、电气、自控仪表等进行检修维护，确保设施的稳定运行。</w:t>
                  </w:r>
                </w:p>
              </w:tc>
              <w:tc>
                <w:tcPr>
                  <w:tcW w:w="1884"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color w:val="000000"/>
                    </w:rPr>
                    <w:t>项目环境监测计划包含对VOCs排放的排气筒进行定期监测；企业设置有对废气处理设施运行的日常管理制度，且根据工艺要求将进行检修维护以稳定设施的正常运行。符合</w:t>
                  </w:r>
                  <w:r>
                    <w:rPr>
                      <w:rFonts w:hint="eastAsia"/>
                      <w:color w:val="000000"/>
                    </w:rPr>
                    <w:t>政策</w:t>
                  </w:r>
                  <w:r>
                    <w:rPr>
                      <w:color w:val="000000"/>
                    </w:rPr>
                    <w:t>相关要求</w:t>
                  </w:r>
                  <w:r>
                    <w:rPr>
                      <w:rFonts w:hint="eastAsia"/>
                      <w:color w:val="000000"/>
                    </w:rPr>
                    <w:t>。</w:t>
                  </w:r>
                </w:p>
              </w:tc>
              <w:tc>
                <w:tcPr>
                  <w:tcW w:w="313" w:type="pct"/>
                  <w:tcBorders>
                    <w:top w:val="single" w:color="auto" w:sz="4" w:space="0"/>
                    <w:left w:val="single" w:color="auto" w:sz="4" w:space="0"/>
                    <w:bottom w:val="single" w:color="000000" w:sz="12" w:space="0"/>
                    <w:right w:val="nil"/>
                  </w:tcBorders>
                  <w:shd w:val="clear" w:color="auto" w:fill="FFFFFF"/>
                  <w:vAlign w:val="center"/>
                </w:tcPr>
                <w:p>
                  <w:pPr>
                    <w:pStyle w:val="24"/>
                    <w:rPr>
                      <w:color w:val="000000"/>
                    </w:rPr>
                  </w:pPr>
                  <w:r>
                    <w:rPr>
                      <w:rFonts w:hint="eastAsia"/>
                      <w:color w:val="000000"/>
                    </w:rPr>
                    <w:t>符合</w:t>
                  </w:r>
                </w:p>
              </w:tc>
            </w:tr>
          </w:tbl>
          <w:p>
            <w:pPr>
              <w:ind w:firstLine="480"/>
            </w:pPr>
            <w:r>
              <w:rPr>
                <w:rFonts w:hint="eastAsia"/>
              </w:rPr>
              <w:t>综上所述，本项目与与《挥发性有机物（VOCs）污染防治技术政策》相符。</w:t>
            </w:r>
          </w:p>
          <w:p>
            <w:pPr>
              <w:pStyle w:val="2"/>
              <w:keepLines/>
              <w:overflowPunct/>
              <w:snapToGrid/>
              <w:spacing w:before="120"/>
            </w:pPr>
            <w:bookmarkStart w:id="43" w:name="_Toc15835"/>
            <w:bookmarkStart w:id="44" w:name="_Toc27705"/>
            <w:bookmarkStart w:id="45" w:name="_Toc16676"/>
            <w:bookmarkStart w:id="46" w:name="_Toc3978"/>
            <w:r>
              <w:rPr>
                <w:rFonts w:hint="eastAsia"/>
              </w:rPr>
              <w:t>7、选址合理性分析</w:t>
            </w:r>
            <w:bookmarkEnd w:id="43"/>
            <w:bookmarkEnd w:id="44"/>
            <w:bookmarkEnd w:id="45"/>
            <w:bookmarkEnd w:id="46"/>
          </w:p>
          <w:p>
            <w:pPr>
              <w:ind w:firstLine="480"/>
            </w:pPr>
            <w:r>
              <w:t>本项目位于衡阳西渡高新区内船山西路与洪山路交汇处东北角双创中心内厂房28栋与23栋一层，位于西渡高新产业园区内，地理坐标</w:t>
            </w:r>
            <w:r>
              <w:rPr>
                <w:rFonts w:hint="eastAsia"/>
              </w:rPr>
              <w:t>：</w:t>
            </w:r>
            <w:r>
              <w:t>东经112</w:t>
            </w:r>
            <w:r>
              <w:rPr>
                <w:rFonts w:hint="eastAsia"/>
              </w:rPr>
              <w:t>°</w:t>
            </w:r>
            <w:r>
              <w:t>24</w:t>
            </w:r>
            <w:r>
              <w:rPr>
                <w:rFonts w:hint="eastAsia"/>
              </w:rPr>
              <w:t>′</w:t>
            </w:r>
            <w:r>
              <w:t>53.309</w:t>
            </w:r>
            <w:r>
              <w:rPr>
                <w:rFonts w:hint="eastAsia"/>
              </w:rPr>
              <w:t>″</w:t>
            </w:r>
            <w:r>
              <w:t>，</w:t>
            </w:r>
            <w:r>
              <w:rPr>
                <w:rFonts w:hint="eastAsia"/>
              </w:rPr>
              <w:t>北纬</w:t>
            </w:r>
            <w:r>
              <w:t>26</w:t>
            </w:r>
            <w:r>
              <w:rPr>
                <w:rFonts w:hint="eastAsia"/>
              </w:rPr>
              <w:t>°</w:t>
            </w:r>
            <w:r>
              <w:t>59</w:t>
            </w:r>
            <w:r>
              <w:rPr>
                <w:rFonts w:hint="eastAsia"/>
              </w:rPr>
              <w:t>′</w:t>
            </w:r>
            <w:r>
              <w:t>18.895</w:t>
            </w:r>
            <w:r>
              <w:rPr>
                <w:rFonts w:hint="eastAsia"/>
              </w:rPr>
              <w:t>″，</w:t>
            </w:r>
            <w:r>
              <w:t>区域内电、路等相应配套设置齐全，基础条件充足，政策环境优越。项目厂址外环境关系较为简单，无特殊环境敏感点</w:t>
            </w:r>
            <w:r>
              <w:rPr>
                <w:rFonts w:hint="eastAsia"/>
              </w:rPr>
              <w:t>，</w:t>
            </w:r>
            <w:r>
              <w:t>项目选址不在饮用水源保护区、自然保护区等生态敏感区域，与城市土地利用规划不冲突，符合城市土地利用的总体规划，不涉及占用永久基本农田和生态公益林，本项目在采取必要的环保措施后，其建设运营对周边环境影响不大，同时对照《限制用地项目目录</w:t>
            </w:r>
            <w:r>
              <w:rPr>
                <w:rFonts w:hint="eastAsia"/>
              </w:rPr>
              <w:t>（</w:t>
            </w:r>
            <w:r>
              <w:t>2012年本</w:t>
            </w:r>
            <w:r>
              <w:rPr>
                <w:rFonts w:hint="eastAsia"/>
              </w:rPr>
              <w:t>）</w:t>
            </w:r>
            <w:r>
              <w:t>》和《禁止用地项目目录</w:t>
            </w:r>
            <w:r>
              <w:rPr>
                <w:rFonts w:hint="eastAsia"/>
              </w:rPr>
              <w:t>（</w:t>
            </w:r>
            <w:r>
              <w:t>2012年本</w:t>
            </w:r>
            <w:r>
              <w:rPr>
                <w:rFonts w:hint="eastAsia"/>
              </w:rPr>
              <w:t>）</w:t>
            </w:r>
            <w:r>
              <w:t>》，项目不属于其中的限制、禁止用地项目范围。</w:t>
            </w:r>
          </w:p>
          <w:p>
            <w:pPr>
              <w:ind w:firstLine="480"/>
            </w:pPr>
            <w:r>
              <w:t>因此，本项目选址符合用地规划，选址合理</w:t>
            </w:r>
            <w:r>
              <w:rPr>
                <w:rFonts w:hint="eastAsia"/>
              </w:rPr>
              <w:t>。</w:t>
            </w:r>
          </w:p>
        </w:tc>
      </w:tr>
    </w:tbl>
    <w:p>
      <w:pPr>
        <w:ind w:firstLine="600"/>
        <w:outlineLvl w:val="0"/>
        <w:rPr>
          <w:rFonts w:eastAsia="黑体"/>
          <w:sz w:val="30"/>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15"/>
        <w:jc w:val="center"/>
        <w:outlineLvl w:val="0"/>
        <w:rPr>
          <w:rFonts w:hint="eastAsia" w:ascii="黑体" w:hAnsi="黑体" w:eastAsia="黑体"/>
          <w:snapToGrid w:val="0"/>
          <w:sz w:val="30"/>
          <w:szCs w:val="30"/>
        </w:rPr>
      </w:pPr>
      <w:bookmarkStart w:id="47" w:name="_Toc10253"/>
      <w:r>
        <w:rPr>
          <w:rFonts w:hint="eastAsia" w:ascii="黑体" w:hAnsi="黑体" w:eastAsia="黑体"/>
          <w:snapToGrid w:val="0"/>
          <w:sz w:val="30"/>
          <w:szCs w:val="30"/>
        </w:rPr>
        <w:t>二、建设项目工程分析</w:t>
      </w:r>
      <w:bookmarkEnd w:id="47"/>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8" w:hRule="atLeast"/>
          <w:jc w:val="center"/>
        </w:trPr>
        <w:tc>
          <w:tcPr>
            <w:tcW w:w="823" w:type="dxa"/>
            <w:vAlign w:val="center"/>
          </w:tcPr>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建设内容</w:t>
            </w:r>
          </w:p>
        </w:tc>
        <w:tc>
          <w:tcPr>
            <w:tcW w:w="8161" w:type="dxa"/>
          </w:tcPr>
          <w:p>
            <w:pPr>
              <w:pStyle w:val="2"/>
              <w:spacing w:before="120"/>
            </w:pPr>
            <w:bookmarkStart w:id="48" w:name="_Toc28232"/>
            <w:bookmarkStart w:id="49" w:name="_Toc11059"/>
            <w:bookmarkStart w:id="50" w:name="_Toc3178"/>
            <w:bookmarkStart w:id="51" w:name="_Toc7424"/>
            <w:r>
              <w:rPr>
                <w:rFonts w:hint="eastAsia"/>
              </w:rPr>
              <w:t>1、项目由来</w:t>
            </w:r>
            <w:bookmarkEnd w:id="48"/>
            <w:bookmarkEnd w:id="49"/>
            <w:bookmarkEnd w:id="50"/>
            <w:bookmarkEnd w:id="51"/>
          </w:p>
          <w:p>
            <w:pPr>
              <w:ind w:firstLine="480"/>
              <w:rPr>
                <w:rFonts w:hint="default" w:eastAsia="宋体"/>
                <w:lang w:val="en-US" w:eastAsia="zh-CN"/>
              </w:rPr>
            </w:pPr>
            <w:bookmarkStart w:id="52" w:name="_Toc23202"/>
            <w:r>
              <w:rPr>
                <w:rFonts w:hint="eastAsia"/>
              </w:rPr>
              <w:t>为满足市场需求，湖南小明同学电器有限公司投资700万元于</w:t>
            </w:r>
            <w:r>
              <w:rPr>
                <w:rFonts w:hint="eastAsia"/>
                <w:color w:val="000000"/>
              </w:rPr>
              <w:t>湖南省衡阳市衡阳县西渡镇西渡高新区双创中心内厂房28栋与23栋一层建设</w:t>
            </w:r>
            <w:r>
              <w:rPr>
                <w:rFonts w:hint="eastAsia"/>
              </w:rPr>
              <w:t>湖南小明同学电器有限公司年加工200万件金属制品建设项目。占地面积为</w:t>
            </w:r>
            <w:r>
              <w:rPr>
                <w:rFonts w:hint="eastAsia"/>
                <w:lang w:val="en-US" w:eastAsia="zh-CN"/>
              </w:rPr>
              <w:t>2391.2</w:t>
            </w:r>
            <w:r>
              <w:rPr>
                <w:rFonts w:hint="eastAsia"/>
              </w:rPr>
              <w:t>m</w:t>
            </w:r>
            <w:r>
              <w:rPr>
                <w:rFonts w:hint="eastAsia"/>
                <w:vertAlign w:val="superscript"/>
              </w:rPr>
              <w:t>2</w:t>
            </w:r>
            <w:r>
              <w:rPr>
                <w:rFonts w:hint="eastAsia"/>
              </w:rPr>
              <w:t>，总建筑面积为6125.61m</w:t>
            </w:r>
            <w:r>
              <w:rPr>
                <w:rFonts w:hint="eastAsia"/>
                <w:vertAlign w:val="superscript"/>
              </w:rPr>
              <w:t>2</w:t>
            </w:r>
            <w:r>
              <w:rPr>
                <w:rFonts w:hint="eastAsia"/>
              </w:rPr>
              <w:t>，在已建厂房内安装和调试生产设备，并配套完善相关生产和公辅设施。湖南小明同学电器有限公司</w:t>
            </w:r>
            <w:r>
              <w:rPr>
                <w:rFonts w:hint="eastAsia"/>
                <w:lang w:val="en-US" w:eastAsia="zh-CN"/>
              </w:rPr>
              <w:t>为</w:t>
            </w:r>
            <w:r>
              <w:rPr>
                <w:rFonts w:hint="eastAsia"/>
              </w:rPr>
              <w:t>江门市尔德康明电器有限公司</w:t>
            </w:r>
            <w:r>
              <w:rPr>
                <w:rFonts w:hint="eastAsia"/>
                <w:lang w:val="en-US" w:eastAsia="zh-CN"/>
              </w:rPr>
              <w:t>的子公司，厂房租赁合同由</w:t>
            </w:r>
            <w:r>
              <w:rPr>
                <w:rFonts w:hint="eastAsia"/>
              </w:rPr>
              <w:t>江门市尔德康明电器有限公司</w:t>
            </w:r>
            <w:r>
              <w:rPr>
                <w:rFonts w:hint="eastAsia"/>
                <w:lang w:val="en-US" w:eastAsia="zh-CN"/>
              </w:rPr>
              <w:t>签订，在</w:t>
            </w:r>
            <w:r>
              <w:rPr>
                <w:rFonts w:hint="eastAsia"/>
              </w:rPr>
              <w:t>湖南小明同学电器有限公司</w:t>
            </w:r>
            <w:r>
              <w:rPr>
                <w:rFonts w:hint="eastAsia"/>
                <w:lang w:val="en-US" w:eastAsia="zh-CN"/>
              </w:rPr>
              <w:t>成立后，合同约定乙方的权力与义务由</w:t>
            </w:r>
            <w:r>
              <w:rPr>
                <w:rFonts w:hint="eastAsia"/>
              </w:rPr>
              <w:t>湖南小明同学电器有限公司</w:t>
            </w:r>
            <w:r>
              <w:rPr>
                <w:rFonts w:hint="eastAsia"/>
                <w:lang w:val="en-US" w:eastAsia="zh-CN"/>
              </w:rPr>
              <w:t>享受和履行，详见附件4。</w:t>
            </w:r>
          </w:p>
          <w:p>
            <w:pPr>
              <w:ind w:firstLine="480"/>
            </w:pPr>
            <w:r>
              <w:rPr>
                <w:rFonts w:hint="eastAsia"/>
              </w:rPr>
              <w:t>根据《中华人民共和国环境保护法》、《中华人民共和国环境影响评价法》、《建设项目环境保护管理条例》和《建设项目环境影响评价分类管理名录》，本项目属于“三十、金属制品业33-66金属制日用品制造338”，需编制环境影响报告表。因此，湖南小明同学电器有限公司委托湖南鑫煜环保科技有限公司编制该项目</w:t>
            </w:r>
            <w:r>
              <w:rPr>
                <w:rFonts w:hint="eastAsia"/>
                <w:lang w:val="en-US" w:eastAsia="zh-CN"/>
              </w:rPr>
              <w:t>的</w:t>
            </w:r>
            <w:r>
              <w:rPr>
                <w:rFonts w:hint="eastAsia"/>
              </w:rPr>
              <w:t>环境影响报告表。接受委托后，环评技术人员通过现场踏勘，收集资料，走访调查，分析评价，在建设方提供的有关文件资料的基础上，按照国家、湖南省有关法律、法规、技术指南以及相关环境影响评价技术导则的要求，编制了本项目的环境影响报告表。</w:t>
            </w:r>
          </w:p>
          <w:p>
            <w:pPr>
              <w:pStyle w:val="2"/>
              <w:spacing w:before="120"/>
            </w:pPr>
            <w:bookmarkStart w:id="53" w:name="_Toc19893"/>
            <w:bookmarkStart w:id="54" w:name="_Toc21157"/>
            <w:bookmarkStart w:id="55" w:name="_Toc4652"/>
            <w:r>
              <w:rPr>
                <w:rFonts w:hint="eastAsia"/>
              </w:rPr>
              <w:t>2、建设内容及规模</w:t>
            </w:r>
            <w:bookmarkEnd w:id="52"/>
            <w:bookmarkEnd w:id="53"/>
            <w:bookmarkEnd w:id="54"/>
            <w:bookmarkEnd w:id="55"/>
          </w:p>
          <w:p>
            <w:pPr>
              <w:ind w:firstLine="480"/>
            </w:pPr>
            <w:r>
              <w:rPr>
                <w:rFonts w:hint="eastAsia"/>
              </w:rPr>
              <w:t>（1）项目名称：湖南小明同学电器有限公司年加工200万件金属制品建设项目</w:t>
            </w:r>
          </w:p>
          <w:p>
            <w:pPr>
              <w:ind w:firstLine="480"/>
            </w:pPr>
            <w:r>
              <w:rPr>
                <w:rFonts w:hint="eastAsia"/>
              </w:rPr>
              <w:t>（2）建设单位：湖南小明同学电器有限公司</w:t>
            </w:r>
          </w:p>
          <w:p>
            <w:pPr>
              <w:ind w:firstLine="480"/>
            </w:pPr>
            <w:r>
              <w:rPr>
                <w:rFonts w:hint="eastAsia"/>
              </w:rPr>
              <w:t>（3）项目性质：新建</w:t>
            </w:r>
          </w:p>
          <w:p>
            <w:pPr>
              <w:ind w:firstLine="480"/>
            </w:pPr>
            <w:r>
              <w:rPr>
                <w:rFonts w:hint="eastAsia"/>
              </w:rPr>
              <w:t>（4）建设地点：湖南省衡阳市衡阳县西渡镇西渡高新区内船山西路与洪山路交汇处东北角双创中心内厂房28栋与23栋一层（</w:t>
            </w:r>
            <w:r>
              <w:t>地理坐标</w:t>
            </w:r>
            <w:r>
              <w:rPr>
                <w:rFonts w:hint="eastAsia"/>
              </w:rPr>
              <w:t>：</w:t>
            </w:r>
            <w:r>
              <w:t>东经112</w:t>
            </w:r>
            <w:r>
              <w:rPr>
                <w:rFonts w:hint="eastAsia"/>
              </w:rPr>
              <w:t>°</w:t>
            </w:r>
            <w:r>
              <w:t>24</w:t>
            </w:r>
            <w:r>
              <w:rPr>
                <w:rFonts w:hint="eastAsia"/>
              </w:rPr>
              <w:t>′</w:t>
            </w:r>
            <w:r>
              <w:t>53.309</w:t>
            </w:r>
            <w:r>
              <w:rPr>
                <w:rFonts w:hint="eastAsia"/>
              </w:rPr>
              <w:t>″</w:t>
            </w:r>
            <w:r>
              <w:t>，</w:t>
            </w:r>
            <w:r>
              <w:rPr>
                <w:rFonts w:hint="eastAsia"/>
              </w:rPr>
              <w:t>北纬</w:t>
            </w:r>
            <w:r>
              <w:t>26</w:t>
            </w:r>
            <w:r>
              <w:rPr>
                <w:rFonts w:hint="eastAsia"/>
              </w:rPr>
              <w:t>°</w:t>
            </w:r>
            <w:r>
              <w:t>59</w:t>
            </w:r>
            <w:r>
              <w:rPr>
                <w:rFonts w:hint="eastAsia"/>
              </w:rPr>
              <w:t>′</w:t>
            </w:r>
            <w:r>
              <w:t>18.895</w:t>
            </w:r>
            <w:r>
              <w:rPr>
                <w:rFonts w:hint="eastAsia"/>
              </w:rPr>
              <w:t>″）</w:t>
            </w:r>
          </w:p>
          <w:p>
            <w:pPr>
              <w:ind w:firstLine="480"/>
            </w:pPr>
            <w:r>
              <w:rPr>
                <w:rFonts w:hint="eastAsia"/>
              </w:rPr>
              <w:t>（5）项目投资：总投资700万元，其中环保投资100万元</w:t>
            </w:r>
          </w:p>
          <w:p>
            <w:pPr>
              <w:ind w:firstLine="480"/>
            </w:pPr>
            <w:r>
              <w:rPr>
                <w:rFonts w:hint="eastAsia"/>
              </w:rPr>
              <w:t>（6）项目建设规模：年加工200万件金属制品建设项目</w:t>
            </w:r>
          </w:p>
          <w:p>
            <w:pPr>
              <w:ind w:firstLine="480"/>
            </w:pPr>
            <w:r>
              <w:rPr>
                <w:rFonts w:hint="eastAsia"/>
              </w:rPr>
              <w:t>（7）生产制度：本项目劳动定员20人，年工作300天，采用8小时1班制，均不在厂内食宿。</w:t>
            </w:r>
          </w:p>
          <w:p>
            <w:pPr>
              <w:ind w:firstLine="480"/>
            </w:pPr>
            <w:r>
              <w:rPr>
                <w:rFonts w:hint="eastAsia"/>
              </w:rPr>
              <w:t>项目主要工程组成见表2-1。</w:t>
            </w:r>
          </w:p>
          <w:p>
            <w:pPr>
              <w:pStyle w:val="37"/>
              <w:spacing w:before="120" w:beforeLines="50" w:after="120"/>
              <w:rPr>
                <w:rFonts w:hint="default"/>
              </w:rPr>
            </w:pPr>
            <w:r>
              <w:t>表2-1 项目主要建设内容一览表</w:t>
            </w:r>
          </w:p>
          <w:tbl>
            <w:tblPr>
              <w:tblStyle w:val="19"/>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9"/>
              <w:gridCol w:w="669"/>
              <w:gridCol w:w="1205"/>
              <w:gridCol w:w="1885"/>
              <w:gridCol w:w="36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314" w:type="pct"/>
                  <w:tcBorders>
                    <w:bottom w:val="single" w:color="auto" w:sz="4" w:space="0"/>
                  </w:tcBorders>
                  <w:shd w:val="clear" w:color="auto" w:fill="FFFFFF"/>
                  <w:vAlign w:val="center"/>
                </w:tcPr>
                <w:p>
                  <w:pPr>
                    <w:pStyle w:val="24"/>
                    <w:rPr>
                      <w:b/>
                      <w:bCs/>
                      <w:color w:val="000000"/>
                    </w:rPr>
                  </w:pPr>
                  <w:r>
                    <w:rPr>
                      <w:rFonts w:hint="eastAsia"/>
                      <w:b/>
                      <w:bCs/>
                      <w:color w:val="000000"/>
                    </w:rPr>
                    <w:t>序号</w:t>
                  </w:r>
                </w:p>
              </w:tc>
              <w:tc>
                <w:tcPr>
                  <w:tcW w:w="421" w:type="pct"/>
                  <w:tcBorders>
                    <w:bottom w:val="single" w:color="auto" w:sz="4" w:space="0"/>
                  </w:tcBorders>
                  <w:shd w:val="clear" w:color="auto" w:fill="FFFFFF"/>
                  <w:vAlign w:val="center"/>
                </w:tcPr>
                <w:p>
                  <w:pPr>
                    <w:pStyle w:val="24"/>
                    <w:rPr>
                      <w:b/>
                      <w:bCs/>
                      <w:color w:val="000000"/>
                    </w:rPr>
                  </w:pPr>
                  <w:r>
                    <w:rPr>
                      <w:rFonts w:hint="eastAsia"/>
                      <w:b/>
                      <w:bCs/>
                      <w:color w:val="000000"/>
                    </w:rPr>
                    <w:t>工程类别</w:t>
                  </w:r>
                </w:p>
              </w:tc>
              <w:tc>
                <w:tcPr>
                  <w:tcW w:w="758" w:type="pct"/>
                  <w:tcBorders>
                    <w:bottom w:val="single" w:color="auto" w:sz="4" w:space="0"/>
                  </w:tcBorders>
                  <w:shd w:val="clear" w:color="auto" w:fill="FFFFFF"/>
                  <w:vAlign w:val="center"/>
                </w:tcPr>
                <w:p>
                  <w:pPr>
                    <w:pStyle w:val="24"/>
                    <w:rPr>
                      <w:b/>
                      <w:bCs/>
                      <w:color w:val="000000"/>
                    </w:rPr>
                  </w:pPr>
                  <w:r>
                    <w:rPr>
                      <w:rFonts w:hint="eastAsia"/>
                      <w:b/>
                      <w:bCs/>
                      <w:color w:val="000000"/>
                    </w:rPr>
                    <w:t>工程名称</w:t>
                  </w:r>
                </w:p>
              </w:tc>
              <w:tc>
                <w:tcPr>
                  <w:tcW w:w="3506" w:type="pct"/>
                  <w:gridSpan w:val="2"/>
                  <w:tcBorders>
                    <w:bottom w:val="single" w:color="auto" w:sz="4" w:space="0"/>
                  </w:tcBorders>
                  <w:shd w:val="clear" w:color="auto" w:fill="FFFFFF"/>
                  <w:vAlign w:val="center"/>
                </w:tcPr>
                <w:p>
                  <w:pPr>
                    <w:pStyle w:val="24"/>
                    <w:rPr>
                      <w:b/>
                      <w:bCs/>
                      <w:color w:val="000000"/>
                    </w:rPr>
                  </w:pPr>
                  <w:r>
                    <w:rPr>
                      <w:rFonts w:hint="eastAsia"/>
                      <w:b/>
                      <w:bCs/>
                      <w:color w:val="000000"/>
                    </w:rPr>
                    <w:t>主要工程内容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tcBorders>
                    <w:top w:val="single" w:color="auto" w:sz="4" w:space="0"/>
                  </w:tcBorders>
                  <w:vAlign w:val="center"/>
                </w:tcPr>
                <w:p>
                  <w:pPr>
                    <w:pStyle w:val="24"/>
                  </w:pPr>
                  <w:r>
                    <w:rPr>
                      <w:rFonts w:hint="eastAsia"/>
                    </w:rPr>
                    <w:t>1</w:t>
                  </w:r>
                </w:p>
              </w:tc>
              <w:tc>
                <w:tcPr>
                  <w:tcW w:w="421" w:type="pct"/>
                  <w:vMerge w:val="restart"/>
                  <w:tcBorders>
                    <w:top w:val="single" w:color="auto" w:sz="4" w:space="0"/>
                  </w:tcBorders>
                  <w:vAlign w:val="center"/>
                </w:tcPr>
                <w:p>
                  <w:pPr>
                    <w:pStyle w:val="24"/>
                  </w:pPr>
                  <w:r>
                    <w:rPr>
                      <w:rFonts w:hint="eastAsia"/>
                    </w:rPr>
                    <w:t>主体工程</w:t>
                  </w:r>
                </w:p>
              </w:tc>
              <w:tc>
                <w:tcPr>
                  <w:tcW w:w="758" w:type="pct"/>
                  <w:tcBorders>
                    <w:top w:val="single" w:color="auto" w:sz="4" w:space="0"/>
                  </w:tcBorders>
                  <w:vAlign w:val="center"/>
                </w:tcPr>
                <w:p>
                  <w:pPr>
                    <w:pStyle w:val="24"/>
                  </w:pPr>
                  <w:r>
                    <w:rPr>
                      <w:rFonts w:hint="eastAsia"/>
                    </w:rPr>
                    <w:t>五金加工车间</w:t>
                  </w:r>
                </w:p>
              </w:tc>
              <w:tc>
                <w:tcPr>
                  <w:tcW w:w="3506" w:type="pct"/>
                  <w:gridSpan w:val="2"/>
                  <w:tcBorders>
                    <w:top w:val="single" w:color="auto" w:sz="4" w:space="0"/>
                  </w:tcBorders>
                  <w:vAlign w:val="center"/>
                </w:tcPr>
                <w:p>
                  <w:pPr>
                    <w:pStyle w:val="24"/>
                  </w:pPr>
                  <w:r>
                    <w:rPr>
                      <w:rFonts w:hint="eastAsia"/>
                    </w:rPr>
                    <w:t>位于28栋1F，占地面积1</w:t>
                  </w:r>
                  <w:r>
                    <w:rPr>
                      <w:rFonts w:hint="eastAsia"/>
                      <w:lang w:val="en-US" w:eastAsia="zh-CN"/>
                    </w:rPr>
                    <w:t>195.6</w:t>
                  </w:r>
                  <w:r>
                    <w:rPr>
                      <w:rFonts w:hint="eastAsia"/>
                    </w:rPr>
                    <w:t>m</w:t>
                  </w:r>
                  <w:r>
                    <w:rPr>
                      <w:rFonts w:hint="eastAsia"/>
                      <w:vertAlign w:val="superscript"/>
                    </w:rPr>
                    <w:t>2</w:t>
                  </w:r>
                  <w:r>
                    <w:rPr>
                      <w:rFonts w:hint="eastAsia"/>
                    </w:rPr>
                    <w:t>，该车间包括焊接区、修边区、压型区和成型区等，主要设备包括打圈对焊一体机、单点机自动内环机加机械手、油压机、单中环机中环点焊机、双中环机、外环机、修边机等。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vAlign w:val="center"/>
                </w:tcPr>
                <w:p>
                  <w:pPr>
                    <w:pStyle w:val="24"/>
                  </w:pPr>
                  <w:r>
                    <w:rPr>
                      <w:rFonts w:hint="eastAsia"/>
                    </w:rPr>
                    <w:t>2</w:t>
                  </w:r>
                </w:p>
              </w:tc>
              <w:tc>
                <w:tcPr>
                  <w:tcW w:w="421" w:type="pct"/>
                  <w:vMerge w:val="continue"/>
                  <w:vAlign w:val="center"/>
                </w:tcPr>
                <w:p>
                  <w:pPr>
                    <w:pStyle w:val="24"/>
                  </w:pPr>
                </w:p>
              </w:tc>
              <w:tc>
                <w:tcPr>
                  <w:tcW w:w="758" w:type="pct"/>
                  <w:vAlign w:val="center"/>
                </w:tcPr>
                <w:p>
                  <w:pPr>
                    <w:pStyle w:val="24"/>
                  </w:pPr>
                  <w:r>
                    <w:rPr>
                      <w:rFonts w:hint="eastAsia"/>
                    </w:rPr>
                    <w:t>喷粉车间</w:t>
                  </w:r>
                </w:p>
              </w:tc>
              <w:tc>
                <w:tcPr>
                  <w:tcW w:w="3506" w:type="pct"/>
                  <w:gridSpan w:val="2"/>
                  <w:vAlign w:val="center"/>
                </w:tcPr>
                <w:p>
                  <w:pPr>
                    <w:pStyle w:val="24"/>
                  </w:pPr>
                  <w:r>
                    <w:rPr>
                      <w:rFonts w:hint="eastAsia"/>
                    </w:rPr>
                    <w:t>位于23栋1F，占地面积650m</w:t>
                  </w:r>
                  <w:r>
                    <w:rPr>
                      <w:rFonts w:hint="eastAsia"/>
                      <w:vertAlign w:val="superscript"/>
                    </w:rPr>
                    <w:t>2</w:t>
                  </w:r>
                  <w:r>
                    <w:rPr>
                      <w:rFonts w:hint="eastAsia"/>
                    </w:rPr>
                    <w:t>，主要包括前处理区、喷粉区、烘干区和固化区，主要设备包括</w:t>
                  </w:r>
                  <w:r>
                    <w:rPr>
                      <w:rFonts w:hint="eastAsia"/>
                      <w:lang w:val="en-US" w:eastAsia="zh-CN"/>
                    </w:rPr>
                    <w:t>烘烤</w:t>
                  </w:r>
                  <w:r>
                    <w:rPr>
                      <w:rFonts w:hint="eastAsia"/>
                    </w:rPr>
                    <w:t>炉、固化炉等。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vAlign w:val="center"/>
                </w:tcPr>
                <w:p>
                  <w:pPr>
                    <w:pStyle w:val="24"/>
                  </w:pPr>
                  <w:r>
                    <w:rPr>
                      <w:rFonts w:hint="eastAsia"/>
                    </w:rPr>
                    <w:t>3</w:t>
                  </w:r>
                </w:p>
              </w:tc>
              <w:tc>
                <w:tcPr>
                  <w:tcW w:w="421" w:type="pct"/>
                  <w:vMerge w:val="continue"/>
                  <w:vAlign w:val="center"/>
                </w:tcPr>
                <w:p>
                  <w:pPr>
                    <w:pStyle w:val="24"/>
                  </w:pPr>
                </w:p>
              </w:tc>
              <w:tc>
                <w:tcPr>
                  <w:tcW w:w="758" w:type="pct"/>
                  <w:vAlign w:val="center"/>
                </w:tcPr>
                <w:p>
                  <w:pPr>
                    <w:pStyle w:val="24"/>
                  </w:pPr>
                  <w:r>
                    <w:rPr>
                      <w:rFonts w:hint="eastAsia"/>
                    </w:rPr>
                    <w:t>组装车间</w:t>
                  </w:r>
                </w:p>
              </w:tc>
              <w:tc>
                <w:tcPr>
                  <w:tcW w:w="3506" w:type="pct"/>
                  <w:gridSpan w:val="2"/>
                  <w:vAlign w:val="center"/>
                </w:tcPr>
                <w:p>
                  <w:pPr>
                    <w:pStyle w:val="24"/>
                  </w:pPr>
                  <w:r>
                    <w:rPr>
                      <w:rFonts w:hint="eastAsia"/>
                    </w:rPr>
                    <w:t>位于28栋2F，占地面积493.5m</w:t>
                  </w:r>
                  <w:r>
                    <w:rPr>
                      <w:rFonts w:hint="eastAsia"/>
                      <w:vertAlign w:val="superscript"/>
                    </w:rPr>
                    <w:t>2</w:t>
                  </w:r>
                  <w:r>
                    <w:rPr>
                      <w:rFonts w:hint="eastAsia"/>
                    </w:rPr>
                    <w:t>，用于组装壁扇、落地扇、趴地扇等产品。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vAlign w:val="center"/>
                </w:tcPr>
                <w:p>
                  <w:pPr>
                    <w:pStyle w:val="24"/>
                  </w:pPr>
                  <w:r>
                    <w:rPr>
                      <w:rFonts w:hint="eastAsia"/>
                    </w:rPr>
                    <w:t>4</w:t>
                  </w:r>
                </w:p>
              </w:tc>
              <w:tc>
                <w:tcPr>
                  <w:tcW w:w="421" w:type="pct"/>
                  <w:vAlign w:val="center"/>
                </w:tcPr>
                <w:p>
                  <w:pPr>
                    <w:pStyle w:val="24"/>
                  </w:pPr>
                  <w:r>
                    <w:rPr>
                      <w:rFonts w:hint="eastAsia"/>
                    </w:rPr>
                    <w:t>辅助工程</w:t>
                  </w:r>
                </w:p>
              </w:tc>
              <w:tc>
                <w:tcPr>
                  <w:tcW w:w="758" w:type="pct"/>
                  <w:vAlign w:val="center"/>
                </w:tcPr>
                <w:p>
                  <w:pPr>
                    <w:pStyle w:val="24"/>
                  </w:pPr>
                  <w:r>
                    <w:rPr>
                      <w:rFonts w:hint="eastAsia"/>
                    </w:rPr>
                    <w:t>办公区</w:t>
                  </w:r>
                </w:p>
              </w:tc>
              <w:tc>
                <w:tcPr>
                  <w:tcW w:w="3506" w:type="pct"/>
                  <w:gridSpan w:val="2"/>
                  <w:vAlign w:val="center"/>
                </w:tcPr>
                <w:p>
                  <w:pPr>
                    <w:pStyle w:val="24"/>
                  </w:pPr>
                  <w:r>
                    <w:rPr>
                      <w:rFonts w:hint="eastAsia"/>
                    </w:rPr>
                    <w:t>位于28栋2F，占地面积451.2m</w:t>
                  </w:r>
                  <w:r>
                    <w:rPr>
                      <w:rFonts w:hint="eastAsia"/>
                      <w:vertAlign w:val="superscript"/>
                    </w:rPr>
                    <w:t>2</w:t>
                  </w:r>
                  <w:r>
                    <w:rPr>
                      <w:rFonts w:hint="eastAsia"/>
                    </w:rPr>
                    <w:t>，主要用于职工日常办公和临时休息。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vAlign w:val="center"/>
                </w:tcPr>
                <w:p>
                  <w:pPr>
                    <w:pStyle w:val="24"/>
                  </w:pPr>
                  <w:r>
                    <w:rPr>
                      <w:rFonts w:hint="eastAsia"/>
                    </w:rPr>
                    <w:t>5</w:t>
                  </w:r>
                </w:p>
              </w:tc>
              <w:tc>
                <w:tcPr>
                  <w:tcW w:w="421" w:type="pct"/>
                  <w:vMerge w:val="restart"/>
                  <w:vAlign w:val="center"/>
                </w:tcPr>
                <w:p>
                  <w:pPr>
                    <w:pStyle w:val="24"/>
                  </w:pPr>
                  <w:r>
                    <w:t>储运工程</w:t>
                  </w:r>
                </w:p>
              </w:tc>
              <w:tc>
                <w:tcPr>
                  <w:tcW w:w="758" w:type="pct"/>
                  <w:vAlign w:val="center"/>
                </w:tcPr>
                <w:p>
                  <w:pPr>
                    <w:pStyle w:val="24"/>
                  </w:pPr>
                  <w:r>
                    <w:rPr>
                      <w:rFonts w:hint="eastAsia"/>
                      <w:color w:val="000000"/>
                    </w:rPr>
                    <w:t>产品仓储区</w:t>
                  </w:r>
                </w:p>
              </w:tc>
              <w:tc>
                <w:tcPr>
                  <w:tcW w:w="3506" w:type="pct"/>
                  <w:gridSpan w:val="2"/>
                  <w:vAlign w:val="center"/>
                </w:tcPr>
                <w:p>
                  <w:pPr>
                    <w:pStyle w:val="24"/>
                  </w:pPr>
                  <w:r>
                    <w:rPr>
                      <w:rFonts w:hint="eastAsia"/>
                    </w:rPr>
                    <w:t>位于28栋3、4F，总建筑面积2050m</w:t>
                  </w:r>
                  <w:r>
                    <w:rPr>
                      <w:rFonts w:hint="eastAsia"/>
                      <w:vertAlign w:val="superscript"/>
                    </w:rPr>
                    <w:t>2</w:t>
                  </w:r>
                  <w:r>
                    <w:rPr>
                      <w:rFonts w:hint="eastAsia"/>
                    </w:rPr>
                    <w:t>，主要用于存放产品。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6</w:t>
                  </w:r>
                </w:p>
              </w:tc>
              <w:tc>
                <w:tcPr>
                  <w:tcW w:w="421" w:type="pct"/>
                  <w:vMerge w:val="continue"/>
                  <w:vAlign w:val="center"/>
                </w:tcPr>
                <w:p>
                  <w:pPr>
                    <w:pStyle w:val="24"/>
                  </w:pPr>
                </w:p>
              </w:tc>
              <w:tc>
                <w:tcPr>
                  <w:tcW w:w="758" w:type="pct"/>
                  <w:vAlign w:val="center"/>
                </w:tcPr>
                <w:p>
                  <w:pPr>
                    <w:pStyle w:val="24"/>
                    <w:rPr>
                      <w:color w:val="000000"/>
                    </w:rPr>
                  </w:pPr>
                  <w:r>
                    <w:rPr>
                      <w:rFonts w:hint="eastAsia"/>
                      <w:color w:val="000000"/>
                    </w:rPr>
                    <w:t>原料仓储区</w:t>
                  </w:r>
                </w:p>
              </w:tc>
              <w:tc>
                <w:tcPr>
                  <w:tcW w:w="3506" w:type="pct"/>
                  <w:gridSpan w:val="2"/>
                  <w:vAlign w:val="center"/>
                </w:tcPr>
                <w:p>
                  <w:pPr>
                    <w:pStyle w:val="24"/>
                  </w:pPr>
                  <w:r>
                    <w:rPr>
                      <w:rFonts w:hint="eastAsia"/>
                    </w:rPr>
                    <w:t>位于23栋1F，用于储存原料。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7</w:t>
                  </w:r>
                </w:p>
              </w:tc>
              <w:tc>
                <w:tcPr>
                  <w:tcW w:w="421" w:type="pct"/>
                  <w:vMerge w:val="continue"/>
                  <w:vAlign w:val="center"/>
                </w:tcPr>
                <w:p>
                  <w:pPr>
                    <w:pStyle w:val="24"/>
                  </w:pPr>
                </w:p>
              </w:tc>
              <w:tc>
                <w:tcPr>
                  <w:tcW w:w="758" w:type="pct"/>
                  <w:vAlign w:val="center"/>
                </w:tcPr>
                <w:p>
                  <w:pPr>
                    <w:pStyle w:val="24"/>
                    <w:rPr>
                      <w:color w:val="000000"/>
                    </w:rPr>
                  </w:pPr>
                  <w:r>
                    <w:rPr>
                      <w:rFonts w:hint="eastAsia"/>
                      <w:color w:val="000000"/>
                    </w:rPr>
                    <w:t>一般固废间</w:t>
                  </w:r>
                </w:p>
              </w:tc>
              <w:tc>
                <w:tcPr>
                  <w:tcW w:w="3506" w:type="pct"/>
                  <w:gridSpan w:val="2"/>
                  <w:vAlign w:val="center"/>
                </w:tcPr>
                <w:p>
                  <w:pPr>
                    <w:pStyle w:val="24"/>
                  </w:pPr>
                  <w:r>
                    <w:rPr>
                      <w:rFonts w:hint="eastAsia"/>
                    </w:rPr>
                    <w:t>位于23栋1F，用于暂存一般固废。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8</w:t>
                  </w:r>
                </w:p>
              </w:tc>
              <w:tc>
                <w:tcPr>
                  <w:tcW w:w="421" w:type="pct"/>
                  <w:vMerge w:val="continue"/>
                  <w:vAlign w:val="center"/>
                </w:tcPr>
                <w:p>
                  <w:pPr>
                    <w:pStyle w:val="24"/>
                  </w:pPr>
                </w:p>
              </w:tc>
              <w:tc>
                <w:tcPr>
                  <w:tcW w:w="758" w:type="pct"/>
                  <w:vAlign w:val="center"/>
                </w:tcPr>
                <w:p>
                  <w:pPr>
                    <w:pStyle w:val="24"/>
                    <w:rPr>
                      <w:color w:val="000000"/>
                    </w:rPr>
                  </w:pPr>
                  <w:r>
                    <w:rPr>
                      <w:rFonts w:hint="eastAsia"/>
                      <w:color w:val="000000"/>
                    </w:rPr>
                    <w:t>危废间</w:t>
                  </w:r>
                </w:p>
              </w:tc>
              <w:tc>
                <w:tcPr>
                  <w:tcW w:w="3506" w:type="pct"/>
                  <w:gridSpan w:val="2"/>
                  <w:vAlign w:val="center"/>
                </w:tcPr>
                <w:p>
                  <w:pPr>
                    <w:pStyle w:val="24"/>
                  </w:pPr>
                  <w:r>
                    <w:rPr>
                      <w:rFonts w:hint="eastAsia"/>
                    </w:rPr>
                    <w:t>位于23栋1F，用于暂存危险废物。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9</w:t>
                  </w:r>
                </w:p>
              </w:tc>
              <w:tc>
                <w:tcPr>
                  <w:tcW w:w="421" w:type="pct"/>
                  <w:vMerge w:val="restart"/>
                  <w:shd w:val="clear" w:color="auto" w:fill="auto"/>
                  <w:vAlign w:val="center"/>
                </w:tcPr>
                <w:p>
                  <w:pPr>
                    <w:pStyle w:val="24"/>
                  </w:pPr>
                  <w:r>
                    <w:rPr>
                      <w:rFonts w:hint="eastAsia"/>
                      <w:color w:val="000000"/>
                    </w:rPr>
                    <w:t>公用工程</w:t>
                  </w:r>
                </w:p>
              </w:tc>
              <w:tc>
                <w:tcPr>
                  <w:tcW w:w="758" w:type="pct"/>
                  <w:shd w:val="clear" w:color="auto" w:fill="FFFFFF"/>
                  <w:vAlign w:val="center"/>
                </w:tcPr>
                <w:p>
                  <w:pPr>
                    <w:pStyle w:val="24"/>
                    <w:rPr>
                      <w:color w:val="000000"/>
                    </w:rPr>
                  </w:pPr>
                  <w:r>
                    <w:rPr>
                      <w:rFonts w:hint="eastAsia"/>
                      <w:color w:val="000000"/>
                    </w:rPr>
                    <w:t>给水系统</w:t>
                  </w:r>
                </w:p>
              </w:tc>
              <w:tc>
                <w:tcPr>
                  <w:tcW w:w="3506" w:type="pct"/>
                  <w:gridSpan w:val="2"/>
                  <w:vAlign w:val="center"/>
                </w:tcPr>
                <w:p>
                  <w:pPr>
                    <w:pStyle w:val="24"/>
                  </w:pPr>
                  <w:r>
                    <w:rPr>
                      <w:rFonts w:hint="eastAsia"/>
                    </w:rPr>
                    <w:t>园区市政管网供水。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10</w:t>
                  </w:r>
                </w:p>
              </w:tc>
              <w:tc>
                <w:tcPr>
                  <w:tcW w:w="421" w:type="pct"/>
                  <w:vMerge w:val="continue"/>
                  <w:shd w:val="clear" w:color="auto" w:fill="auto"/>
                  <w:vAlign w:val="center"/>
                </w:tcPr>
                <w:p>
                  <w:pPr>
                    <w:pStyle w:val="24"/>
                  </w:pPr>
                </w:p>
              </w:tc>
              <w:tc>
                <w:tcPr>
                  <w:tcW w:w="758" w:type="pct"/>
                  <w:shd w:val="clear" w:color="auto" w:fill="FFFFFF"/>
                  <w:vAlign w:val="center"/>
                </w:tcPr>
                <w:p>
                  <w:pPr>
                    <w:pStyle w:val="24"/>
                    <w:rPr>
                      <w:color w:val="000000"/>
                    </w:rPr>
                  </w:pPr>
                  <w:r>
                    <w:rPr>
                      <w:rFonts w:hint="eastAsia"/>
                      <w:color w:val="000000"/>
                    </w:rPr>
                    <w:t>供电系统</w:t>
                  </w:r>
                </w:p>
              </w:tc>
              <w:tc>
                <w:tcPr>
                  <w:tcW w:w="3506" w:type="pct"/>
                  <w:gridSpan w:val="2"/>
                  <w:vAlign w:val="center"/>
                </w:tcPr>
                <w:p>
                  <w:pPr>
                    <w:pStyle w:val="24"/>
                  </w:pPr>
                  <w:r>
                    <w:rPr>
                      <w:rFonts w:hint="eastAsia"/>
                    </w:rPr>
                    <w:t>园区市政电网供电。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11</w:t>
                  </w:r>
                </w:p>
              </w:tc>
              <w:tc>
                <w:tcPr>
                  <w:tcW w:w="421" w:type="pct"/>
                  <w:vMerge w:val="continue"/>
                  <w:shd w:val="clear" w:color="auto" w:fill="auto"/>
                  <w:vAlign w:val="center"/>
                </w:tcPr>
                <w:p>
                  <w:pPr>
                    <w:pStyle w:val="24"/>
                  </w:pPr>
                </w:p>
              </w:tc>
              <w:tc>
                <w:tcPr>
                  <w:tcW w:w="758" w:type="pct"/>
                  <w:shd w:val="clear" w:color="auto" w:fill="FFFFFF"/>
                  <w:vAlign w:val="center"/>
                </w:tcPr>
                <w:p>
                  <w:pPr>
                    <w:pStyle w:val="24"/>
                    <w:rPr>
                      <w:color w:val="000000"/>
                    </w:rPr>
                  </w:pPr>
                  <w:r>
                    <w:rPr>
                      <w:rFonts w:hint="eastAsia"/>
                      <w:color w:val="000000"/>
                    </w:rPr>
                    <w:t>排水系统</w:t>
                  </w:r>
                </w:p>
              </w:tc>
              <w:tc>
                <w:tcPr>
                  <w:tcW w:w="3506" w:type="pct"/>
                  <w:gridSpan w:val="2"/>
                  <w:vAlign w:val="center"/>
                </w:tcPr>
                <w:p>
                  <w:pPr>
                    <w:pStyle w:val="24"/>
                  </w:pPr>
                  <w:r>
                    <w:rPr>
                      <w:rFonts w:hint="eastAsia"/>
                    </w:rPr>
                    <w:t>依托厂房建设雨污分流的排水系统。雨水经管道流入园区雨水收集管网；生产综合废水经厂内污水处理设施预处理达综排3级标准与接管标准中较严者后，进入市政污水管网</w:t>
                  </w:r>
                  <w:r>
                    <w:rPr>
                      <w:rFonts w:hint="eastAsia"/>
                      <w:lang w:eastAsia="zh-CN"/>
                    </w:rPr>
                    <w:t>，</w:t>
                  </w:r>
                  <w:r>
                    <w:rPr>
                      <w:rFonts w:hint="eastAsia"/>
                    </w:rPr>
                    <w:t>排至衡阳西渡高新区污水处理厂进行深度处理；生活污水依托双创中心化粪池预处理后经市政管网排至衡阳西渡高新技术产业园区污水处理厂处理达标排放。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12</w:t>
                  </w:r>
                </w:p>
              </w:tc>
              <w:tc>
                <w:tcPr>
                  <w:tcW w:w="421" w:type="pct"/>
                  <w:vMerge w:val="restart"/>
                  <w:shd w:val="clear" w:color="auto" w:fill="auto"/>
                  <w:vAlign w:val="center"/>
                </w:tcPr>
                <w:p>
                  <w:pPr>
                    <w:pStyle w:val="24"/>
                  </w:pPr>
                  <w:r>
                    <w:rPr>
                      <w:rFonts w:hint="eastAsia"/>
                      <w:color w:val="000000"/>
                    </w:rPr>
                    <w:t>环保工程</w:t>
                  </w:r>
                </w:p>
              </w:tc>
              <w:tc>
                <w:tcPr>
                  <w:tcW w:w="758" w:type="pct"/>
                  <w:vMerge w:val="restart"/>
                  <w:shd w:val="clear" w:color="auto" w:fill="FFFFFF"/>
                  <w:vAlign w:val="center"/>
                </w:tcPr>
                <w:p>
                  <w:pPr>
                    <w:pStyle w:val="24"/>
                    <w:rPr>
                      <w:color w:val="000000"/>
                    </w:rPr>
                  </w:pPr>
                  <w:r>
                    <w:rPr>
                      <w:rFonts w:hint="eastAsia"/>
                      <w:color w:val="000000"/>
                    </w:rPr>
                    <w:t>废气</w:t>
                  </w:r>
                </w:p>
              </w:tc>
              <w:tc>
                <w:tcPr>
                  <w:tcW w:w="1186" w:type="pct"/>
                  <w:vAlign w:val="center"/>
                </w:tcPr>
                <w:p>
                  <w:pPr>
                    <w:pStyle w:val="24"/>
                  </w:pPr>
                  <w:r>
                    <w:rPr>
                      <w:rFonts w:hint="eastAsia"/>
                      <w:lang w:val="en-US" w:eastAsia="zh-CN"/>
                    </w:rPr>
                    <w:t>焊接</w:t>
                  </w:r>
                  <w:r>
                    <w:rPr>
                      <w:rFonts w:hint="eastAsia"/>
                    </w:rPr>
                    <w:t>工序</w:t>
                  </w:r>
                </w:p>
              </w:tc>
              <w:tc>
                <w:tcPr>
                  <w:tcW w:w="2320" w:type="pct"/>
                  <w:vAlign w:val="center"/>
                </w:tcPr>
                <w:p>
                  <w:pPr>
                    <w:pStyle w:val="24"/>
                    <w:rPr>
                      <w:rFonts w:hint="eastAsia" w:eastAsia="宋体"/>
                      <w:lang w:eastAsia="zh-CN"/>
                    </w:rPr>
                  </w:pPr>
                  <w:r>
                    <w:rPr>
                      <w:rFonts w:hint="eastAsia"/>
                    </w:rPr>
                    <w:t>经集中式焊烟净化器处理后经1根27米高排气筒（DA001）排放</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rPr>
                      <w:rFonts w:hint="eastAsia"/>
                    </w:rPr>
                  </w:pPr>
                  <w:r>
                    <w:rPr>
                      <w:rFonts w:hint="eastAsia"/>
                    </w:rPr>
                    <w:t>13</w:t>
                  </w:r>
                </w:p>
              </w:tc>
              <w:tc>
                <w:tcPr>
                  <w:tcW w:w="421" w:type="pct"/>
                  <w:vMerge w:val="continue"/>
                  <w:shd w:val="clear" w:color="auto" w:fill="auto"/>
                  <w:vAlign w:val="center"/>
                </w:tcPr>
                <w:p>
                  <w:pPr>
                    <w:pStyle w:val="24"/>
                    <w:rPr>
                      <w:rFonts w:hint="eastAsia"/>
                      <w:color w:val="000000"/>
                    </w:rPr>
                  </w:pPr>
                </w:p>
              </w:tc>
              <w:tc>
                <w:tcPr>
                  <w:tcW w:w="758" w:type="pct"/>
                  <w:vMerge w:val="continue"/>
                  <w:shd w:val="clear" w:color="auto" w:fill="FFFFFF"/>
                  <w:vAlign w:val="center"/>
                </w:tcPr>
                <w:p>
                  <w:pPr>
                    <w:pStyle w:val="24"/>
                    <w:rPr>
                      <w:rFonts w:hint="eastAsia"/>
                      <w:color w:val="000000"/>
                    </w:rPr>
                  </w:pPr>
                </w:p>
              </w:tc>
              <w:tc>
                <w:tcPr>
                  <w:tcW w:w="1186" w:type="pct"/>
                  <w:vAlign w:val="center"/>
                </w:tcPr>
                <w:p>
                  <w:pPr>
                    <w:pStyle w:val="24"/>
                    <w:rPr>
                      <w:rFonts w:hint="default"/>
                      <w:lang w:val="en-US" w:eastAsia="zh-CN"/>
                    </w:rPr>
                  </w:pPr>
                  <w:r>
                    <w:rPr>
                      <w:rFonts w:hint="eastAsia"/>
                      <w:lang w:val="en-US" w:eastAsia="zh-CN"/>
                    </w:rPr>
                    <w:t>酸洗工序</w:t>
                  </w:r>
                </w:p>
              </w:tc>
              <w:tc>
                <w:tcPr>
                  <w:tcW w:w="2320" w:type="pct"/>
                  <w:vAlign w:val="center"/>
                </w:tcPr>
                <w:p>
                  <w:pPr>
                    <w:pStyle w:val="24"/>
                    <w:rPr>
                      <w:rFonts w:hint="eastAsia" w:eastAsia="宋体"/>
                      <w:lang w:eastAsia="zh-CN"/>
                    </w:rPr>
                  </w:pPr>
                  <w:r>
                    <w:rPr>
                      <w:rFonts w:hint="eastAsia"/>
                    </w:rPr>
                    <w:t>酸雾经</w:t>
                  </w:r>
                  <w:r>
                    <w:rPr>
                      <w:rFonts w:hint="eastAsia"/>
                      <w:lang w:eastAsia="zh-CN"/>
                    </w:rPr>
                    <w:t>碱液喷淋塔</w:t>
                  </w:r>
                  <w:r>
                    <w:rPr>
                      <w:rFonts w:hint="eastAsia"/>
                    </w:rPr>
                    <w:t>处理后经1根27米高排气筒（DA002）排放</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pPr>
                  <w:r>
                    <w:rPr>
                      <w:rFonts w:hint="eastAsia"/>
                    </w:rPr>
                    <w:t>14</w:t>
                  </w:r>
                </w:p>
              </w:tc>
              <w:tc>
                <w:tcPr>
                  <w:tcW w:w="421" w:type="pct"/>
                  <w:vMerge w:val="continue"/>
                  <w:shd w:val="clear" w:color="auto" w:fill="auto"/>
                  <w:vAlign w:val="center"/>
                </w:tcPr>
                <w:p>
                  <w:pPr>
                    <w:pStyle w:val="24"/>
                    <w:rPr>
                      <w:color w:val="000000"/>
                    </w:rPr>
                  </w:pPr>
                </w:p>
              </w:tc>
              <w:tc>
                <w:tcPr>
                  <w:tcW w:w="758" w:type="pct"/>
                  <w:vMerge w:val="continue"/>
                  <w:shd w:val="clear" w:color="auto" w:fill="FFFFFF"/>
                  <w:vAlign w:val="center"/>
                </w:tcPr>
                <w:p>
                  <w:pPr>
                    <w:pStyle w:val="24"/>
                    <w:rPr>
                      <w:color w:val="000000"/>
                    </w:rPr>
                  </w:pPr>
                </w:p>
              </w:tc>
              <w:tc>
                <w:tcPr>
                  <w:tcW w:w="1186" w:type="pct"/>
                  <w:vAlign w:val="center"/>
                </w:tcPr>
                <w:p>
                  <w:pPr>
                    <w:pStyle w:val="24"/>
                  </w:pPr>
                  <w:r>
                    <w:rPr>
                      <w:rFonts w:hint="eastAsia"/>
                    </w:rPr>
                    <w:t>喷粉工序</w:t>
                  </w:r>
                </w:p>
              </w:tc>
              <w:tc>
                <w:tcPr>
                  <w:tcW w:w="2320" w:type="pct"/>
                  <w:vAlign w:val="center"/>
                </w:tcPr>
                <w:p>
                  <w:pPr>
                    <w:pStyle w:val="24"/>
                  </w:pPr>
                  <w:r>
                    <w:rPr>
                      <w:rFonts w:hint="eastAsia"/>
                    </w:rPr>
                    <w:t>喷粉工序利用密闭的滤芯粉末回收装置对粉末进行回收，不设置排气筒，只有少量粉尘无组织排放。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15</w:t>
                  </w:r>
                </w:p>
              </w:tc>
              <w:tc>
                <w:tcPr>
                  <w:tcW w:w="421" w:type="pct"/>
                  <w:vMerge w:val="continue"/>
                  <w:shd w:val="clear" w:color="auto" w:fill="auto"/>
                  <w:vAlign w:val="center"/>
                </w:tcPr>
                <w:p>
                  <w:pPr>
                    <w:pStyle w:val="24"/>
                    <w:rPr>
                      <w:color w:val="000000"/>
                    </w:rPr>
                  </w:pPr>
                </w:p>
              </w:tc>
              <w:tc>
                <w:tcPr>
                  <w:tcW w:w="758" w:type="pct"/>
                  <w:vMerge w:val="continue"/>
                  <w:shd w:val="clear" w:color="auto" w:fill="FFFFFF"/>
                  <w:vAlign w:val="center"/>
                </w:tcPr>
                <w:p>
                  <w:pPr>
                    <w:pStyle w:val="24"/>
                    <w:rPr>
                      <w:color w:val="000000"/>
                    </w:rPr>
                  </w:pPr>
                </w:p>
              </w:tc>
              <w:tc>
                <w:tcPr>
                  <w:tcW w:w="1186" w:type="pct"/>
                  <w:vAlign w:val="center"/>
                </w:tcPr>
                <w:p>
                  <w:pPr>
                    <w:pStyle w:val="24"/>
                  </w:pPr>
                  <w:r>
                    <w:rPr>
                      <w:rFonts w:hint="eastAsia"/>
                    </w:rPr>
                    <w:t>固化工序</w:t>
                  </w:r>
                </w:p>
              </w:tc>
              <w:tc>
                <w:tcPr>
                  <w:tcW w:w="2320" w:type="pct"/>
                  <w:vAlign w:val="center"/>
                </w:tcPr>
                <w:p>
                  <w:pPr>
                    <w:pStyle w:val="24"/>
                  </w:pPr>
                  <w:r>
                    <w:rPr>
                      <w:rFonts w:hint="eastAsia"/>
                      <w:lang w:val="en-US" w:eastAsia="zh-CN"/>
                    </w:rPr>
                    <w:t>产生的VOCs不设置处理设施，收集后经1根27米高排气筒（DA003）排放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16</w:t>
                  </w:r>
                </w:p>
              </w:tc>
              <w:tc>
                <w:tcPr>
                  <w:tcW w:w="421" w:type="pct"/>
                  <w:vMerge w:val="continue"/>
                  <w:shd w:val="clear" w:color="auto" w:fill="auto"/>
                  <w:vAlign w:val="center"/>
                </w:tcPr>
                <w:p>
                  <w:pPr>
                    <w:pStyle w:val="24"/>
                    <w:rPr>
                      <w:color w:val="000000"/>
                    </w:rPr>
                  </w:pPr>
                </w:p>
              </w:tc>
              <w:tc>
                <w:tcPr>
                  <w:tcW w:w="758" w:type="pct"/>
                  <w:vMerge w:val="continue"/>
                  <w:shd w:val="clear" w:color="auto" w:fill="FFFFFF"/>
                  <w:vAlign w:val="center"/>
                </w:tcPr>
                <w:p>
                  <w:pPr>
                    <w:pStyle w:val="24"/>
                    <w:rPr>
                      <w:color w:val="000000"/>
                    </w:rPr>
                  </w:pPr>
                </w:p>
              </w:tc>
              <w:tc>
                <w:tcPr>
                  <w:tcW w:w="1186" w:type="pct"/>
                  <w:vAlign w:val="center"/>
                </w:tcPr>
                <w:p>
                  <w:pPr>
                    <w:pStyle w:val="24"/>
                    <w:rPr>
                      <w:rFonts w:hint="default" w:eastAsia="宋体"/>
                      <w:lang w:val="en-US" w:eastAsia="zh-CN"/>
                    </w:rPr>
                  </w:pPr>
                  <w:r>
                    <w:rPr>
                      <w:rFonts w:hint="eastAsia"/>
                      <w:lang w:val="en-US" w:eastAsia="zh-CN"/>
                    </w:rPr>
                    <w:t>成型生物质燃烧</w:t>
                  </w:r>
                </w:p>
              </w:tc>
              <w:tc>
                <w:tcPr>
                  <w:tcW w:w="2320" w:type="pct"/>
                  <w:vAlign w:val="center"/>
                </w:tcPr>
                <w:p>
                  <w:pPr>
                    <w:pStyle w:val="24"/>
                    <w:rPr>
                      <w:rFonts w:hint="eastAsia"/>
                      <w:lang w:val="en-US" w:eastAsia="zh-CN"/>
                    </w:rPr>
                  </w:pPr>
                  <w:r>
                    <w:rPr>
                      <w:rFonts w:hint="eastAsia"/>
                      <w:lang w:val="en-US" w:eastAsia="zh-CN"/>
                    </w:rPr>
                    <w:t>颗粒物、SO</w:t>
                  </w:r>
                  <w:r>
                    <w:rPr>
                      <w:rFonts w:hint="eastAsia"/>
                      <w:vertAlign w:val="subscript"/>
                      <w:lang w:val="en-US" w:eastAsia="zh-CN"/>
                    </w:rPr>
                    <w:t>2</w:t>
                  </w:r>
                  <w:r>
                    <w:rPr>
                      <w:rFonts w:hint="eastAsia"/>
                      <w:lang w:val="en-US" w:eastAsia="zh-CN"/>
                    </w:rPr>
                    <w:t>、NO</w:t>
                  </w:r>
                  <w:r>
                    <w:rPr>
                      <w:rFonts w:hint="eastAsia"/>
                      <w:vertAlign w:val="subscript"/>
                      <w:lang w:val="en-US" w:eastAsia="zh-CN"/>
                    </w:rPr>
                    <w:t>x</w:t>
                  </w:r>
                  <w:r>
                    <w:rPr>
                      <w:rFonts w:hint="eastAsia"/>
                      <w:lang w:val="en-US" w:eastAsia="zh-CN"/>
                    </w:rPr>
                    <w:t>经收集，经过旋风除尘+布袋除尘处理后，经1根27米高排气筒（DA004）排放。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17</w:t>
                  </w:r>
                </w:p>
              </w:tc>
              <w:tc>
                <w:tcPr>
                  <w:tcW w:w="421" w:type="pct"/>
                  <w:vMerge w:val="continue"/>
                  <w:shd w:val="clear" w:color="auto" w:fill="auto"/>
                  <w:vAlign w:val="center"/>
                </w:tcPr>
                <w:p>
                  <w:pPr>
                    <w:pStyle w:val="24"/>
                  </w:pPr>
                </w:p>
              </w:tc>
              <w:tc>
                <w:tcPr>
                  <w:tcW w:w="758" w:type="pct"/>
                  <w:vMerge w:val="restart"/>
                  <w:shd w:val="clear" w:color="auto" w:fill="FFFFFF"/>
                  <w:vAlign w:val="center"/>
                </w:tcPr>
                <w:p>
                  <w:pPr>
                    <w:pStyle w:val="24"/>
                    <w:rPr>
                      <w:color w:val="000000"/>
                    </w:rPr>
                  </w:pPr>
                  <w:r>
                    <w:rPr>
                      <w:rFonts w:hint="eastAsia"/>
                      <w:color w:val="000000"/>
                    </w:rPr>
                    <w:t>废水</w:t>
                  </w:r>
                </w:p>
              </w:tc>
              <w:tc>
                <w:tcPr>
                  <w:tcW w:w="1186" w:type="pct"/>
                  <w:vAlign w:val="center"/>
                </w:tcPr>
                <w:p>
                  <w:pPr>
                    <w:pStyle w:val="24"/>
                  </w:pPr>
                  <w:r>
                    <w:rPr>
                      <w:rFonts w:hint="eastAsia"/>
                    </w:rPr>
                    <w:t>生活污水</w:t>
                  </w:r>
                </w:p>
              </w:tc>
              <w:tc>
                <w:tcPr>
                  <w:tcW w:w="2320" w:type="pct"/>
                  <w:vAlign w:val="center"/>
                </w:tcPr>
                <w:p>
                  <w:pPr>
                    <w:pStyle w:val="24"/>
                  </w:pPr>
                  <w:r>
                    <w:rPr>
                      <w:rFonts w:hint="eastAsia"/>
                    </w:rPr>
                    <w:t>依托双创中心化粪池预处理后排入市政污水管网纳入衡阳西渡高新技术产业园区污水处理厂深度处理。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18</w:t>
                  </w:r>
                </w:p>
              </w:tc>
              <w:tc>
                <w:tcPr>
                  <w:tcW w:w="421" w:type="pct"/>
                  <w:vMerge w:val="continue"/>
                  <w:shd w:val="clear" w:color="auto" w:fill="auto"/>
                  <w:vAlign w:val="center"/>
                </w:tcPr>
                <w:p>
                  <w:pPr>
                    <w:pStyle w:val="24"/>
                  </w:pPr>
                </w:p>
              </w:tc>
              <w:tc>
                <w:tcPr>
                  <w:tcW w:w="758" w:type="pct"/>
                  <w:vMerge w:val="continue"/>
                  <w:shd w:val="clear" w:color="auto" w:fill="FFFFFF"/>
                  <w:vAlign w:val="center"/>
                </w:tcPr>
                <w:p>
                  <w:pPr>
                    <w:pStyle w:val="24"/>
                    <w:rPr>
                      <w:color w:val="000000"/>
                    </w:rPr>
                  </w:pPr>
                </w:p>
              </w:tc>
              <w:tc>
                <w:tcPr>
                  <w:tcW w:w="1186" w:type="pct"/>
                  <w:vAlign w:val="center"/>
                </w:tcPr>
                <w:p>
                  <w:pPr>
                    <w:pStyle w:val="24"/>
                  </w:pPr>
                  <w:r>
                    <w:rPr>
                      <w:rFonts w:hint="eastAsia"/>
                    </w:rPr>
                    <w:t>生产废水</w:t>
                  </w:r>
                </w:p>
              </w:tc>
              <w:tc>
                <w:tcPr>
                  <w:tcW w:w="2320" w:type="pct"/>
                  <w:vAlign w:val="center"/>
                </w:tcPr>
                <w:p>
                  <w:pPr>
                    <w:pStyle w:val="24"/>
                  </w:pPr>
                  <w:r>
                    <w:rPr>
                      <w:rFonts w:hint="eastAsia"/>
                    </w:rPr>
                    <w:t>经隔油池除油后的除油清洗废水与酸洗清洗废水、磷化清洗废水、保洁废水和</w:t>
                  </w:r>
                  <w:r>
                    <w:rPr>
                      <w:rFonts w:hint="eastAsia"/>
                      <w:lang w:eastAsia="zh-CN"/>
                    </w:rPr>
                    <w:t>碱液喷淋塔</w:t>
                  </w:r>
                  <w:r>
                    <w:rPr>
                      <w:rFonts w:hint="eastAsia"/>
                    </w:rPr>
                    <w:t>废水一起，经“调节池+一体化</w:t>
                  </w:r>
                  <w:r>
                    <w:rPr>
                      <w:rFonts w:hint="eastAsia"/>
                      <w:lang w:val="en-US" w:eastAsia="zh-CN"/>
                    </w:rPr>
                    <w:t>处理设施</w:t>
                  </w:r>
                  <w:r>
                    <w:rPr>
                      <w:rFonts w:hint="eastAsia"/>
                    </w:rPr>
                    <w:t>（pH调节+混凝沉淀+二沉池（斜管沉淀））”预处理达综排3级标准与接管标准中较严者后，进入市政污水管网</w:t>
                  </w:r>
                  <w:r>
                    <w:rPr>
                      <w:rFonts w:hint="eastAsia"/>
                      <w:lang w:eastAsia="zh-CN"/>
                    </w:rPr>
                    <w:t>，</w:t>
                  </w:r>
                  <w:r>
                    <w:rPr>
                      <w:rFonts w:hint="eastAsia"/>
                    </w:rPr>
                    <w:t>排至衡阳西渡高新区污水处理厂进行深度处理。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19</w:t>
                  </w:r>
                </w:p>
              </w:tc>
              <w:tc>
                <w:tcPr>
                  <w:tcW w:w="421" w:type="pct"/>
                  <w:vMerge w:val="continue"/>
                  <w:shd w:val="clear" w:color="auto" w:fill="auto"/>
                  <w:vAlign w:val="center"/>
                </w:tcPr>
                <w:p>
                  <w:pPr>
                    <w:pStyle w:val="24"/>
                  </w:pPr>
                </w:p>
              </w:tc>
              <w:tc>
                <w:tcPr>
                  <w:tcW w:w="758" w:type="pct"/>
                  <w:shd w:val="clear" w:color="auto" w:fill="FFFFFF"/>
                  <w:vAlign w:val="center"/>
                </w:tcPr>
                <w:p>
                  <w:pPr>
                    <w:pStyle w:val="24"/>
                    <w:rPr>
                      <w:color w:val="000000"/>
                    </w:rPr>
                  </w:pPr>
                  <w:r>
                    <w:rPr>
                      <w:rFonts w:hint="eastAsia"/>
                      <w:color w:val="000000"/>
                    </w:rPr>
                    <w:t>噪声</w:t>
                  </w:r>
                </w:p>
              </w:tc>
              <w:tc>
                <w:tcPr>
                  <w:tcW w:w="3506" w:type="pct"/>
                  <w:gridSpan w:val="2"/>
                  <w:vAlign w:val="center"/>
                </w:tcPr>
                <w:p>
                  <w:pPr>
                    <w:pStyle w:val="24"/>
                  </w:pPr>
                  <w:r>
                    <w:rPr>
                      <w:color w:val="000000"/>
                    </w:rPr>
                    <w:t>采用厂房隔声、对高噪声设备采取减震降噪措施</w:t>
                  </w:r>
                  <w:r>
                    <w:rPr>
                      <w:rFonts w:hint="eastAsia"/>
                      <w:color w:val="00000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rPr>
                      <w:rFonts w:hint="default" w:eastAsia="宋体"/>
                      <w:lang w:val="en-US" w:eastAsia="zh-CN"/>
                    </w:rPr>
                  </w:pPr>
                  <w:r>
                    <w:rPr>
                      <w:rFonts w:hint="eastAsia"/>
                      <w:lang w:val="en-US" w:eastAsia="zh-CN"/>
                    </w:rPr>
                    <w:t>20</w:t>
                  </w:r>
                </w:p>
              </w:tc>
              <w:tc>
                <w:tcPr>
                  <w:tcW w:w="421" w:type="pct"/>
                  <w:vMerge w:val="continue"/>
                  <w:shd w:val="clear" w:color="auto" w:fill="auto"/>
                  <w:vAlign w:val="center"/>
                </w:tcPr>
                <w:p>
                  <w:pPr>
                    <w:pStyle w:val="24"/>
                  </w:pPr>
                </w:p>
              </w:tc>
              <w:tc>
                <w:tcPr>
                  <w:tcW w:w="758" w:type="pct"/>
                  <w:shd w:val="clear" w:color="auto" w:fill="FFFFFF"/>
                  <w:vAlign w:val="center"/>
                </w:tcPr>
                <w:p>
                  <w:pPr>
                    <w:pStyle w:val="24"/>
                    <w:rPr>
                      <w:color w:val="000000"/>
                    </w:rPr>
                  </w:pPr>
                  <w:r>
                    <w:rPr>
                      <w:rFonts w:hint="eastAsia"/>
                      <w:color w:val="000000"/>
                    </w:rPr>
                    <w:t>固废</w:t>
                  </w:r>
                </w:p>
              </w:tc>
              <w:tc>
                <w:tcPr>
                  <w:tcW w:w="3506" w:type="pct"/>
                  <w:gridSpan w:val="2"/>
                  <w:shd w:val="clear" w:color="auto" w:fill="FFFFFF"/>
                  <w:vAlign w:val="center"/>
                </w:tcPr>
                <w:p>
                  <w:pPr>
                    <w:pStyle w:val="24"/>
                    <w:adjustRightInd/>
                    <w:snapToGrid/>
                    <w:jc w:val="both"/>
                    <w:rPr>
                      <w:bCs/>
                      <w:kern w:val="2"/>
                      <w:szCs w:val="21"/>
                    </w:rPr>
                  </w:pPr>
                  <w:r>
                    <w:rPr>
                      <w:rFonts w:hint="eastAsia"/>
                      <w:bCs/>
                      <w:kern w:val="2"/>
                      <w:szCs w:val="21"/>
                    </w:rPr>
                    <w:t>①设置一般固废暂存间1个，危废间1个；</w:t>
                  </w:r>
                </w:p>
                <w:p>
                  <w:pPr>
                    <w:pStyle w:val="24"/>
                    <w:adjustRightInd/>
                    <w:snapToGrid/>
                    <w:jc w:val="both"/>
                    <w:rPr>
                      <w:bCs/>
                      <w:kern w:val="2"/>
                      <w:szCs w:val="21"/>
                    </w:rPr>
                  </w:pPr>
                  <w:r>
                    <w:rPr>
                      <w:rFonts w:hint="eastAsia"/>
                      <w:bCs/>
                      <w:kern w:val="2"/>
                      <w:szCs w:val="21"/>
                    </w:rPr>
                    <w:t>②滤芯粉末回收系统回收的粉末回用于生产；</w:t>
                  </w:r>
                </w:p>
                <w:p>
                  <w:pPr>
                    <w:pStyle w:val="24"/>
                    <w:adjustRightInd/>
                    <w:snapToGrid/>
                    <w:jc w:val="both"/>
                    <w:rPr>
                      <w:bCs/>
                      <w:kern w:val="2"/>
                      <w:szCs w:val="21"/>
                    </w:rPr>
                  </w:pPr>
                  <w:r>
                    <w:rPr>
                      <w:rFonts w:hint="eastAsia"/>
                      <w:bCs/>
                      <w:kern w:val="2"/>
                      <w:szCs w:val="21"/>
                    </w:rPr>
                    <w:t>③金属边角料、不合格的产品、废包装材料、</w:t>
                  </w:r>
                  <w:r>
                    <w:rPr>
                      <w:rFonts w:hint="eastAsia"/>
                      <w:bCs/>
                      <w:kern w:val="2"/>
                      <w:szCs w:val="21"/>
                      <w:lang w:val="en-US" w:eastAsia="zh-CN"/>
                    </w:rPr>
                    <w:t>焊接和生物质燃烧收集的粉尘、生物质热风炉燃烧炉渣、</w:t>
                  </w:r>
                  <w:r>
                    <w:rPr>
                      <w:rFonts w:hint="eastAsia"/>
                      <w:bCs/>
                      <w:kern w:val="2"/>
                      <w:szCs w:val="21"/>
                    </w:rPr>
                    <w:t>更换的布袋</w:t>
                  </w:r>
                  <w:r>
                    <w:rPr>
                      <w:rFonts w:hint="eastAsia"/>
                      <w:bCs/>
                      <w:kern w:val="2"/>
                      <w:szCs w:val="21"/>
                      <w:lang w:eastAsia="zh-CN"/>
                    </w:rPr>
                    <w:t>、</w:t>
                  </w:r>
                  <w:r>
                    <w:rPr>
                      <w:rFonts w:hint="eastAsia"/>
                      <w:bCs/>
                      <w:kern w:val="2"/>
                      <w:szCs w:val="21"/>
                      <w:lang w:val="en-US" w:eastAsia="zh-CN"/>
                    </w:rPr>
                    <w:t>废滤芯</w:t>
                  </w:r>
                  <w:r>
                    <w:rPr>
                      <w:rFonts w:hint="eastAsia"/>
                      <w:bCs/>
                      <w:kern w:val="2"/>
                      <w:szCs w:val="21"/>
                    </w:rPr>
                    <w:t>属于一般固体废物，收集后交由有处理能力的单位处置；</w:t>
                  </w:r>
                </w:p>
                <w:p>
                  <w:pPr>
                    <w:pStyle w:val="24"/>
                    <w:adjustRightInd/>
                    <w:snapToGrid/>
                    <w:jc w:val="both"/>
                    <w:rPr>
                      <w:bCs/>
                      <w:kern w:val="2"/>
                      <w:szCs w:val="21"/>
                    </w:rPr>
                  </w:pPr>
                  <w:r>
                    <w:rPr>
                      <w:rFonts w:hint="eastAsia"/>
                      <w:bCs/>
                      <w:kern w:val="2"/>
                      <w:szCs w:val="21"/>
                    </w:rPr>
                    <w:t>④含油手套抹布、废化学品包装、废机油、</w:t>
                  </w:r>
                  <w:r>
                    <w:rPr>
                      <w:rFonts w:hint="eastAsia"/>
                      <w:bCs/>
                      <w:kern w:val="2"/>
                      <w:szCs w:val="21"/>
                      <w:lang w:val="en-US" w:eastAsia="zh-CN"/>
                    </w:rPr>
                    <w:t>废液压油、</w:t>
                  </w:r>
                  <w:r>
                    <w:rPr>
                      <w:rFonts w:hint="eastAsia"/>
                      <w:bCs/>
                      <w:kern w:val="2"/>
                      <w:szCs w:val="21"/>
                    </w:rPr>
                    <w:t>废槽渣</w:t>
                  </w:r>
                  <w:r>
                    <w:rPr>
                      <w:rFonts w:hint="eastAsia"/>
                      <w:bCs/>
                      <w:kern w:val="2"/>
                      <w:szCs w:val="21"/>
                      <w:lang w:eastAsia="zh-CN"/>
                    </w:rPr>
                    <w:t>、</w:t>
                  </w:r>
                  <w:r>
                    <w:rPr>
                      <w:rFonts w:hint="eastAsia"/>
                      <w:bCs/>
                      <w:kern w:val="2"/>
                      <w:szCs w:val="21"/>
                      <w:lang w:val="en-US" w:eastAsia="zh-CN"/>
                    </w:rPr>
                    <w:t>污泥、废槽液</w:t>
                  </w:r>
                  <w:r>
                    <w:rPr>
                      <w:rFonts w:hint="eastAsia"/>
                      <w:bCs/>
                      <w:kern w:val="2"/>
                      <w:szCs w:val="21"/>
                    </w:rPr>
                    <w:t>均属于危险废物，分类暂存于危废间，定期委托有资质的单位进行处理；</w:t>
                  </w:r>
                </w:p>
                <w:p>
                  <w:pPr>
                    <w:pStyle w:val="24"/>
                    <w:jc w:val="left"/>
                    <w:rPr>
                      <w:rFonts w:hint="eastAsia" w:eastAsia="宋体"/>
                      <w:lang w:val="en-US" w:eastAsia="zh-CN"/>
                    </w:rPr>
                  </w:pPr>
                  <w:r>
                    <w:rPr>
                      <w:rFonts w:hint="eastAsia"/>
                      <w:bCs/>
                      <w:kern w:val="2"/>
                      <w:szCs w:val="21"/>
                    </w:rPr>
                    <w:t>⑤生活垃圾依托园区生活垃圾暂存点，定期交由环卫部门清理。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4" w:type="pct"/>
                  <w:shd w:val="clear" w:color="auto" w:fill="auto"/>
                  <w:vAlign w:val="center"/>
                </w:tcPr>
                <w:p>
                  <w:pPr>
                    <w:pStyle w:val="24"/>
                    <w:rPr>
                      <w:rFonts w:hint="default" w:eastAsia="宋体"/>
                      <w:lang w:val="en-US" w:eastAsia="zh-CN"/>
                    </w:rPr>
                  </w:pPr>
                  <w:bookmarkStart w:id="56" w:name="_Toc28646"/>
                  <w:bookmarkStart w:id="57" w:name="_Toc19195"/>
                  <w:r>
                    <w:rPr>
                      <w:rFonts w:hint="eastAsia"/>
                      <w:lang w:val="en-US" w:eastAsia="zh-CN"/>
                    </w:rPr>
                    <w:t>21</w:t>
                  </w:r>
                </w:p>
              </w:tc>
              <w:tc>
                <w:tcPr>
                  <w:tcW w:w="421" w:type="pct"/>
                  <w:shd w:val="clear" w:color="auto" w:fill="auto"/>
                  <w:vAlign w:val="center"/>
                </w:tcPr>
                <w:p>
                  <w:pPr>
                    <w:pStyle w:val="24"/>
                    <w:rPr>
                      <w:rFonts w:hint="default" w:eastAsia="宋体"/>
                      <w:u w:val="single"/>
                      <w:lang w:val="en-US" w:eastAsia="zh-CN"/>
                    </w:rPr>
                  </w:pPr>
                  <w:r>
                    <w:rPr>
                      <w:rFonts w:hint="eastAsia"/>
                      <w:u w:val="single"/>
                      <w:lang w:val="en-US" w:eastAsia="zh-CN"/>
                    </w:rPr>
                    <w:t>供热工程</w:t>
                  </w:r>
                </w:p>
              </w:tc>
              <w:tc>
                <w:tcPr>
                  <w:tcW w:w="758" w:type="pct"/>
                  <w:shd w:val="clear" w:color="auto" w:fill="FFFFFF"/>
                  <w:vAlign w:val="center"/>
                </w:tcPr>
                <w:p>
                  <w:pPr>
                    <w:pStyle w:val="24"/>
                    <w:rPr>
                      <w:rFonts w:hint="default" w:eastAsia="宋体"/>
                      <w:color w:val="000000"/>
                      <w:u w:val="single"/>
                      <w:lang w:val="en-US" w:eastAsia="zh-CN"/>
                    </w:rPr>
                  </w:pPr>
                  <w:r>
                    <w:rPr>
                      <w:rFonts w:hint="eastAsia"/>
                      <w:color w:val="000000"/>
                      <w:u w:val="single"/>
                      <w:lang w:val="en-US" w:eastAsia="zh-CN"/>
                    </w:rPr>
                    <w:t>供热</w:t>
                  </w:r>
                </w:p>
              </w:tc>
              <w:tc>
                <w:tcPr>
                  <w:tcW w:w="3506" w:type="pct"/>
                  <w:gridSpan w:val="2"/>
                  <w:shd w:val="clear" w:color="auto" w:fill="FFFFFF"/>
                  <w:vAlign w:val="center"/>
                </w:tcPr>
                <w:p>
                  <w:pPr>
                    <w:pStyle w:val="24"/>
                    <w:jc w:val="left"/>
                    <w:rPr>
                      <w:rFonts w:hint="default" w:eastAsia="宋体"/>
                      <w:color w:val="000000"/>
                      <w:u w:val="single"/>
                      <w:lang w:val="en-US" w:eastAsia="zh-CN"/>
                    </w:rPr>
                  </w:pPr>
                  <w:r>
                    <w:rPr>
                      <w:rFonts w:hint="eastAsia"/>
                      <w:color w:val="000000"/>
                      <w:u w:val="single"/>
                      <w:lang w:val="en-US" w:eastAsia="zh-CN"/>
                    </w:rPr>
                    <w:t>本项目设置两台热风炉为烘干工序、固化工序供热，热风炉位于喷粉车间。</w:t>
                  </w:r>
                </w:p>
              </w:tc>
            </w:tr>
          </w:tbl>
          <w:p>
            <w:pPr>
              <w:pStyle w:val="2"/>
              <w:spacing w:before="120"/>
            </w:pPr>
            <w:bookmarkStart w:id="58" w:name="_Toc559"/>
            <w:bookmarkStart w:id="59" w:name="_Toc11758"/>
            <w:r>
              <w:rPr>
                <w:rFonts w:hint="eastAsia"/>
              </w:rPr>
              <w:t>3、项目主要产能</w:t>
            </w:r>
            <w:bookmarkEnd w:id="56"/>
            <w:bookmarkEnd w:id="57"/>
            <w:bookmarkEnd w:id="58"/>
            <w:bookmarkEnd w:id="59"/>
          </w:p>
          <w:p>
            <w:pPr>
              <w:keepNext w:val="0"/>
              <w:keepLines w:val="0"/>
              <w:pageBreakBefore w:val="0"/>
              <w:widowControl w:val="0"/>
              <w:kinsoku/>
              <w:wordWrap/>
              <w:overflowPunct/>
              <w:topLinePunct w:val="0"/>
              <w:autoSpaceDE/>
              <w:autoSpaceDN/>
              <w:bidi w:val="0"/>
              <w:adjustRightInd/>
              <w:snapToGrid/>
              <w:spacing w:after="625" w:afterLines="200"/>
              <w:ind w:firstLine="480"/>
              <w:textAlignment w:val="auto"/>
            </w:pPr>
            <w:r>
              <w:rPr>
                <w:rFonts w:hint="eastAsia"/>
              </w:rPr>
              <w:t>本项目主要产能详见表2-2。</w:t>
            </w:r>
          </w:p>
          <w:p>
            <w:pPr>
              <w:pStyle w:val="37"/>
              <w:spacing w:before="72" w:after="120"/>
              <w:rPr>
                <w:rFonts w:hint="default"/>
              </w:rPr>
            </w:pPr>
            <w:r>
              <w:t>表2-2 项目生产规模及产品方案</w:t>
            </w:r>
          </w:p>
          <w:tbl>
            <w:tblPr>
              <w:tblStyle w:val="18"/>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8"/>
              <w:gridCol w:w="2290"/>
              <w:gridCol w:w="1054"/>
              <w:gridCol w:w="1413"/>
              <w:gridCol w:w="2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000000" w:sz="12" w:space="0"/>
                    <w:left w:val="nil"/>
                    <w:bottom w:val="single" w:color="000000" w:sz="4" w:space="0"/>
                    <w:right w:val="single" w:color="auto" w:sz="4" w:space="0"/>
                  </w:tcBorders>
                  <w:shd w:val="clear" w:color="auto" w:fill="FFFFFF"/>
                  <w:vAlign w:val="center"/>
                </w:tcPr>
                <w:p>
                  <w:pPr>
                    <w:pStyle w:val="24"/>
                    <w:rPr>
                      <w:b/>
                      <w:bCs/>
                    </w:rPr>
                  </w:pPr>
                  <w:r>
                    <w:rPr>
                      <w:rFonts w:hint="eastAsia"/>
                      <w:b/>
                      <w:bCs/>
                    </w:rPr>
                    <w:t>序号</w:t>
                  </w:r>
                </w:p>
              </w:tc>
              <w:tc>
                <w:tcPr>
                  <w:tcW w:w="1454"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rPr>
                  </w:pPr>
                  <w:r>
                    <w:rPr>
                      <w:rFonts w:hint="eastAsia"/>
                      <w:b/>
                      <w:bCs/>
                    </w:rPr>
                    <w:t>产品名称</w:t>
                  </w:r>
                </w:p>
              </w:tc>
              <w:tc>
                <w:tcPr>
                  <w:tcW w:w="669"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rPr>
                  </w:pPr>
                  <w:r>
                    <w:rPr>
                      <w:b/>
                      <w:bCs/>
                    </w:rPr>
                    <w:t>规格</w:t>
                  </w:r>
                </w:p>
              </w:tc>
              <w:tc>
                <w:tcPr>
                  <w:tcW w:w="897"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rPr>
                  </w:pPr>
                  <w:r>
                    <w:rPr>
                      <w:rFonts w:hint="eastAsia"/>
                      <w:b/>
                      <w:bCs/>
                    </w:rPr>
                    <w:t>年产量（件）</w:t>
                  </w:r>
                </w:p>
              </w:tc>
              <w:tc>
                <w:tcPr>
                  <w:tcW w:w="1603" w:type="pct"/>
                  <w:tcBorders>
                    <w:top w:val="single" w:color="000000" w:sz="12" w:space="0"/>
                    <w:left w:val="single" w:color="auto" w:sz="4" w:space="0"/>
                    <w:bottom w:val="single" w:color="000000" w:sz="4" w:space="0"/>
                    <w:right w:val="nil"/>
                  </w:tcBorders>
                  <w:shd w:val="clear" w:color="auto" w:fill="FFFFFF"/>
                  <w:vAlign w:val="center"/>
                </w:tcPr>
                <w:p>
                  <w:pPr>
                    <w:pStyle w:val="24"/>
                    <w:rPr>
                      <w:b/>
                      <w:bCs/>
                    </w:rPr>
                  </w:pPr>
                  <w:r>
                    <w:rPr>
                      <w:rFonts w:hint="eastAsia"/>
                      <w:b/>
                      <w:bCs/>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000000" w:sz="4" w:space="0"/>
                    <w:left w:val="nil"/>
                    <w:bottom w:val="single" w:color="auto" w:sz="4" w:space="0"/>
                    <w:right w:val="single" w:color="auto" w:sz="4" w:space="0"/>
                  </w:tcBorders>
                  <w:shd w:val="clear" w:color="auto" w:fill="FFFFFF"/>
                  <w:vAlign w:val="center"/>
                </w:tcPr>
                <w:p>
                  <w:pPr>
                    <w:pStyle w:val="24"/>
                  </w:pPr>
                  <w:r>
                    <w:rPr>
                      <w:rFonts w:hint="eastAsia"/>
                    </w:rPr>
                    <w:t>1</w:t>
                  </w:r>
                </w:p>
              </w:tc>
              <w:tc>
                <w:tcPr>
                  <w:tcW w:w="1454"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pPr>
                  <w:r>
                    <w:rPr>
                      <w:rFonts w:hint="eastAsia"/>
                    </w:rPr>
                    <w:t>风扇外网罩</w:t>
                  </w:r>
                </w:p>
              </w:tc>
              <w:tc>
                <w:tcPr>
                  <w:tcW w:w="669"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pPr>
                  <w:r>
                    <w:rPr>
                      <w:rFonts w:hint="eastAsia"/>
                    </w:rPr>
                    <w:t>12寸</w:t>
                  </w:r>
                </w:p>
              </w:tc>
              <w:tc>
                <w:tcPr>
                  <w:tcW w:w="897"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pPr>
                  <w:r>
                    <w:rPr>
                      <w:rFonts w:hint="eastAsia"/>
                    </w:rPr>
                    <w:t>30万</w:t>
                  </w:r>
                </w:p>
              </w:tc>
              <w:tc>
                <w:tcPr>
                  <w:tcW w:w="1603" w:type="pct"/>
                  <w:vMerge w:val="restart"/>
                  <w:tcBorders>
                    <w:top w:val="single" w:color="000000" w:sz="4" w:space="0"/>
                    <w:left w:val="single" w:color="auto" w:sz="4" w:space="0"/>
                    <w:right w:val="nil"/>
                  </w:tcBorders>
                  <w:vAlign w:val="center"/>
                </w:tcPr>
                <w:p>
                  <w:pPr>
                    <w:pStyle w:val="24"/>
                  </w:pPr>
                  <w:r>
                    <w:rPr>
                      <w:rFonts w:hint="eastAsia"/>
                    </w:rPr>
                    <w:t>壁扇落地扇趴地扇网罩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2</w:t>
                  </w:r>
                </w:p>
              </w:tc>
              <w:tc>
                <w:tcPr>
                  <w:tcW w:w="145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风扇外网罩</w:t>
                  </w:r>
                </w:p>
              </w:tc>
              <w:tc>
                <w:tcPr>
                  <w:tcW w:w="66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14寸</w:t>
                  </w:r>
                </w:p>
              </w:tc>
              <w:tc>
                <w:tcPr>
                  <w:tcW w:w="89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60万</w:t>
                  </w:r>
                </w:p>
              </w:tc>
              <w:tc>
                <w:tcPr>
                  <w:tcW w:w="1603" w:type="pct"/>
                  <w:vMerge w:val="continue"/>
                  <w:tcBorders>
                    <w:left w:val="single" w:color="auto" w:sz="4" w:space="0"/>
                    <w:right w:val="nil"/>
                  </w:tcBorders>
                  <w:shd w:val="clear" w:color="auto" w:fill="FFFFFF"/>
                  <w:vAlign w:val="center"/>
                </w:tcPr>
                <w:p>
                  <w:pPr>
                    <w:pStyle w:val="2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3</w:t>
                  </w:r>
                </w:p>
              </w:tc>
              <w:tc>
                <w:tcPr>
                  <w:tcW w:w="145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风扇外网罩</w:t>
                  </w:r>
                </w:p>
              </w:tc>
              <w:tc>
                <w:tcPr>
                  <w:tcW w:w="66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16寸</w:t>
                  </w:r>
                </w:p>
              </w:tc>
              <w:tc>
                <w:tcPr>
                  <w:tcW w:w="89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50万</w:t>
                  </w:r>
                </w:p>
              </w:tc>
              <w:tc>
                <w:tcPr>
                  <w:tcW w:w="1603" w:type="pct"/>
                  <w:vMerge w:val="continue"/>
                  <w:tcBorders>
                    <w:left w:val="single" w:color="auto" w:sz="4" w:space="0"/>
                    <w:bottom w:val="single" w:color="auto" w:sz="4" w:space="0"/>
                    <w:right w:val="nil"/>
                  </w:tcBorders>
                  <w:shd w:val="clear" w:color="auto" w:fill="FFFFFF"/>
                  <w:vAlign w:val="center"/>
                </w:tcPr>
                <w:p>
                  <w:pPr>
                    <w:pStyle w:val="24"/>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4</w:t>
                  </w:r>
                </w:p>
              </w:tc>
              <w:tc>
                <w:tcPr>
                  <w:tcW w:w="145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铁丝工艺品</w:t>
                  </w:r>
                </w:p>
              </w:tc>
              <w:tc>
                <w:tcPr>
                  <w:tcW w:w="66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w:t>
                  </w:r>
                </w:p>
              </w:tc>
              <w:tc>
                <w:tcPr>
                  <w:tcW w:w="89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30万</w:t>
                  </w:r>
                </w:p>
              </w:tc>
              <w:tc>
                <w:tcPr>
                  <w:tcW w:w="1603" w:type="pct"/>
                  <w:tcBorders>
                    <w:top w:val="single" w:color="auto" w:sz="4" w:space="0"/>
                    <w:left w:val="single" w:color="auto" w:sz="4" w:space="0"/>
                    <w:bottom w:val="single" w:color="auto" w:sz="4" w:space="0"/>
                    <w:right w:val="nil"/>
                  </w:tcBorders>
                  <w:shd w:val="clear" w:color="auto" w:fill="FFFFFF"/>
                  <w:vAlign w:val="center"/>
                </w:tcPr>
                <w:p>
                  <w:pPr>
                    <w:pStyle w:val="24"/>
                  </w:pPr>
                  <w:r>
                    <w:rPr>
                      <w:rFonts w:hint="eastAsia"/>
                    </w:rPr>
                    <w:t>日常生活置物架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auto" w:sz="4" w:space="0"/>
                    <w:left w:val="nil"/>
                    <w:bottom w:val="single" w:color="auto" w:sz="4" w:space="0"/>
                    <w:right w:val="single" w:color="auto" w:sz="4" w:space="0"/>
                  </w:tcBorders>
                  <w:shd w:val="clear" w:color="auto" w:fill="FFFFFF"/>
                  <w:vAlign w:val="center"/>
                </w:tcPr>
                <w:p>
                  <w:pPr>
                    <w:pStyle w:val="24"/>
                  </w:pPr>
                  <w:r>
                    <w:rPr>
                      <w:rFonts w:hint="eastAsia"/>
                    </w:rPr>
                    <w:t>5</w:t>
                  </w:r>
                </w:p>
              </w:tc>
              <w:tc>
                <w:tcPr>
                  <w:tcW w:w="1454"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碗体</w:t>
                  </w:r>
                </w:p>
              </w:tc>
              <w:tc>
                <w:tcPr>
                  <w:tcW w:w="66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w:t>
                  </w:r>
                </w:p>
              </w:tc>
              <w:tc>
                <w:tcPr>
                  <w:tcW w:w="897"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20万</w:t>
                  </w:r>
                </w:p>
              </w:tc>
              <w:tc>
                <w:tcPr>
                  <w:tcW w:w="1603" w:type="pct"/>
                  <w:tcBorders>
                    <w:top w:val="single" w:color="auto" w:sz="4" w:space="0"/>
                    <w:left w:val="single" w:color="auto" w:sz="4" w:space="0"/>
                    <w:bottom w:val="single" w:color="auto" w:sz="4" w:space="0"/>
                    <w:right w:val="nil"/>
                  </w:tcBorders>
                  <w:shd w:val="clear" w:color="auto" w:fill="FFFFFF"/>
                  <w:vAlign w:val="center"/>
                </w:tcPr>
                <w:p>
                  <w:pPr>
                    <w:pStyle w:val="24"/>
                  </w:pPr>
                  <w:r>
                    <w:rPr>
                      <w:rFonts w:hint="eastAsia"/>
                    </w:rPr>
                    <w:t>空气炸锅，破壁机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374" w:type="pct"/>
                  <w:tcBorders>
                    <w:top w:val="single" w:color="auto" w:sz="4" w:space="0"/>
                    <w:left w:val="nil"/>
                    <w:bottom w:val="single" w:color="000000" w:sz="12" w:space="0"/>
                    <w:right w:val="single" w:color="auto" w:sz="4" w:space="0"/>
                  </w:tcBorders>
                  <w:shd w:val="clear" w:color="auto" w:fill="FFFFFF"/>
                  <w:vAlign w:val="center"/>
                </w:tcPr>
                <w:p>
                  <w:pPr>
                    <w:pStyle w:val="24"/>
                  </w:pPr>
                  <w:r>
                    <w:rPr>
                      <w:rFonts w:hint="eastAsia"/>
                    </w:rPr>
                    <w:t>6</w:t>
                  </w:r>
                </w:p>
              </w:tc>
              <w:tc>
                <w:tcPr>
                  <w:tcW w:w="1454"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pPr>
                  <w:r>
                    <w:rPr>
                      <w:rFonts w:hint="eastAsia"/>
                    </w:rPr>
                    <w:t>鸟笼外网罩</w:t>
                  </w:r>
                </w:p>
              </w:tc>
              <w:tc>
                <w:tcPr>
                  <w:tcW w:w="669"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pPr>
                  <w:r>
                    <w:rPr>
                      <w:rFonts w:hint="eastAsia"/>
                    </w:rPr>
                    <w:t>/</w:t>
                  </w:r>
                </w:p>
              </w:tc>
              <w:tc>
                <w:tcPr>
                  <w:tcW w:w="897"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pPr>
                  <w:r>
                    <w:rPr>
                      <w:rFonts w:hint="eastAsia"/>
                    </w:rPr>
                    <w:t>20万</w:t>
                  </w:r>
                </w:p>
              </w:tc>
              <w:tc>
                <w:tcPr>
                  <w:tcW w:w="1603" w:type="pct"/>
                  <w:tcBorders>
                    <w:top w:val="single" w:color="auto" w:sz="4" w:space="0"/>
                    <w:left w:val="single" w:color="auto" w:sz="4" w:space="0"/>
                    <w:bottom w:val="single" w:color="000000" w:sz="12" w:space="0"/>
                    <w:right w:val="nil"/>
                  </w:tcBorders>
                  <w:shd w:val="clear" w:color="auto" w:fill="FFFFFF"/>
                  <w:vAlign w:val="center"/>
                </w:tcPr>
                <w:p>
                  <w:pPr>
                    <w:pStyle w:val="24"/>
                  </w:pPr>
                  <w:r>
                    <w:rPr>
                      <w:rFonts w:hint="eastAsia"/>
                    </w:rPr>
                    <w:t>鸟笼取暖器</w:t>
                  </w:r>
                </w:p>
              </w:tc>
            </w:tr>
          </w:tbl>
          <w:p>
            <w:pPr>
              <w:pStyle w:val="2"/>
              <w:spacing w:before="120"/>
            </w:pPr>
            <w:bookmarkStart w:id="60" w:name="_Toc7755"/>
            <w:bookmarkStart w:id="61" w:name="_Toc21036"/>
            <w:bookmarkStart w:id="62" w:name="_Toc20224"/>
            <w:bookmarkStart w:id="63" w:name="_Toc9568"/>
            <w:r>
              <w:rPr>
                <w:rFonts w:hint="eastAsia"/>
              </w:rPr>
              <w:t>4、主要生产设施及设施参数</w:t>
            </w:r>
            <w:bookmarkEnd w:id="60"/>
            <w:bookmarkEnd w:id="61"/>
            <w:bookmarkEnd w:id="62"/>
            <w:bookmarkEnd w:id="63"/>
          </w:p>
          <w:p>
            <w:pPr>
              <w:keepNext w:val="0"/>
              <w:keepLines w:val="0"/>
              <w:pageBreakBefore w:val="0"/>
              <w:widowControl w:val="0"/>
              <w:kinsoku/>
              <w:wordWrap/>
              <w:overflowPunct/>
              <w:topLinePunct w:val="0"/>
              <w:autoSpaceDE/>
              <w:autoSpaceDN/>
              <w:bidi w:val="0"/>
              <w:adjustRightInd/>
              <w:snapToGrid/>
              <w:ind w:firstLine="480"/>
              <w:textAlignment w:val="auto"/>
            </w:pPr>
            <w:r>
              <w:rPr>
                <w:rFonts w:hint="eastAsia"/>
              </w:rPr>
              <w:t>根据《产业结构调整指导目录》（2024年本），本项目所使用的设备中不包含明令禁止和淘汰类设备，具体设备详见表2-3。</w:t>
            </w:r>
          </w:p>
          <w:p>
            <w:pPr>
              <w:pStyle w:val="37"/>
              <w:spacing w:before="72" w:after="120"/>
              <w:rPr>
                <w:rFonts w:hint="default"/>
                <w:u w:val="single"/>
              </w:rPr>
            </w:pPr>
            <w:r>
              <w:rPr>
                <w:u w:val="single"/>
              </w:rPr>
              <w:t>表2-3 主要生产设备一览表</w:t>
            </w:r>
          </w:p>
          <w:tbl>
            <w:tblPr>
              <w:tblStyle w:val="19"/>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
              <w:gridCol w:w="2373"/>
              <w:gridCol w:w="3705"/>
              <w:gridCol w:w="986"/>
              <w:gridCol w:w="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tcBorders>
                    <w:bottom w:val="single" w:color="auto" w:sz="4" w:space="0"/>
                  </w:tcBorders>
                  <w:shd w:val="clear" w:color="auto" w:fill="FFFFFF"/>
                  <w:vAlign w:val="center"/>
                </w:tcPr>
                <w:p>
                  <w:pPr>
                    <w:pStyle w:val="24"/>
                    <w:rPr>
                      <w:b/>
                      <w:bCs/>
                    </w:rPr>
                  </w:pPr>
                  <w:r>
                    <w:rPr>
                      <w:rFonts w:hint="eastAsia"/>
                      <w:b/>
                      <w:bCs/>
                    </w:rPr>
                    <w:t>序号</w:t>
                  </w:r>
                </w:p>
              </w:tc>
              <w:tc>
                <w:tcPr>
                  <w:tcW w:w="2373" w:type="dxa"/>
                  <w:tcBorders>
                    <w:bottom w:val="single" w:color="auto" w:sz="4" w:space="0"/>
                  </w:tcBorders>
                  <w:shd w:val="clear" w:color="auto" w:fill="FFFFFF"/>
                  <w:vAlign w:val="center"/>
                </w:tcPr>
                <w:p>
                  <w:pPr>
                    <w:pStyle w:val="24"/>
                    <w:rPr>
                      <w:b/>
                      <w:bCs/>
                    </w:rPr>
                  </w:pPr>
                  <w:r>
                    <w:rPr>
                      <w:rFonts w:hint="eastAsia"/>
                      <w:b/>
                      <w:bCs/>
                    </w:rPr>
                    <w:t>设备名称</w:t>
                  </w:r>
                </w:p>
              </w:tc>
              <w:tc>
                <w:tcPr>
                  <w:tcW w:w="3705" w:type="dxa"/>
                  <w:tcBorders>
                    <w:bottom w:val="single" w:color="auto" w:sz="4" w:space="0"/>
                  </w:tcBorders>
                  <w:shd w:val="clear" w:color="auto" w:fill="FFFFFF"/>
                  <w:vAlign w:val="center"/>
                </w:tcPr>
                <w:p>
                  <w:pPr>
                    <w:pStyle w:val="24"/>
                    <w:rPr>
                      <w:b/>
                      <w:bCs/>
                    </w:rPr>
                  </w:pPr>
                  <w:r>
                    <w:rPr>
                      <w:rFonts w:hint="eastAsia"/>
                      <w:b/>
                      <w:bCs/>
                    </w:rPr>
                    <w:t>规格/型号</w:t>
                  </w:r>
                </w:p>
              </w:tc>
              <w:tc>
                <w:tcPr>
                  <w:tcW w:w="986" w:type="dxa"/>
                  <w:tcBorders>
                    <w:bottom w:val="single" w:color="auto" w:sz="4" w:space="0"/>
                  </w:tcBorders>
                  <w:shd w:val="clear" w:color="auto" w:fill="FFFFFF"/>
                  <w:vAlign w:val="center"/>
                </w:tcPr>
                <w:p>
                  <w:pPr>
                    <w:pStyle w:val="24"/>
                    <w:rPr>
                      <w:b/>
                      <w:bCs/>
                    </w:rPr>
                  </w:pPr>
                  <w:r>
                    <w:rPr>
                      <w:rFonts w:hint="eastAsia"/>
                      <w:b/>
                      <w:bCs/>
                    </w:rPr>
                    <w:t>台数（套）</w:t>
                  </w:r>
                </w:p>
              </w:tc>
              <w:tc>
                <w:tcPr>
                  <w:tcW w:w="441" w:type="dxa"/>
                  <w:tcBorders>
                    <w:bottom w:val="single" w:color="auto" w:sz="4" w:space="0"/>
                  </w:tcBorders>
                  <w:shd w:val="clear" w:color="auto" w:fill="FFFFFF"/>
                  <w:vAlign w:val="center"/>
                </w:tcPr>
                <w:p>
                  <w:pPr>
                    <w:pStyle w:val="24"/>
                    <w:rPr>
                      <w:b/>
                      <w:bCs/>
                    </w:rPr>
                  </w:pPr>
                  <w:r>
                    <w:rPr>
                      <w:rFonts w:hint="eastAsia"/>
                      <w:b/>
                      <w:bC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tcBorders>
                    <w:top w:val="single" w:color="auto" w:sz="4" w:space="0"/>
                  </w:tcBorders>
                  <w:vAlign w:val="center"/>
                </w:tcPr>
                <w:p>
                  <w:pPr>
                    <w:pStyle w:val="24"/>
                  </w:pPr>
                  <w:r>
                    <w:rPr>
                      <w:rFonts w:hint="eastAsia"/>
                    </w:rPr>
                    <w:t>1</w:t>
                  </w:r>
                </w:p>
              </w:tc>
              <w:tc>
                <w:tcPr>
                  <w:tcW w:w="2373" w:type="dxa"/>
                  <w:tcBorders>
                    <w:top w:val="single" w:color="auto" w:sz="4" w:space="0"/>
                  </w:tcBorders>
                  <w:vAlign w:val="center"/>
                </w:tcPr>
                <w:p>
                  <w:pPr>
                    <w:pStyle w:val="24"/>
                  </w:pPr>
                  <w:r>
                    <w:rPr>
                      <w:rFonts w:hint="eastAsia"/>
                    </w:rPr>
                    <w:t>打圈对焊一体机</w:t>
                  </w:r>
                </w:p>
              </w:tc>
              <w:tc>
                <w:tcPr>
                  <w:tcW w:w="3705" w:type="dxa"/>
                  <w:tcBorders>
                    <w:top w:val="single" w:color="auto" w:sz="4" w:space="0"/>
                  </w:tcBorders>
                  <w:vAlign w:val="center"/>
                </w:tcPr>
                <w:p>
                  <w:pPr>
                    <w:pStyle w:val="24"/>
                  </w:pPr>
                  <w:r>
                    <w:rPr>
                      <w:rFonts w:hint="eastAsia"/>
                    </w:rPr>
                    <w:t>2mm-6mm</w:t>
                  </w:r>
                </w:p>
              </w:tc>
              <w:tc>
                <w:tcPr>
                  <w:tcW w:w="986" w:type="dxa"/>
                  <w:tcBorders>
                    <w:top w:val="single" w:color="auto" w:sz="4" w:space="0"/>
                  </w:tcBorders>
                  <w:vAlign w:val="center"/>
                </w:tcPr>
                <w:p>
                  <w:pPr>
                    <w:pStyle w:val="24"/>
                  </w:pPr>
                  <w:r>
                    <w:rPr>
                      <w:rFonts w:hint="eastAsia"/>
                    </w:rPr>
                    <w:t>1</w:t>
                  </w:r>
                </w:p>
              </w:tc>
              <w:tc>
                <w:tcPr>
                  <w:tcW w:w="441" w:type="dxa"/>
                  <w:vMerge w:val="restart"/>
                  <w:tcBorders>
                    <w:top w:val="single" w:color="auto" w:sz="4" w:space="0"/>
                  </w:tcBorders>
                  <w:vAlign w:val="center"/>
                </w:tcPr>
                <w:p>
                  <w:pPr>
                    <w:pStyle w:val="24"/>
                  </w:pPr>
                  <w:r>
                    <w:rPr>
                      <w:rFonts w:hint="eastAsia"/>
                      <w:color w:val="000000"/>
                    </w:rPr>
                    <w:t>生产设备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w:t>
                  </w:r>
                </w:p>
              </w:tc>
              <w:tc>
                <w:tcPr>
                  <w:tcW w:w="2373" w:type="dxa"/>
                  <w:vAlign w:val="center"/>
                </w:tcPr>
                <w:p>
                  <w:pPr>
                    <w:pStyle w:val="24"/>
                  </w:pPr>
                  <w:r>
                    <w:rPr>
                      <w:rFonts w:hint="eastAsia"/>
                    </w:rPr>
                    <w:t>单点机自动内环机加机械手</w:t>
                  </w:r>
                </w:p>
              </w:tc>
              <w:tc>
                <w:tcPr>
                  <w:tcW w:w="3705" w:type="dxa"/>
                  <w:vAlign w:val="center"/>
                </w:tcPr>
                <w:p>
                  <w:pPr>
                    <w:pStyle w:val="24"/>
                  </w:pPr>
                  <w:r>
                    <w:t>单点焊</w:t>
                  </w:r>
                </w:p>
                <w:p>
                  <w:pPr>
                    <w:pStyle w:val="24"/>
                  </w:pPr>
                  <w:r>
                    <w:t>额定容量：16KVA</w:t>
                  </w:r>
                </w:p>
              </w:tc>
              <w:tc>
                <w:tcPr>
                  <w:tcW w:w="986" w:type="dxa"/>
                  <w:vAlign w:val="center"/>
                </w:tcPr>
                <w:p>
                  <w:pPr>
                    <w:pStyle w:val="24"/>
                  </w:pPr>
                  <w:r>
                    <w:rPr>
                      <w:rFonts w:hint="eastAsia"/>
                    </w:rPr>
                    <w:t>4</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3</w:t>
                  </w:r>
                </w:p>
              </w:tc>
              <w:tc>
                <w:tcPr>
                  <w:tcW w:w="2373" w:type="dxa"/>
                  <w:vAlign w:val="center"/>
                </w:tcPr>
                <w:p>
                  <w:pPr>
                    <w:pStyle w:val="24"/>
                  </w:pPr>
                  <w:r>
                    <w:rPr>
                      <w:rFonts w:hint="eastAsia"/>
                    </w:rPr>
                    <w:t>油压机</w:t>
                  </w:r>
                </w:p>
              </w:tc>
              <w:tc>
                <w:tcPr>
                  <w:tcW w:w="3705" w:type="dxa"/>
                  <w:vAlign w:val="center"/>
                </w:tcPr>
                <w:p>
                  <w:pPr>
                    <w:pStyle w:val="24"/>
                  </w:pPr>
                  <w:r>
                    <w:rPr>
                      <w:rFonts w:hint="eastAsia"/>
                    </w:rPr>
                    <w:t>25T 液压</w:t>
                  </w:r>
                </w:p>
              </w:tc>
              <w:tc>
                <w:tcPr>
                  <w:tcW w:w="986" w:type="dxa"/>
                  <w:vAlign w:val="center"/>
                </w:tcPr>
                <w:p>
                  <w:pPr>
                    <w:pStyle w:val="24"/>
                  </w:pPr>
                  <w:r>
                    <w:rPr>
                      <w:rFonts w:hint="eastAsia"/>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4</w:t>
                  </w:r>
                </w:p>
              </w:tc>
              <w:tc>
                <w:tcPr>
                  <w:tcW w:w="2373" w:type="dxa"/>
                  <w:vAlign w:val="center"/>
                </w:tcPr>
                <w:p>
                  <w:pPr>
                    <w:pStyle w:val="24"/>
                  </w:pPr>
                  <w:r>
                    <w:rPr>
                      <w:rFonts w:hint="eastAsia"/>
                    </w:rPr>
                    <w:t>油压机机械手</w:t>
                  </w:r>
                </w:p>
              </w:tc>
              <w:tc>
                <w:tcPr>
                  <w:tcW w:w="3705" w:type="dxa"/>
                  <w:vAlign w:val="center"/>
                </w:tcPr>
                <w:p>
                  <w:pPr>
                    <w:pStyle w:val="24"/>
                  </w:pPr>
                  <w:r>
                    <w:rPr>
                      <w:rFonts w:hint="eastAsia"/>
                    </w:rPr>
                    <w:t>25T 液压</w:t>
                  </w:r>
                </w:p>
              </w:tc>
              <w:tc>
                <w:tcPr>
                  <w:tcW w:w="986" w:type="dxa"/>
                  <w:vAlign w:val="center"/>
                </w:tcPr>
                <w:p>
                  <w:pPr>
                    <w:pStyle w:val="24"/>
                  </w:pPr>
                  <w:r>
                    <w:rPr>
                      <w:rFonts w:hint="eastAsia"/>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5</w:t>
                  </w:r>
                </w:p>
              </w:tc>
              <w:tc>
                <w:tcPr>
                  <w:tcW w:w="2373" w:type="dxa"/>
                  <w:vAlign w:val="center"/>
                </w:tcPr>
                <w:p>
                  <w:pPr>
                    <w:pStyle w:val="24"/>
                  </w:pPr>
                  <w:r>
                    <w:rPr>
                      <w:rFonts w:hint="eastAsia"/>
                    </w:rPr>
                    <w:t>单中环机</w:t>
                  </w:r>
                </w:p>
                <w:p>
                  <w:pPr>
                    <w:pStyle w:val="24"/>
                  </w:pPr>
                  <w:r>
                    <w:rPr>
                      <w:rFonts w:hint="eastAsia"/>
                    </w:rPr>
                    <w:t>中环点焊机</w:t>
                  </w:r>
                </w:p>
              </w:tc>
              <w:tc>
                <w:tcPr>
                  <w:tcW w:w="3705" w:type="dxa"/>
                  <w:vAlign w:val="center"/>
                </w:tcPr>
                <w:p>
                  <w:pPr>
                    <w:pStyle w:val="24"/>
                  </w:pPr>
                  <w:r>
                    <w:rPr>
                      <w:rFonts w:hint="eastAsia"/>
                    </w:rPr>
                    <w:t>自动排焊</w:t>
                  </w:r>
                </w:p>
                <w:p>
                  <w:pPr>
                    <w:pStyle w:val="24"/>
                  </w:pPr>
                  <w:r>
                    <w:rPr>
                      <w:rFonts w:hint="eastAsia"/>
                    </w:rPr>
                    <w:t>额定容量：40KVA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6</w:t>
                  </w:r>
                </w:p>
              </w:tc>
              <w:tc>
                <w:tcPr>
                  <w:tcW w:w="2373" w:type="dxa"/>
                  <w:vAlign w:val="center"/>
                </w:tcPr>
                <w:p>
                  <w:pPr>
                    <w:pStyle w:val="24"/>
                  </w:pPr>
                  <w:r>
                    <w:rPr>
                      <w:rFonts w:hint="eastAsia"/>
                    </w:rPr>
                    <w:t>双中环机</w:t>
                  </w:r>
                </w:p>
              </w:tc>
              <w:tc>
                <w:tcPr>
                  <w:tcW w:w="3705" w:type="dxa"/>
                  <w:vAlign w:val="center"/>
                </w:tcPr>
                <w:p>
                  <w:pPr>
                    <w:pStyle w:val="24"/>
                  </w:pPr>
                  <w:r>
                    <w:t>额定容量：40KV</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7</w:t>
                  </w:r>
                </w:p>
              </w:tc>
              <w:tc>
                <w:tcPr>
                  <w:tcW w:w="2373" w:type="dxa"/>
                  <w:vAlign w:val="center"/>
                </w:tcPr>
                <w:p>
                  <w:pPr>
                    <w:pStyle w:val="24"/>
                  </w:pPr>
                  <w:r>
                    <w:rPr>
                      <w:rFonts w:hint="eastAsia"/>
                    </w:rPr>
                    <w:t>外环机</w:t>
                  </w:r>
                </w:p>
              </w:tc>
              <w:tc>
                <w:tcPr>
                  <w:tcW w:w="3705" w:type="dxa"/>
                  <w:vAlign w:val="center"/>
                </w:tcPr>
                <w:p>
                  <w:pPr>
                    <w:pStyle w:val="24"/>
                  </w:pPr>
                  <w:r>
                    <w:rPr>
                      <w:rFonts w:hint="eastAsia"/>
                    </w:rPr>
                    <w:t>自动排焊</w:t>
                  </w:r>
                </w:p>
                <w:p>
                  <w:pPr>
                    <w:pStyle w:val="24"/>
                  </w:pPr>
                  <w:r>
                    <w:rPr>
                      <w:rFonts w:hint="eastAsia"/>
                    </w:rPr>
                    <w:t>额定容量：40KVA</w:t>
                  </w:r>
                </w:p>
              </w:tc>
              <w:tc>
                <w:tcPr>
                  <w:tcW w:w="986" w:type="dxa"/>
                  <w:vAlign w:val="center"/>
                </w:tcPr>
                <w:p>
                  <w:pPr>
                    <w:pStyle w:val="24"/>
                  </w:pPr>
                  <w:r>
                    <w:rPr>
                      <w:rFonts w:hint="eastAsia"/>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8</w:t>
                  </w:r>
                </w:p>
              </w:tc>
              <w:tc>
                <w:tcPr>
                  <w:tcW w:w="2373" w:type="dxa"/>
                  <w:vAlign w:val="center"/>
                </w:tcPr>
                <w:p>
                  <w:pPr>
                    <w:pStyle w:val="24"/>
                  </w:pPr>
                  <w:r>
                    <w:rPr>
                      <w:rFonts w:hint="eastAsia"/>
                    </w:rPr>
                    <w:t>单伺服普通打圈机（冲孔）</w:t>
                  </w:r>
                </w:p>
              </w:tc>
              <w:tc>
                <w:tcPr>
                  <w:tcW w:w="3705" w:type="dxa"/>
                  <w:vAlign w:val="center"/>
                </w:tcPr>
                <w:p>
                  <w:pPr>
                    <w:pStyle w:val="24"/>
                  </w:pPr>
                  <w:r>
                    <w:rPr>
                      <w:rFonts w:hint="eastAsia"/>
                    </w:rPr>
                    <w:t>2mm-6mm</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9</w:t>
                  </w:r>
                </w:p>
              </w:tc>
              <w:tc>
                <w:tcPr>
                  <w:tcW w:w="2373" w:type="dxa"/>
                  <w:vAlign w:val="center"/>
                </w:tcPr>
                <w:p>
                  <w:pPr>
                    <w:pStyle w:val="24"/>
                  </w:pPr>
                  <w:r>
                    <w:rPr>
                      <w:rFonts w:hint="eastAsia"/>
                    </w:rPr>
                    <w:t>扁铁圈（绿色扁带专机两侧冲孔）</w:t>
                  </w:r>
                </w:p>
              </w:tc>
              <w:tc>
                <w:tcPr>
                  <w:tcW w:w="3705" w:type="dxa"/>
                  <w:vAlign w:val="center"/>
                </w:tcPr>
                <w:p>
                  <w:pPr>
                    <w:pStyle w:val="24"/>
                  </w:pPr>
                  <w:r>
                    <w:rPr>
                      <w:rFonts w:hint="eastAsia"/>
                    </w:rPr>
                    <w:t>2mm-6mm</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10</w:t>
                  </w:r>
                </w:p>
              </w:tc>
              <w:tc>
                <w:tcPr>
                  <w:tcW w:w="2373" w:type="dxa"/>
                  <w:vAlign w:val="center"/>
                </w:tcPr>
                <w:p>
                  <w:pPr>
                    <w:pStyle w:val="24"/>
                  </w:pPr>
                  <w:r>
                    <w:rPr>
                      <w:rFonts w:hint="eastAsia"/>
                    </w:rPr>
                    <w:t>闪光焊</w:t>
                  </w:r>
                </w:p>
              </w:tc>
              <w:tc>
                <w:tcPr>
                  <w:tcW w:w="3705" w:type="dxa"/>
                  <w:vAlign w:val="center"/>
                </w:tcPr>
                <w:p>
                  <w:pPr>
                    <w:pStyle w:val="24"/>
                  </w:pPr>
                  <w:r>
                    <w:rPr>
                      <w:rFonts w:hint="eastAsia"/>
                    </w:rPr>
                    <w:t>额定容量：125KVA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11</w:t>
                  </w:r>
                </w:p>
              </w:tc>
              <w:tc>
                <w:tcPr>
                  <w:tcW w:w="2373" w:type="dxa"/>
                  <w:vAlign w:val="center"/>
                </w:tcPr>
                <w:p>
                  <w:pPr>
                    <w:pStyle w:val="24"/>
                  </w:pPr>
                  <w:r>
                    <w:rPr>
                      <w:rFonts w:hint="eastAsia"/>
                    </w:rPr>
                    <w:t>鸟笼焊机外环机（中圈）</w:t>
                  </w:r>
                </w:p>
              </w:tc>
              <w:tc>
                <w:tcPr>
                  <w:tcW w:w="3705" w:type="dxa"/>
                  <w:vAlign w:val="center"/>
                </w:tcPr>
                <w:p>
                  <w:pPr>
                    <w:pStyle w:val="24"/>
                  </w:pPr>
                  <w:r>
                    <w:rPr>
                      <w:rFonts w:hint="eastAsia"/>
                    </w:rPr>
                    <w:t>额定容量：40KVA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12</w:t>
                  </w:r>
                </w:p>
              </w:tc>
              <w:tc>
                <w:tcPr>
                  <w:tcW w:w="2373" w:type="dxa"/>
                  <w:vAlign w:val="center"/>
                </w:tcPr>
                <w:p>
                  <w:pPr>
                    <w:pStyle w:val="24"/>
                  </w:pPr>
                  <w:r>
                    <w:rPr>
                      <w:rFonts w:hint="eastAsia"/>
                    </w:rPr>
                    <w:t>鸟笼焊机中环机（顶圈）</w:t>
                  </w:r>
                </w:p>
              </w:tc>
              <w:tc>
                <w:tcPr>
                  <w:tcW w:w="3705" w:type="dxa"/>
                  <w:vAlign w:val="center"/>
                </w:tcPr>
                <w:p>
                  <w:pPr>
                    <w:pStyle w:val="24"/>
                  </w:pPr>
                  <w:r>
                    <w:rPr>
                      <w:rFonts w:hint="eastAsia"/>
                    </w:rPr>
                    <w:t>额定容量：40KVA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13</w:t>
                  </w:r>
                </w:p>
              </w:tc>
              <w:tc>
                <w:tcPr>
                  <w:tcW w:w="2373" w:type="dxa"/>
                  <w:vAlign w:val="center"/>
                </w:tcPr>
                <w:p>
                  <w:pPr>
                    <w:pStyle w:val="24"/>
                  </w:pPr>
                  <w:r>
                    <w:rPr>
                      <w:rFonts w:hint="eastAsia"/>
                    </w:rPr>
                    <w:t>工业网单点机（绿色网罩空心单点机）2个工序</w:t>
                  </w:r>
                </w:p>
              </w:tc>
              <w:tc>
                <w:tcPr>
                  <w:tcW w:w="3705" w:type="dxa"/>
                  <w:vAlign w:val="center"/>
                </w:tcPr>
                <w:p>
                  <w:pPr>
                    <w:pStyle w:val="24"/>
                  </w:pPr>
                  <w:r>
                    <w:rPr>
                      <w:rFonts w:hint="eastAsia"/>
                    </w:rPr>
                    <w:t>额定容量：25KVA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14</w:t>
                  </w:r>
                </w:p>
              </w:tc>
              <w:tc>
                <w:tcPr>
                  <w:tcW w:w="2373" w:type="dxa"/>
                  <w:vAlign w:val="center"/>
                </w:tcPr>
                <w:p>
                  <w:pPr>
                    <w:pStyle w:val="24"/>
                  </w:pPr>
                  <w:r>
                    <w:rPr>
                      <w:rFonts w:hint="eastAsia"/>
                    </w:rPr>
                    <w:t>鸟笼单点机（绒面大环上面）</w:t>
                  </w:r>
                </w:p>
              </w:tc>
              <w:tc>
                <w:tcPr>
                  <w:tcW w:w="3705" w:type="dxa"/>
                  <w:vAlign w:val="center"/>
                </w:tcPr>
                <w:p>
                  <w:pPr>
                    <w:pStyle w:val="24"/>
                  </w:pPr>
                  <w:r>
                    <w:rPr>
                      <w:rFonts w:hint="eastAsia"/>
                    </w:rPr>
                    <w:t>额定容量：25KVA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15</w:t>
                  </w:r>
                </w:p>
              </w:tc>
              <w:tc>
                <w:tcPr>
                  <w:tcW w:w="2373" w:type="dxa"/>
                  <w:vAlign w:val="center"/>
                </w:tcPr>
                <w:p>
                  <w:pPr>
                    <w:pStyle w:val="24"/>
                  </w:pPr>
                  <w:r>
                    <w:rPr>
                      <w:rFonts w:hint="eastAsia"/>
                    </w:rPr>
                    <w:t>鸟笼中环机（绒面中环里面）</w:t>
                  </w:r>
                </w:p>
              </w:tc>
              <w:tc>
                <w:tcPr>
                  <w:tcW w:w="3705" w:type="dxa"/>
                  <w:vAlign w:val="center"/>
                </w:tcPr>
                <w:p>
                  <w:pPr>
                    <w:pStyle w:val="24"/>
                  </w:pPr>
                  <w:r>
                    <w:rPr>
                      <w:rFonts w:hint="eastAsia"/>
                    </w:rPr>
                    <w:t>额定容量：40KVA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16</w:t>
                  </w:r>
                </w:p>
              </w:tc>
              <w:tc>
                <w:tcPr>
                  <w:tcW w:w="2373" w:type="dxa"/>
                  <w:vAlign w:val="center"/>
                </w:tcPr>
                <w:p>
                  <w:pPr>
                    <w:pStyle w:val="24"/>
                  </w:pPr>
                  <w:r>
                    <w:rPr>
                      <w:rFonts w:hint="eastAsia"/>
                    </w:rPr>
                    <w:t>插网机</w:t>
                  </w:r>
                </w:p>
              </w:tc>
              <w:tc>
                <w:tcPr>
                  <w:tcW w:w="3705" w:type="dxa"/>
                  <w:vAlign w:val="center"/>
                </w:tcPr>
                <w:p>
                  <w:pPr>
                    <w:pStyle w:val="24"/>
                  </w:pPr>
                  <w:r>
                    <w:rPr>
                      <w:rFonts w:hint="eastAsia"/>
                    </w:rPr>
                    <w:t>2mm-6mm</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17</w:t>
                  </w:r>
                </w:p>
              </w:tc>
              <w:tc>
                <w:tcPr>
                  <w:tcW w:w="2373" w:type="dxa"/>
                  <w:vAlign w:val="center"/>
                </w:tcPr>
                <w:p>
                  <w:pPr>
                    <w:pStyle w:val="24"/>
                  </w:pPr>
                  <w:r>
                    <w:rPr>
                      <w:rFonts w:hint="eastAsia"/>
                    </w:rPr>
                    <w:t>修边机</w:t>
                  </w:r>
                </w:p>
                <w:p>
                  <w:pPr>
                    <w:pStyle w:val="24"/>
                  </w:pPr>
                  <w:r>
                    <w:rPr>
                      <w:rFonts w:hint="eastAsia"/>
                    </w:rPr>
                    <w:t>边缘修整机</w:t>
                  </w:r>
                </w:p>
              </w:tc>
              <w:tc>
                <w:tcPr>
                  <w:tcW w:w="3705" w:type="dxa"/>
                  <w:vAlign w:val="center"/>
                </w:tcPr>
                <w:p>
                  <w:pPr>
                    <w:pStyle w:val="24"/>
                  </w:pPr>
                  <w:r>
                    <w:rPr>
                      <w:rFonts w:hint="eastAsia"/>
                    </w:rPr>
                    <w:t>额定容量：0.75kva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18</w:t>
                  </w:r>
                </w:p>
              </w:tc>
              <w:tc>
                <w:tcPr>
                  <w:tcW w:w="2373" w:type="dxa"/>
                  <w:vAlign w:val="center"/>
                </w:tcPr>
                <w:p>
                  <w:pPr>
                    <w:pStyle w:val="24"/>
                  </w:pPr>
                  <w:r>
                    <w:rPr>
                      <w:rFonts w:hint="eastAsia"/>
                    </w:rPr>
                    <w:t>修边机</w:t>
                  </w:r>
                </w:p>
                <w:p>
                  <w:pPr>
                    <w:pStyle w:val="24"/>
                  </w:pPr>
                  <w:r>
                    <w:rPr>
                      <w:rFonts w:hint="eastAsia"/>
                    </w:rPr>
                    <w:t>自动边缘修整机</w:t>
                  </w:r>
                </w:p>
              </w:tc>
              <w:tc>
                <w:tcPr>
                  <w:tcW w:w="3705" w:type="dxa"/>
                  <w:vAlign w:val="center"/>
                </w:tcPr>
                <w:p>
                  <w:pPr>
                    <w:pStyle w:val="24"/>
                  </w:pPr>
                  <w:r>
                    <w:rPr>
                      <w:rFonts w:hint="eastAsia"/>
                    </w:rPr>
                    <w:t>额定容量：1.1kva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19</w:t>
                  </w:r>
                </w:p>
              </w:tc>
              <w:tc>
                <w:tcPr>
                  <w:tcW w:w="2373" w:type="dxa"/>
                  <w:vAlign w:val="center"/>
                </w:tcPr>
                <w:p>
                  <w:pPr>
                    <w:pStyle w:val="24"/>
                  </w:pPr>
                  <w:r>
                    <w:rPr>
                      <w:rFonts w:hint="eastAsia"/>
                    </w:rPr>
                    <w:t>2D弯线机（提手成型）</w:t>
                  </w:r>
                </w:p>
              </w:tc>
              <w:tc>
                <w:tcPr>
                  <w:tcW w:w="3705" w:type="dxa"/>
                  <w:vAlign w:val="center"/>
                </w:tcPr>
                <w:p>
                  <w:pPr>
                    <w:pStyle w:val="24"/>
                  </w:pPr>
                  <w:r>
                    <w:rPr>
                      <w:rFonts w:hint="eastAsia"/>
                    </w:rPr>
                    <w:t>送线 2.3kW、折角 1.5kW 升降</w:t>
                  </w:r>
                </w:p>
                <w:p>
                  <w:pPr>
                    <w:pStyle w:val="24"/>
                  </w:pPr>
                  <w:r>
                    <w:rPr>
                      <w:rFonts w:hint="eastAsia"/>
                    </w:rPr>
                    <w:t>1kW、切断 1kW     圆线规格2-6mm（提手折弯；可折平面简单形状）</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20</w:t>
                  </w:r>
                </w:p>
              </w:tc>
              <w:tc>
                <w:tcPr>
                  <w:tcW w:w="2373" w:type="dxa"/>
                  <w:vAlign w:val="center"/>
                </w:tcPr>
                <w:p>
                  <w:pPr>
                    <w:pStyle w:val="24"/>
                  </w:pPr>
                  <w:r>
                    <w:rPr>
                      <w:rFonts w:hint="eastAsia"/>
                    </w:rPr>
                    <w:t>上扣机 铆接机</w:t>
                  </w:r>
                </w:p>
              </w:tc>
              <w:tc>
                <w:tcPr>
                  <w:tcW w:w="3705" w:type="dxa"/>
                  <w:vAlign w:val="center"/>
                </w:tcPr>
                <w:p>
                  <w:pPr>
                    <w:pStyle w:val="24"/>
                  </w:pPr>
                  <w:r>
                    <w:rPr>
                      <w:rFonts w:hint="eastAsia"/>
                    </w:rPr>
                    <w:t>气动  额定容量：2.2KVA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21</w:t>
                  </w:r>
                </w:p>
              </w:tc>
              <w:tc>
                <w:tcPr>
                  <w:tcW w:w="2373" w:type="dxa"/>
                  <w:vAlign w:val="center"/>
                </w:tcPr>
                <w:p>
                  <w:pPr>
                    <w:pStyle w:val="24"/>
                  </w:pPr>
                  <w:r>
                    <w:rPr>
                      <w:rFonts w:hint="eastAsia"/>
                    </w:rPr>
                    <w:t>补网机</w:t>
                  </w:r>
                </w:p>
                <w:p>
                  <w:pPr>
                    <w:pStyle w:val="24"/>
                  </w:pPr>
                  <w:r>
                    <w:rPr>
                      <w:rFonts w:hint="eastAsia"/>
                    </w:rPr>
                    <w:t>点焊机</w:t>
                  </w:r>
                </w:p>
              </w:tc>
              <w:tc>
                <w:tcPr>
                  <w:tcW w:w="3705" w:type="dxa"/>
                  <w:vAlign w:val="center"/>
                </w:tcPr>
                <w:p>
                  <w:pPr>
                    <w:pStyle w:val="24"/>
                  </w:pPr>
                  <w:r>
                    <w:rPr>
                      <w:rFonts w:hint="eastAsia"/>
                    </w:rPr>
                    <w:t>额定容量：16KVA</w:t>
                  </w:r>
                </w:p>
              </w:tc>
              <w:tc>
                <w:tcPr>
                  <w:tcW w:w="986" w:type="dxa"/>
                  <w:vAlign w:val="center"/>
                </w:tcPr>
                <w:p>
                  <w:pPr>
                    <w:pStyle w:val="24"/>
                  </w:pPr>
                  <w:r>
                    <w:rPr>
                      <w:rFonts w:hint="eastAsia"/>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22</w:t>
                  </w:r>
                </w:p>
              </w:tc>
              <w:tc>
                <w:tcPr>
                  <w:tcW w:w="2373" w:type="dxa"/>
                  <w:vAlign w:val="center"/>
                </w:tcPr>
                <w:p>
                  <w:pPr>
                    <w:pStyle w:val="24"/>
                  </w:pPr>
                  <w:r>
                    <w:rPr>
                      <w:rFonts w:hint="eastAsia"/>
                    </w:rPr>
                    <w:t>自动绕线机</w:t>
                  </w:r>
                </w:p>
              </w:tc>
              <w:tc>
                <w:tcPr>
                  <w:tcW w:w="3705" w:type="dxa"/>
                  <w:vAlign w:val="center"/>
                </w:tcPr>
                <w:p>
                  <w:pPr>
                    <w:pStyle w:val="24"/>
                  </w:pPr>
                  <w:r>
                    <w:rPr>
                      <w:rFonts w:hint="eastAsia"/>
                    </w:rPr>
                    <w:t>额定容量：16KVA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23</w:t>
                  </w:r>
                </w:p>
              </w:tc>
              <w:tc>
                <w:tcPr>
                  <w:tcW w:w="2373" w:type="dxa"/>
                  <w:vAlign w:val="center"/>
                </w:tcPr>
                <w:p>
                  <w:pPr>
                    <w:pStyle w:val="24"/>
                  </w:pPr>
                  <w:r>
                    <w:rPr>
                      <w:rFonts w:hint="eastAsia"/>
                    </w:rPr>
                    <w:t>自动排焊机</w:t>
                  </w:r>
                </w:p>
              </w:tc>
              <w:tc>
                <w:tcPr>
                  <w:tcW w:w="3705" w:type="dxa"/>
                  <w:vAlign w:val="center"/>
                </w:tcPr>
                <w:p>
                  <w:pPr>
                    <w:pStyle w:val="24"/>
                  </w:pPr>
                  <w:r>
                    <w:rPr>
                      <w:rFonts w:hint="eastAsia"/>
                    </w:rPr>
                    <w:t>额定容量</w:t>
                  </w:r>
                  <w:r>
                    <w:rPr>
                      <w:rFonts w:hint="eastAsia"/>
                      <w:lang w:eastAsia="zh-CN"/>
                    </w:rPr>
                    <w:t>：</w:t>
                  </w:r>
                  <w:r>
                    <w:rPr>
                      <w:rFonts w:hint="eastAsia"/>
                    </w:rPr>
                    <w:t>80KVA</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24</w:t>
                  </w:r>
                </w:p>
              </w:tc>
              <w:tc>
                <w:tcPr>
                  <w:tcW w:w="2373" w:type="dxa"/>
                  <w:vAlign w:val="center"/>
                </w:tcPr>
                <w:p>
                  <w:pPr>
                    <w:pStyle w:val="24"/>
                  </w:pPr>
                  <w:r>
                    <w:rPr>
                      <w:rFonts w:hint="eastAsia"/>
                    </w:rPr>
                    <w:t>提手点焊机</w:t>
                  </w:r>
                </w:p>
              </w:tc>
              <w:tc>
                <w:tcPr>
                  <w:tcW w:w="3705" w:type="dxa"/>
                  <w:vAlign w:val="center"/>
                </w:tcPr>
                <w:p>
                  <w:pPr>
                    <w:pStyle w:val="24"/>
                  </w:pPr>
                  <w:r>
                    <w:rPr>
                      <w:rFonts w:hint="eastAsia"/>
                    </w:rPr>
                    <w:t>额定功率：50KW</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25</w:t>
                  </w:r>
                </w:p>
              </w:tc>
              <w:tc>
                <w:tcPr>
                  <w:tcW w:w="2373" w:type="dxa"/>
                  <w:vAlign w:val="center"/>
                </w:tcPr>
                <w:p>
                  <w:pPr>
                    <w:pStyle w:val="24"/>
                  </w:pPr>
                  <w:r>
                    <w:rPr>
                      <w:rFonts w:hint="eastAsia"/>
                    </w:rPr>
                    <w:t>电动送料架</w:t>
                  </w:r>
                </w:p>
              </w:tc>
              <w:tc>
                <w:tcPr>
                  <w:tcW w:w="3705" w:type="dxa"/>
                  <w:vAlign w:val="center"/>
                </w:tcPr>
                <w:p>
                  <w:pPr>
                    <w:pStyle w:val="24"/>
                  </w:pPr>
                  <w:r>
                    <w:rPr>
                      <w:rFonts w:hint="eastAsia"/>
                    </w:rPr>
                    <w:t>500kg功率1.5kva</w:t>
                  </w:r>
                </w:p>
              </w:tc>
              <w:tc>
                <w:tcPr>
                  <w:tcW w:w="986" w:type="dxa"/>
                  <w:vAlign w:val="center"/>
                </w:tcPr>
                <w:p>
                  <w:pPr>
                    <w:pStyle w:val="24"/>
                  </w:pPr>
                  <w:r>
                    <w:rPr>
                      <w:rFonts w:hint="eastAsia"/>
                    </w:rPr>
                    <w:t>4</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26</w:t>
                  </w:r>
                </w:p>
              </w:tc>
              <w:tc>
                <w:tcPr>
                  <w:tcW w:w="2373" w:type="dxa"/>
                  <w:vAlign w:val="center"/>
                </w:tcPr>
                <w:p>
                  <w:pPr>
                    <w:pStyle w:val="24"/>
                  </w:pPr>
                  <w:r>
                    <w:rPr>
                      <w:rFonts w:hint="eastAsia"/>
                    </w:rPr>
                    <w:t>20千瓦对焊机</w:t>
                  </w:r>
                </w:p>
              </w:tc>
              <w:tc>
                <w:tcPr>
                  <w:tcW w:w="3705" w:type="dxa"/>
                  <w:vAlign w:val="center"/>
                </w:tcPr>
                <w:p>
                  <w:pPr>
                    <w:pStyle w:val="24"/>
                  </w:pPr>
                  <w:r>
                    <w:rPr>
                      <w:rFonts w:hint="eastAsia"/>
                    </w:rPr>
                    <w:t>脚踏式，额定容量：20kw</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27</w:t>
                  </w:r>
                </w:p>
              </w:tc>
              <w:tc>
                <w:tcPr>
                  <w:tcW w:w="2373" w:type="dxa"/>
                  <w:vAlign w:val="center"/>
                </w:tcPr>
                <w:p>
                  <w:pPr>
                    <w:pStyle w:val="24"/>
                  </w:pPr>
                  <w:r>
                    <w:rPr>
                      <w:rFonts w:hint="eastAsia"/>
                    </w:rPr>
                    <w:t>外环扁线冲孔机，16T 偏心压机</w:t>
                  </w:r>
                </w:p>
              </w:tc>
              <w:tc>
                <w:tcPr>
                  <w:tcW w:w="3705" w:type="dxa"/>
                  <w:vAlign w:val="center"/>
                </w:tcPr>
                <w:p>
                  <w:pPr>
                    <w:pStyle w:val="24"/>
                  </w:pPr>
                  <w:r>
                    <w:rPr>
                      <w:rFonts w:hint="eastAsia"/>
                    </w:rPr>
                    <w:t>最大冲力16T</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28</w:t>
                  </w:r>
                </w:p>
              </w:tc>
              <w:tc>
                <w:tcPr>
                  <w:tcW w:w="2373" w:type="dxa"/>
                  <w:vAlign w:val="center"/>
                </w:tcPr>
                <w:p>
                  <w:pPr>
                    <w:pStyle w:val="24"/>
                  </w:pPr>
                  <w:r>
                    <w:rPr>
                      <w:rFonts w:hint="eastAsia"/>
                    </w:rPr>
                    <w:t>烘烤炉</w:t>
                  </w:r>
                </w:p>
              </w:tc>
              <w:tc>
                <w:tcPr>
                  <w:tcW w:w="3705" w:type="dxa"/>
                  <w:vAlign w:val="center"/>
                </w:tcPr>
                <w:p>
                  <w:pPr>
                    <w:pStyle w:val="24"/>
                  </w:pPr>
                  <w:r>
                    <w:rPr>
                      <w:rFonts w:hint="eastAsia"/>
                    </w:rPr>
                    <w:t>/</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pPr>
                  <w:r>
                    <w:rPr>
                      <w:rFonts w:hint="eastAsia"/>
                    </w:rPr>
                    <w:t>29</w:t>
                  </w:r>
                </w:p>
              </w:tc>
              <w:tc>
                <w:tcPr>
                  <w:tcW w:w="2373" w:type="dxa"/>
                  <w:vAlign w:val="center"/>
                </w:tcPr>
                <w:p>
                  <w:pPr>
                    <w:pStyle w:val="24"/>
                  </w:pPr>
                  <w:r>
                    <w:rPr>
                      <w:rFonts w:hint="eastAsia"/>
                    </w:rPr>
                    <w:t>固化炉</w:t>
                  </w:r>
                </w:p>
              </w:tc>
              <w:tc>
                <w:tcPr>
                  <w:tcW w:w="3705" w:type="dxa"/>
                  <w:vAlign w:val="center"/>
                </w:tcPr>
                <w:p>
                  <w:pPr>
                    <w:pStyle w:val="24"/>
                  </w:pPr>
                  <w:r>
                    <w:rPr>
                      <w:rFonts w:hint="eastAsia"/>
                    </w:rPr>
                    <w:t>/</w:t>
                  </w:r>
                </w:p>
              </w:tc>
              <w:tc>
                <w:tcPr>
                  <w:tcW w:w="986" w:type="dxa"/>
                  <w:vAlign w:val="center"/>
                </w:tcPr>
                <w:p>
                  <w:pPr>
                    <w:pStyle w:val="24"/>
                  </w:pPr>
                  <w:r>
                    <w:rPr>
                      <w:rFonts w:hint="eastAsia"/>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rPr>
                      <w:rFonts w:hint="default" w:eastAsia="宋体"/>
                      <w:lang w:val="en-US" w:eastAsia="zh-CN"/>
                    </w:rPr>
                  </w:pPr>
                  <w:bookmarkStart w:id="64" w:name="_Toc24146"/>
                  <w:bookmarkStart w:id="65" w:name="_Toc4367"/>
                  <w:r>
                    <w:rPr>
                      <w:rFonts w:hint="eastAsia"/>
                      <w:lang w:val="en-US" w:eastAsia="zh-CN"/>
                    </w:rPr>
                    <w:t>30</w:t>
                  </w:r>
                </w:p>
              </w:tc>
              <w:tc>
                <w:tcPr>
                  <w:tcW w:w="2373" w:type="dxa"/>
                  <w:vAlign w:val="center"/>
                </w:tcPr>
                <w:p>
                  <w:pPr>
                    <w:pStyle w:val="24"/>
                    <w:rPr>
                      <w:rFonts w:hint="default" w:eastAsia="宋体"/>
                      <w:lang w:val="en-US" w:eastAsia="zh-CN"/>
                    </w:rPr>
                  </w:pPr>
                  <w:r>
                    <w:rPr>
                      <w:rFonts w:hint="eastAsia"/>
                      <w:lang w:val="en-US" w:eastAsia="zh-CN"/>
                    </w:rPr>
                    <w:t>生物质热风炉</w:t>
                  </w:r>
                </w:p>
              </w:tc>
              <w:tc>
                <w:tcPr>
                  <w:tcW w:w="3705" w:type="dxa"/>
                  <w:vAlign w:val="center"/>
                </w:tcPr>
                <w:p>
                  <w:pPr>
                    <w:pStyle w:val="24"/>
                    <w:rPr>
                      <w:rFonts w:hint="default" w:eastAsia="宋体"/>
                      <w:lang w:val="en-US" w:eastAsia="zh-CN"/>
                    </w:rPr>
                  </w:pPr>
                  <w:r>
                    <w:rPr>
                      <w:rFonts w:hint="eastAsia"/>
                      <w:lang w:val="en-US" w:eastAsia="zh-CN"/>
                    </w:rPr>
                    <w:t>/</w:t>
                  </w:r>
                </w:p>
              </w:tc>
              <w:tc>
                <w:tcPr>
                  <w:tcW w:w="986" w:type="dxa"/>
                  <w:vAlign w:val="center"/>
                </w:tcPr>
                <w:p>
                  <w:pPr>
                    <w:pStyle w:val="24"/>
                    <w:rPr>
                      <w:rFonts w:hint="eastAsia" w:eastAsia="宋体"/>
                      <w:lang w:val="en-US" w:eastAsia="zh-CN"/>
                    </w:rPr>
                  </w:pPr>
                  <w:r>
                    <w:rPr>
                      <w:rFonts w:hint="eastAsia"/>
                      <w:lang w:val="en-US" w:eastAsia="zh-CN"/>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rPr>
                      <w:rFonts w:hint="default"/>
                      <w:lang w:val="en-US" w:eastAsia="zh-CN"/>
                    </w:rPr>
                  </w:pPr>
                  <w:r>
                    <w:rPr>
                      <w:rFonts w:hint="eastAsia"/>
                      <w:lang w:val="en-US" w:eastAsia="zh-CN"/>
                    </w:rPr>
                    <w:t>31</w:t>
                  </w:r>
                </w:p>
              </w:tc>
              <w:tc>
                <w:tcPr>
                  <w:tcW w:w="2373" w:type="dxa"/>
                  <w:vAlign w:val="center"/>
                </w:tcPr>
                <w:p>
                  <w:pPr>
                    <w:pStyle w:val="24"/>
                    <w:rPr>
                      <w:rFonts w:hint="default"/>
                      <w:lang w:val="en-US" w:eastAsia="zh-CN"/>
                    </w:rPr>
                  </w:pPr>
                  <w:r>
                    <w:rPr>
                      <w:rFonts w:hint="eastAsia"/>
                      <w:lang w:val="en-US" w:eastAsia="zh-CN"/>
                    </w:rPr>
                    <w:t>喷粉房</w:t>
                  </w:r>
                </w:p>
              </w:tc>
              <w:tc>
                <w:tcPr>
                  <w:tcW w:w="3705" w:type="dxa"/>
                  <w:vAlign w:val="center"/>
                </w:tcPr>
                <w:p>
                  <w:pPr>
                    <w:pStyle w:val="24"/>
                    <w:rPr>
                      <w:rFonts w:hint="eastAsia"/>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2</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32</w:t>
                  </w:r>
                </w:p>
              </w:tc>
              <w:tc>
                <w:tcPr>
                  <w:tcW w:w="2373" w:type="dxa"/>
                  <w:shd w:val="clear" w:color="auto" w:fill="auto"/>
                  <w:vAlign w:val="center"/>
                </w:tcPr>
                <w:p>
                  <w:pPr>
                    <w:pStyle w:val="24"/>
                    <w:rPr>
                      <w:rFonts w:hint="default"/>
                      <w:u w:val="single"/>
                      <w:lang w:val="en-US" w:eastAsia="zh-CN"/>
                    </w:rPr>
                  </w:pPr>
                  <w:r>
                    <w:rPr>
                      <w:rFonts w:hint="eastAsia"/>
                      <w:u w:val="single"/>
                      <w:lang w:val="en-US" w:eastAsia="zh-CN"/>
                    </w:rPr>
                    <w:t>碱性除油池</w:t>
                  </w:r>
                </w:p>
              </w:tc>
              <w:tc>
                <w:tcPr>
                  <w:tcW w:w="3705" w:type="dxa"/>
                  <w:shd w:val="clear" w:color="auto" w:fill="auto"/>
                  <w:vAlign w:val="center"/>
                </w:tcPr>
                <w:p>
                  <w:pPr>
                    <w:pStyle w:val="24"/>
                    <w:rPr>
                      <w:rFonts w:hint="default"/>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*1.2</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33</w:t>
                  </w:r>
                </w:p>
              </w:tc>
              <w:tc>
                <w:tcPr>
                  <w:tcW w:w="2373" w:type="dxa"/>
                  <w:shd w:val="clear" w:color="auto" w:fill="auto"/>
                  <w:vAlign w:val="center"/>
                </w:tcPr>
                <w:p>
                  <w:pPr>
                    <w:pStyle w:val="24"/>
                    <w:rPr>
                      <w:rFonts w:hint="eastAsia"/>
                      <w:u w:val="single"/>
                      <w:lang w:val="en-US" w:eastAsia="zh-CN"/>
                    </w:rPr>
                  </w:pPr>
                  <w:r>
                    <w:rPr>
                      <w:rFonts w:hint="eastAsia"/>
                      <w:u w:val="single"/>
                      <w:lang w:val="en-US" w:eastAsia="zh-CN"/>
                    </w:rPr>
                    <w:t>水洗池1</w:t>
                  </w:r>
                </w:p>
              </w:tc>
              <w:tc>
                <w:tcPr>
                  <w:tcW w:w="3705" w:type="dxa"/>
                  <w:shd w:val="clear" w:color="auto" w:fill="auto"/>
                  <w:vAlign w:val="center"/>
                </w:tcPr>
                <w:p>
                  <w:pPr>
                    <w:pStyle w:val="24"/>
                    <w:rPr>
                      <w:rFonts w:hint="default"/>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34</w:t>
                  </w:r>
                </w:p>
              </w:tc>
              <w:tc>
                <w:tcPr>
                  <w:tcW w:w="2373" w:type="dxa"/>
                  <w:shd w:val="clear" w:color="auto" w:fill="auto"/>
                  <w:vAlign w:val="center"/>
                </w:tcPr>
                <w:p>
                  <w:pPr>
                    <w:pStyle w:val="24"/>
                    <w:rPr>
                      <w:rFonts w:hint="eastAsia"/>
                      <w:u w:val="single"/>
                      <w:lang w:val="en-US" w:eastAsia="zh-CN"/>
                    </w:rPr>
                  </w:pPr>
                  <w:r>
                    <w:rPr>
                      <w:rFonts w:hint="eastAsia"/>
                      <w:u w:val="single"/>
                      <w:lang w:val="en-US" w:eastAsia="zh-CN"/>
                    </w:rPr>
                    <w:t>水洗池2</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35</w:t>
                  </w:r>
                </w:p>
              </w:tc>
              <w:tc>
                <w:tcPr>
                  <w:tcW w:w="2373" w:type="dxa"/>
                  <w:shd w:val="clear" w:color="auto" w:fill="auto"/>
                  <w:vAlign w:val="center"/>
                </w:tcPr>
                <w:p>
                  <w:pPr>
                    <w:pStyle w:val="24"/>
                    <w:rPr>
                      <w:rFonts w:hint="default"/>
                      <w:u w:val="single"/>
                      <w:lang w:val="en-US" w:eastAsia="zh-CN"/>
                    </w:rPr>
                  </w:pPr>
                  <w:r>
                    <w:rPr>
                      <w:rFonts w:hint="eastAsia"/>
                      <w:u w:val="single"/>
                      <w:lang w:val="en-US" w:eastAsia="zh-CN"/>
                    </w:rPr>
                    <w:t>酸洗池</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36</w:t>
                  </w:r>
                </w:p>
              </w:tc>
              <w:tc>
                <w:tcPr>
                  <w:tcW w:w="2373" w:type="dxa"/>
                  <w:shd w:val="clear" w:color="auto" w:fill="auto"/>
                  <w:vAlign w:val="center"/>
                </w:tcPr>
                <w:p>
                  <w:pPr>
                    <w:pStyle w:val="24"/>
                    <w:rPr>
                      <w:rFonts w:hint="eastAsia"/>
                      <w:u w:val="single"/>
                      <w:lang w:val="en-US" w:eastAsia="zh-CN"/>
                    </w:rPr>
                  </w:pPr>
                  <w:r>
                    <w:rPr>
                      <w:rFonts w:hint="eastAsia"/>
                      <w:u w:val="single"/>
                      <w:lang w:val="en-US" w:eastAsia="zh-CN"/>
                    </w:rPr>
                    <w:t>水洗池3</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37</w:t>
                  </w:r>
                </w:p>
              </w:tc>
              <w:tc>
                <w:tcPr>
                  <w:tcW w:w="2373" w:type="dxa"/>
                  <w:shd w:val="clear" w:color="auto" w:fill="auto"/>
                  <w:vAlign w:val="center"/>
                </w:tcPr>
                <w:p>
                  <w:pPr>
                    <w:pStyle w:val="24"/>
                    <w:rPr>
                      <w:rFonts w:hint="eastAsia"/>
                      <w:u w:val="single"/>
                      <w:lang w:val="en-US" w:eastAsia="zh-CN"/>
                    </w:rPr>
                  </w:pPr>
                  <w:r>
                    <w:rPr>
                      <w:rFonts w:hint="eastAsia"/>
                      <w:u w:val="single"/>
                      <w:lang w:val="en-US" w:eastAsia="zh-CN"/>
                    </w:rPr>
                    <w:t>水洗池4</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38</w:t>
                  </w:r>
                </w:p>
              </w:tc>
              <w:tc>
                <w:tcPr>
                  <w:tcW w:w="2373" w:type="dxa"/>
                  <w:shd w:val="clear" w:color="auto" w:fill="auto"/>
                  <w:vAlign w:val="center"/>
                </w:tcPr>
                <w:p>
                  <w:pPr>
                    <w:pStyle w:val="24"/>
                    <w:rPr>
                      <w:rFonts w:hint="default"/>
                      <w:u w:val="single"/>
                      <w:lang w:val="en-US" w:eastAsia="zh-CN"/>
                    </w:rPr>
                  </w:pPr>
                  <w:r>
                    <w:rPr>
                      <w:rFonts w:hint="eastAsia"/>
                      <w:u w:val="single"/>
                      <w:lang w:val="en-US" w:eastAsia="zh-CN"/>
                    </w:rPr>
                    <w:t>表调池</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39</w:t>
                  </w:r>
                </w:p>
              </w:tc>
              <w:tc>
                <w:tcPr>
                  <w:tcW w:w="2373" w:type="dxa"/>
                  <w:shd w:val="clear" w:color="auto" w:fill="auto"/>
                  <w:vAlign w:val="center"/>
                </w:tcPr>
                <w:p>
                  <w:pPr>
                    <w:pStyle w:val="24"/>
                    <w:rPr>
                      <w:rFonts w:hint="default"/>
                      <w:u w:val="single"/>
                      <w:lang w:val="en-US" w:eastAsia="zh-CN"/>
                    </w:rPr>
                  </w:pPr>
                  <w:r>
                    <w:rPr>
                      <w:rFonts w:hint="eastAsia"/>
                      <w:u w:val="single"/>
                      <w:lang w:val="en-US" w:eastAsia="zh-CN"/>
                    </w:rPr>
                    <w:t>磷化池</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*1.1</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40</w:t>
                  </w:r>
                </w:p>
              </w:tc>
              <w:tc>
                <w:tcPr>
                  <w:tcW w:w="2373" w:type="dxa"/>
                  <w:shd w:val="clear" w:color="auto" w:fill="auto"/>
                  <w:vAlign w:val="center"/>
                </w:tcPr>
                <w:p>
                  <w:pPr>
                    <w:pStyle w:val="24"/>
                    <w:rPr>
                      <w:rFonts w:hint="eastAsia"/>
                      <w:u w:val="single"/>
                      <w:lang w:val="en-US" w:eastAsia="zh-CN"/>
                    </w:rPr>
                  </w:pPr>
                  <w:r>
                    <w:rPr>
                      <w:rFonts w:hint="eastAsia"/>
                      <w:u w:val="single"/>
                      <w:lang w:val="en-US" w:eastAsia="zh-CN"/>
                    </w:rPr>
                    <w:t>水洗池5</w:t>
                  </w:r>
                </w:p>
              </w:tc>
              <w:tc>
                <w:tcPr>
                  <w:tcW w:w="3705" w:type="dxa"/>
                  <w:shd w:val="clear" w:color="auto" w:fill="auto"/>
                  <w:vAlign w:val="center"/>
                </w:tcPr>
                <w:p>
                  <w:pPr>
                    <w:pStyle w:val="24"/>
                    <w:rPr>
                      <w:rFonts w:hint="eastAsia"/>
                      <w:u w:val="single"/>
                      <w:lang w:val="en-US" w:eastAsia="zh-CN"/>
                    </w:rPr>
                  </w:pPr>
                  <w:r>
                    <w:rPr>
                      <w:rFonts w:hint="default"/>
                      <w:u w:val="single"/>
                      <w:lang w:val="en-US" w:eastAsia="zh-CN"/>
                    </w:rPr>
                    <w:t>2.5</w:t>
                  </w:r>
                  <w:r>
                    <w:rPr>
                      <w:rFonts w:hint="eastAsia"/>
                      <w:u w:val="single"/>
                      <w:lang w:val="en-US" w:eastAsia="zh-CN"/>
                    </w:rPr>
                    <w:t>m</w:t>
                  </w:r>
                  <w:r>
                    <w:rPr>
                      <w:rFonts w:hint="default"/>
                      <w:u w:val="single"/>
                      <w:lang w:val="en-US" w:eastAsia="zh-CN"/>
                    </w:rPr>
                    <w:t>*1.2</w:t>
                  </w:r>
                  <w:r>
                    <w:rPr>
                      <w:rFonts w:hint="eastAsia"/>
                      <w:u w:val="single"/>
                      <w:lang w:val="en-US" w:eastAsia="zh-CN"/>
                    </w:rPr>
                    <w:t>m</w:t>
                  </w:r>
                  <w:r>
                    <w:rPr>
                      <w:rFonts w:hint="default"/>
                      <w:u w:val="single"/>
                      <w:lang w:val="en-US" w:eastAsia="zh-CN"/>
                    </w:rPr>
                    <w:t>*1.2</w:t>
                  </w:r>
                  <w:r>
                    <w:rPr>
                      <w:rFonts w:hint="eastAsia"/>
                      <w:u w:val="single"/>
                      <w:lang w:val="en-US" w:eastAsia="zh-CN"/>
                    </w:rPr>
                    <w:t>m</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41</w:t>
                  </w:r>
                </w:p>
              </w:tc>
              <w:tc>
                <w:tcPr>
                  <w:tcW w:w="2373" w:type="dxa"/>
                  <w:shd w:val="clear" w:color="auto" w:fill="auto"/>
                  <w:vAlign w:val="center"/>
                </w:tcPr>
                <w:p>
                  <w:pPr>
                    <w:pStyle w:val="24"/>
                    <w:rPr>
                      <w:rFonts w:hint="default"/>
                      <w:lang w:val="en-US" w:eastAsia="zh-CN"/>
                    </w:rPr>
                  </w:pPr>
                  <w:r>
                    <w:rPr>
                      <w:rFonts w:hint="eastAsia"/>
                      <w:lang w:val="en-US" w:eastAsia="zh-CN"/>
                    </w:rPr>
                    <w:t>焊接烟尘净化器</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1</w:t>
                  </w:r>
                </w:p>
              </w:tc>
              <w:tc>
                <w:tcPr>
                  <w:tcW w:w="441" w:type="dxa"/>
                  <w:vMerge w:val="restart"/>
                  <w:vAlign w:val="center"/>
                </w:tcPr>
                <w:p>
                  <w:pPr>
                    <w:pStyle w:val="24"/>
                    <w:jc w:val="both"/>
                    <w:rPr>
                      <w:rFonts w:hint="default" w:eastAsia="宋体"/>
                      <w:lang w:val="en-US" w:eastAsia="zh-CN"/>
                    </w:rPr>
                  </w:pPr>
                  <w:r>
                    <w:rPr>
                      <w:rFonts w:hint="eastAsia"/>
                      <w:lang w:val="en-US" w:eastAsia="zh-CN"/>
                    </w:rPr>
                    <w:t>环保设备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42</w:t>
                  </w:r>
                </w:p>
              </w:tc>
              <w:tc>
                <w:tcPr>
                  <w:tcW w:w="2373" w:type="dxa"/>
                  <w:shd w:val="clear" w:color="auto" w:fill="auto"/>
                  <w:vAlign w:val="center"/>
                </w:tcPr>
                <w:p>
                  <w:pPr>
                    <w:pStyle w:val="24"/>
                    <w:rPr>
                      <w:rFonts w:hint="default"/>
                      <w:lang w:val="en-US" w:eastAsia="zh-CN"/>
                    </w:rPr>
                  </w:pPr>
                  <w:r>
                    <w:rPr>
                      <w:rFonts w:hint="eastAsia"/>
                      <w:lang w:val="en-US" w:eastAsia="zh-CN"/>
                    </w:rPr>
                    <w:t>碱液喷淋塔</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43</w:t>
                  </w:r>
                </w:p>
              </w:tc>
              <w:tc>
                <w:tcPr>
                  <w:tcW w:w="2373" w:type="dxa"/>
                  <w:shd w:val="clear" w:color="auto" w:fill="auto"/>
                  <w:vAlign w:val="center"/>
                </w:tcPr>
                <w:p>
                  <w:pPr>
                    <w:pStyle w:val="24"/>
                    <w:rPr>
                      <w:rFonts w:hint="default"/>
                      <w:lang w:val="en-US" w:eastAsia="zh-CN"/>
                    </w:rPr>
                  </w:pPr>
                  <w:r>
                    <w:rPr>
                      <w:rFonts w:hint="eastAsia"/>
                      <w:lang w:val="en-US" w:eastAsia="zh-CN"/>
                    </w:rPr>
                    <w:t>旋风除尘器</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shd w:val="clear" w:color="auto" w:fill="auto"/>
                  <w:vAlign w:val="center"/>
                </w:tcPr>
                <w:p>
                  <w:pPr>
                    <w:pStyle w:val="24"/>
                    <w:rPr>
                      <w:rFonts w:hint="eastAsia"/>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shd w:val="clear" w:color="auto" w:fill="auto"/>
                  <w:vAlign w:val="center"/>
                </w:tcPr>
                <w:p>
                  <w:pPr>
                    <w:pStyle w:val="24"/>
                    <w:rPr>
                      <w:rFonts w:hint="eastAsia"/>
                      <w:lang w:val="en-US" w:eastAsia="zh-CN"/>
                    </w:rPr>
                  </w:pPr>
                  <w:r>
                    <w:rPr>
                      <w:rFonts w:hint="eastAsia"/>
                      <w:lang w:val="en-US" w:eastAsia="zh-CN"/>
                    </w:rPr>
                    <w:t>44</w:t>
                  </w:r>
                </w:p>
              </w:tc>
              <w:tc>
                <w:tcPr>
                  <w:tcW w:w="2373" w:type="dxa"/>
                  <w:shd w:val="clear" w:color="auto" w:fill="auto"/>
                  <w:vAlign w:val="center"/>
                </w:tcPr>
                <w:p>
                  <w:pPr>
                    <w:pStyle w:val="24"/>
                    <w:rPr>
                      <w:rFonts w:hint="default"/>
                      <w:lang w:val="en-US" w:eastAsia="zh-CN"/>
                    </w:rPr>
                  </w:pPr>
                  <w:r>
                    <w:rPr>
                      <w:rFonts w:hint="eastAsia"/>
                      <w:lang w:val="en-US" w:eastAsia="zh-CN"/>
                    </w:rPr>
                    <w:t>布袋除尘器</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shd w:val="clear" w:color="auto" w:fill="auto"/>
                  <w:vAlign w:val="center"/>
                </w:tcPr>
                <w:p>
                  <w:pPr>
                    <w:pStyle w:val="24"/>
                    <w:rPr>
                      <w:rFonts w:hint="eastAsia"/>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rPr>
                      <w:rFonts w:hint="default"/>
                      <w:lang w:val="en-US" w:eastAsia="zh-CN"/>
                    </w:rPr>
                  </w:pPr>
                  <w:r>
                    <w:rPr>
                      <w:rFonts w:hint="eastAsia"/>
                      <w:lang w:val="en-US" w:eastAsia="zh-CN"/>
                    </w:rPr>
                    <w:t>45</w:t>
                  </w:r>
                </w:p>
              </w:tc>
              <w:tc>
                <w:tcPr>
                  <w:tcW w:w="2373" w:type="dxa"/>
                  <w:shd w:val="clear" w:color="auto" w:fill="auto"/>
                  <w:vAlign w:val="center"/>
                </w:tcPr>
                <w:p>
                  <w:pPr>
                    <w:pStyle w:val="24"/>
                    <w:rPr>
                      <w:rFonts w:hint="default"/>
                      <w:lang w:val="en-US" w:eastAsia="zh-CN"/>
                    </w:rPr>
                  </w:pPr>
                  <w:r>
                    <w:rPr>
                      <w:rFonts w:hint="eastAsia"/>
                      <w:lang w:val="en-US" w:eastAsia="zh-CN"/>
                    </w:rPr>
                    <w:t>调节池</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rPr>
                      <w:rFonts w:hint="default"/>
                      <w:lang w:val="en-US" w:eastAsia="zh-CN"/>
                    </w:rPr>
                  </w:pPr>
                  <w:r>
                    <w:rPr>
                      <w:rFonts w:hint="eastAsia"/>
                      <w:lang w:val="en-US" w:eastAsia="zh-CN"/>
                    </w:rPr>
                    <w:t>46</w:t>
                  </w:r>
                </w:p>
              </w:tc>
              <w:tc>
                <w:tcPr>
                  <w:tcW w:w="2373" w:type="dxa"/>
                  <w:shd w:val="clear" w:color="auto" w:fill="auto"/>
                  <w:vAlign w:val="center"/>
                </w:tcPr>
                <w:p>
                  <w:pPr>
                    <w:pStyle w:val="24"/>
                    <w:rPr>
                      <w:rFonts w:hint="default"/>
                      <w:lang w:val="en-US" w:eastAsia="zh-CN"/>
                    </w:rPr>
                  </w:pPr>
                  <w:r>
                    <w:rPr>
                      <w:rFonts w:hint="eastAsia"/>
                      <w:lang w:val="en-US" w:eastAsia="zh-CN"/>
                    </w:rPr>
                    <w:t>一体化污水处理设备</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dxa"/>
                  <w:vAlign w:val="center"/>
                </w:tcPr>
                <w:p>
                  <w:pPr>
                    <w:pStyle w:val="24"/>
                    <w:rPr>
                      <w:rFonts w:hint="default"/>
                      <w:lang w:val="en-US" w:eastAsia="zh-CN"/>
                    </w:rPr>
                  </w:pPr>
                  <w:r>
                    <w:rPr>
                      <w:rFonts w:hint="eastAsia"/>
                      <w:lang w:val="en-US" w:eastAsia="zh-CN"/>
                    </w:rPr>
                    <w:t>47</w:t>
                  </w:r>
                </w:p>
              </w:tc>
              <w:tc>
                <w:tcPr>
                  <w:tcW w:w="2373" w:type="dxa"/>
                  <w:shd w:val="clear" w:color="auto" w:fill="auto"/>
                  <w:vAlign w:val="center"/>
                </w:tcPr>
                <w:p>
                  <w:pPr>
                    <w:pStyle w:val="24"/>
                    <w:rPr>
                      <w:rFonts w:hint="default"/>
                      <w:lang w:val="en-US" w:eastAsia="zh-CN"/>
                    </w:rPr>
                  </w:pPr>
                  <w:r>
                    <w:rPr>
                      <w:rFonts w:hint="eastAsia"/>
                      <w:lang w:val="en-US" w:eastAsia="zh-CN"/>
                    </w:rPr>
                    <w:t>隔油池</w:t>
                  </w:r>
                </w:p>
              </w:tc>
              <w:tc>
                <w:tcPr>
                  <w:tcW w:w="3705" w:type="dxa"/>
                  <w:shd w:val="clear" w:color="auto" w:fill="auto"/>
                  <w:vAlign w:val="center"/>
                </w:tcPr>
                <w:p>
                  <w:pPr>
                    <w:pStyle w:val="24"/>
                    <w:rPr>
                      <w:rFonts w:hint="default"/>
                      <w:lang w:val="en-US" w:eastAsia="zh-CN"/>
                    </w:rPr>
                  </w:pPr>
                  <w:r>
                    <w:rPr>
                      <w:rFonts w:hint="eastAsia"/>
                      <w:lang w:val="en-US" w:eastAsia="zh-CN"/>
                    </w:rPr>
                    <w:t>/</w:t>
                  </w:r>
                </w:p>
              </w:tc>
              <w:tc>
                <w:tcPr>
                  <w:tcW w:w="986" w:type="dxa"/>
                  <w:vAlign w:val="center"/>
                </w:tcPr>
                <w:p>
                  <w:pPr>
                    <w:pStyle w:val="24"/>
                    <w:rPr>
                      <w:rFonts w:hint="default"/>
                      <w:lang w:val="en-US" w:eastAsia="zh-CN"/>
                    </w:rPr>
                  </w:pPr>
                  <w:r>
                    <w:rPr>
                      <w:rFonts w:hint="eastAsia"/>
                      <w:lang w:val="en-US" w:eastAsia="zh-CN"/>
                    </w:rPr>
                    <w:t>1</w:t>
                  </w:r>
                </w:p>
              </w:tc>
              <w:tc>
                <w:tcPr>
                  <w:tcW w:w="441" w:type="dxa"/>
                  <w:vMerge w:val="continue"/>
                  <w:vAlign w:val="center"/>
                </w:tcPr>
                <w:p>
                  <w:pPr>
                    <w:pStyle w:val="24"/>
                  </w:pPr>
                </w:p>
              </w:tc>
            </w:tr>
          </w:tbl>
          <w:p>
            <w:pPr>
              <w:pStyle w:val="2"/>
              <w:spacing w:before="120"/>
            </w:pPr>
            <w:bookmarkStart w:id="66" w:name="_Toc5540"/>
            <w:bookmarkStart w:id="67" w:name="_Toc23668"/>
            <w:r>
              <w:rPr>
                <w:rFonts w:hint="eastAsia"/>
              </w:rPr>
              <w:t>5、主要原辅材料种类和用量</w:t>
            </w:r>
            <w:bookmarkEnd w:id="64"/>
            <w:bookmarkEnd w:id="65"/>
            <w:bookmarkEnd w:id="66"/>
            <w:bookmarkEnd w:id="67"/>
          </w:p>
          <w:p>
            <w:pPr>
              <w:ind w:firstLine="480"/>
            </w:pPr>
            <w:r>
              <w:t>根据建设单位提供的资料，项目主要原辅材料用量详见下表。</w:t>
            </w:r>
          </w:p>
          <w:p>
            <w:pPr>
              <w:pStyle w:val="37"/>
              <w:spacing w:before="72" w:after="120"/>
              <w:rPr>
                <w:rFonts w:hint="default"/>
                <w:u w:val="single"/>
              </w:rPr>
            </w:pPr>
            <w:r>
              <w:rPr>
                <w:u w:val="single"/>
              </w:rPr>
              <w:t>表2-4 项目主要原辅材料消耗一览表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716"/>
              <w:gridCol w:w="1412"/>
              <w:gridCol w:w="955"/>
              <w:gridCol w:w="681"/>
              <w:gridCol w:w="1310"/>
              <w:gridCol w:w="1104"/>
              <w:gridCol w:w="10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424" w:type="pct"/>
                  <w:tcBorders>
                    <w:bottom w:val="single" w:color="auto" w:sz="4" w:space="0"/>
                  </w:tcBorders>
                  <w:vAlign w:val="center"/>
                </w:tcPr>
                <w:p>
                  <w:pPr>
                    <w:pStyle w:val="24"/>
                    <w:rPr>
                      <w:b/>
                      <w:bCs/>
                    </w:rPr>
                  </w:pPr>
                  <w:r>
                    <w:rPr>
                      <w:rFonts w:hint="eastAsia"/>
                      <w:b/>
                      <w:bCs/>
                    </w:rPr>
                    <w:t>项目</w:t>
                  </w:r>
                </w:p>
              </w:tc>
              <w:tc>
                <w:tcPr>
                  <w:tcW w:w="450" w:type="pct"/>
                  <w:tcBorders>
                    <w:bottom w:val="single" w:color="auto" w:sz="4" w:space="0"/>
                  </w:tcBorders>
                  <w:vAlign w:val="center"/>
                </w:tcPr>
                <w:p>
                  <w:pPr>
                    <w:pStyle w:val="24"/>
                    <w:rPr>
                      <w:b/>
                      <w:bCs/>
                    </w:rPr>
                  </w:pPr>
                  <w:r>
                    <w:rPr>
                      <w:rFonts w:hint="eastAsia"/>
                      <w:b/>
                      <w:bCs/>
                    </w:rPr>
                    <w:t>序号</w:t>
                  </w:r>
                </w:p>
              </w:tc>
              <w:tc>
                <w:tcPr>
                  <w:tcW w:w="888" w:type="pct"/>
                  <w:tcBorders>
                    <w:bottom w:val="single" w:color="auto" w:sz="4" w:space="0"/>
                  </w:tcBorders>
                  <w:vAlign w:val="center"/>
                </w:tcPr>
                <w:p>
                  <w:pPr>
                    <w:pStyle w:val="24"/>
                    <w:rPr>
                      <w:b/>
                      <w:bCs/>
                    </w:rPr>
                  </w:pPr>
                  <w:r>
                    <w:rPr>
                      <w:rFonts w:hint="eastAsia"/>
                      <w:b/>
                      <w:bCs/>
                    </w:rPr>
                    <w:t>原料名称</w:t>
                  </w:r>
                </w:p>
              </w:tc>
              <w:tc>
                <w:tcPr>
                  <w:tcW w:w="601" w:type="pct"/>
                  <w:tcBorders>
                    <w:bottom w:val="single" w:color="auto" w:sz="4" w:space="0"/>
                  </w:tcBorders>
                  <w:vAlign w:val="center"/>
                </w:tcPr>
                <w:p>
                  <w:pPr>
                    <w:pStyle w:val="24"/>
                    <w:rPr>
                      <w:b/>
                      <w:bCs/>
                    </w:rPr>
                  </w:pPr>
                  <w:r>
                    <w:rPr>
                      <w:rFonts w:hint="eastAsia"/>
                      <w:b/>
                      <w:bCs/>
                    </w:rPr>
                    <w:t>年用量</w:t>
                  </w:r>
                </w:p>
              </w:tc>
              <w:tc>
                <w:tcPr>
                  <w:tcW w:w="428" w:type="pct"/>
                  <w:tcBorders>
                    <w:bottom w:val="single" w:color="auto" w:sz="4" w:space="0"/>
                  </w:tcBorders>
                  <w:vAlign w:val="center"/>
                </w:tcPr>
                <w:p>
                  <w:pPr>
                    <w:pStyle w:val="24"/>
                    <w:rPr>
                      <w:b/>
                      <w:bCs/>
                    </w:rPr>
                  </w:pPr>
                  <w:r>
                    <w:rPr>
                      <w:rFonts w:hint="eastAsia"/>
                      <w:b/>
                      <w:bCs/>
                    </w:rPr>
                    <w:t>单位</w:t>
                  </w:r>
                </w:p>
              </w:tc>
              <w:tc>
                <w:tcPr>
                  <w:tcW w:w="824" w:type="pct"/>
                  <w:tcBorders>
                    <w:bottom w:val="single" w:color="auto" w:sz="4" w:space="0"/>
                  </w:tcBorders>
                  <w:shd w:val="clear" w:color="auto" w:fill="auto"/>
                  <w:vAlign w:val="center"/>
                </w:tcPr>
                <w:p>
                  <w:pPr>
                    <w:pStyle w:val="24"/>
                    <w:ind w:firstLine="0" w:firstLineChars="0"/>
                    <w:rPr>
                      <w:rFonts w:hint="eastAsia" w:ascii="Times New Roman" w:hAnsi="Times New Roman" w:eastAsia="宋体" w:cs="Times New Roman"/>
                      <w:b/>
                      <w:bCs/>
                      <w:kern w:val="0"/>
                      <w:sz w:val="21"/>
                      <w:szCs w:val="20"/>
                      <w:lang w:val="en-US" w:eastAsia="zh-CN" w:bidi="ar-SA"/>
                    </w:rPr>
                  </w:pPr>
                  <w:r>
                    <w:rPr>
                      <w:rFonts w:hint="eastAsia"/>
                      <w:b/>
                      <w:bCs/>
                      <w:lang w:val="en-US" w:eastAsia="zh-CN"/>
                    </w:rPr>
                    <w:t>最大暂存量</w:t>
                  </w:r>
                </w:p>
              </w:tc>
              <w:tc>
                <w:tcPr>
                  <w:tcW w:w="695" w:type="pct"/>
                  <w:tcBorders>
                    <w:bottom w:val="single" w:color="auto" w:sz="4" w:space="0"/>
                  </w:tcBorders>
                  <w:vAlign w:val="center"/>
                </w:tcPr>
                <w:p>
                  <w:pPr>
                    <w:pStyle w:val="24"/>
                    <w:rPr>
                      <w:rFonts w:hint="eastAsia" w:eastAsia="宋体"/>
                      <w:b/>
                      <w:bCs/>
                      <w:lang w:val="en-US" w:eastAsia="zh-CN"/>
                    </w:rPr>
                  </w:pPr>
                  <w:r>
                    <w:rPr>
                      <w:rFonts w:hint="eastAsia"/>
                      <w:b/>
                      <w:bCs/>
                      <w:lang w:val="en-US" w:eastAsia="zh-CN"/>
                    </w:rPr>
                    <w:t>暂存方式</w:t>
                  </w:r>
                </w:p>
              </w:tc>
              <w:tc>
                <w:tcPr>
                  <w:tcW w:w="686" w:type="pct"/>
                  <w:tcBorders>
                    <w:bottom w:val="single" w:color="auto" w:sz="4" w:space="0"/>
                  </w:tcBorders>
                  <w:vAlign w:val="center"/>
                </w:tcPr>
                <w:p>
                  <w:pPr>
                    <w:pStyle w:val="24"/>
                    <w:rPr>
                      <w:b/>
                      <w:bCs/>
                    </w:rPr>
                  </w:pPr>
                  <w:r>
                    <w:rPr>
                      <w:rFonts w:hint="eastAsia"/>
                      <w:b/>
                      <w:bCs/>
                    </w:rPr>
                    <w:t>存放位置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restart"/>
                  <w:tcBorders>
                    <w:top w:val="single" w:color="auto" w:sz="4" w:space="0"/>
                  </w:tcBorders>
                  <w:vAlign w:val="center"/>
                </w:tcPr>
                <w:p>
                  <w:pPr>
                    <w:pStyle w:val="24"/>
                  </w:pPr>
                  <w:r>
                    <w:rPr>
                      <w:rFonts w:hint="eastAsia"/>
                    </w:rPr>
                    <w:t>原辅材料</w:t>
                  </w:r>
                </w:p>
              </w:tc>
              <w:tc>
                <w:tcPr>
                  <w:tcW w:w="450" w:type="pct"/>
                  <w:tcBorders>
                    <w:top w:val="single" w:color="auto" w:sz="4" w:space="0"/>
                  </w:tcBorders>
                  <w:vAlign w:val="center"/>
                </w:tcPr>
                <w:p>
                  <w:pPr>
                    <w:pStyle w:val="24"/>
                  </w:pPr>
                  <w:r>
                    <w:rPr>
                      <w:rFonts w:hint="eastAsia"/>
                    </w:rPr>
                    <w:t>1</w:t>
                  </w:r>
                </w:p>
              </w:tc>
              <w:tc>
                <w:tcPr>
                  <w:tcW w:w="888" w:type="pct"/>
                  <w:tcBorders>
                    <w:top w:val="single" w:color="auto" w:sz="4" w:space="0"/>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1.1mm铁丝</w:t>
                  </w:r>
                </w:p>
              </w:tc>
              <w:tc>
                <w:tcPr>
                  <w:tcW w:w="601" w:type="pct"/>
                  <w:tcBorders>
                    <w:top w:val="single" w:color="auto" w:sz="4" w:space="0"/>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300</w:t>
                  </w:r>
                </w:p>
              </w:tc>
              <w:tc>
                <w:tcPr>
                  <w:tcW w:w="428" w:type="pct"/>
                  <w:tcBorders>
                    <w:top w:val="single" w:color="auto" w:sz="4" w:space="0"/>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tcBorders>
                    <w:top w:val="single" w:color="auto" w:sz="4" w:space="0"/>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50t</w:t>
                  </w:r>
                </w:p>
              </w:tc>
              <w:tc>
                <w:tcPr>
                  <w:tcW w:w="695" w:type="pct"/>
                  <w:tcBorders>
                    <w:top w:val="single" w:color="auto" w:sz="4" w:space="0"/>
                  </w:tcBorders>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堆放</w:t>
                  </w:r>
                </w:p>
              </w:tc>
              <w:tc>
                <w:tcPr>
                  <w:tcW w:w="686" w:type="pct"/>
                  <w:vMerge w:val="restart"/>
                  <w:tcBorders>
                    <w:top w:val="single" w:color="auto" w:sz="4" w:space="0"/>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28栋一层原材料区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vAlign w:val="center"/>
                </w:tcPr>
                <w:p>
                  <w:pPr>
                    <w:pStyle w:val="24"/>
                  </w:pPr>
                  <w:r>
                    <w:rPr>
                      <w:rFonts w:hint="eastAsia"/>
                    </w:rPr>
                    <w:t>2</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1.44</w:t>
                  </w:r>
                  <w:r>
                    <w:rPr>
                      <w:rFonts w:hint="eastAsia"/>
                      <w:lang w:val="en-US" w:eastAsia="zh-CN"/>
                    </w:rPr>
                    <w:t>mm</w:t>
                  </w:r>
                  <w:r>
                    <w:rPr>
                      <w:rFonts w:hint="eastAsia"/>
                    </w:rPr>
                    <w:t>铁丝</w:t>
                  </w:r>
                </w:p>
              </w:tc>
              <w:tc>
                <w:tcPr>
                  <w:tcW w:w="601"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300</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50t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堆放</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vAlign w:val="center"/>
                </w:tcPr>
                <w:p>
                  <w:pPr>
                    <w:pStyle w:val="24"/>
                  </w:pPr>
                  <w:r>
                    <w:rPr>
                      <w:rFonts w:hint="eastAsia"/>
                    </w:rPr>
                    <w:t>3</w:t>
                  </w:r>
                </w:p>
              </w:tc>
              <w:tc>
                <w:tcPr>
                  <w:tcW w:w="88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u w:val="single"/>
                      <w:lang w:val="en-US" w:eastAsia="zh-CN"/>
                    </w:rPr>
                    <w:t>钢板</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700</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50t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堆放</w:t>
                  </w:r>
                </w:p>
              </w:tc>
              <w:tc>
                <w:tcPr>
                  <w:tcW w:w="686"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rPr>
                  </w:pPr>
                  <w:r>
                    <w:rPr>
                      <w:rFonts w:hint="eastAsia"/>
                    </w:rPr>
                    <w:t>4</w:t>
                  </w:r>
                </w:p>
              </w:tc>
              <w:tc>
                <w:tcPr>
                  <w:tcW w:w="88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焊丝</w:t>
                  </w:r>
                </w:p>
              </w:tc>
              <w:tc>
                <w:tcPr>
                  <w:tcW w:w="601"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1.5</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1t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686" w:type="pct"/>
                  <w:vMerge w:val="continue"/>
                  <w:shd w:val="clear" w:color="auto" w:fill="auto"/>
                  <w:vAlign w:val="center"/>
                </w:tcPr>
                <w:p>
                  <w:pPr>
                    <w:pStyle w:val="24"/>
                    <w:ind w:firstLine="0" w:firstLineChars="0"/>
                    <w:rPr>
                      <w:rFonts w:hint="eastAsi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5</w:t>
                  </w:r>
                </w:p>
              </w:tc>
              <w:tc>
                <w:tcPr>
                  <w:tcW w:w="88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粉末</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rPr>
                    <w:t>50</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5t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restar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23栋一层原材料区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6</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除油剂</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1.6</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0.5t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7</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表调剂</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rPr>
                    <w:t>0.8</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0.1t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8</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促进剂</w:t>
                  </w:r>
                </w:p>
              </w:tc>
              <w:tc>
                <w:tcPr>
                  <w:tcW w:w="601"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0.3</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0.3t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9</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磷化液</w:t>
                  </w:r>
                </w:p>
              </w:tc>
              <w:tc>
                <w:tcPr>
                  <w:tcW w:w="601"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1.6</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1.5t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10</w:t>
                  </w:r>
                </w:p>
              </w:tc>
              <w:tc>
                <w:tcPr>
                  <w:tcW w:w="88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除油粉</w:t>
                  </w:r>
                </w:p>
              </w:tc>
              <w:tc>
                <w:tcPr>
                  <w:tcW w:w="601"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0.5</w:t>
                  </w:r>
                </w:p>
              </w:tc>
              <w:tc>
                <w:tcPr>
                  <w:tcW w:w="428" w:type="pct"/>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0.5t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686" w:type="pct"/>
                  <w:vMerge w:val="continue"/>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11</w:t>
                  </w:r>
                </w:p>
              </w:tc>
              <w:tc>
                <w:tcPr>
                  <w:tcW w:w="88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盐酸</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3.8</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1t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桶装</w:t>
                  </w:r>
                </w:p>
              </w:tc>
              <w:tc>
                <w:tcPr>
                  <w:tcW w:w="686"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12</w:t>
                  </w:r>
                </w:p>
              </w:tc>
              <w:tc>
                <w:tcPr>
                  <w:tcW w:w="888"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聚合氯化铝</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0.59</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0.1t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686"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13</w:t>
                  </w:r>
                </w:p>
              </w:tc>
              <w:tc>
                <w:tcPr>
                  <w:tcW w:w="888" w:type="pct"/>
                  <w:shd w:val="clear" w:color="auto" w:fill="auto"/>
                  <w:vAlign w:val="center"/>
                </w:tcPr>
                <w:p>
                  <w:pPr>
                    <w:pStyle w:val="24"/>
                    <w:ind w:firstLine="0" w:firstLineChars="0"/>
                    <w:rPr>
                      <w:rFonts w:hint="default" w:ascii="Times New Roman" w:hAnsi="Times New Roman" w:eastAsia="宋体" w:cs="Times New Roman"/>
                      <w:kern w:val="0"/>
                      <w:sz w:val="21"/>
                      <w:szCs w:val="20"/>
                      <w:u w:val="single"/>
                      <w:lang w:val="en-US" w:eastAsia="zh-CN" w:bidi="ar-SA"/>
                    </w:rPr>
                  </w:pPr>
                  <w:r>
                    <w:rPr>
                      <w:rFonts w:hint="eastAsia"/>
                      <w:u w:val="single"/>
                      <w:lang w:val="en-US" w:eastAsia="zh-CN"/>
                    </w:rPr>
                    <w:t>聚丙烯酰胺</w:t>
                  </w:r>
                </w:p>
              </w:tc>
              <w:tc>
                <w:tcPr>
                  <w:tcW w:w="601"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0.03</w:t>
                  </w:r>
                </w:p>
              </w:tc>
              <w:tc>
                <w:tcPr>
                  <w:tcW w:w="4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t/a</w:t>
                  </w:r>
                </w:p>
              </w:tc>
              <w:tc>
                <w:tcPr>
                  <w:tcW w:w="824"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0.01t</w:t>
                  </w:r>
                </w:p>
              </w:tc>
              <w:tc>
                <w:tcPr>
                  <w:tcW w:w="69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686"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restart"/>
                  <w:vAlign w:val="center"/>
                </w:tcPr>
                <w:p>
                  <w:pPr>
                    <w:pStyle w:val="24"/>
                  </w:pPr>
                  <w:r>
                    <w:rPr>
                      <w:rFonts w:hint="eastAsia"/>
                    </w:rPr>
                    <w:t>能源</w:t>
                  </w:r>
                </w:p>
              </w:tc>
              <w:tc>
                <w:tcPr>
                  <w:tcW w:w="450"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14</w:t>
                  </w:r>
                </w:p>
              </w:tc>
              <w:tc>
                <w:tcPr>
                  <w:tcW w:w="888" w:type="pct"/>
                  <w:vAlign w:val="center"/>
                </w:tcPr>
                <w:p>
                  <w:pPr>
                    <w:pStyle w:val="24"/>
                  </w:pPr>
                  <w:r>
                    <w:rPr>
                      <w:rFonts w:hint="eastAsia"/>
                    </w:rPr>
                    <w:t>水</w:t>
                  </w:r>
                </w:p>
              </w:tc>
              <w:tc>
                <w:tcPr>
                  <w:tcW w:w="601" w:type="pct"/>
                  <w:vAlign w:val="center"/>
                </w:tcPr>
                <w:p>
                  <w:pPr>
                    <w:pStyle w:val="24"/>
                  </w:pPr>
                  <w:r>
                    <w:rPr>
                      <w:rFonts w:hint="eastAsia"/>
                    </w:rPr>
                    <w:t>1360</w:t>
                  </w:r>
                </w:p>
              </w:tc>
              <w:tc>
                <w:tcPr>
                  <w:tcW w:w="428" w:type="pct"/>
                  <w:vAlign w:val="center"/>
                </w:tcPr>
                <w:p>
                  <w:pPr>
                    <w:pStyle w:val="24"/>
                  </w:pPr>
                  <w:r>
                    <w:rPr>
                      <w:rFonts w:hint="eastAsia"/>
                    </w:rPr>
                    <w:t>m</w:t>
                  </w:r>
                  <w:r>
                    <w:rPr>
                      <w:rFonts w:hint="eastAsia"/>
                      <w:vertAlign w:val="superscript"/>
                    </w:rPr>
                    <w:t>3</w:t>
                  </w:r>
                  <w:r>
                    <w:rPr>
                      <w:rFonts w:hint="eastAsia"/>
                    </w:rPr>
                    <w: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w:t>
                  </w:r>
                </w:p>
              </w:tc>
              <w:tc>
                <w:tcPr>
                  <w:tcW w:w="695" w:type="pct"/>
                  <w:vAlign w:val="center"/>
                </w:tcPr>
                <w:p>
                  <w:pPr>
                    <w:pStyle w:val="24"/>
                    <w:rPr>
                      <w:rFonts w:hint="eastAsia" w:eastAsia="宋体"/>
                      <w:u w:val="single"/>
                      <w:lang w:eastAsia="zh-CN"/>
                    </w:rPr>
                  </w:pPr>
                  <w:r>
                    <w:rPr>
                      <w:rFonts w:hint="eastAsia"/>
                      <w:u w:val="single"/>
                      <w:lang w:val="en-US" w:eastAsia="zh-CN"/>
                    </w:rPr>
                    <w:t>/</w:t>
                  </w:r>
                </w:p>
              </w:tc>
              <w:tc>
                <w:tcPr>
                  <w:tcW w:w="686" w:type="pct"/>
                  <w:vAlign w:val="center"/>
                </w:tcPr>
                <w:p>
                  <w:pPr>
                    <w:pStyle w:val="24"/>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cs="Times New Roman"/>
                      <w:kern w:val="0"/>
                      <w:sz w:val="21"/>
                      <w:szCs w:val="20"/>
                      <w:lang w:val="en-US" w:eastAsia="zh-CN" w:bidi="ar-SA"/>
                    </w:rPr>
                    <w:t>15</w:t>
                  </w:r>
                </w:p>
              </w:tc>
              <w:tc>
                <w:tcPr>
                  <w:tcW w:w="888" w:type="pct"/>
                  <w:vAlign w:val="center"/>
                </w:tcPr>
                <w:p>
                  <w:pPr>
                    <w:pStyle w:val="24"/>
                  </w:pPr>
                  <w:r>
                    <w:rPr>
                      <w:rFonts w:hint="eastAsia"/>
                    </w:rPr>
                    <w:t>电</w:t>
                  </w:r>
                </w:p>
              </w:tc>
              <w:tc>
                <w:tcPr>
                  <w:tcW w:w="601" w:type="pct"/>
                  <w:vAlign w:val="center"/>
                </w:tcPr>
                <w:p>
                  <w:pPr>
                    <w:pStyle w:val="24"/>
                  </w:pPr>
                  <w:r>
                    <w:rPr>
                      <w:rFonts w:hint="eastAsia"/>
                    </w:rPr>
                    <w:t>3</w:t>
                  </w:r>
                  <w:r>
                    <w:t>万</w:t>
                  </w:r>
                </w:p>
              </w:tc>
              <w:tc>
                <w:tcPr>
                  <w:tcW w:w="428" w:type="pct"/>
                  <w:vAlign w:val="center"/>
                </w:tcPr>
                <w:p>
                  <w:pPr>
                    <w:pStyle w:val="24"/>
                  </w:pPr>
                  <w:r>
                    <w:rPr>
                      <w:rFonts w:hint="eastAsia"/>
                    </w:rPr>
                    <w:t>kWh/a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w:t>
                  </w:r>
                </w:p>
              </w:tc>
              <w:tc>
                <w:tcPr>
                  <w:tcW w:w="695" w:type="pct"/>
                  <w:vAlign w:val="center"/>
                </w:tcPr>
                <w:p>
                  <w:pPr>
                    <w:pStyle w:val="24"/>
                    <w:rPr>
                      <w:rFonts w:hint="eastAsia" w:eastAsia="宋体"/>
                      <w:u w:val="single"/>
                      <w:lang w:eastAsia="zh-CN"/>
                    </w:rPr>
                  </w:pPr>
                  <w:r>
                    <w:rPr>
                      <w:rFonts w:hint="eastAsia"/>
                      <w:u w:val="single"/>
                      <w:lang w:val="en-US" w:eastAsia="zh-CN"/>
                    </w:rPr>
                    <w:t>/</w:t>
                  </w:r>
                </w:p>
              </w:tc>
              <w:tc>
                <w:tcPr>
                  <w:tcW w:w="686" w:type="pct"/>
                  <w:vAlign w:val="center"/>
                </w:tcPr>
                <w:p>
                  <w:pPr>
                    <w:pStyle w:val="24"/>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4" w:type="pct"/>
                  <w:vMerge w:val="continue"/>
                  <w:vAlign w:val="center"/>
                </w:tcPr>
                <w:p>
                  <w:pPr>
                    <w:pStyle w:val="24"/>
                  </w:pPr>
                </w:p>
              </w:tc>
              <w:tc>
                <w:tcPr>
                  <w:tcW w:w="450"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16</w:t>
                  </w:r>
                </w:p>
              </w:tc>
              <w:tc>
                <w:tcPr>
                  <w:tcW w:w="888" w:type="pct"/>
                  <w:vAlign w:val="center"/>
                </w:tcPr>
                <w:p>
                  <w:pPr>
                    <w:pStyle w:val="24"/>
                  </w:pPr>
                  <w:r>
                    <w:rPr>
                      <w:rFonts w:hint="eastAsia"/>
                      <w:lang w:val="en-US" w:eastAsia="zh-CN"/>
                    </w:rPr>
                    <w:t>成型</w:t>
                  </w:r>
                  <w:r>
                    <w:rPr>
                      <w:rFonts w:hint="eastAsia"/>
                    </w:rPr>
                    <w:t>生物质燃料</w:t>
                  </w:r>
                </w:p>
              </w:tc>
              <w:tc>
                <w:tcPr>
                  <w:tcW w:w="601" w:type="pct"/>
                  <w:vAlign w:val="center"/>
                </w:tcPr>
                <w:p>
                  <w:pPr>
                    <w:pStyle w:val="24"/>
                    <w:rPr>
                      <w:rFonts w:hint="default" w:eastAsia="宋体"/>
                      <w:lang w:val="en-US" w:eastAsia="zh-CN"/>
                    </w:rPr>
                  </w:pPr>
                  <w:r>
                    <w:rPr>
                      <w:rFonts w:hint="eastAsia"/>
                      <w:lang w:val="en-US" w:eastAsia="zh-CN"/>
                    </w:rPr>
                    <w:t>495</w:t>
                  </w:r>
                </w:p>
              </w:tc>
              <w:tc>
                <w:tcPr>
                  <w:tcW w:w="428" w:type="pct"/>
                  <w:vAlign w:val="center"/>
                </w:tcPr>
                <w:p>
                  <w:pPr>
                    <w:pStyle w:val="24"/>
                  </w:pPr>
                  <w:r>
                    <w:rPr>
                      <w:rFonts w:hint="eastAsia"/>
                    </w:rPr>
                    <w:t>t/a</w:t>
                  </w:r>
                </w:p>
              </w:tc>
              <w:tc>
                <w:tcPr>
                  <w:tcW w:w="824"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w:t>
                  </w:r>
                </w:p>
              </w:tc>
              <w:tc>
                <w:tcPr>
                  <w:tcW w:w="695" w:type="pct"/>
                  <w:vAlign w:val="center"/>
                </w:tcPr>
                <w:p>
                  <w:pPr>
                    <w:pStyle w:val="24"/>
                    <w:rPr>
                      <w:rFonts w:hint="eastAsia" w:eastAsia="宋体"/>
                      <w:u w:val="single"/>
                      <w:lang w:val="en-US" w:eastAsia="zh-CN"/>
                    </w:rPr>
                  </w:pPr>
                  <w:r>
                    <w:rPr>
                      <w:rFonts w:hint="eastAsia"/>
                      <w:u w:val="single"/>
                      <w:lang w:val="en-US" w:eastAsia="zh-CN"/>
                    </w:rPr>
                    <w:t>袋装</w:t>
                  </w:r>
                </w:p>
              </w:tc>
              <w:tc>
                <w:tcPr>
                  <w:tcW w:w="686" w:type="pct"/>
                  <w:vAlign w:val="center"/>
                </w:tcPr>
                <w:p>
                  <w:pPr>
                    <w:pStyle w:val="24"/>
                  </w:pPr>
                  <w:r>
                    <w:rPr>
                      <w:rFonts w:hint="eastAsia"/>
                    </w:rPr>
                    <w:t>/</w:t>
                  </w:r>
                </w:p>
              </w:tc>
            </w:tr>
          </w:tbl>
          <w:p>
            <w:pPr>
              <w:keepNext w:val="0"/>
              <w:keepLines w:val="0"/>
              <w:pageBreakBefore w:val="0"/>
              <w:widowControl w:val="0"/>
              <w:kinsoku/>
              <w:wordWrap/>
              <w:overflowPunct/>
              <w:topLinePunct w:val="0"/>
              <w:autoSpaceDE/>
              <w:autoSpaceDN/>
              <w:bidi w:val="0"/>
              <w:adjustRightInd/>
              <w:snapToGrid/>
              <w:spacing w:before="120" w:beforeLines="50" w:after="157" w:afterLines="50"/>
              <w:ind w:firstLine="480"/>
              <w:textAlignment w:val="auto"/>
            </w:pPr>
            <w:r>
              <w:rPr>
                <w:rFonts w:hint="eastAsia"/>
              </w:rPr>
              <w:t>本项目原辅材料的理化性质情况如下。</w:t>
            </w:r>
          </w:p>
          <w:p>
            <w:pPr>
              <w:pStyle w:val="37"/>
              <w:keepNext w:val="0"/>
              <w:keepLines w:val="0"/>
              <w:pageBreakBefore w:val="0"/>
              <w:widowControl w:val="0"/>
              <w:kinsoku/>
              <w:wordWrap/>
              <w:overflowPunct/>
              <w:topLinePunct w:val="0"/>
              <w:autoSpaceDE/>
              <w:autoSpaceDN/>
              <w:bidi w:val="0"/>
              <w:adjustRightInd/>
              <w:snapToGrid/>
              <w:spacing w:before="95" w:beforeLines="30" w:after="95" w:afterLines="30"/>
              <w:textAlignment w:val="auto"/>
              <w:rPr>
                <w:rFonts w:hint="default"/>
              </w:rPr>
            </w:pPr>
            <w:r>
              <w:t>表2-5 原辅材料理化性质一览表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6"/>
              <w:gridCol w:w="72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bottom w:val="single" w:color="auto" w:sz="4" w:space="0"/>
                  </w:tcBorders>
                  <w:shd w:val="clear" w:color="auto" w:fill="FFFFFF"/>
                  <w:vAlign w:val="center"/>
                </w:tcPr>
                <w:p>
                  <w:pPr>
                    <w:pStyle w:val="24"/>
                    <w:rPr>
                      <w:b/>
                      <w:bCs/>
                    </w:rPr>
                  </w:pPr>
                  <w:r>
                    <w:rPr>
                      <w:rFonts w:hint="eastAsia"/>
                      <w:b/>
                      <w:bCs/>
                    </w:rPr>
                    <w:t>原料名称</w:t>
                  </w:r>
                </w:p>
              </w:tc>
              <w:tc>
                <w:tcPr>
                  <w:tcW w:w="4542" w:type="pct"/>
                  <w:tcBorders>
                    <w:bottom w:val="single" w:color="auto" w:sz="4" w:space="0"/>
                  </w:tcBorders>
                  <w:shd w:val="clear" w:color="auto" w:fill="FFFFFF"/>
                  <w:vAlign w:val="center"/>
                </w:tcPr>
                <w:p>
                  <w:pPr>
                    <w:pStyle w:val="24"/>
                    <w:rPr>
                      <w:b/>
                      <w:bCs/>
                    </w:rPr>
                  </w:pPr>
                  <w:r>
                    <w:rPr>
                      <w:rFonts w:hint="eastAsia"/>
                      <w:b/>
                      <w:bCs/>
                    </w:rPr>
                    <w:t>理化性质及用途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tcBorders>
                    <w:top w:val="single" w:color="auto" w:sz="4" w:space="0"/>
                  </w:tcBorders>
                  <w:shd w:val="clear" w:color="auto" w:fill="FFFFFF"/>
                  <w:vAlign w:val="center"/>
                </w:tcPr>
                <w:p>
                  <w:pPr>
                    <w:pStyle w:val="24"/>
                  </w:pPr>
                  <w:r>
                    <w:rPr>
                      <w:rFonts w:hint="eastAsia"/>
                    </w:rPr>
                    <w:t>焊丝</w:t>
                  </w:r>
                </w:p>
              </w:tc>
              <w:tc>
                <w:tcPr>
                  <w:tcW w:w="4542" w:type="pct"/>
                  <w:tcBorders>
                    <w:top w:val="single" w:color="auto" w:sz="4" w:space="0"/>
                  </w:tcBorders>
                  <w:shd w:val="clear" w:color="auto" w:fill="FFFFFF"/>
                  <w:vAlign w:val="center"/>
                </w:tcPr>
                <w:p>
                  <w:pPr>
                    <w:pStyle w:val="24"/>
                  </w:pPr>
                  <w:r>
                    <w:rPr>
                      <w:rFonts w:hint="eastAsia"/>
                    </w:rPr>
                    <w:t>焊丝是作为填充金属或同时作为导电用的金属丝焊接材料，包括碳钢焊丝、低合金结构钢焊丝、合金结构钢焊丝、不锈钢焊丝和有色金属焊丝等。焊丝表面不涂防氧化作用的焊剂，在气焊和钨极气体保护电弧焊时，用作填充金属；其主要成分为碳、锰、硅、铝、铜和铁等，优点是对各种钢材的焊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粉末涂料</w:t>
                  </w:r>
                </w:p>
              </w:tc>
              <w:tc>
                <w:tcPr>
                  <w:tcW w:w="4542" w:type="pct"/>
                  <w:vAlign w:val="center"/>
                </w:tcPr>
                <w:p>
                  <w:pPr>
                    <w:pStyle w:val="24"/>
                  </w:pPr>
                  <w:r>
                    <w:rPr>
                      <w:rFonts w:hint="eastAsia"/>
                    </w:rPr>
                    <w:t>无气无味黑色粉末，pH值为7，密度：1.48-1.59 g/ml，分解温度＞300℃。根据建设单位提供资料，本项目使用的粉末涂料主要成分为环球树脂和聚酯树脂各占比30%、硫酸钡占比28%、钛白粉占比12%。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除油剂</w:t>
                  </w:r>
                </w:p>
              </w:tc>
              <w:tc>
                <w:tcPr>
                  <w:tcW w:w="4542" w:type="pct"/>
                  <w:vAlign w:val="center"/>
                </w:tcPr>
                <w:p>
                  <w:pPr>
                    <w:pStyle w:val="24"/>
                  </w:pPr>
                  <w:r>
                    <w:rPr>
                      <w:rFonts w:hint="eastAsia"/>
                    </w:rPr>
                    <w:t>化学名称为TURBO-K清洗剂，无色或微黄色透明均匀液体，有特殊芳香味的混合物，主要有害成分为挥发性有机化合物（VOC）≤870 g/L，熔点：-47.9℃，沸点：139℃，相对密度（水=1）：0.86，相对蒸汽密度（空气=1）：3.66，闪点：27℃，与环氧类油漆互溶。毒性LD50（大鼠）：5000 mg/kg；毒性LC50（大鼠）：19747 mg/m3，4小时。储存于干燥、阴凉、通风、清洁、有严禁烟火标志的库房，防止阳光直接照射，远离火种热源，库温不宜超过30℃（高温季节可采取库顶喷水等办法），相对湿度不超过80%。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除油粉</w:t>
                  </w:r>
                </w:p>
              </w:tc>
              <w:tc>
                <w:tcPr>
                  <w:tcW w:w="4542" w:type="pct"/>
                  <w:vAlign w:val="center"/>
                </w:tcPr>
                <w:p>
                  <w:pPr>
                    <w:pStyle w:val="24"/>
                  </w:pPr>
                  <w:r>
                    <w:rPr>
                      <w:rFonts w:hint="eastAsia"/>
                    </w:rPr>
                    <w:t>白色粉末状固体混合物，pH值为9.7，不具可燃性但具有刺激性和腐蚀性，广泛应用于五金塑胶电镀印染，喷涂行业的前处理的一种化学品，也用于各种五金表面除油清洗行业。根据建设单位提供资料，本项目使用的除油粉主要成分为磷酸五钠占比60%、表面活性剂占比36%、缓蚀剂占比4%。储存于阴凉、通风的库房。远离火种、热源，应与酸类等分开存放，切忌混储。毒性LD50（大鼠）：4090 mg/kg；毒性LC50（大鼠）：2300 mg/m3，2小时。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表调剂</w:t>
                  </w:r>
                </w:p>
              </w:tc>
              <w:tc>
                <w:tcPr>
                  <w:tcW w:w="4542" w:type="pct"/>
                  <w:vAlign w:val="center"/>
                </w:tcPr>
                <w:p>
                  <w:pPr>
                    <w:pStyle w:val="24"/>
                  </w:pPr>
                  <w:r>
                    <w:rPr>
                      <w:rFonts w:hint="eastAsia"/>
                    </w:rPr>
                    <w:t>无色透明液体，有类似氯仿的特殊气味纯品，分子式：CH2BrCl，CAS登录号：74-97-5，分子量：129.38，不具有可燃性，有毒，具有刺激性，受高热分解放出有毒的气体，与碱金属能发生剧烈反应，产生氯化氢和溴化氢有害物质。熔点：-88℃，沸点：69~71℃，相对密度（水=1）：1.94，临界温度（℃）：297，临界压力（MPa）：6.08。不溶于水，溶于乙醇、丙酮、乙醚、苯、四氯化碳等多数有机溶剂。毒性LD50（大鼠）：5000 mg/kg；毒性LD50（小鼠）：4300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促进剂M</w:t>
                  </w:r>
                </w:p>
              </w:tc>
              <w:tc>
                <w:tcPr>
                  <w:tcW w:w="4542" w:type="pct"/>
                  <w:vAlign w:val="center"/>
                </w:tcPr>
                <w:p>
                  <w:pPr>
                    <w:pStyle w:val="24"/>
                  </w:pPr>
                  <w:r>
                    <w:rPr>
                      <w:rFonts w:hint="eastAsia"/>
                    </w:rPr>
                    <w:t>淡黄色粉末，中文名称为：2-巯基苯并噻唑，分子式：C7H5NS2，CAS登录号：149-30-4，分子量：167.25，熔点：177~179℃，相对密度（水=1）：1.42，闪点：243℃，难溶于水、汽油，微溶于热水，溶于醇、氯仿、丙酮、四氯化碳等，用作橡胶硫化促进剂和分析试剂。具有可燃性和致敏性，遇明火、高热可燃，其粉末与空气可形成爆炸性混合物，当达到一定浓度时，遇火星会发生爆炸，产生一氧化碳、二氧化碳、氮氧化物、氧化硫等有害物质。储存于阴凉、通风的库房，远离火种、热源，防止阳光直射。包装密封，应与氧化剂分开存放，切忌混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pPr>
                  <w:r>
                    <w:rPr>
                      <w:rFonts w:hint="eastAsia"/>
                    </w:rPr>
                    <w:t>磷化液</w:t>
                  </w:r>
                </w:p>
              </w:tc>
              <w:tc>
                <w:tcPr>
                  <w:tcW w:w="4542" w:type="pct"/>
                  <w:vAlign w:val="center"/>
                </w:tcPr>
                <w:p>
                  <w:pPr>
                    <w:pStyle w:val="24"/>
                  </w:pPr>
                  <w:r>
                    <w:rPr>
                      <w:rFonts w:hint="eastAsia"/>
                    </w:rPr>
                    <w:t>中文名称为磷化剂，无色或淡黄色、无味或微咸味透明液体，CAS登录号：7664-38-2，主要有害成分为磷酸占比85%，不燃不爆，具有腐蚀性，相对密度（水=1）：1.2，与水混溶，易溶于碱，用作金属表面喷漆之前的磷化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7" w:type="pct"/>
                  <w:vAlign w:val="center"/>
                </w:tcPr>
                <w:p>
                  <w:pPr>
                    <w:pStyle w:val="24"/>
                    <w:rPr>
                      <w:rFonts w:hint="default" w:eastAsia="宋体"/>
                      <w:u w:val="single"/>
                      <w:lang w:val="en-US" w:eastAsia="zh-CN"/>
                    </w:rPr>
                  </w:pPr>
                  <w:bookmarkStart w:id="68" w:name="_Toc19863"/>
                  <w:bookmarkStart w:id="69" w:name="_Toc15307"/>
                  <w:r>
                    <w:rPr>
                      <w:rFonts w:hint="eastAsia"/>
                      <w:u w:val="single"/>
                      <w:lang w:val="en-US" w:eastAsia="zh-CN"/>
                    </w:rPr>
                    <w:t>盐酸</w:t>
                  </w:r>
                </w:p>
              </w:tc>
              <w:tc>
                <w:tcPr>
                  <w:tcW w:w="4542" w:type="pct"/>
                  <w:vAlign w:val="center"/>
                </w:tcPr>
                <w:p>
                  <w:pPr>
                    <w:pStyle w:val="24"/>
                    <w:rPr>
                      <w:rFonts w:hint="eastAsia"/>
                      <w:u w:val="single"/>
                    </w:rPr>
                  </w:pPr>
                  <w:r>
                    <w:rPr>
                      <w:rFonts w:hint="eastAsia"/>
                      <w:u w:val="single"/>
                    </w:rPr>
                    <w:t>化学式为HCl，分子量为36.46，工业盐酸含有铁、氯等杂质，因混有Fe3+而略带微黄色。工业盐酸有强烈的腐蚀性，能腐蚀金属，对动植物纤维和人体肌肤均有腐蚀作用。浓盐酸在空气中发烟，触及氨蒸气会生成白色云雾，氯化氢气体对动植物有害。</w:t>
                  </w:r>
                </w:p>
              </w:tc>
            </w:tr>
          </w:tbl>
          <w:p>
            <w:pPr>
              <w:pStyle w:val="2"/>
              <w:spacing w:before="120"/>
            </w:pPr>
            <w:bookmarkStart w:id="70" w:name="_Toc32224"/>
            <w:bookmarkStart w:id="71" w:name="_Toc14606"/>
            <w:r>
              <w:rPr>
                <w:rFonts w:hint="eastAsia"/>
              </w:rPr>
              <w:t>6、公用工程</w:t>
            </w:r>
            <w:bookmarkEnd w:id="68"/>
            <w:bookmarkEnd w:id="69"/>
            <w:bookmarkEnd w:id="70"/>
            <w:bookmarkEnd w:id="71"/>
          </w:p>
          <w:p>
            <w:pPr>
              <w:pStyle w:val="4"/>
              <w:ind w:firstLine="482"/>
            </w:pPr>
            <w:r>
              <w:rPr>
                <w:rFonts w:hint="eastAsia"/>
              </w:rPr>
              <w:t>（1）给水</w:t>
            </w:r>
          </w:p>
          <w:p>
            <w:pPr>
              <w:ind w:firstLine="480"/>
            </w:pPr>
            <w:r>
              <w:rPr>
                <w:rFonts w:hint="eastAsia"/>
              </w:rPr>
              <w:t>本项目用水由园区市政管网供给，用水主要为生活用水</w:t>
            </w:r>
            <w:r>
              <w:rPr>
                <w:rFonts w:hint="eastAsia"/>
                <w:lang w:eastAsia="zh-CN"/>
              </w:rPr>
              <w:t>、</w:t>
            </w:r>
            <w:r>
              <w:rPr>
                <w:rFonts w:hint="eastAsia"/>
              </w:rPr>
              <w:t>生产用水</w:t>
            </w:r>
            <w:r>
              <w:rPr>
                <w:rFonts w:hint="eastAsia"/>
                <w:lang w:val="en-US" w:eastAsia="zh-CN"/>
              </w:rPr>
              <w:t>和保洁用水</w:t>
            </w:r>
            <w:r>
              <w:rPr>
                <w:rFonts w:hint="eastAsia"/>
              </w:rPr>
              <w:t>，本项目总用水量为</w:t>
            </w:r>
            <w:r>
              <w:rPr>
                <w:rFonts w:hint="eastAsia"/>
                <w:lang w:val="en-US" w:eastAsia="zh-CN"/>
              </w:rPr>
              <w:t>1846.4</w:t>
            </w:r>
            <w:r>
              <w:rPr>
                <w:rFonts w:hint="eastAsia"/>
              </w:rPr>
              <w:t>m</w:t>
            </w:r>
            <w:r>
              <w:rPr>
                <w:rFonts w:hint="eastAsia"/>
                <w:vertAlign w:val="superscript"/>
              </w:rPr>
              <w:t>3</w:t>
            </w:r>
            <w:r>
              <w:rPr>
                <w:rFonts w:hint="eastAsia"/>
              </w:rPr>
              <w:t>/a。</w:t>
            </w:r>
          </w:p>
          <w:p>
            <w:pPr>
              <w:ind w:firstLine="480"/>
              <w:rPr>
                <w:color w:val="auto"/>
              </w:rPr>
            </w:pPr>
            <w:r>
              <w:rPr>
                <w:rFonts w:hint="eastAsia"/>
                <w:color w:val="auto"/>
              </w:rPr>
              <w:t>①生活用水：本项目劳动定员为20人，均不在厂内食宿，用水定额参照《湖南省用水定额》（DB43/T 388-2020），用水量按办公楼用水量约38m</w:t>
            </w:r>
            <w:r>
              <w:rPr>
                <w:rFonts w:hint="eastAsia"/>
                <w:color w:val="auto"/>
                <w:vertAlign w:val="superscript"/>
              </w:rPr>
              <w:t>3</w:t>
            </w:r>
            <w:r>
              <w:rPr>
                <w:rFonts w:hint="eastAsia"/>
                <w:color w:val="auto"/>
              </w:rPr>
              <w:t>/(人·a)计算，项目生活用水量为760m</w:t>
            </w:r>
            <w:r>
              <w:rPr>
                <w:rFonts w:hint="eastAsia"/>
                <w:color w:val="auto"/>
                <w:vertAlign w:val="superscript"/>
              </w:rPr>
              <w:t>3</w:t>
            </w:r>
            <w:r>
              <w:rPr>
                <w:rFonts w:hint="eastAsia"/>
                <w:color w:val="auto"/>
              </w:rPr>
              <w:t>/a。</w:t>
            </w:r>
          </w:p>
          <w:p>
            <w:pPr>
              <w:ind w:firstLine="480"/>
              <w:rPr>
                <w:rFonts w:hint="eastAsia"/>
                <w:color w:val="auto"/>
                <w:lang w:val="en-US" w:eastAsia="zh-CN"/>
              </w:rPr>
            </w:pPr>
            <w:r>
              <w:rPr>
                <w:color w:val="auto"/>
              </w:rPr>
              <w:t>②</w:t>
            </w:r>
            <w:r>
              <w:rPr>
                <w:rFonts w:hint="eastAsia"/>
                <w:color w:val="auto"/>
              </w:rPr>
              <w:t>生产用水：项目生产用水主要为喷粉生产线前处理工序用水</w:t>
            </w:r>
            <w:r>
              <w:rPr>
                <w:rFonts w:hint="eastAsia"/>
                <w:color w:val="auto"/>
                <w:lang w:val="en-US" w:eastAsia="zh-CN"/>
              </w:rPr>
              <w:t>和酸雾喷淋用水。</w:t>
            </w:r>
            <w:r>
              <w:rPr>
                <w:rFonts w:hint="eastAsia"/>
                <w:color w:val="auto"/>
              </w:rPr>
              <w:t>根据建设单位提供的相关资料，喷粉生产线用水量</w:t>
            </w:r>
            <w:r>
              <w:rPr>
                <w:rFonts w:hint="eastAsia"/>
                <w:color w:val="auto"/>
                <w:lang w:val="en-US" w:eastAsia="zh-CN"/>
              </w:rPr>
              <w:t>约</w:t>
            </w:r>
            <w:r>
              <w:rPr>
                <w:rFonts w:hint="eastAsia"/>
                <w:color w:val="auto"/>
              </w:rPr>
              <w:t>为</w:t>
            </w:r>
            <w:r>
              <w:rPr>
                <w:rFonts w:hint="eastAsia"/>
                <w:color w:val="auto"/>
                <w:lang w:val="en-US" w:eastAsia="zh-CN"/>
              </w:rPr>
              <w:t>914.4</w:t>
            </w:r>
            <w:r>
              <w:rPr>
                <w:rFonts w:hint="eastAsia"/>
                <w:color w:val="auto"/>
              </w:rPr>
              <w:t>m</w:t>
            </w:r>
            <w:r>
              <w:rPr>
                <w:rFonts w:hint="eastAsia"/>
                <w:color w:val="auto"/>
                <w:vertAlign w:val="superscript"/>
              </w:rPr>
              <w:t>3</w:t>
            </w:r>
            <w:r>
              <w:rPr>
                <w:rFonts w:hint="eastAsia"/>
                <w:color w:val="auto"/>
              </w:rPr>
              <w:t>/a。</w:t>
            </w:r>
            <w:r>
              <w:rPr>
                <w:rFonts w:hint="eastAsia"/>
                <w:color w:val="auto"/>
                <w:lang w:val="en-US" w:eastAsia="zh-CN"/>
              </w:rPr>
              <w:t>各个池体的参数见下表。</w:t>
            </w:r>
          </w:p>
          <w:p>
            <w:pPr>
              <w:pStyle w:val="37"/>
              <w:bidi w:val="0"/>
              <w:rPr>
                <w:rFonts w:hint="default"/>
                <w:color w:val="auto"/>
                <w:lang w:val="en-US" w:eastAsia="zh-CN"/>
              </w:rPr>
            </w:pPr>
            <w:r>
              <w:rPr>
                <w:rFonts w:hint="eastAsia"/>
                <w:color w:val="auto"/>
                <w:lang w:val="en-US" w:eastAsia="zh-CN"/>
              </w:rPr>
              <w:t>表2-6 前处理池体参数表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0"/>
              <w:gridCol w:w="1173"/>
              <w:gridCol w:w="1406"/>
              <w:gridCol w:w="1006"/>
              <w:gridCol w:w="1227"/>
              <w:gridCol w:w="1269"/>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生产单元</w:t>
                  </w:r>
                </w:p>
              </w:tc>
              <w:tc>
                <w:tcPr>
                  <w:tcW w:w="738"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生产工序</w:t>
                  </w:r>
                </w:p>
              </w:tc>
              <w:tc>
                <w:tcPr>
                  <w:tcW w:w="885"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槽体尺寸(m×m×m)</w:t>
                  </w:r>
                </w:p>
              </w:tc>
              <w:tc>
                <w:tcPr>
                  <w:tcW w:w="633"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有效水深(m)</w:t>
                  </w:r>
                </w:p>
              </w:tc>
              <w:tc>
                <w:tcPr>
                  <w:tcW w:w="772"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补水频次(次/年)</w:t>
                  </w:r>
                </w:p>
              </w:tc>
              <w:tc>
                <w:tcPr>
                  <w:tcW w:w="798"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换槽频次(次/年)</w:t>
                  </w:r>
                </w:p>
              </w:tc>
              <w:tc>
                <w:tcPr>
                  <w:tcW w:w="630" w:type="pct"/>
                  <w:shd w:val="clear" w:color="auto" w:fill="auto"/>
                  <w:vAlign w:val="center"/>
                </w:tcPr>
                <w:p>
                  <w:pPr>
                    <w:pStyle w:val="24"/>
                    <w:bidi w:val="0"/>
                    <w:rPr>
                      <w:rFonts w:hint="default"/>
                      <w:b w:val="0"/>
                      <w:bCs w:val="0"/>
                      <w:color w:val="auto"/>
                      <w:lang w:val="en-US" w:eastAsia="zh-CN"/>
                    </w:rPr>
                  </w:pPr>
                  <w:r>
                    <w:rPr>
                      <w:rFonts w:hint="eastAsia"/>
                      <w:b w:val="0"/>
                      <w:bCs w:val="0"/>
                      <w:color w:val="auto"/>
                      <w:lang w:val="en-US" w:eastAsia="zh-CN"/>
                    </w:rPr>
                    <w:t>年用水量(m</w:t>
                  </w:r>
                  <w:r>
                    <w:rPr>
                      <w:rFonts w:hint="eastAsia"/>
                      <w:b w:val="0"/>
                      <w:bCs w:val="0"/>
                      <w:color w:val="auto"/>
                      <w:vertAlign w:val="superscript"/>
                      <w:lang w:val="en-US" w:eastAsia="zh-CN"/>
                    </w:rPr>
                    <w:t>3</w:t>
                  </w:r>
                  <w:r>
                    <w:rPr>
                      <w:rFonts w:hint="eastAsia"/>
                      <w:b w:val="0"/>
                      <w:bCs w:val="0"/>
                      <w:color w:va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restart"/>
                  <w:shd w:val="clear" w:color="auto" w:fill="auto"/>
                  <w:vAlign w:val="center"/>
                </w:tcPr>
                <w:p>
                  <w:pPr>
                    <w:pStyle w:val="24"/>
                    <w:bidi w:val="0"/>
                    <w:rPr>
                      <w:rFonts w:hint="default"/>
                      <w:color w:val="auto"/>
                      <w:lang w:val="en-US" w:eastAsia="zh-CN"/>
                    </w:rPr>
                  </w:pPr>
                  <w:r>
                    <w:rPr>
                      <w:rFonts w:hint="eastAsia"/>
                      <w:color w:val="auto"/>
                      <w:lang w:val="en-US" w:eastAsia="zh-CN"/>
                    </w:rPr>
                    <w:t>前处理</w:t>
                  </w: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碱性除油</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2.5*1.2*1.2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半月1次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每年1次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23.1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水洗1</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121.0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水洗2</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121.0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酸洗</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半月1次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两个月1次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水洗3</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121.0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水洗4</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121.0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表调</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每周1次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220.8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磷化</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2.5*1.1*1.2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半月1次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每年1次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vMerge w:val="continue"/>
                  <w:shd w:val="clear" w:color="auto" w:fill="auto"/>
                  <w:vAlign w:val="center"/>
                </w:tcPr>
                <w:p>
                  <w:pPr>
                    <w:pStyle w:val="24"/>
                    <w:bidi w:val="0"/>
                    <w:rPr>
                      <w:rFonts w:hint="default"/>
                      <w:color w:val="auto"/>
                      <w:lang w:val="en-US" w:eastAsia="zh-CN"/>
                    </w:rPr>
                  </w:pPr>
                </w:p>
              </w:tc>
              <w:tc>
                <w:tcPr>
                  <w:tcW w:w="738" w:type="pct"/>
                  <w:shd w:val="clear" w:color="auto" w:fill="auto"/>
                  <w:vAlign w:val="center"/>
                </w:tcPr>
                <w:p>
                  <w:pPr>
                    <w:pStyle w:val="24"/>
                    <w:bidi w:val="0"/>
                    <w:rPr>
                      <w:rFonts w:hint="default"/>
                      <w:color w:val="auto"/>
                      <w:lang w:val="en-US" w:eastAsia="zh-CN"/>
                    </w:rPr>
                  </w:pPr>
                  <w:r>
                    <w:rPr>
                      <w:rFonts w:hint="eastAsia"/>
                      <w:color w:val="auto"/>
                      <w:lang w:val="en-US" w:eastAsia="zh-CN"/>
                    </w:rPr>
                    <w:t>水洗5</w:t>
                  </w:r>
                </w:p>
              </w:tc>
              <w:tc>
                <w:tcPr>
                  <w:tcW w:w="885" w:type="pct"/>
                  <w:shd w:val="clear" w:color="auto" w:fill="auto"/>
                  <w:vAlign w:val="center"/>
                </w:tcPr>
                <w:p>
                  <w:pPr>
                    <w:pStyle w:val="24"/>
                    <w:bidi w:val="0"/>
                    <w:rPr>
                      <w:rFonts w:hint="default"/>
                      <w:color w:val="auto"/>
                      <w:lang w:val="en-US" w:eastAsia="zh-CN"/>
                    </w:rPr>
                  </w:pPr>
                  <w:r>
                    <w:rPr>
                      <w:rFonts w:hint="default"/>
                      <w:color w:val="auto"/>
                      <w:lang w:val="en-US" w:eastAsia="zh-CN"/>
                    </w:rPr>
                    <w:t>2.5*1.2*1.2</w:t>
                  </w:r>
                </w:p>
              </w:tc>
              <w:tc>
                <w:tcPr>
                  <w:tcW w:w="633" w:type="pct"/>
                  <w:shd w:val="clear" w:color="auto" w:fill="auto"/>
                  <w:vAlign w:val="center"/>
                </w:tcPr>
                <w:p>
                  <w:pPr>
                    <w:pStyle w:val="24"/>
                    <w:bidi w:val="0"/>
                    <w:rPr>
                      <w:rFonts w:hint="default"/>
                      <w:color w:val="auto"/>
                      <w:lang w:val="en-US" w:eastAsia="zh-CN"/>
                    </w:rPr>
                  </w:pPr>
                  <w:r>
                    <w:rPr>
                      <w:rFonts w:hint="eastAsia"/>
                      <w:color w:val="auto"/>
                      <w:lang w:val="en-US" w:eastAsia="zh-CN"/>
                    </w:rPr>
                    <w:t>1.1</w:t>
                  </w:r>
                </w:p>
              </w:tc>
              <w:tc>
                <w:tcPr>
                  <w:tcW w:w="772" w:type="pct"/>
                  <w:shd w:val="clear" w:color="auto" w:fill="auto"/>
                  <w:vAlign w:val="center"/>
                </w:tcPr>
                <w:p>
                  <w:pPr>
                    <w:pStyle w:val="24"/>
                    <w:bidi w:val="0"/>
                    <w:rPr>
                      <w:rFonts w:hint="default"/>
                      <w:color w:val="auto"/>
                      <w:lang w:val="en-US" w:eastAsia="zh-CN"/>
                    </w:rPr>
                  </w:pPr>
                  <w:r>
                    <w:rPr>
                      <w:rFonts w:hint="eastAsia"/>
                      <w:color w:val="auto"/>
                      <w:lang w:val="en-US" w:eastAsia="zh-CN"/>
                    </w:rPr>
                    <w:t>每天1次</w:t>
                  </w:r>
                </w:p>
              </w:tc>
              <w:tc>
                <w:tcPr>
                  <w:tcW w:w="798" w:type="pct"/>
                  <w:shd w:val="clear" w:color="auto" w:fill="auto"/>
                  <w:vAlign w:val="center"/>
                </w:tcPr>
                <w:p>
                  <w:pPr>
                    <w:pStyle w:val="24"/>
                    <w:bidi w:val="0"/>
                    <w:rPr>
                      <w:rFonts w:hint="default"/>
                      <w:color w:val="auto"/>
                      <w:lang w:val="en-US" w:eastAsia="zh-CN"/>
                    </w:rPr>
                  </w:pPr>
                  <w:r>
                    <w:rPr>
                      <w:rFonts w:hint="eastAsia"/>
                      <w:color w:val="auto"/>
                      <w:lang w:val="en-US" w:eastAsia="zh-CN"/>
                    </w:rPr>
                    <w:t>每月1次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132.0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69" w:type="pct"/>
                  <w:gridSpan w:val="6"/>
                  <w:shd w:val="clear" w:color="auto" w:fill="auto"/>
                  <w:vAlign w:val="center"/>
                </w:tcPr>
                <w:p>
                  <w:pPr>
                    <w:pStyle w:val="24"/>
                    <w:bidi w:val="0"/>
                    <w:rPr>
                      <w:rFonts w:hint="eastAsia"/>
                      <w:color w:val="auto"/>
                      <w:lang w:val="en-US" w:eastAsia="zh-CN"/>
                    </w:rPr>
                  </w:pPr>
                  <w:r>
                    <w:rPr>
                      <w:rFonts w:hint="eastAsia"/>
                      <w:color w:val="auto"/>
                      <w:lang w:val="en-US" w:eastAsia="zh-CN"/>
                    </w:rPr>
                    <w:t>合计</w:t>
                  </w:r>
                </w:p>
              </w:tc>
              <w:tc>
                <w:tcPr>
                  <w:tcW w:w="630" w:type="pct"/>
                  <w:shd w:val="clear" w:color="auto" w:fill="auto"/>
                  <w:vAlign w:val="center"/>
                </w:tcPr>
                <w:p>
                  <w:pPr>
                    <w:pStyle w:val="24"/>
                    <w:bidi w:val="0"/>
                    <w:rPr>
                      <w:rFonts w:hint="default"/>
                      <w:color w:val="auto"/>
                      <w:lang w:val="en-US" w:eastAsia="zh-CN"/>
                    </w:rPr>
                  </w:pPr>
                  <w:r>
                    <w:rPr>
                      <w:rFonts w:hint="eastAsia"/>
                      <w:color w:val="auto"/>
                      <w:lang w:val="en-US" w:eastAsia="zh-CN"/>
                    </w:rPr>
                    <w:t>914.4</w:t>
                  </w:r>
                </w:p>
              </w:tc>
            </w:tr>
          </w:tbl>
          <w:p>
            <w:pPr>
              <w:bidi w:val="0"/>
              <w:rPr>
                <w:rFonts w:hint="eastAsia"/>
                <w:color w:val="auto"/>
                <w:lang w:val="en-US" w:eastAsia="zh-CN"/>
              </w:rPr>
            </w:pPr>
            <w:r>
              <w:rPr>
                <w:rFonts w:hint="eastAsia"/>
                <w:color w:val="auto"/>
                <w:lang w:val="en-US" w:eastAsia="zh-CN"/>
              </w:rPr>
              <w:t>本项目设置1套碱液喷淋塔对盐酸酸雾进行中和处理，碱液喷淋塔的蓄水量约1m</w:t>
            </w:r>
            <w:r>
              <w:rPr>
                <w:rFonts w:hint="eastAsia"/>
                <w:color w:val="auto"/>
                <w:vertAlign w:val="superscript"/>
                <w:lang w:val="en-US" w:eastAsia="zh-CN"/>
              </w:rPr>
              <w:t>3</w:t>
            </w:r>
            <w:r>
              <w:rPr>
                <w:rFonts w:hint="eastAsia"/>
                <w:color w:val="auto"/>
                <w:lang w:val="en-US" w:eastAsia="zh-CN"/>
              </w:rPr>
              <w:t>，碱性喷淋水约半个月更换一次，则一年更换20次，年用水量约20m</w:t>
            </w:r>
            <w:r>
              <w:rPr>
                <w:rFonts w:hint="eastAsia"/>
                <w:color w:val="auto"/>
                <w:vertAlign w:val="superscript"/>
                <w:lang w:val="en-US" w:eastAsia="zh-CN"/>
              </w:rPr>
              <w:t>3</w:t>
            </w:r>
            <w:r>
              <w:rPr>
                <w:rFonts w:hint="eastAsia"/>
                <w:color w:val="auto"/>
                <w:lang w:eastAsia="zh-CN"/>
              </w:rPr>
              <w:t>。</w:t>
            </w:r>
          </w:p>
          <w:p>
            <w:pPr>
              <w:bidi w:val="0"/>
              <w:rPr>
                <w:rFonts w:hint="default"/>
                <w:color w:val="auto"/>
                <w:lang w:val="en-US" w:eastAsia="zh-CN"/>
              </w:rPr>
            </w:pPr>
            <w:r>
              <w:rPr>
                <w:rFonts w:hint="eastAsia"/>
                <w:color w:val="auto"/>
                <w:lang w:val="en-US" w:eastAsia="zh-CN"/>
              </w:rPr>
              <w:t>③保洁用水：企业生产过程中需要对车间地面进行定期保洁，根据建设单位的情况，生产车间清洁主要以干打扫+拖布拖湿的方式进行，每周拖洗1次，则年拖洗40次。车间地面保洁用水约2L/m</w:t>
            </w:r>
            <w:r>
              <w:rPr>
                <w:rFonts w:hint="eastAsia"/>
                <w:color w:val="auto"/>
                <w:vertAlign w:val="superscript"/>
                <w:lang w:val="en-US" w:eastAsia="zh-CN"/>
              </w:rPr>
              <w:t>2</w:t>
            </w:r>
            <w:r>
              <w:rPr>
                <w:rFonts w:hint="eastAsia"/>
                <w:color w:val="auto"/>
                <w:lang w:val="en-US" w:eastAsia="zh-CN"/>
              </w:rPr>
              <w:t>-次，需要进行保洁的生产车间总面积约1900m</w:t>
            </w:r>
            <w:r>
              <w:rPr>
                <w:rFonts w:hint="eastAsia"/>
                <w:color w:val="auto"/>
                <w:vertAlign w:val="superscript"/>
                <w:lang w:val="en-US" w:eastAsia="zh-CN"/>
              </w:rPr>
              <w:t>2</w:t>
            </w:r>
            <w:r>
              <w:rPr>
                <w:rFonts w:hint="eastAsia"/>
                <w:color w:val="auto"/>
                <w:lang w:val="en-US" w:eastAsia="zh-CN"/>
              </w:rPr>
              <w:t>，保洁年用水量约为152m</w:t>
            </w:r>
            <w:r>
              <w:rPr>
                <w:rFonts w:hint="eastAsia"/>
                <w:color w:val="auto"/>
                <w:vertAlign w:val="superscript"/>
                <w:lang w:val="en-US" w:eastAsia="zh-CN"/>
              </w:rPr>
              <w:t>3</w:t>
            </w:r>
            <w:r>
              <w:rPr>
                <w:rFonts w:hint="eastAsia"/>
                <w:color w:val="auto"/>
                <w:lang w:val="en-US" w:eastAsia="zh-CN"/>
              </w:rPr>
              <w:t>。</w:t>
            </w:r>
          </w:p>
          <w:p>
            <w:pPr>
              <w:pStyle w:val="4"/>
              <w:ind w:firstLine="482"/>
            </w:pPr>
            <w:r>
              <w:rPr>
                <w:rFonts w:hint="eastAsia"/>
              </w:rPr>
              <w:t>（2）排水</w:t>
            </w:r>
          </w:p>
          <w:p>
            <w:pPr>
              <w:ind w:firstLine="480"/>
            </w:pPr>
            <w:r>
              <w:rPr>
                <w:rFonts w:hint="eastAsia"/>
              </w:rPr>
              <w:t>本项目采用雨、污分流，雨水经管道流入园区雨水收集管网。</w:t>
            </w:r>
          </w:p>
          <w:p>
            <w:pPr>
              <w:ind w:firstLine="480"/>
              <w:rPr>
                <w:rFonts w:hint="eastAsia"/>
                <w:lang w:eastAsia="zh-CN"/>
              </w:rPr>
            </w:pPr>
            <w:r>
              <w:rPr>
                <w:rFonts w:hint="eastAsia"/>
                <w:lang w:val="en-US" w:eastAsia="zh-CN"/>
              </w:rPr>
              <w:t>①</w:t>
            </w:r>
            <w:r>
              <w:rPr>
                <w:rFonts w:hint="eastAsia"/>
              </w:rPr>
              <w:t>生活污水量以生活用水量的80%计算，则项目生活污水量为608m</w:t>
            </w:r>
            <w:r>
              <w:rPr>
                <w:rFonts w:hint="eastAsia"/>
                <w:vertAlign w:val="superscript"/>
              </w:rPr>
              <w:t>3</w:t>
            </w:r>
            <w:r>
              <w:rPr>
                <w:rFonts w:hint="eastAsia"/>
              </w:rPr>
              <w:t>/a，生活污水依托双创中心化粪池预处理后，经园区污水管网排入衡阳西渡高新技术产业园区污水处理厂进一步处理</w:t>
            </w:r>
            <w:r>
              <w:rPr>
                <w:rFonts w:hint="eastAsia"/>
                <w:lang w:eastAsia="zh-CN"/>
              </w:rPr>
              <w:t>。</w:t>
            </w:r>
          </w:p>
          <w:p>
            <w:pPr>
              <w:ind w:firstLine="480"/>
              <w:rPr>
                <w:rFonts w:hint="eastAsia"/>
                <w:lang w:eastAsia="zh-CN"/>
              </w:rPr>
            </w:pPr>
            <w:r>
              <w:rPr>
                <w:rFonts w:hint="eastAsia"/>
                <w:lang w:val="en-US" w:eastAsia="zh-CN"/>
              </w:rPr>
              <w:t>②</w:t>
            </w:r>
            <w:r>
              <w:rPr>
                <w:rFonts w:hint="eastAsia"/>
              </w:rPr>
              <w:t>碱性除油池、</w:t>
            </w:r>
            <w:r>
              <w:rPr>
                <w:rFonts w:hint="eastAsia"/>
                <w:lang w:val="en-US" w:eastAsia="zh-CN"/>
              </w:rPr>
              <w:t>酸洗池、</w:t>
            </w:r>
            <w:r>
              <w:rPr>
                <w:rFonts w:hint="eastAsia"/>
              </w:rPr>
              <w:t>表调池和磷化池更换的槽液委托有资质的单位回收处理</w:t>
            </w:r>
            <w:r>
              <w:rPr>
                <w:rFonts w:hint="eastAsia"/>
                <w:lang w:eastAsia="zh-CN"/>
              </w:rPr>
              <w:t>。</w:t>
            </w:r>
          </w:p>
          <w:p>
            <w:pPr>
              <w:ind w:firstLine="480"/>
              <w:rPr>
                <w:rFonts w:hint="eastAsia"/>
                <w:lang w:val="en-US" w:eastAsia="zh-CN"/>
              </w:rPr>
            </w:pPr>
            <w:r>
              <w:rPr>
                <w:rFonts w:hint="eastAsia"/>
                <w:lang w:val="en-US" w:eastAsia="zh-CN"/>
              </w:rPr>
              <w:t>③生产废水包括水洗池的清洗废水和</w:t>
            </w:r>
            <w:r>
              <w:rPr>
                <w:rFonts w:hint="eastAsia"/>
                <w:color w:val="auto"/>
                <w:lang w:val="en-US" w:eastAsia="zh-CN"/>
              </w:rPr>
              <w:t>酸雾喷淋废水</w:t>
            </w:r>
            <w:r>
              <w:rPr>
                <w:rFonts w:hint="eastAsia"/>
                <w:lang w:val="en-US" w:eastAsia="zh-CN"/>
              </w:rPr>
              <w:t>，隔油池除油后的除油清洗废水与酸洗清洗废水、磷化清洗废水、保洁废水和碱液喷淋塔废水一起，经“调节池+一体化污水处理设施（pH调节+混凝沉淀+二沉池（斜管沉淀））”预处理达综排3级标准与接管标准中较严者后，进入市政污水管网，排至衡阳西渡高新区污水处理厂进行深度处理后达标排放。</w:t>
            </w:r>
            <w:r>
              <w:rPr>
                <w:rFonts w:hint="eastAsia"/>
              </w:rPr>
              <w:t>项目清洗产生的生产废水约为</w:t>
            </w:r>
            <w:r>
              <w:rPr>
                <w:rFonts w:hint="eastAsia"/>
                <w:lang w:val="en-US" w:eastAsia="zh-CN"/>
              </w:rPr>
              <w:t>154</w:t>
            </w:r>
            <w:r>
              <w:rPr>
                <w:rFonts w:hint="eastAsia"/>
              </w:rPr>
              <w:t>m</w:t>
            </w:r>
            <w:r>
              <w:rPr>
                <w:rFonts w:hint="eastAsia"/>
                <w:vertAlign w:val="superscript"/>
              </w:rPr>
              <w:t>3</w:t>
            </w:r>
            <w:r>
              <w:rPr>
                <w:rFonts w:hint="eastAsia"/>
              </w:rPr>
              <w:t>/a</w:t>
            </w:r>
            <w:r>
              <w:rPr>
                <w:rFonts w:hint="eastAsia"/>
                <w:lang w:eastAsia="zh-CN"/>
              </w:rPr>
              <w:t>，</w:t>
            </w:r>
            <w:r>
              <w:rPr>
                <w:rFonts w:hint="eastAsia"/>
                <w:lang w:val="en-US" w:eastAsia="zh-CN"/>
              </w:rPr>
              <w:t>碱液喷淋塔的废水产生量约为17m</w:t>
            </w:r>
            <w:r>
              <w:rPr>
                <w:rFonts w:hint="eastAsia"/>
                <w:vertAlign w:val="superscript"/>
                <w:lang w:val="en-US" w:eastAsia="zh-CN"/>
              </w:rPr>
              <w:t>3</w:t>
            </w:r>
            <w:r>
              <w:rPr>
                <w:rFonts w:hint="eastAsia"/>
                <w:lang w:val="en-US" w:eastAsia="zh-CN"/>
              </w:rPr>
              <w:t>。</w:t>
            </w:r>
          </w:p>
          <w:p>
            <w:pPr>
              <w:ind w:firstLine="480"/>
              <w:rPr>
                <w:rFonts w:hint="eastAsia"/>
                <w:lang w:val="en-US" w:eastAsia="zh-CN"/>
              </w:rPr>
            </w:pPr>
            <w:r>
              <w:rPr>
                <w:rFonts w:hint="eastAsia"/>
                <w:lang w:val="en-US" w:eastAsia="zh-CN"/>
              </w:rPr>
              <w:t>④保洁废水</w:t>
            </w:r>
          </w:p>
          <w:p>
            <w:pPr>
              <w:ind w:firstLine="480"/>
              <w:rPr>
                <w:rFonts w:hint="default"/>
                <w:lang w:val="en-US" w:eastAsia="zh-CN"/>
              </w:rPr>
            </w:pPr>
            <w:r>
              <w:rPr>
                <w:rFonts w:hint="eastAsia"/>
                <w:lang w:val="en-US" w:eastAsia="zh-CN"/>
              </w:rPr>
              <w:t>企业生产过程中需要对车间地面进行定期保洁，企业每年保洁废水产生量为121.6m</w:t>
            </w:r>
            <w:r>
              <w:rPr>
                <w:rFonts w:hint="eastAsia"/>
                <w:vertAlign w:val="superscript"/>
                <w:lang w:val="en-US" w:eastAsia="zh-CN"/>
              </w:rPr>
              <w:t>3</w:t>
            </w:r>
            <w:r>
              <w:rPr>
                <w:rFonts w:hint="eastAsia"/>
                <w:lang w:val="en-US" w:eastAsia="zh-CN"/>
              </w:rPr>
              <w:t>。车间保洁废水与前处理清洗废水和碱液喷淋塔废水一起排入厂内的污水处理设施进行预处理，在厂内预处理后排入市政管网进入</w:t>
            </w:r>
            <w:r>
              <w:rPr>
                <w:rFonts w:hint="eastAsia"/>
              </w:rPr>
              <w:t>衡阳西渡高新区污水处理厂</w:t>
            </w:r>
            <w:r>
              <w:rPr>
                <w:rFonts w:hint="eastAsia"/>
                <w:lang w:val="en-US" w:eastAsia="zh-CN"/>
              </w:rPr>
              <w:t>进一步处理。</w:t>
            </w:r>
          </w:p>
          <w:p>
            <w:pPr>
              <w:ind w:firstLine="480"/>
            </w:pPr>
            <w:r>
              <w:rPr>
                <w:rFonts w:hint="eastAsia"/>
              </w:rPr>
              <w:t>项目水平衡图如下图：</w:t>
            </w:r>
          </w:p>
          <w:p>
            <w:pPr>
              <w:ind w:firstLine="0" w:firstLineChars="0"/>
              <w:jc w:val="center"/>
              <w:rPr>
                <w:rFonts w:hint="eastAsia"/>
              </w:rPr>
            </w:pPr>
            <w:r>
              <w:rPr>
                <w:rFonts w:hint="eastAsia"/>
              </w:rPr>
              <w:drawing>
                <wp:inline distT="0" distB="0" distL="114300" distR="114300">
                  <wp:extent cx="4374515" cy="3498850"/>
                  <wp:effectExtent l="0" t="0" r="0" b="0"/>
                  <wp:docPr id="58" name="ECB019B1-382A-4266-B25C-5B523AA43C14-1" descr="C:/Users/Administrator/AppData/Local/Temp/wps.MHfKb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CB019B1-382A-4266-B25C-5B523AA43C14-1" descr="C:/Users/Administrator/AppData/Local/Temp/wps.MHfKbOwps"/>
                          <pic:cNvPicPr>
                            <a:picLocks noChangeAspect="1"/>
                          </pic:cNvPicPr>
                        </pic:nvPicPr>
                        <pic:blipFill>
                          <a:blip r:embed="rId15"/>
                          <a:stretch>
                            <a:fillRect/>
                          </a:stretch>
                        </pic:blipFill>
                        <pic:spPr>
                          <a:xfrm>
                            <a:off x="0" y="0"/>
                            <a:ext cx="4374515" cy="3498850"/>
                          </a:xfrm>
                          <a:prstGeom prst="rect">
                            <a:avLst/>
                          </a:prstGeom>
                        </pic:spPr>
                      </pic:pic>
                    </a:graphicData>
                  </a:graphic>
                </wp:inline>
              </w:drawing>
            </w:r>
          </w:p>
          <w:p>
            <w:pPr>
              <w:ind w:firstLine="0" w:firstLineChars="0"/>
              <w:jc w:val="center"/>
              <w:rPr>
                <w:b/>
                <w:bCs/>
                <w:sz w:val="21"/>
                <w:szCs w:val="21"/>
              </w:rPr>
            </w:pPr>
            <w:r>
              <w:rPr>
                <w:rFonts w:hint="eastAsia"/>
                <w:b/>
                <w:bCs/>
                <w:sz w:val="21"/>
                <w:szCs w:val="21"/>
              </w:rPr>
              <w:t>图2-1 项目水平衡图（t/a）</w:t>
            </w:r>
          </w:p>
          <w:p>
            <w:pPr>
              <w:pStyle w:val="4"/>
              <w:ind w:firstLine="482"/>
            </w:pPr>
            <w:r>
              <w:rPr>
                <w:rFonts w:hint="eastAsia"/>
              </w:rPr>
              <w:t>（3）供电</w:t>
            </w:r>
          </w:p>
          <w:p>
            <w:pPr>
              <w:ind w:firstLine="480"/>
            </w:pPr>
            <w:r>
              <w:t>本项目用电由当地市政电网供应，根据建设单位提供资料，本项目年用电量约</w:t>
            </w:r>
            <w:r>
              <w:rPr>
                <w:rFonts w:hint="eastAsia"/>
              </w:rPr>
              <w:t>3</w:t>
            </w:r>
            <w:r>
              <w:t>万度。</w:t>
            </w:r>
          </w:p>
          <w:p>
            <w:pPr>
              <w:pStyle w:val="4"/>
              <w:ind w:firstLine="482"/>
            </w:pPr>
            <w:r>
              <w:rPr>
                <w:rFonts w:hint="eastAsia"/>
              </w:rPr>
              <w:t>（4）供热</w:t>
            </w:r>
          </w:p>
          <w:p>
            <w:pPr>
              <w:ind w:firstLine="480"/>
            </w:pPr>
            <w:r>
              <w:t>本项目办公室冬季取暖采用电取暖，生产车间不供暖。</w:t>
            </w:r>
            <w:r>
              <w:rPr>
                <w:rFonts w:hint="eastAsia"/>
                <w:lang w:eastAsia="zh-CN"/>
              </w:rPr>
              <w:t>喷粉</w:t>
            </w:r>
            <w:r>
              <w:t>生产线烘干固化热源由</w:t>
            </w:r>
            <w:r>
              <w:rPr>
                <w:rFonts w:hint="eastAsia"/>
              </w:rPr>
              <w:t>生物质</w:t>
            </w:r>
            <w:r>
              <w:t>热风炉供给，燃料为</w:t>
            </w:r>
            <w:r>
              <w:rPr>
                <w:rFonts w:hint="eastAsia"/>
              </w:rPr>
              <w:t>成型生物质颗粒。根据建设单位提供资料，</w:t>
            </w:r>
            <w:r>
              <w:rPr>
                <w:rFonts w:hint="eastAsia"/>
                <w:lang w:eastAsia="zh-CN"/>
              </w:rPr>
              <w:t>喷粉</w:t>
            </w:r>
            <w:r>
              <w:rPr>
                <w:rFonts w:hint="eastAsia"/>
              </w:rPr>
              <w:t>生产线生物质颗粒总用量为</w:t>
            </w:r>
            <w:r>
              <w:rPr>
                <w:rFonts w:hint="eastAsia"/>
                <w:lang w:val="en-US" w:eastAsia="zh-CN"/>
              </w:rPr>
              <w:t>495</w:t>
            </w:r>
            <w:r>
              <w:rPr>
                <w:rFonts w:hint="eastAsia"/>
              </w:rPr>
              <w:t>t/a。</w:t>
            </w:r>
          </w:p>
          <w:p>
            <w:pPr>
              <w:pStyle w:val="2"/>
              <w:spacing w:before="120"/>
            </w:pPr>
            <w:bookmarkStart w:id="72" w:name="_Toc1648"/>
            <w:bookmarkStart w:id="73" w:name="_Toc10340"/>
            <w:bookmarkStart w:id="74" w:name="_Toc28020"/>
            <w:bookmarkStart w:id="75" w:name="_Toc20369"/>
            <w:r>
              <w:rPr>
                <w:rFonts w:hint="eastAsia"/>
              </w:rPr>
              <w:t>7、劳动定员、工作制度</w:t>
            </w:r>
            <w:bookmarkEnd w:id="72"/>
            <w:bookmarkEnd w:id="73"/>
            <w:bookmarkEnd w:id="74"/>
            <w:bookmarkEnd w:id="75"/>
          </w:p>
          <w:p>
            <w:pPr>
              <w:ind w:firstLine="480"/>
            </w:pPr>
            <w:r>
              <w:rPr>
                <w:rFonts w:hint="eastAsia"/>
              </w:rPr>
              <w:t>本项目劳动定员20人，均不在厂内食宿，8小时1班制，年工作300天。</w:t>
            </w:r>
          </w:p>
          <w:p>
            <w:pPr>
              <w:pStyle w:val="2"/>
              <w:spacing w:before="120"/>
            </w:pPr>
            <w:bookmarkStart w:id="76" w:name="_Toc5508"/>
            <w:bookmarkStart w:id="77" w:name="_Toc14782"/>
            <w:bookmarkStart w:id="78" w:name="_Toc4530"/>
            <w:bookmarkStart w:id="79" w:name="_Toc23912"/>
            <w:r>
              <w:rPr>
                <w:rFonts w:hint="eastAsia"/>
              </w:rPr>
              <w:t>8、平面布置</w:t>
            </w:r>
            <w:bookmarkEnd w:id="76"/>
            <w:bookmarkEnd w:id="77"/>
            <w:bookmarkEnd w:id="78"/>
            <w:bookmarkEnd w:id="79"/>
          </w:p>
          <w:p>
            <w:pPr>
              <w:ind w:firstLine="480"/>
            </w:pPr>
            <w:r>
              <w:rPr>
                <w:rFonts w:hint="eastAsia"/>
              </w:rPr>
              <w:t>本项目租赁衡阳西渡高新区双创中心内现有厂房28栋和23栋一层建设，位于西渡高新产业园区内，总建筑面积为6125.61平方米。28栋1F和23栋1F分别为五金加工车间和</w:t>
            </w:r>
            <w:r>
              <w:rPr>
                <w:rFonts w:hint="eastAsia"/>
                <w:lang w:val="en-US" w:eastAsia="zh-CN"/>
              </w:rPr>
              <w:t>喷粉</w:t>
            </w:r>
            <w:r>
              <w:rPr>
                <w:rFonts w:hint="eastAsia"/>
              </w:rPr>
              <w:t>车间，五金加工车间和</w:t>
            </w:r>
            <w:r>
              <w:rPr>
                <w:rFonts w:hint="eastAsia"/>
                <w:lang w:val="en-US" w:eastAsia="zh-CN"/>
              </w:rPr>
              <w:t>喷粉</w:t>
            </w:r>
            <w:r>
              <w:rPr>
                <w:rFonts w:hint="eastAsia"/>
              </w:rPr>
              <w:t>车间总体布局呈矩形，五金加工车间主要包括打圈对焊一体机、单点机自动内环机加机械手、油压机、单中环机中环点焊机、双中环机、外环机、修边机等，</w:t>
            </w:r>
            <w:r>
              <w:rPr>
                <w:rFonts w:hint="eastAsia"/>
                <w:lang w:val="en-US" w:eastAsia="zh-CN"/>
              </w:rPr>
              <w:t>喷粉</w:t>
            </w:r>
            <w:r>
              <w:rPr>
                <w:rFonts w:hint="eastAsia"/>
              </w:rPr>
              <w:t>车间主要包括一条自动喷粉生产线，其中包括前处理</w:t>
            </w:r>
            <w:r>
              <w:rPr>
                <w:rFonts w:hint="eastAsia"/>
                <w:lang w:val="en-US" w:eastAsia="zh-CN"/>
              </w:rPr>
              <w:t>生产线</w:t>
            </w:r>
            <w:r>
              <w:rPr>
                <w:rFonts w:hint="eastAsia"/>
              </w:rPr>
              <w:t>、</w:t>
            </w:r>
            <w:r>
              <w:rPr>
                <w:rFonts w:hint="eastAsia"/>
                <w:lang w:val="en-US" w:eastAsia="zh-CN"/>
              </w:rPr>
              <w:t>烘烤</w:t>
            </w:r>
            <w:r>
              <w:rPr>
                <w:rFonts w:hint="eastAsia"/>
              </w:rPr>
              <w:t>炉、固化炉、喷粉系统等；28栋2F从左到右分别为组装区和办公区，3F和4F主要用于</w:t>
            </w:r>
            <w:r>
              <w:rPr>
                <w:rFonts w:hint="eastAsia"/>
                <w:color w:val="000000"/>
              </w:rPr>
              <w:t>产品仓储。</w:t>
            </w:r>
            <w:r>
              <w:rPr>
                <w:rFonts w:hint="eastAsia"/>
              </w:rPr>
              <w:t>项目地理位置见附图1，项目总平面布置图见附图</w:t>
            </w:r>
            <w:r>
              <w:rPr>
                <w:rFonts w:hint="eastAsia"/>
                <w:lang w:val="en-US" w:eastAsia="zh-CN"/>
              </w:rPr>
              <w:t>5</w:t>
            </w: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vAlign w:val="center"/>
          </w:tcPr>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工艺流程和产排污环节</w:t>
            </w:r>
          </w:p>
        </w:tc>
        <w:tc>
          <w:tcPr>
            <w:tcW w:w="8161" w:type="dxa"/>
          </w:tcPr>
          <w:p>
            <w:pPr>
              <w:pStyle w:val="2"/>
              <w:spacing w:before="120"/>
            </w:pPr>
            <w:bookmarkStart w:id="80" w:name="_Toc10550"/>
            <w:bookmarkStart w:id="81" w:name="_Toc3506"/>
            <w:bookmarkStart w:id="82" w:name="_Toc15331"/>
            <w:bookmarkStart w:id="83" w:name="_Toc19686"/>
            <w:r>
              <w:rPr>
                <w:rFonts w:hint="eastAsia"/>
              </w:rPr>
              <w:t>1、施工期</w:t>
            </w:r>
            <w:bookmarkEnd w:id="80"/>
            <w:bookmarkEnd w:id="81"/>
            <w:bookmarkEnd w:id="82"/>
            <w:bookmarkEnd w:id="83"/>
          </w:p>
          <w:p>
            <w:pPr>
              <w:ind w:firstLine="480"/>
            </w:pPr>
            <w:r>
              <w:t>湖南小明同学电器有限公司</w:t>
            </w:r>
            <w:r>
              <w:rPr>
                <w:rFonts w:hint="eastAsia"/>
              </w:rPr>
              <w:t>租赁闲置厂房建设本项目，无土建施工，根据现场踏勘，厂房内地面已硬化，湖南小明同学电器有限公司只需对厂房进行布置，进行设备安装、调试等。本项目施工期较短，对周围环境影响较小，并且该部分的污染影响随着施工期的结束而消失，本次环评不对施工期进行详细分析。</w:t>
            </w:r>
          </w:p>
          <w:p>
            <w:pPr>
              <w:pStyle w:val="2"/>
              <w:spacing w:before="120"/>
            </w:pPr>
            <w:bookmarkStart w:id="84" w:name="_Toc25102"/>
            <w:bookmarkStart w:id="85" w:name="_Toc4478"/>
            <w:bookmarkStart w:id="86" w:name="_Toc18737"/>
            <w:bookmarkStart w:id="87" w:name="_Toc11165"/>
            <w:r>
              <w:rPr>
                <w:rFonts w:hint="eastAsia"/>
              </w:rPr>
              <w:t>2、运营期</w:t>
            </w:r>
            <w:bookmarkEnd w:id="84"/>
            <w:bookmarkEnd w:id="85"/>
            <w:bookmarkEnd w:id="86"/>
            <w:bookmarkEnd w:id="87"/>
          </w:p>
          <w:p>
            <w:pPr>
              <w:pStyle w:val="3"/>
              <w:ind w:firstLine="482"/>
            </w:pPr>
            <w:r>
              <w:rPr>
                <w:rFonts w:hint="eastAsia"/>
              </w:rPr>
              <w:t>1）</w:t>
            </w:r>
            <w:r>
              <w:rPr>
                <w:rFonts w:hint="eastAsia"/>
                <w:lang w:val="en-US" w:eastAsia="zh-CN"/>
              </w:rPr>
              <w:t>产品</w:t>
            </w:r>
            <w:r>
              <w:rPr>
                <w:rFonts w:hint="eastAsia"/>
              </w:rPr>
              <w:t>生产工艺流程</w:t>
            </w:r>
          </w:p>
          <w:p>
            <w:pPr>
              <w:ind w:firstLine="0" w:firstLineChars="0"/>
              <w:jc w:val="center"/>
              <w:rPr>
                <w:rFonts w:hint="eastAsia"/>
              </w:rPr>
            </w:pPr>
            <w:r>
              <w:rPr>
                <w:rFonts w:hint="eastAsia"/>
              </w:rPr>
              <w:drawing>
                <wp:inline distT="0" distB="0" distL="114300" distR="114300">
                  <wp:extent cx="4471035" cy="2223770"/>
                  <wp:effectExtent l="0" t="0" r="0" b="0"/>
                  <wp:docPr id="12" name="ECB019B1-382A-4266-B25C-5B523AA43C14-2" descr="C:/Users/Administrator/AppData/Local/Temp/wps.pkMqA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CB019B1-382A-4266-B25C-5B523AA43C14-2" descr="C:/Users/Administrator/AppData/Local/Temp/wps.pkMqAVwps"/>
                          <pic:cNvPicPr>
                            <a:picLocks noChangeAspect="1"/>
                          </pic:cNvPicPr>
                        </pic:nvPicPr>
                        <pic:blipFill>
                          <a:blip r:embed="rId16"/>
                          <a:stretch>
                            <a:fillRect/>
                          </a:stretch>
                        </pic:blipFill>
                        <pic:spPr>
                          <a:xfrm>
                            <a:off x="0" y="0"/>
                            <a:ext cx="4471035" cy="2223770"/>
                          </a:xfrm>
                          <a:prstGeom prst="rect">
                            <a:avLst/>
                          </a:prstGeom>
                        </pic:spPr>
                      </pic:pic>
                    </a:graphicData>
                  </a:graphic>
                </wp:inline>
              </w:drawing>
            </w:r>
          </w:p>
          <w:p>
            <w:pPr>
              <w:ind w:firstLine="0" w:firstLineChars="0"/>
              <w:jc w:val="center"/>
              <w:rPr>
                <w:u w:val="single"/>
              </w:rPr>
            </w:pPr>
            <w:r>
              <w:rPr>
                <w:rStyle w:val="40"/>
                <w:rFonts w:hint="default"/>
                <w:u w:val="single"/>
              </w:rPr>
              <w:t xml:space="preserve">图2-2 </w:t>
            </w:r>
            <w:r>
              <w:rPr>
                <w:rStyle w:val="40"/>
                <w:rFonts w:hint="eastAsia"/>
                <w:u w:val="single"/>
                <w:lang w:val="en-US" w:eastAsia="zh-CN"/>
              </w:rPr>
              <w:t>产品</w:t>
            </w:r>
            <w:r>
              <w:rPr>
                <w:rStyle w:val="40"/>
                <w:rFonts w:hint="default"/>
                <w:u w:val="single"/>
              </w:rPr>
              <w:t>生产工艺流程图</w:t>
            </w:r>
          </w:p>
          <w:p>
            <w:pPr>
              <w:ind w:firstLine="482"/>
              <w:rPr>
                <w:b/>
                <w:bCs/>
              </w:rPr>
            </w:pPr>
            <w:r>
              <w:rPr>
                <w:rFonts w:hint="eastAsia"/>
                <w:b/>
                <w:bCs/>
              </w:rPr>
              <w:t>工艺流程说明：</w:t>
            </w:r>
          </w:p>
          <w:p>
            <w:pPr>
              <w:pStyle w:val="4"/>
              <w:ind w:firstLine="482"/>
            </w:pPr>
            <w:r>
              <w:rPr>
                <w:rFonts w:hint="eastAsia"/>
              </w:rPr>
              <w:t>（1）五金加工</w:t>
            </w:r>
          </w:p>
          <w:p>
            <w:pPr>
              <w:ind w:firstLine="480"/>
            </w:pPr>
            <w:r>
              <w:rPr>
                <w:rFonts w:hint="eastAsia"/>
              </w:rPr>
              <w:t>五金加工工序包括焊接、冲孔、压型、修边等工作。按照产品要求，利用打圈对焊一体机、单中环机中环点焊机、修边机等对铁线进行加工，从而得到所需的形状和工件。该环节主要产生金属边角料、颗粒物和噪声。</w:t>
            </w:r>
          </w:p>
          <w:p>
            <w:pPr>
              <w:ind w:firstLine="482"/>
              <w:rPr>
                <w:b/>
                <w:bCs/>
              </w:rPr>
            </w:pPr>
            <w:r>
              <w:rPr>
                <w:rFonts w:hint="eastAsia"/>
                <w:b/>
                <w:bCs/>
              </w:rPr>
              <w:t>①常规家用网罩、台扇家用网罩、鸟笼形状的烤暖灯罩五金加工</w:t>
            </w:r>
          </w:p>
          <w:p>
            <w:pPr>
              <w:pStyle w:val="24"/>
            </w:pPr>
            <w:r>
              <w:drawing>
                <wp:inline distT="0" distB="0" distL="114300" distR="114300">
                  <wp:extent cx="4760595" cy="1974850"/>
                  <wp:effectExtent l="0" t="0" r="0" b="0"/>
                  <wp:docPr id="24" name="ECB019B1-382A-4266-B25C-5B523AA43C14-3" descr="C:/Users/hp/AppData/Local/Temp/wps.UWWGK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CB019B1-382A-4266-B25C-5B523AA43C14-3" descr="C:/Users/hp/AppData/Local/Temp/wps.UWWGKhwps"/>
                          <pic:cNvPicPr>
                            <a:picLocks noChangeAspect="1"/>
                          </pic:cNvPicPr>
                        </pic:nvPicPr>
                        <pic:blipFill>
                          <a:blip r:embed="rId17"/>
                          <a:stretch>
                            <a:fillRect/>
                          </a:stretch>
                        </pic:blipFill>
                        <pic:spPr>
                          <a:xfrm>
                            <a:off x="0" y="0"/>
                            <a:ext cx="4760595" cy="1974850"/>
                          </a:xfrm>
                          <a:prstGeom prst="rect">
                            <a:avLst/>
                          </a:prstGeom>
                        </pic:spPr>
                      </pic:pic>
                    </a:graphicData>
                  </a:graphic>
                </wp:inline>
              </w:drawing>
            </w:r>
          </w:p>
          <w:p>
            <w:pPr>
              <w:pStyle w:val="37"/>
              <w:spacing w:before="72" w:after="120"/>
              <w:rPr>
                <w:rFonts w:hint="default"/>
              </w:rPr>
            </w:pPr>
            <w:r>
              <w:t>图2-3 网罩五金加工工艺流程图</w:t>
            </w:r>
          </w:p>
          <w:p>
            <w:pPr>
              <w:ind w:firstLine="482"/>
              <w:rPr>
                <w:b/>
                <w:bCs/>
              </w:rPr>
            </w:pPr>
            <w:r>
              <w:rPr>
                <w:rFonts w:hint="eastAsia"/>
                <w:b/>
                <w:bCs/>
              </w:rPr>
              <w:t>网罩五金加工工艺流程说明：</w:t>
            </w:r>
          </w:p>
          <w:p>
            <w:pPr>
              <w:ind w:firstLine="480"/>
            </w:pPr>
            <w:r>
              <w:rPr>
                <w:rFonts w:hint="eastAsia"/>
              </w:rPr>
              <w:t>a.焊接</w:t>
            </w:r>
          </w:p>
          <w:p>
            <w:pPr>
              <w:ind w:firstLine="480"/>
            </w:pPr>
            <w:r>
              <w:rPr>
                <w:rFonts w:hint="eastAsia"/>
              </w:rPr>
              <w:t>利用打圈对焊一体机焊接成型外圆、内圆、中心圆，内圆完成，放置在单点焊机上，通过机械手臂移动在固定模具上，线材通过输送设定长度，在固定位置完成网罩内中心T型线焊接。焊接完毕，机械手臂把成品移动到放置产品处。该环节主要产生颗粒物、金属边角料和噪声。</w:t>
            </w:r>
          </w:p>
          <w:p>
            <w:pPr>
              <w:ind w:firstLine="480"/>
            </w:pPr>
            <w:r>
              <w:rPr>
                <w:rFonts w:hint="eastAsia"/>
              </w:rPr>
              <w:t>b.冲孔</w:t>
            </w:r>
          </w:p>
          <w:p>
            <w:pPr>
              <w:ind w:firstLine="480"/>
            </w:pPr>
            <w:r>
              <w:t>设备加上冲孔装置，</w:t>
            </w:r>
            <w:r>
              <w:rPr>
                <w:rFonts w:hint="eastAsia"/>
              </w:rPr>
              <w:t>在</w:t>
            </w:r>
            <w:r>
              <w:t>特定位置冲孔成型，无需冲孔时，关闭冲孔设定。</w:t>
            </w:r>
            <w:r>
              <w:rPr>
                <w:rFonts w:hint="eastAsia"/>
              </w:rPr>
              <w:t>该环节主要产生金属边角料和噪声。</w:t>
            </w:r>
          </w:p>
          <w:p>
            <w:pPr>
              <w:ind w:firstLine="480"/>
            </w:pPr>
            <w:r>
              <w:rPr>
                <w:rFonts w:hint="eastAsia"/>
              </w:rPr>
              <w:t>c.压型</w:t>
            </w:r>
          </w:p>
          <w:p>
            <w:pPr>
              <w:ind w:firstLine="480"/>
            </w:pPr>
            <w:r>
              <w:t>机械手臂把成品移动到压型模具中心位置，压型完毕，通过机械手臂吸附成品移动至放置产品处。</w:t>
            </w:r>
            <w:r>
              <w:rPr>
                <w:rFonts w:hint="eastAsia"/>
              </w:rPr>
              <w:t>该环节主要产生噪声。</w:t>
            </w:r>
          </w:p>
          <w:p>
            <w:pPr>
              <w:ind w:firstLine="480"/>
            </w:pPr>
            <w:r>
              <w:rPr>
                <w:rFonts w:hint="eastAsia"/>
              </w:rPr>
              <w:t>d.焊接</w:t>
            </w:r>
          </w:p>
          <w:p>
            <w:pPr>
              <w:ind w:firstLine="480"/>
            </w:pPr>
            <w:r>
              <w:rPr>
                <w:rFonts w:hint="eastAsia"/>
              </w:rPr>
              <w:t>利用打圈对焊一体机完成中内环圈放在模具上，再把已完成上两步的成品放在电焊的模具上，焊位设定，通过转动模具进行焊接。鸟笼的制作还需用专用模具焊接鸟笼上的顶圈。该环节主要产生颗粒物、金属边角料和噪声。</w:t>
            </w:r>
          </w:p>
          <w:p>
            <w:pPr>
              <w:ind w:firstLine="480"/>
            </w:pPr>
            <w:r>
              <w:rPr>
                <w:rFonts w:hint="eastAsia"/>
              </w:rPr>
              <w:t>e.修边</w:t>
            </w:r>
          </w:p>
          <w:p>
            <w:pPr>
              <w:ind w:firstLine="480"/>
            </w:pPr>
            <w:r>
              <w:t>利用修边机把</w:t>
            </w:r>
            <w:r>
              <w:rPr>
                <w:rFonts w:hint="eastAsia"/>
              </w:rPr>
              <w:t>上一步</w:t>
            </w:r>
            <w:r>
              <w:t>完成</w:t>
            </w:r>
            <w:r>
              <w:rPr>
                <w:rFonts w:hint="eastAsia"/>
              </w:rPr>
              <w:t>工件</w:t>
            </w:r>
            <w:r>
              <w:t>的瑕疵位置修正。该环节主要产生金属边角料和噪声。</w:t>
            </w:r>
          </w:p>
          <w:p>
            <w:pPr>
              <w:ind w:firstLine="480"/>
            </w:pPr>
            <w:r>
              <w:rPr>
                <w:rFonts w:hint="eastAsia"/>
              </w:rPr>
              <w:t>f.成型</w:t>
            </w:r>
          </w:p>
          <w:p>
            <w:pPr>
              <w:ind w:firstLine="480"/>
            </w:pPr>
            <w:r>
              <w:rPr>
                <w:rFonts w:hint="eastAsia"/>
              </w:rPr>
              <w:t>在设备上设定好提手规格，</w:t>
            </w:r>
            <w:r>
              <w:t>利用2D弯线机成型</w:t>
            </w:r>
            <w:r>
              <w:rPr>
                <w:rFonts w:hint="eastAsia"/>
              </w:rPr>
              <w:t>网罩上的提手。该环节主要产生金属边角料和噪声。</w:t>
            </w:r>
          </w:p>
          <w:p>
            <w:pPr>
              <w:ind w:firstLine="480"/>
            </w:pPr>
            <w:r>
              <w:rPr>
                <w:rFonts w:hint="eastAsia"/>
              </w:rPr>
              <w:t>g.焊接</w:t>
            </w:r>
          </w:p>
          <w:p>
            <w:pPr>
              <w:ind w:firstLine="480"/>
            </w:pPr>
            <w:r>
              <w:t>利用提手电焊机将提手焊接在固定位置。该环节主要产生颗粒物和噪声。</w:t>
            </w:r>
          </w:p>
          <w:p>
            <w:pPr>
              <w:ind w:firstLine="482"/>
              <w:rPr>
                <w:b/>
                <w:bCs/>
              </w:rPr>
            </w:pPr>
            <w:r>
              <w:rPr>
                <w:rFonts w:hint="eastAsia"/>
                <w:b/>
                <w:bCs/>
              </w:rPr>
              <w:t>②铁丝工艺品</w:t>
            </w:r>
            <w:r>
              <w:rPr>
                <w:rFonts w:hint="eastAsia"/>
                <w:b/>
                <w:bCs/>
                <w:lang w:eastAsia="zh-CN"/>
              </w:rPr>
              <w:t>、</w:t>
            </w:r>
            <w:r>
              <w:rPr>
                <w:rFonts w:hint="eastAsia"/>
                <w:b/>
                <w:bCs/>
                <w:lang w:val="en-US" w:eastAsia="zh-CN"/>
              </w:rPr>
              <w:t>碗体</w:t>
            </w:r>
            <w:r>
              <w:rPr>
                <w:rFonts w:hint="eastAsia"/>
                <w:b/>
                <w:bCs/>
              </w:rPr>
              <w:t>五金加工</w:t>
            </w:r>
          </w:p>
          <w:p>
            <w:pPr>
              <w:ind w:firstLine="482"/>
              <w:rPr>
                <w:b/>
                <w:bCs/>
              </w:rPr>
            </w:pPr>
            <w:r>
              <w:rPr>
                <w:b/>
                <w:bCs/>
              </w:rPr>
              <w:drawing>
                <wp:inline distT="0" distB="0" distL="114300" distR="114300">
                  <wp:extent cx="4189095" cy="2366010"/>
                  <wp:effectExtent l="0" t="0" r="0" b="0"/>
                  <wp:docPr id="11" name="ECB019B1-382A-4266-B25C-5B523AA43C14-4" descr="C:/Users/Administrator/AppData/Local/Temp/wps.aEnps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CB019B1-382A-4266-B25C-5B523AA43C14-4" descr="C:/Users/Administrator/AppData/Local/Temp/wps.aEnpsrwps"/>
                          <pic:cNvPicPr>
                            <a:picLocks noChangeAspect="1"/>
                          </pic:cNvPicPr>
                        </pic:nvPicPr>
                        <pic:blipFill>
                          <a:blip r:embed="rId18"/>
                          <a:stretch>
                            <a:fillRect/>
                          </a:stretch>
                        </pic:blipFill>
                        <pic:spPr>
                          <a:xfrm>
                            <a:off x="0" y="0"/>
                            <a:ext cx="4189095" cy="2366010"/>
                          </a:xfrm>
                          <a:prstGeom prst="rect">
                            <a:avLst/>
                          </a:prstGeom>
                        </pic:spPr>
                      </pic:pic>
                    </a:graphicData>
                  </a:graphic>
                </wp:inline>
              </w:drawing>
            </w:r>
          </w:p>
          <w:p>
            <w:pPr>
              <w:pStyle w:val="37"/>
              <w:spacing w:before="72" w:after="120"/>
              <w:rPr>
                <w:rFonts w:hint="default"/>
              </w:rPr>
            </w:pPr>
            <w:r>
              <w:t>图2-4 铁丝工艺品五金加工工艺流程图</w:t>
            </w:r>
          </w:p>
          <w:p>
            <w:pPr>
              <w:ind w:firstLine="482"/>
            </w:pPr>
            <w:r>
              <w:rPr>
                <w:rFonts w:hint="eastAsia"/>
                <w:b/>
                <w:bCs/>
              </w:rPr>
              <w:t>铁丝工艺品</w:t>
            </w:r>
            <w:r>
              <w:rPr>
                <w:rFonts w:hint="eastAsia"/>
                <w:b/>
                <w:bCs/>
                <w:lang w:eastAsia="zh-CN"/>
              </w:rPr>
              <w:t>、</w:t>
            </w:r>
            <w:r>
              <w:rPr>
                <w:rFonts w:hint="eastAsia"/>
                <w:b/>
                <w:bCs/>
                <w:lang w:val="en-US" w:eastAsia="zh-CN"/>
              </w:rPr>
              <w:t>碗体</w:t>
            </w:r>
            <w:r>
              <w:rPr>
                <w:rFonts w:hint="eastAsia"/>
                <w:b/>
                <w:bCs/>
              </w:rPr>
              <w:t>五金加工工艺流程说明：</w:t>
            </w:r>
          </w:p>
          <w:p>
            <w:pPr>
              <w:ind w:firstLine="480"/>
            </w:pPr>
            <w:r>
              <w:rPr>
                <w:rFonts w:hint="eastAsia"/>
              </w:rPr>
              <w:t>a.裁剪</w:t>
            </w:r>
          </w:p>
          <w:p>
            <w:pPr>
              <w:ind w:firstLine="480"/>
            </w:pPr>
            <w:r>
              <w:rPr>
                <w:rFonts w:hint="eastAsia"/>
              </w:rPr>
              <w:t>将钢卷铺平，按设计尺寸对相应部位进行裁剪。该环节主要产生金属边角料和噪声。</w:t>
            </w:r>
          </w:p>
          <w:p>
            <w:pPr>
              <w:ind w:firstLine="480"/>
            </w:pPr>
            <w:r>
              <w:rPr>
                <w:rFonts w:hint="eastAsia"/>
              </w:rPr>
              <w:t>b.打孔</w:t>
            </w:r>
          </w:p>
          <w:p>
            <w:pPr>
              <w:ind w:firstLine="480"/>
            </w:pPr>
            <w:r>
              <w:rPr>
                <w:rFonts w:hint="eastAsia"/>
              </w:rPr>
              <w:t>在工件上确定打孔位置后，对准打孔中心，开始打孔。该环节主要产生金属边角料和噪声。</w:t>
            </w:r>
          </w:p>
          <w:p>
            <w:pPr>
              <w:ind w:firstLine="480"/>
            </w:pPr>
            <w:r>
              <w:rPr>
                <w:rFonts w:hint="eastAsia"/>
              </w:rPr>
              <w:t>c.辊压</w:t>
            </w:r>
          </w:p>
          <w:p>
            <w:pPr>
              <w:ind w:firstLine="480"/>
            </w:pPr>
            <w:r>
              <w:rPr>
                <w:rFonts w:hint="eastAsia"/>
              </w:rPr>
              <w:t>工件在辊压设备作用下发生局部的塑性变形，最终形成特定截面形状。该环节主要产生噪声。</w:t>
            </w:r>
          </w:p>
          <w:p>
            <w:pPr>
              <w:ind w:firstLine="480"/>
            </w:pPr>
            <w:r>
              <w:rPr>
                <w:rFonts w:hint="eastAsia"/>
              </w:rPr>
              <w:t>d.焊接</w:t>
            </w:r>
          </w:p>
          <w:p>
            <w:pPr>
              <w:ind w:firstLine="480"/>
            </w:pPr>
            <w:r>
              <w:rPr>
                <w:rFonts w:hint="eastAsia"/>
              </w:rPr>
              <w:t>将工件接头置于点焊机的上下电极之间并夹紧，通过电源传输使两个工件的接触面受热，局部熔化。切断电源保持压力，使熔化点在压力作用下冷却凝固。该环节主要产生颗粒物和噪声。</w:t>
            </w:r>
          </w:p>
          <w:p>
            <w:pPr>
              <w:pStyle w:val="4"/>
              <w:ind w:firstLine="482"/>
            </w:pPr>
            <w:r>
              <w:rPr>
                <w:rFonts w:hint="eastAsia"/>
              </w:rPr>
              <w:t>（2）前处理</w:t>
            </w:r>
          </w:p>
          <w:p>
            <w:pPr>
              <w:ind w:firstLine="480"/>
            </w:pPr>
            <w:r>
              <w:rPr>
                <w:rFonts w:hint="eastAsia"/>
              </w:rPr>
              <w:t>项目设置1条表面处理流水线，工件按照设定的移动速度依次通过：“碱性除油池—</w:t>
            </w:r>
            <w:r>
              <w:rPr>
                <w:rFonts w:hint="eastAsia"/>
                <w:lang w:val="en-US" w:eastAsia="zh-CN"/>
              </w:rPr>
              <w:t>清水池1</w:t>
            </w:r>
            <w:r>
              <w:rPr>
                <w:rFonts w:hint="eastAsia"/>
              </w:rPr>
              <w:t>—清水池</w:t>
            </w:r>
            <w:r>
              <w:rPr>
                <w:rFonts w:hint="eastAsia"/>
                <w:lang w:val="en-US" w:eastAsia="zh-CN"/>
              </w:rPr>
              <w:t>2</w:t>
            </w:r>
            <w:r>
              <w:rPr>
                <w:rFonts w:hint="eastAsia"/>
              </w:rPr>
              <w:t>—</w:t>
            </w:r>
            <w:r>
              <w:rPr>
                <w:rFonts w:hint="eastAsia"/>
                <w:lang w:val="en-US" w:eastAsia="zh-CN"/>
              </w:rPr>
              <w:t>酸洗</w:t>
            </w:r>
            <w:r>
              <w:rPr>
                <w:rFonts w:hint="eastAsia"/>
              </w:rPr>
              <w:t>池—</w:t>
            </w:r>
            <w:r>
              <w:rPr>
                <w:rFonts w:hint="eastAsia"/>
                <w:lang w:val="en-US" w:eastAsia="zh-CN"/>
              </w:rPr>
              <w:t>清水池3—</w:t>
            </w:r>
            <w:r>
              <w:rPr>
                <w:rFonts w:hint="eastAsia"/>
              </w:rPr>
              <w:t>清水池</w:t>
            </w:r>
            <w:r>
              <w:rPr>
                <w:rFonts w:hint="eastAsia"/>
                <w:lang w:val="en-US" w:eastAsia="zh-CN"/>
              </w:rPr>
              <w:t>4</w:t>
            </w:r>
            <w:r>
              <w:rPr>
                <w:rFonts w:hint="eastAsia"/>
              </w:rPr>
              <w:t>—表调池—磷化池—清水池</w:t>
            </w:r>
            <w:r>
              <w:rPr>
                <w:rFonts w:hint="eastAsia"/>
                <w:lang w:val="en-US" w:eastAsia="zh-CN"/>
              </w:rPr>
              <w:t>5</w:t>
            </w:r>
            <w:r>
              <w:rPr>
                <w:rFonts w:hint="eastAsia"/>
              </w:rPr>
              <w:t>”。前处理主要用于清除工件表面的油斑、铁锈和其他杂质，使得工件易于</w:t>
            </w:r>
            <w:r>
              <w:rPr>
                <w:rFonts w:hint="eastAsia"/>
                <w:lang w:val="en-US" w:eastAsia="zh-CN"/>
              </w:rPr>
              <w:t>涂装</w:t>
            </w:r>
            <w:r>
              <w:rPr>
                <w:rFonts w:hint="eastAsia"/>
              </w:rPr>
              <w:t>。该环节主要产生槽渣、废水和噪声。</w:t>
            </w:r>
          </w:p>
          <w:p>
            <w:pPr>
              <w:ind w:firstLine="480"/>
            </w:pPr>
            <w:r>
              <w:rPr>
                <w:rFonts w:hint="eastAsia"/>
              </w:rPr>
              <w:t>前处理的工艺流程见下图：</w:t>
            </w:r>
          </w:p>
          <w:p>
            <w:pPr>
              <w:pStyle w:val="24"/>
            </w:pPr>
            <w:r>
              <w:rPr>
                <w:rFonts w:hint="eastAsia"/>
              </w:rPr>
              <w:drawing>
                <wp:inline distT="0" distB="0" distL="114300" distR="114300">
                  <wp:extent cx="5083175" cy="1459865"/>
                  <wp:effectExtent l="0" t="0" r="0" b="0"/>
                  <wp:docPr id="57" name="ECB019B1-382A-4266-B25C-5B523AA43C14-5" descr="C:/Users/Administrator/AppData/Local/Temp/wps.XoTZCV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CB019B1-382A-4266-B25C-5B523AA43C14-5" descr="C:/Users/Administrator/AppData/Local/Temp/wps.XoTZCVwps"/>
                          <pic:cNvPicPr>
                            <a:picLocks noChangeAspect="1"/>
                          </pic:cNvPicPr>
                        </pic:nvPicPr>
                        <pic:blipFill>
                          <a:blip r:embed="rId19"/>
                          <a:stretch>
                            <a:fillRect/>
                          </a:stretch>
                        </pic:blipFill>
                        <pic:spPr>
                          <a:xfrm>
                            <a:off x="0" y="0"/>
                            <a:ext cx="5083175" cy="1459865"/>
                          </a:xfrm>
                          <a:prstGeom prst="rect">
                            <a:avLst/>
                          </a:prstGeom>
                        </pic:spPr>
                      </pic:pic>
                    </a:graphicData>
                  </a:graphic>
                </wp:inline>
              </w:drawing>
            </w:r>
          </w:p>
          <w:p>
            <w:pPr>
              <w:pStyle w:val="37"/>
              <w:spacing w:before="72" w:after="120"/>
              <w:rPr>
                <w:rFonts w:hint="default"/>
              </w:rPr>
            </w:pPr>
            <w:r>
              <w:t>图2-5 前处理工艺流程图</w:t>
            </w:r>
          </w:p>
          <w:p>
            <w:pPr>
              <w:ind w:firstLine="482"/>
              <w:rPr>
                <w:b/>
                <w:bCs/>
              </w:rPr>
            </w:pPr>
            <w:r>
              <w:rPr>
                <w:rFonts w:hint="eastAsia"/>
                <w:b/>
                <w:bCs/>
              </w:rPr>
              <w:t>前处理工艺流程说明：</w:t>
            </w:r>
          </w:p>
          <w:p>
            <w:pPr>
              <w:ind w:firstLine="480"/>
            </w:pPr>
            <w:r>
              <w:rPr>
                <w:rFonts w:hint="eastAsia"/>
              </w:rPr>
              <w:t>a.碱性除油</w:t>
            </w:r>
          </w:p>
          <w:p>
            <w:pPr>
              <w:ind w:firstLine="480"/>
            </w:pPr>
            <w:r>
              <w:rPr>
                <w:rFonts w:hint="eastAsia"/>
              </w:rPr>
              <w:t>利用除油剂和除油粉与油脂发生化学反应从而去除工件表面的油污，按照一定比例配制除油液，利用除油液除去金属工件表面的油污。除油分两个步骤进行，两个碱性除油池采用同样清洗方式。碱性除油槽液循环使用，当清洗效果明显下降或清洗时间过长时，需按工作液的比例补加除油剂和水。</w:t>
            </w:r>
            <w:r>
              <w:t>产生的</w:t>
            </w:r>
            <w:r>
              <w:rPr>
                <w:rFonts w:hint="eastAsia"/>
              </w:rPr>
              <w:t>槽渣</w:t>
            </w:r>
            <w:r>
              <w:t>和</w:t>
            </w:r>
            <w:r>
              <w:rPr>
                <w:rFonts w:hint="eastAsia"/>
              </w:rPr>
              <w:t>废除油</w:t>
            </w:r>
            <w:r>
              <w:t>液交由有资质单位清运处置。</w:t>
            </w:r>
            <w:r>
              <w:rPr>
                <w:rFonts w:hint="eastAsia"/>
              </w:rPr>
              <w:t>该环节主要产生废包装桶（除油剂）、废包装袋（除油粉）、槽渣、废碱性除油液和噪声。</w:t>
            </w:r>
          </w:p>
          <w:p>
            <w:pPr>
              <w:ind w:firstLine="480"/>
            </w:pPr>
            <w:r>
              <w:rPr>
                <w:rFonts w:hint="eastAsia"/>
              </w:rPr>
              <w:t>b.水洗1、水洗2</w:t>
            </w:r>
          </w:p>
          <w:p>
            <w:pPr>
              <w:ind w:firstLine="480"/>
            </w:pPr>
            <w:r>
              <w:rPr>
                <w:rFonts w:hint="eastAsia"/>
              </w:rPr>
              <w:t>工件除油后，经输送线进入水洗池，首先用水洗1对工件表面进行清洗去除工件表面的除油液。为了进一步洗去工件表面除油液，再采用水洗2对工件继续清洗，水洗均为常温水洗，清洗水可循环使用，定期更换水洗池的清洗水，</w:t>
            </w:r>
            <w:r>
              <w:t>废水排入厂区内污水处理站处理</w:t>
            </w:r>
            <w:r>
              <w:rPr>
                <w:rFonts w:hint="eastAsia"/>
              </w:rPr>
              <w:t>。此过程产生清洗废水和噪声。</w:t>
            </w:r>
          </w:p>
          <w:p>
            <w:pPr>
              <w:ind w:firstLine="480"/>
            </w:pPr>
            <w:r>
              <w:rPr>
                <w:rFonts w:hint="eastAsia"/>
              </w:rPr>
              <w:t>c.</w:t>
            </w:r>
            <w:r>
              <w:rPr>
                <w:rFonts w:hint="eastAsia"/>
                <w:lang w:val="en-US" w:eastAsia="zh-CN"/>
              </w:rPr>
              <w:t>酸洗</w:t>
            </w:r>
          </w:p>
          <w:p>
            <w:pPr>
              <w:ind w:firstLine="480"/>
              <w:rPr>
                <w:rFonts w:hint="default"/>
                <w:lang w:val="en-US" w:eastAsia="zh-CN"/>
              </w:rPr>
            </w:pPr>
            <w:r>
              <w:rPr>
                <w:rFonts w:hint="eastAsia"/>
                <w:lang w:val="en-US" w:eastAsia="zh-CN"/>
              </w:rPr>
              <w:t>酸洗是利用酸溶液去除钢铁表面上的氧化皮和锈蚀物，是清洁金属表面的一种方法。本项目酸洗液循环使用，定期更换，产生的</w:t>
            </w:r>
            <w:r>
              <w:rPr>
                <w:rFonts w:hint="eastAsia"/>
              </w:rPr>
              <w:t>槽渣</w:t>
            </w:r>
            <w:r>
              <w:t>和</w:t>
            </w:r>
            <w:r>
              <w:rPr>
                <w:rFonts w:hint="eastAsia"/>
              </w:rPr>
              <w:t>废</w:t>
            </w:r>
            <w:r>
              <w:t>液定期交由有资质单位清运处置。此工序主要产生</w:t>
            </w:r>
            <w:r>
              <w:rPr>
                <w:rFonts w:hint="eastAsia"/>
                <w:lang w:val="en-US" w:eastAsia="zh-CN"/>
              </w:rPr>
              <w:t>酸雾（氯化氢）、</w:t>
            </w:r>
            <w:r>
              <w:rPr>
                <w:rFonts w:hint="eastAsia"/>
              </w:rPr>
              <w:t>废包装桶（</w:t>
            </w:r>
            <w:r>
              <w:rPr>
                <w:rFonts w:hint="eastAsia"/>
                <w:lang w:val="en-US" w:eastAsia="zh-CN"/>
              </w:rPr>
              <w:t>酸洗剂</w:t>
            </w:r>
            <w:r>
              <w:rPr>
                <w:rFonts w:hint="eastAsia"/>
              </w:rPr>
              <w:t>）、槽渣、</w:t>
            </w:r>
            <w:r>
              <w:t>废</w:t>
            </w:r>
            <w:r>
              <w:rPr>
                <w:rFonts w:hint="eastAsia"/>
                <w:lang w:val="en-US" w:eastAsia="zh-CN"/>
              </w:rPr>
              <w:t>酸洗</w:t>
            </w:r>
            <w:r>
              <w:t>液</w:t>
            </w:r>
            <w:r>
              <w:rPr>
                <w:rFonts w:hint="eastAsia"/>
              </w:rPr>
              <w:t>和</w:t>
            </w:r>
            <w:r>
              <w:t>噪声</w:t>
            </w:r>
            <w:r>
              <w:rPr>
                <w:rFonts w:hint="eastAsia"/>
              </w:rPr>
              <w:t>。</w:t>
            </w:r>
          </w:p>
          <w:p>
            <w:pPr>
              <w:ind w:firstLine="480"/>
              <w:rPr>
                <w:rFonts w:hint="default" w:eastAsia="宋体"/>
                <w:lang w:val="en-US" w:eastAsia="zh-CN"/>
              </w:rPr>
            </w:pPr>
            <w:r>
              <w:rPr>
                <w:rFonts w:hint="eastAsia"/>
              </w:rPr>
              <w:t>d.水洗3</w:t>
            </w:r>
            <w:r>
              <w:rPr>
                <w:rFonts w:hint="eastAsia"/>
                <w:lang w:eastAsia="zh-CN"/>
              </w:rPr>
              <w:t>、</w:t>
            </w:r>
            <w:r>
              <w:rPr>
                <w:rFonts w:hint="eastAsia"/>
                <w:lang w:val="en-US" w:eastAsia="zh-CN"/>
              </w:rPr>
              <w:t>水洗4</w:t>
            </w:r>
          </w:p>
          <w:p>
            <w:pPr>
              <w:ind w:firstLine="480"/>
            </w:pPr>
            <w:r>
              <w:rPr>
                <w:rFonts w:hint="eastAsia"/>
                <w:lang w:val="en-US" w:eastAsia="zh-CN"/>
              </w:rPr>
              <w:t>酸洗</w:t>
            </w:r>
            <w:r>
              <w:rPr>
                <w:rFonts w:hint="eastAsia"/>
              </w:rPr>
              <w:t>处理后的工件进行水洗处理，目的是为了去除工件表面残留的</w:t>
            </w:r>
            <w:r>
              <w:rPr>
                <w:rFonts w:hint="eastAsia"/>
                <w:lang w:val="en-US" w:eastAsia="zh-CN"/>
              </w:rPr>
              <w:t>酸洗液</w:t>
            </w:r>
            <w:r>
              <w:rPr>
                <w:rFonts w:hint="eastAsia"/>
              </w:rPr>
              <w:t>和其他杂质。</w:t>
            </w:r>
            <w:r>
              <w:t>清洗水循环使用，定期补充新水，废水排入厂区内污水处理站处理，此工序主要产生</w:t>
            </w:r>
            <w:r>
              <w:rPr>
                <w:rFonts w:hint="eastAsia"/>
              </w:rPr>
              <w:t>清洗废水和噪声。</w:t>
            </w:r>
          </w:p>
          <w:p>
            <w:pPr>
              <w:ind w:firstLine="480"/>
            </w:pPr>
            <w:r>
              <w:rPr>
                <w:rFonts w:hint="eastAsia"/>
              </w:rPr>
              <w:t>e.表调</w:t>
            </w:r>
          </w:p>
          <w:p>
            <w:pPr>
              <w:ind w:firstLine="480"/>
              <w:rPr>
                <w:rFonts w:hint="eastAsia"/>
              </w:rPr>
            </w:pPr>
            <w:r>
              <w:t>首先将表调剂按比例进行</w:t>
            </w:r>
            <w:r>
              <w:rPr>
                <w:rFonts w:hint="eastAsia"/>
              </w:rPr>
              <w:t>配制</w:t>
            </w:r>
            <w:r>
              <w:t>，充分搅拌使其溶解均匀后，补足余量水并搅拌均匀。表调工艺能提升成膜性能，提高成膜厚度，表调后胶体在工件表面吸附形成大量的结晶核磷化生长点，使工件表面活性均一化。表调液连续循环使用</w:t>
            </w:r>
            <w:r>
              <w:rPr>
                <w:rFonts w:hint="eastAsia"/>
              </w:rPr>
              <w:t>，</w:t>
            </w:r>
            <w:r>
              <w:t>产生的</w:t>
            </w:r>
            <w:r>
              <w:rPr>
                <w:rFonts w:hint="eastAsia"/>
              </w:rPr>
              <w:t>槽渣</w:t>
            </w:r>
            <w:r>
              <w:t>和</w:t>
            </w:r>
            <w:r>
              <w:rPr>
                <w:rFonts w:hint="eastAsia"/>
              </w:rPr>
              <w:t>废表调</w:t>
            </w:r>
            <w:r>
              <w:t>液定期交由有资质单位定时清运处置。此工序主要产生</w:t>
            </w:r>
            <w:r>
              <w:rPr>
                <w:rFonts w:hint="eastAsia"/>
              </w:rPr>
              <w:t>废包装桶（表调剂）、槽渣、</w:t>
            </w:r>
            <w:r>
              <w:t>废表调液</w:t>
            </w:r>
            <w:r>
              <w:rPr>
                <w:rFonts w:hint="eastAsia"/>
              </w:rPr>
              <w:t>和</w:t>
            </w:r>
            <w:r>
              <w:t>噪声</w:t>
            </w:r>
            <w:r>
              <w:rPr>
                <w:rFonts w:hint="eastAsia"/>
              </w:rPr>
              <w:t>。</w:t>
            </w:r>
          </w:p>
          <w:p>
            <w:pPr>
              <w:ind w:firstLine="480"/>
            </w:pPr>
            <w:r>
              <w:rPr>
                <w:rFonts w:hint="eastAsia"/>
              </w:rPr>
              <w:t>f.磷化</w:t>
            </w:r>
          </w:p>
          <w:p>
            <w:pPr>
              <w:ind w:firstLine="480"/>
            </w:pPr>
            <w:r>
              <w:t>磷化用于涂装前进行打底，提高涂装过程中涂层的附着度，并为工件增强防腐效果，防止工件被腐蚀。为保证磷化效果，磷化液定期补充。槽渣槽液定期清理，产生的</w:t>
            </w:r>
            <w:r>
              <w:rPr>
                <w:rFonts w:hint="eastAsia"/>
              </w:rPr>
              <w:t>槽渣</w:t>
            </w:r>
            <w:r>
              <w:t>和废磷化液定期交由有资质单位定时清运处置。此工序主要产生</w:t>
            </w:r>
            <w:r>
              <w:rPr>
                <w:rFonts w:hint="eastAsia"/>
              </w:rPr>
              <w:t>废包装桶（磷化剂）、槽渣、</w:t>
            </w:r>
            <w:r>
              <w:t>废磷化液</w:t>
            </w:r>
            <w:r>
              <w:rPr>
                <w:rFonts w:hint="eastAsia"/>
              </w:rPr>
              <w:t>和噪声。</w:t>
            </w:r>
          </w:p>
          <w:p>
            <w:pPr>
              <w:ind w:firstLine="480"/>
            </w:pPr>
            <w:r>
              <w:rPr>
                <w:rFonts w:hint="eastAsia"/>
                <w:lang w:val="en-US" w:eastAsia="zh-CN"/>
              </w:rPr>
              <w:t>g.水洗5</w:t>
            </w:r>
          </w:p>
          <w:p>
            <w:pPr>
              <w:ind w:firstLine="480"/>
            </w:pPr>
            <w:r>
              <w:t>磷化后的工件进行水洗，去除</w:t>
            </w:r>
            <w:r>
              <w:rPr>
                <w:rFonts w:hint="eastAsia"/>
              </w:rPr>
              <w:t>多余</w:t>
            </w:r>
            <w:r>
              <w:t>的磷化液。清洗水循环使用，定期补充新水，废水排入厂区内污水处理站处理，此工序主要产生</w:t>
            </w:r>
            <w:r>
              <w:rPr>
                <w:rFonts w:hint="eastAsia"/>
              </w:rPr>
              <w:t>清洗废水和噪声。</w:t>
            </w:r>
          </w:p>
          <w:p>
            <w:pPr>
              <w:pStyle w:val="4"/>
              <w:ind w:firstLine="482"/>
            </w:pPr>
            <w:r>
              <w:rPr>
                <w:rFonts w:hint="eastAsia"/>
              </w:rPr>
              <w:t>（3）烘干</w:t>
            </w:r>
          </w:p>
          <w:p>
            <w:pPr>
              <w:ind w:firstLine="480"/>
              <w:rPr>
                <w:u w:val="single"/>
              </w:rPr>
            </w:pPr>
            <w:r>
              <w:rPr>
                <w:rFonts w:hint="eastAsia"/>
                <w:u w:val="single"/>
              </w:rPr>
              <w:t>前处理后的工件进入</w:t>
            </w:r>
            <w:r>
              <w:rPr>
                <w:rFonts w:hint="eastAsia"/>
                <w:u w:val="single"/>
                <w:lang w:val="en-US" w:eastAsia="zh-CN"/>
              </w:rPr>
              <w:t>烘烤</w:t>
            </w:r>
            <w:r>
              <w:rPr>
                <w:rFonts w:hint="eastAsia"/>
                <w:u w:val="single"/>
              </w:rPr>
              <w:t>炉进行烘干，烘干温度为130℃-160℃，烘干时间约为15min。该环节由生物质热风炉供热，会产生生物质燃烧烟气，主要污染物为：颗粒物、SO</w:t>
            </w:r>
            <w:r>
              <w:rPr>
                <w:rFonts w:hint="eastAsia"/>
                <w:u w:val="single"/>
                <w:vertAlign w:val="subscript"/>
              </w:rPr>
              <w:t>2</w:t>
            </w:r>
            <w:r>
              <w:rPr>
                <w:rFonts w:hint="eastAsia"/>
                <w:u w:val="single"/>
                <w:lang w:eastAsia="zh-CN"/>
              </w:rPr>
              <w:t>、</w:t>
            </w:r>
            <w:r>
              <w:rPr>
                <w:rFonts w:hint="eastAsia"/>
                <w:u w:val="single"/>
              </w:rPr>
              <w:t>NO</w:t>
            </w:r>
            <w:r>
              <w:rPr>
                <w:rFonts w:hint="eastAsia"/>
                <w:u w:val="single"/>
                <w:vertAlign w:val="subscript"/>
              </w:rPr>
              <w:t>x</w:t>
            </w:r>
            <w:r>
              <w:rPr>
                <w:rFonts w:hint="eastAsia"/>
                <w:u w:val="single"/>
                <w:vertAlign w:val="baseline"/>
                <w:lang w:val="en-US" w:eastAsia="zh-CN"/>
              </w:rPr>
              <w:t>，同时产生生物质热风炉燃烧炉渣</w:t>
            </w:r>
            <w:r>
              <w:rPr>
                <w:rFonts w:hint="eastAsia"/>
                <w:u w:val="single"/>
              </w:rPr>
              <w:t>，该环节运行时产生噪声。</w:t>
            </w:r>
          </w:p>
          <w:p>
            <w:pPr>
              <w:pStyle w:val="4"/>
              <w:ind w:firstLine="482"/>
            </w:pPr>
            <w:r>
              <w:rPr>
                <w:rFonts w:hint="eastAsia"/>
              </w:rPr>
              <w:t>（4）喷粉</w:t>
            </w:r>
          </w:p>
          <w:p>
            <w:pPr>
              <w:ind w:firstLine="480"/>
            </w:pPr>
            <w:r>
              <w:rPr>
                <w:rFonts w:hint="eastAsia"/>
              </w:rPr>
              <w:t>将工件置于喷粉产线上，通过自动轨道移至喷粉房，对工件表面进行喷粉处理，使粉末涂料吸附在工件上。本项目设置的</w:t>
            </w:r>
            <w:r>
              <w:rPr>
                <w:rFonts w:hint="eastAsia"/>
                <w:lang w:val="en-US" w:eastAsia="zh-CN"/>
              </w:rPr>
              <w:t>封闭</w:t>
            </w:r>
            <w:r>
              <w:rPr>
                <w:rFonts w:hint="eastAsia"/>
              </w:rPr>
              <w:t>喷粉房配套设置了滤芯粉末回收系统，能够高效回收粉末。该过程主要产生颗粒物和噪声。</w:t>
            </w:r>
          </w:p>
          <w:p>
            <w:pPr>
              <w:pStyle w:val="4"/>
              <w:ind w:firstLine="482"/>
            </w:pPr>
            <w:r>
              <w:rPr>
                <w:rFonts w:hint="eastAsia"/>
              </w:rPr>
              <w:t>（5）固化</w:t>
            </w:r>
          </w:p>
          <w:p>
            <w:pPr>
              <w:ind w:firstLine="480"/>
              <w:rPr>
                <w:u w:val="single"/>
              </w:rPr>
            </w:pPr>
            <w:r>
              <w:rPr>
                <w:rFonts w:hint="eastAsia"/>
                <w:u w:val="single"/>
              </w:rPr>
              <w:t>喷粉完成后的工件进入固化炉进行固化，加热燃料为生物质</w:t>
            </w:r>
            <w:r>
              <w:rPr>
                <w:rFonts w:hint="eastAsia"/>
                <w:u w:val="single"/>
                <w:lang w:val="en-US" w:eastAsia="zh-CN"/>
              </w:rPr>
              <w:t>成型</w:t>
            </w:r>
            <w:r>
              <w:rPr>
                <w:rFonts w:hint="eastAsia"/>
                <w:u w:val="single"/>
              </w:rPr>
              <w:t>燃料，项目固化配置一台生物质热风炉，热风炉通过燃烧生物质产生热量对工件加热进行固化处理，使塑粉固化在工件上。固化炉的工作温度为200℃-220℃，固化时间约25min。该环节固化过程主要产生的污染物为VOCs和噪声，生物质</w:t>
            </w:r>
            <w:r>
              <w:rPr>
                <w:rFonts w:hint="eastAsia"/>
                <w:u w:val="single"/>
                <w:lang w:val="en-US" w:eastAsia="zh-CN"/>
              </w:rPr>
              <w:t>成型燃料</w:t>
            </w:r>
            <w:r>
              <w:rPr>
                <w:rFonts w:hint="eastAsia"/>
                <w:u w:val="single"/>
              </w:rPr>
              <w:t>燃烧主要产生颗粒物、SO</w:t>
            </w:r>
            <w:r>
              <w:rPr>
                <w:rFonts w:hint="eastAsia"/>
                <w:u w:val="single"/>
                <w:vertAlign w:val="subscript"/>
              </w:rPr>
              <w:t>2</w:t>
            </w:r>
            <w:r>
              <w:rPr>
                <w:rFonts w:hint="eastAsia"/>
                <w:u w:val="single"/>
                <w:lang w:eastAsia="zh-CN"/>
              </w:rPr>
              <w:t>、</w:t>
            </w:r>
            <w:r>
              <w:rPr>
                <w:rFonts w:hint="eastAsia"/>
                <w:u w:val="single"/>
              </w:rPr>
              <w:t>NO</w:t>
            </w:r>
            <w:r>
              <w:rPr>
                <w:rFonts w:hint="eastAsia"/>
                <w:u w:val="single"/>
                <w:vertAlign w:val="subscript"/>
              </w:rPr>
              <w:t>x</w:t>
            </w:r>
            <w:r>
              <w:rPr>
                <w:rFonts w:hint="eastAsia"/>
                <w:u w:val="single"/>
                <w:vertAlign w:val="baseline"/>
                <w:lang w:val="en-US" w:eastAsia="zh-CN"/>
              </w:rPr>
              <w:t>和生物质热风炉燃烧炉渣</w:t>
            </w:r>
            <w:r>
              <w:rPr>
                <w:rFonts w:hint="eastAsia"/>
                <w:u w:val="single"/>
              </w:rPr>
              <w:t>。</w:t>
            </w:r>
          </w:p>
          <w:p>
            <w:pPr>
              <w:pStyle w:val="2"/>
              <w:spacing w:before="120"/>
            </w:pPr>
            <w:bookmarkStart w:id="88" w:name="_Toc6539"/>
            <w:bookmarkStart w:id="89" w:name="_Toc24035"/>
            <w:bookmarkStart w:id="90" w:name="_Toc14"/>
            <w:bookmarkStart w:id="91" w:name="_Toc11047"/>
            <w:r>
              <w:rPr>
                <w:rFonts w:hint="eastAsia"/>
              </w:rPr>
              <w:t>3、运营期主要产污环节</w:t>
            </w:r>
            <w:bookmarkEnd w:id="88"/>
            <w:bookmarkEnd w:id="89"/>
            <w:bookmarkEnd w:id="90"/>
            <w:bookmarkEnd w:id="91"/>
          </w:p>
          <w:p>
            <w:pPr>
              <w:ind w:firstLine="480"/>
            </w:pPr>
            <w:r>
              <w:rPr>
                <w:rFonts w:hint="eastAsia"/>
              </w:rPr>
              <w:t>本项目运营期产污情况见下表。</w:t>
            </w:r>
          </w:p>
          <w:p>
            <w:pPr>
              <w:pStyle w:val="37"/>
              <w:spacing w:before="72" w:after="120"/>
              <w:rPr>
                <w:rFonts w:hint="default"/>
              </w:rPr>
            </w:pPr>
            <w:r>
              <w:t>表2-</w:t>
            </w:r>
            <w:r>
              <w:rPr>
                <w:rFonts w:hint="eastAsia"/>
                <w:lang w:val="en-US" w:eastAsia="zh-CN"/>
              </w:rPr>
              <w:t>7</w:t>
            </w:r>
            <w:r>
              <w:t xml:space="preserve">  项目运营期产污情况一览表</w:t>
            </w:r>
          </w:p>
          <w:tbl>
            <w:tblPr>
              <w:tblStyle w:val="19"/>
              <w:tblW w:w="80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657"/>
              <w:gridCol w:w="835"/>
              <w:gridCol w:w="1528"/>
              <w:gridCol w:w="1081"/>
              <w:gridCol w:w="32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641" w:type="dxa"/>
                  <w:tcBorders>
                    <w:bottom w:val="single" w:color="auto" w:sz="4" w:space="0"/>
                  </w:tcBorders>
                  <w:vAlign w:val="center"/>
                </w:tcPr>
                <w:p>
                  <w:pPr>
                    <w:pStyle w:val="24"/>
                    <w:rPr>
                      <w:b/>
                      <w:bCs/>
                    </w:rPr>
                  </w:pPr>
                  <w:r>
                    <w:rPr>
                      <w:rFonts w:hint="eastAsia"/>
                      <w:b/>
                      <w:bCs/>
                    </w:rPr>
                    <w:t>序号</w:t>
                  </w:r>
                </w:p>
              </w:tc>
              <w:tc>
                <w:tcPr>
                  <w:tcW w:w="657" w:type="dxa"/>
                  <w:tcBorders>
                    <w:bottom w:val="single" w:color="auto" w:sz="4" w:space="0"/>
                  </w:tcBorders>
                  <w:vAlign w:val="center"/>
                </w:tcPr>
                <w:p>
                  <w:pPr>
                    <w:pStyle w:val="24"/>
                    <w:rPr>
                      <w:b/>
                      <w:bCs/>
                    </w:rPr>
                  </w:pPr>
                  <w:r>
                    <w:rPr>
                      <w:rFonts w:hint="eastAsia"/>
                      <w:b/>
                      <w:bCs/>
                    </w:rPr>
                    <w:t>类别</w:t>
                  </w:r>
                </w:p>
              </w:tc>
              <w:tc>
                <w:tcPr>
                  <w:tcW w:w="835" w:type="dxa"/>
                  <w:tcBorders>
                    <w:bottom w:val="single" w:color="auto" w:sz="4" w:space="0"/>
                  </w:tcBorders>
                  <w:vAlign w:val="center"/>
                </w:tcPr>
                <w:p>
                  <w:pPr>
                    <w:pStyle w:val="24"/>
                    <w:rPr>
                      <w:b/>
                      <w:bCs/>
                    </w:rPr>
                  </w:pPr>
                  <w:r>
                    <w:rPr>
                      <w:rFonts w:hint="eastAsia"/>
                      <w:b/>
                      <w:bCs/>
                    </w:rPr>
                    <w:t>编号</w:t>
                  </w:r>
                </w:p>
              </w:tc>
              <w:tc>
                <w:tcPr>
                  <w:tcW w:w="1528" w:type="dxa"/>
                  <w:tcBorders>
                    <w:bottom w:val="single" w:color="auto" w:sz="4" w:space="0"/>
                  </w:tcBorders>
                  <w:vAlign w:val="center"/>
                </w:tcPr>
                <w:p>
                  <w:pPr>
                    <w:pStyle w:val="24"/>
                    <w:rPr>
                      <w:b/>
                      <w:bCs/>
                    </w:rPr>
                  </w:pPr>
                  <w:r>
                    <w:rPr>
                      <w:rFonts w:hint="eastAsia"/>
                      <w:b/>
                      <w:bCs/>
                    </w:rPr>
                    <w:t>主要生产单元</w:t>
                  </w:r>
                </w:p>
              </w:tc>
              <w:tc>
                <w:tcPr>
                  <w:tcW w:w="1081" w:type="dxa"/>
                  <w:tcBorders>
                    <w:bottom w:val="single" w:color="auto" w:sz="4" w:space="0"/>
                  </w:tcBorders>
                  <w:vAlign w:val="center"/>
                </w:tcPr>
                <w:p>
                  <w:pPr>
                    <w:pStyle w:val="24"/>
                    <w:rPr>
                      <w:b/>
                      <w:bCs/>
                    </w:rPr>
                  </w:pPr>
                  <w:r>
                    <w:rPr>
                      <w:rFonts w:hint="eastAsia"/>
                      <w:b/>
                      <w:bCs/>
                    </w:rPr>
                    <w:t>产污环节</w:t>
                  </w:r>
                </w:p>
              </w:tc>
              <w:tc>
                <w:tcPr>
                  <w:tcW w:w="3259" w:type="dxa"/>
                  <w:tcBorders>
                    <w:bottom w:val="single" w:color="auto" w:sz="4" w:space="0"/>
                  </w:tcBorders>
                  <w:vAlign w:val="center"/>
                </w:tcPr>
                <w:p>
                  <w:pPr>
                    <w:pStyle w:val="24"/>
                    <w:rPr>
                      <w:b/>
                      <w:bCs/>
                    </w:rPr>
                  </w:pPr>
                  <w:r>
                    <w:rPr>
                      <w:rFonts w:hint="eastAsia"/>
                      <w:b/>
                      <w:bCs/>
                    </w:rPr>
                    <w:t>主要污染物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op w:val="single" w:color="auto" w:sz="4" w:space="0"/>
                    <w:tl2br w:val="nil"/>
                    <w:tr2bl w:val="nil"/>
                  </w:tcBorders>
                  <w:vAlign w:val="center"/>
                </w:tcPr>
                <w:p>
                  <w:pPr>
                    <w:pStyle w:val="24"/>
                  </w:pPr>
                  <w:r>
                    <w:rPr>
                      <w:rFonts w:hint="eastAsia"/>
                    </w:rPr>
                    <w:t>1</w:t>
                  </w:r>
                </w:p>
              </w:tc>
              <w:tc>
                <w:tcPr>
                  <w:tcW w:w="657" w:type="dxa"/>
                  <w:vMerge w:val="restart"/>
                  <w:tcBorders>
                    <w:top w:val="single" w:color="auto" w:sz="4" w:space="0"/>
                    <w:tl2br w:val="nil"/>
                    <w:tr2bl w:val="nil"/>
                  </w:tcBorders>
                  <w:vAlign w:val="center"/>
                </w:tcPr>
                <w:p>
                  <w:pPr>
                    <w:pStyle w:val="24"/>
                  </w:pPr>
                  <w:r>
                    <w:rPr>
                      <w:rFonts w:hint="eastAsia"/>
                    </w:rPr>
                    <w:t>废气</w:t>
                  </w:r>
                </w:p>
              </w:tc>
              <w:tc>
                <w:tcPr>
                  <w:tcW w:w="835" w:type="dxa"/>
                  <w:tcBorders>
                    <w:top w:val="single" w:color="auto" w:sz="4" w:space="0"/>
                    <w:tl2br w:val="nil"/>
                    <w:tr2bl w:val="nil"/>
                  </w:tcBorders>
                  <w:shd w:val="clear" w:color="auto" w:fill="auto"/>
                  <w:vAlign w:val="center"/>
                </w:tcPr>
                <w:p>
                  <w:pPr>
                    <w:pStyle w:val="24"/>
                  </w:pPr>
                  <w:r>
                    <w:rPr>
                      <w:rFonts w:hint="eastAsia"/>
                    </w:rPr>
                    <w:t>G1</w:t>
                  </w:r>
                </w:p>
              </w:tc>
              <w:tc>
                <w:tcPr>
                  <w:tcW w:w="1528" w:type="dxa"/>
                  <w:tcBorders>
                    <w:top w:val="single" w:color="auto" w:sz="4" w:space="0"/>
                    <w:tl2br w:val="nil"/>
                    <w:tr2bl w:val="nil"/>
                  </w:tcBorders>
                  <w:vAlign w:val="center"/>
                </w:tcPr>
                <w:p>
                  <w:pPr>
                    <w:pStyle w:val="24"/>
                  </w:pPr>
                  <w:r>
                    <w:rPr>
                      <w:rFonts w:hint="eastAsia"/>
                    </w:rPr>
                    <w:t>五金加工车间</w:t>
                  </w:r>
                </w:p>
              </w:tc>
              <w:tc>
                <w:tcPr>
                  <w:tcW w:w="1081" w:type="dxa"/>
                  <w:tcBorders>
                    <w:top w:val="single" w:color="auto" w:sz="4" w:space="0"/>
                    <w:tl2br w:val="nil"/>
                    <w:tr2bl w:val="nil"/>
                  </w:tcBorders>
                  <w:shd w:val="clear" w:color="auto" w:fill="auto"/>
                  <w:vAlign w:val="center"/>
                </w:tcPr>
                <w:p>
                  <w:pPr>
                    <w:pStyle w:val="24"/>
                  </w:pPr>
                  <w:r>
                    <w:rPr>
                      <w:rFonts w:hint="eastAsia"/>
                    </w:rPr>
                    <w:t>五金加工</w:t>
                  </w:r>
                </w:p>
              </w:tc>
              <w:tc>
                <w:tcPr>
                  <w:tcW w:w="3259" w:type="dxa"/>
                  <w:tcBorders>
                    <w:top w:val="single" w:color="auto" w:sz="4" w:space="0"/>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vAlign w:val="center"/>
                </w:tcPr>
                <w:p>
                  <w:pPr>
                    <w:pStyle w:val="24"/>
                  </w:pPr>
                  <w:r>
                    <w:rPr>
                      <w:rFonts w:hint="eastAsia"/>
                    </w:rPr>
                    <w:t>2</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pPr>
                  <w:r>
                    <w:rPr>
                      <w:rFonts w:hint="eastAsia"/>
                    </w:rPr>
                    <w:t>G2</w:t>
                  </w:r>
                </w:p>
              </w:tc>
              <w:tc>
                <w:tcPr>
                  <w:tcW w:w="1528" w:type="dxa"/>
                  <w:tcBorders>
                    <w:tl2br w:val="nil"/>
                    <w:tr2bl w:val="nil"/>
                  </w:tcBorders>
                  <w:vAlign w:val="center"/>
                </w:tcPr>
                <w:p>
                  <w:pPr>
                    <w:pStyle w:val="24"/>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pPr>
                  <w:r>
                    <w:rPr>
                      <w:rFonts w:hint="eastAsia"/>
                    </w:rPr>
                    <w:t>烘干</w:t>
                  </w:r>
                </w:p>
              </w:tc>
              <w:tc>
                <w:tcPr>
                  <w:tcW w:w="3259" w:type="dxa"/>
                  <w:tcBorders>
                    <w:tl2br w:val="nil"/>
                    <w:tr2bl w:val="nil"/>
                  </w:tcBorders>
                  <w:shd w:val="clear" w:color="auto" w:fill="auto"/>
                  <w:vAlign w:val="center"/>
                </w:tcPr>
                <w:p>
                  <w:pPr>
                    <w:pStyle w:val="24"/>
                    <w:rPr>
                      <w:rFonts w:hint="default" w:eastAsia="宋体"/>
                      <w:vertAlign w:val="baseline"/>
                      <w:lang w:val="en-US" w:eastAsia="zh-CN"/>
                    </w:rPr>
                  </w:pPr>
                  <w:r>
                    <w:rPr>
                      <w:rFonts w:hint="eastAsia"/>
                    </w:rPr>
                    <w:t>颗粒物、SO</w:t>
                  </w:r>
                  <w:r>
                    <w:rPr>
                      <w:rFonts w:hint="eastAsia"/>
                      <w:vertAlign w:val="subscript"/>
                    </w:rPr>
                    <w:t>2</w:t>
                  </w:r>
                  <w:r>
                    <w:rPr>
                      <w:rFonts w:hint="eastAsia"/>
                    </w:rPr>
                    <w:t>、NO</w:t>
                  </w:r>
                  <w:r>
                    <w:rPr>
                      <w:rFonts w:hint="eastAsia"/>
                      <w:vertAlign w:val="subscript"/>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vAlign w:val="center"/>
                </w:tcPr>
                <w:p>
                  <w:pPr>
                    <w:pStyle w:val="24"/>
                  </w:pPr>
                  <w:r>
                    <w:rPr>
                      <w:rFonts w:hint="eastAsia"/>
                    </w:rPr>
                    <w:t>3</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pPr>
                  <w:r>
                    <w:rPr>
                      <w:rFonts w:hint="eastAsia"/>
                    </w:rPr>
                    <w:t>G3</w:t>
                  </w:r>
                </w:p>
              </w:tc>
              <w:tc>
                <w:tcPr>
                  <w:tcW w:w="1528" w:type="dxa"/>
                  <w:tcBorders>
                    <w:tl2br w:val="nil"/>
                    <w:tr2bl w:val="nil"/>
                  </w:tcBorders>
                  <w:vAlign w:val="center"/>
                </w:tcPr>
                <w:p>
                  <w:pPr>
                    <w:pStyle w:val="24"/>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pPr>
                  <w:r>
                    <w:rPr>
                      <w:rFonts w:hint="eastAsia"/>
                    </w:rPr>
                    <w:t>喷粉</w:t>
                  </w:r>
                </w:p>
              </w:tc>
              <w:tc>
                <w:tcPr>
                  <w:tcW w:w="3259" w:type="dxa"/>
                  <w:tcBorders>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vAlign w:val="center"/>
                </w:tcPr>
                <w:p>
                  <w:pPr>
                    <w:pStyle w:val="24"/>
                  </w:pPr>
                  <w:r>
                    <w:rPr>
                      <w:rFonts w:hint="eastAsia"/>
                    </w:rPr>
                    <w:t>4</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pPr>
                  <w:r>
                    <w:rPr>
                      <w:rFonts w:hint="eastAsia"/>
                    </w:rPr>
                    <w:t>G4</w:t>
                  </w:r>
                </w:p>
              </w:tc>
              <w:tc>
                <w:tcPr>
                  <w:tcW w:w="1528" w:type="dxa"/>
                  <w:tcBorders>
                    <w:tl2br w:val="nil"/>
                    <w:tr2bl w:val="nil"/>
                  </w:tcBorders>
                  <w:vAlign w:val="center"/>
                </w:tcPr>
                <w:p>
                  <w:pPr>
                    <w:pStyle w:val="24"/>
                  </w:pPr>
                  <w:r>
                    <w:rPr>
                      <w:rFonts w:hint="eastAsia"/>
                      <w:lang w:eastAsia="zh-CN"/>
                    </w:rPr>
                    <w:t>喷粉</w:t>
                  </w:r>
                  <w:r>
                    <w:rPr>
                      <w:rFonts w:hint="eastAsia"/>
                    </w:rPr>
                    <w:t>车间</w:t>
                  </w:r>
                </w:p>
              </w:tc>
              <w:tc>
                <w:tcPr>
                  <w:tcW w:w="1081" w:type="dxa"/>
                  <w:tcBorders>
                    <w:tl2br w:val="nil"/>
                    <w:tr2bl w:val="nil"/>
                  </w:tcBorders>
                  <w:vAlign w:val="center"/>
                </w:tcPr>
                <w:p>
                  <w:pPr>
                    <w:pStyle w:val="24"/>
                  </w:pPr>
                  <w:r>
                    <w:rPr>
                      <w:rFonts w:hint="eastAsia"/>
                    </w:rPr>
                    <w:t>固化</w:t>
                  </w:r>
                </w:p>
              </w:tc>
              <w:tc>
                <w:tcPr>
                  <w:tcW w:w="3259" w:type="dxa"/>
                  <w:tcBorders>
                    <w:tl2br w:val="nil"/>
                    <w:tr2bl w:val="nil"/>
                  </w:tcBorders>
                  <w:vAlign w:val="center"/>
                </w:tcPr>
                <w:p>
                  <w:pPr>
                    <w:pStyle w:val="24"/>
                    <w:rPr>
                      <w:rFonts w:hint="default" w:eastAsia="宋体"/>
                      <w:vertAlign w:val="baseline"/>
                      <w:lang w:val="en-US" w:eastAsia="zh-CN"/>
                    </w:rPr>
                  </w:pPr>
                  <w:r>
                    <w:rPr>
                      <w:rFonts w:hint="eastAsia"/>
                    </w:rPr>
                    <w:t>挥发性有机物、颗粒物、SO</w:t>
                  </w:r>
                  <w:r>
                    <w:rPr>
                      <w:rFonts w:hint="eastAsia"/>
                      <w:vertAlign w:val="subscript"/>
                    </w:rPr>
                    <w:t>2</w:t>
                  </w:r>
                  <w:r>
                    <w:rPr>
                      <w:rFonts w:hint="eastAsia"/>
                    </w:rPr>
                    <w:t>、NO</w:t>
                  </w:r>
                  <w:r>
                    <w:rPr>
                      <w:rFonts w:hint="eastAsia"/>
                      <w:vertAlign w:val="subscript"/>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5</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G5</w:t>
                  </w:r>
                </w:p>
              </w:tc>
              <w:tc>
                <w:tcPr>
                  <w:tcW w:w="1528"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喷粉车间</w:t>
                  </w:r>
                </w:p>
              </w:tc>
              <w:tc>
                <w:tcPr>
                  <w:tcW w:w="108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酸洗</w:t>
                  </w:r>
                </w:p>
              </w:tc>
              <w:tc>
                <w:tcPr>
                  <w:tcW w:w="3259"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氯化氢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6</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color w:val="auto"/>
                    </w:rPr>
                  </w:pPr>
                  <w:r>
                    <w:rPr>
                      <w:rFonts w:hint="eastAsia"/>
                      <w:color w:val="auto"/>
                    </w:rPr>
                    <w:t>G11</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7</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color w:val="auto"/>
                    </w:rPr>
                  </w:pPr>
                  <w:r>
                    <w:rPr>
                      <w:rFonts w:hint="eastAsia"/>
                      <w:color w:val="auto"/>
                    </w:rPr>
                    <w:t>G12</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8</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color w:val="auto"/>
                    </w:rPr>
                  </w:pPr>
                  <w:r>
                    <w:rPr>
                      <w:rFonts w:hint="eastAsia"/>
                      <w:color w:val="auto"/>
                    </w:rPr>
                    <w:t>G13</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9</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color w:val="auto"/>
                    </w:rPr>
                  </w:pPr>
                  <w:r>
                    <w:rPr>
                      <w:rFonts w:hint="eastAsia"/>
                      <w:color w:val="auto"/>
                    </w:rPr>
                    <w:t>G14</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10</w:t>
                  </w:r>
                </w:p>
              </w:tc>
              <w:tc>
                <w:tcPr>
                  <w:tcW w:w="657" w:type="dxa"/>
                  <w:vMerge w:val="restart"/>
                  <w:tcBorders>
                    <w:tl2br w:val="nil"/>
                    <w:tr2bl w:val="nil"/>
                  </w:tcBorders>
                  <w:vAlign w:val="center"/>
                </w:tcPr>
                <w:p>
                  <w:pPr>
                    <w:pStyle w:val="24"/>
                  </w:pPr>
                  <w:r>
                    <w:rPr>
                      <w:rFonts w:hint="eastAsia"/>
                    </w:rPr>
                    <w:t>固废</w:t>
                  </w:r>
                </w:p>
              </w:tc>
              <w:tc>
                <w:tcPr>
                  <w:tcW w:w="835" w:type="dxa"/>
                  <w:tcBorders>
                    <w:tl2br w:val="nil"/>
                    <w:tr2bl w:val="nil"/>
                  </w:tcBorders>
                  <w:shd w:val="clear" w:color="auto" w:fill="auto"/>
                  <w:vAlign w:val="center"/>
                </w:tcPr>
                <w:p>
                  <w:pPr>
                    <w:pStyle w:val="24"/>
                  </w:pPr>
                  <w:r>
                    <w:rPr>
                      <w:rFonts w:hint="eastAsia"/>
                    </w:rPr>
                    <w:t>/</w:t>
                  </w:r>
                </w:p>
              </w:tc>
              <w:tc>
                <w:tcPr>
                  <w:tcW w:w="1528" w:type="dxa"/>
                  <w:tcBorders>
                    <w:tl2br w:val="nil"/>
                    <w:tr2bl w:val="nil"/>
                  </w:tcBorders>
                  <w:vAlign w:val="center"/>
                </w:tcPr>
                <w:p>
                  <w:pPr>
                    <w:pStyle w:val="24"/>
                  </w:pPr>
                  <w:r>
                    <w:rPr>
                      <w:rFonts w:hint="eastAsia"/>
                    </w:rPr>
                    <w:t>所有厂房</w:t>
                  </w:r>
                </w:p>
              </w:tc>
              <w:tc>
                <w:tcPr>
                  <w:tcW w:w="1081" w:type="dxa"/>
                  <w:tcBorders>
                    <w:tl2br w:val="nil"/>
                    <w:tr2bl w:val="nil"/>
                  </w:tcBorders>
                  <w:shd w:val="clear" w:color="auto" w:fill="auto"/>
                  <w:vAlign w:val="center"/>
                </w:tcPr>
                <w:p>
                  <w:pPr>
                    <w:pStyle w:val="24"/>
                  </w:pPr>
                  <w:r>
                    <w:rPr>
                      <w:rFonts w:hint="eastAsia"/>
                    </w:rPr>
                    <w:t>员工生活</w:t>
                  </w:r>
                </w:p>
              </w:tc>
              <w:tc>
                <w:tcPr>
                  <w:tcW w:w="3259" w:type="dxa"/>
                  <w:tcBorders>
                    <w:tl2br w:val="nil"/>
                    <w:tr2bl w:val="nil"/>
                  </w:tcBorders>
                  <w:shd w:val="clear" w:color="auto" w:fill="auto"/>
                  <w:vAlign w:val="center"/>
                </w:tcPr>
                <w:p>
                  <w:pPr>
                    <w:pStyle w:val="24"/>
                  </w:pPr>
                  <w:r>
                    <w:rPr>
                      <w:rFonts w:hint="eastAsia"/>
                    </w:rPr>
                    <w:t>生活垃圾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11</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五金加工</w:t>
                  </w:r>
                </w:p>
              </w:tc>
              <w:tc>
                <w:tcPr>
                  <w:tcW w:w="3259" w:type="dxa"/>
                  <w:tcBorders>
                    <w:tl2br w:val="nil"/>
                    <w:tr2bl w:val="nil"/>
                  </w:tcBorders>
                  <w:shd w:val="clear" w:color="auto" w:fill="auto"/>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12</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S2</w:t>
                  </w:r>
                </w:p>
              </w:tc>
              <w:tc>
                <w:tcPr>
                  <w:tcW w:w="1528" w:type="dxa"/>
                  <w:tcBorders>
                    <w:tl2br w:val="nil"/>
                    <w:tr2bl w:val="nil"/>
                  </w:tcBorders>
                  <w:vAlign w:val="center"/>
                </w:tcPr>
                <w:p>
                  <w:pPr>
                    <w:pStyle w:val="24"/>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pPr>
                  <w:r>
                    <w:rPr>
                      <w:rFonts w:hint="eastAsia"/>
                    </w:rPr>
                    <w:t>前处理</w:t>
                  </w:r>
                </w:p>
              </w:tc>
              <w:tc>
                <w:tcPr>
                  <w:tcW w:w="3259" w:type="dxa"/>
                  <w:tcBorders>
                    <w:tl2br w:val="nil"/>
                    <w:tr2bl w:val="nil"/>
                  </w:tcBorders>
                  <w:shd w:val="clear" w:color="auto" w:fill="auto"/>
                  <w:vAlign w:val="center"/>
                </w:tcPr>
                <w:p>
                  <w:pPr>
                    <w:pStyle w:val="24"/>
                    <w:rPr>
                      <w:rFonts w:hint="default"/>
                      <w:lang w:val="en-US"/>
                    </w:rPr>
                  </w:pPr>
                  <w:r>
                    <w:rPr>
                      <w:rFonts w:hint="eastAsia"/>
                    </w:rPr>
                    <w:t>槽渣、废包装桶（除油剂、表调剂、磷化剂</w:t>
                  </w:r>
                  <w:r>
                    <w:rPr>
                      <w:rFonts w:hint="eastAsia"/>
                      <w:lang w:eastAsia="zh-CN"/>
                    </w:rPr>
                    <w:t>、</w:t>
                  </w:r>
                  <w:r>
                    <w:rPr>
                      <w:rFonts w:hint="eastAsia"/>
                      <w:lang w:val="en-US" w:eastAsia="zh-CN"/>
                    </w:rPr>
                    <w:t>酸洗剂</w:t>
                  </w:r>
                  <w:r>
                    <w:rPr>
                      <w:rFonts w:hint="eastAsia"/>
                    </w:rPr>
                    <w:t>）、废包装袋（除油粉）</w:t>
                  </w:r>
                  <w:r>
                    <w:rPr>
                      <w:rFonts w:hint="eastAsia"/>
                      <w:lang w:eastAsia="zh-CN"/>
                    </w:rPr>
                    <w:t>、</w:t>
                  </w:r>
                  <w:r>
                    <w:rPr>
                      <w:rFonts w:hint="eastAsia"/>
                      <w:lang w:val="en-US" w:eastAsia="zh-CN"/>
                    </w:rPr>
                    <w:t>废槽液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13</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S11</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14</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S12</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冲孔</w:t>
                  </w:r>
                </w:p>
              </w:tc>
              <w:tc>
                <w:tcPr>
                  <w:tcW w:w="3259" w:type="dxa"/>
                  <w:tcBorders>
                    <w:tl2br w:val="nil"/>
                    <w:tr2bl w:val="nil"/>
                  </w:tcBorders>
                  <w:shd w:val="clear" w:color="auto" w:fill="auto"/>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15</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S13</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shd w:val="clear" w:color="auto" w:fill="auto"/>
                  <w:vAlign w:val="center"/>
                </w:tcPr>
                <w:p>
                  <w:pPr>
                    <w:pStyle w:val="24"/>
                  </w:pPr>
                  <w:r>
                    <w:rPr>
                      <w:rFonts w:hint="eastAsia"/>
                    </w:rPr>
                    <w:t>焊接</w:t>
                  </w:r>
                </w:p>
              </w:tc>
              <w:tc>
                <w:tcPr>
                  <w:tcW w:w="3259" w:type="dxa"/>
                  <w:tcBorders>
                    <w:tl2br w:val="nil"/>
                    <w:tr2bl w:val="nil"/>
                  </w:tcBorders>
                  <w:shd w:val="clear" w:color="auto" w:fill="auto"/>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16</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S14</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vAlign w:val="center"/>
                </w:tcPr>
                <w:p>
                  <w:pPr>
                    <w:pStyle w:val="24"/>
                  </w:pPr>
                  <w:r>
                    <w:rPr>
                      <w:rFonts w:hint="eastAsia"/>
                    </w:rPr>
                    <w:t>修边</w:t>
                  </w:r>
                </w:p>
              </w:tc>
              <w:tc>
                <w:tcPr>
                  <w:tcW w:w="3259" w:type="dxa"/>
                  <w:tcBorders>
                    <w:tl2br w:val="nil"/>
                    <w:tr2bl w:val="nil"/>
                  </w:tcBorders>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17</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S15</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vAlign w:val="center"/>
                </w:tcPr>
                <w:p>
                  <w:pPr>
                    <w:pStyle w:val="24"/>
                  </w:pPr>
                  <w:r>
                    <w:rPr>
                      <w:rFonts w:hint="eastAsia"/>
                    </w:rPr>
                    <w:t>成型</w:t>
                  </w:r>
                </w:p>
              </w:tc>
              <w:tc>
                <w:tcPr>
                  <w:tcW w:w="3259" w:type="dxa"/>
                  <w:tcBorders>
                    <w:tl2br w:val="nil"/>
                    <w:tr2bl w:val="nil"/>
                  </w:tcBorders>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18</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S16</w:t>
                  </w:r>
                </w:p>
              </w:tc>
              <w:tc>
                <w:tcPr>
                  <w:tcW w:w="1528" w:type="dxa"/>
                  <w:tcBorders>
                    <w:tl2br w:val="nil"/>
                    <w:tr2bl w:val="nil"/>
                  </w:tcBorders>
                  <w:vAlign w:val="center"/>
                </w:tcPr>
                <w:p>
                  <w:pPr>
                    <w:pStyle w:val="24"/>
                  </w:pPr>
                  <w:r>
                    <w:rPr>
                      <w:rFonts w:hint="eastAsia"/>
                    </w:rPr>
                    <w:t>五金加工车间</w:t>
                  </w:r>
                </w:p>
              </w:tc>
              <w:tc>
                <w:tcPr>
                  <w:tcW w:w="1081" w:type="dxa"/>
                  <w:tcBorders>
                    <w:tl2br w:val="nil"/>
                    <w:tr2bl w:val="nil"/>
                  </w:tcBorders>
                  <w:vAlign w:val="center"/>
                </w:tcPr>
                <w:p>
                  <w:pPr>
                    <w:pStyle w:val="24"/>
                  </w:pPr>
                  <w:r>
                    <w:rPr>
                      <w:rFonts w:hint="eastAsia"/>
                    </w:rPr>
                    <w:t>裁剪</w:t>
                  </w:r>
                </w:p>
              </w:tc>
              <w:tc>
                <w:tcPr>
                  <w:tcW w:w="3259" w:type="dxa"/>
                  <w:tcBorders>
                    <w:tl2br w:val="nil"/>
                    <w:tr2bl w:val="nil"/>
                  </w:tcBorders>
                  <w:shd w:val="clear" w:color="auto" w:fill="auto"/>
                  <w:vAlign w:val="center"/>
                </w:tcPr>
                <w:p>
                  <w:pPr>
                    <w:pStyle w:val="24"/>
                  </w:pPr>
                  <w:r>
                    <w:rPr>
                      <w:rFonts w:hint="eastAsia"/>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19</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S17</w:t>
                  </w:r>
                </w:p>
              </w:tc>
              <w:tc>
                <w:tcPr>
                  <w:tcW w:w="1528" w:type="dxa"/>
                  <w:tcBorders>
                    <w:tl2br w:val="nil"/>
                    <w:tr2bl w:val="nil"/>
                  </w:tcBorders>
                  <w:vAlign w:val="center"/>
                </w:tcPr>
                <w:p>
                  <w:pPr>
                    <w:pStyle w:val="24"/>
                    <w:rPr>
                      <w:color w:val="auto"/>
                    </w:rPr>
                  </w:pPr>
                  <w:r>
                    <w:rPr>
                      <w:rFonts w:hint="eastAsia"/>
                      <w:color w:val="auto"/>
                    </w:rPr>
                    <w:t>五金加工车间</w:t>
                  </w:r>
                </w:p>
              </w:tc>
              <w:tc>
                <w:tcPr>
                  <w:tcW w:w="1081" w:type="dxa"/>
                  <w:tcBorders>
                    <w:tl2br w:val="nil"/>
                    <w:tr2bl w:val="nil"/>
                  </w:tcBorders>
                  <w:vAlign w:val="center"/>
                </w:tcPr>
                <w:p>
                  <w:pPr>
                    <w:pStyle w:val="24"/>
                    <w:rPr>
                      <w:color w:val="auto"/>
                    </w:rPr>
                  </w:pPr>
                  <w:r>
                    <w:rPr>
                      <w:rFonts w:hint="eastAsia"/>
                      <w:color w:val="auto"/>
                    </w:rPr>
                    <w:t>打孔</w:t>
                  </w:r>
                </w:p>
              </w:tc>
              <w:tc>
                <w:tcPr>
                  <w:tcW w:w="3259" w:type="dxa"/>
                  <w:tcBorders>
                    <w:tl2br w:val="nil"/>
                    <w:tr2bl w:val="nil"/>
                  </w:tcBorders>
                  <w:shd w:val="clear" w:color="auto" w:fill="auto"/>
                  <w:vAlign w:val="center"/>
                </w:tcPr>
                <w:p>
                  <w:pPr>
                    <w:pStyle w:val="24"/>
                    <w:rPr>
                      <w:color w:val="auto"/>
                    </w:rPr>
                  </w:pPr>
                  <w:r>
                    <w:rPr>
                      <w:rFonts w:hint="eastAsia"/>
                      <w:color w:val="auto"/>
                    </w:rPr>
                    <w:t>金属边角料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20</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S21</w:t>
                  </w:r>
                </w:p>
              </w:tc>
              <w:tc>
                <w:tcPr>
                  <w:tcW w:w="1528" w:type="dxa"/>
                  <w:tcBorders>
                    <w:tl2br w:val="nil"/>
                    <w:tr2bl w:val="nil"/>
                  </w:tcBorders>
                  <w:vAlign w:val="center"/>
                </w:tcPr>
                <w:p>
                  <w:pPr>
                    <w:pStyle w:val="24"/>
                    <w:rPr>
                      <w:color w:val="auto"/>
                    </w:rPr>
                  </w:pPr>
                  <w:r>
                    <w:rPr>
                      <w:rFonts w:hint="eastAsia"/>
                      <w:color w:val="auto"/>
                      <w:lang w:eastAsia="zh-CN"/>
                    </w:rPr>
                    <w:t>喷粉</w:t>
                  </w:r>
                  <w:r>
                    <w:rPr>
                      <w:rFonts w:hint="eastAsia"/>
                      <w:color w:val="auto"/>
                    </w:rPr>
                    <w:t>车间</w:t>
                  </w:r>
                </w:p>
              </w:tc>
              <w:tc>
                <w:tcPr>
                  <w:tcW w:w="1081" w:type="dxa"/>
                  <w:tcBorders>
                    <w:tl2br w:val="nil"/>
                    <w:tr2bl w:val="nil"/>
                  </w:tcBorders>
                  <w:vAlign w:val="center"/>
                </w:tcPr>
                <w:p>
                  <w:pPr>
                    <w:pStyle w:val="24"/>
                    <w:rPr>
                      <w:color w:val="auto"/>
                    </w:rPr>
                  </w:pPr>
                  <w:r>
                    <w:rPr>
                      <w:rFonts w:hint="eastAsia"/>
                      <w:color w:val="auto"/>
                    </w:rPr>
                    <w:t>碱性除油</w:t>
                  </w:r>
                </w:p>
              </w:tc>
              <w:tc>
                <w:tcPr>
                  <w:tcW w:w="3259" w:type="dxa"/>
                  <w:tcBorders>
                    <w:tl2br w:val="nil"/>
                    <w:tr2bl w:val="nil"/>
                  </w:tcBorders>
                  <w:vAlign w:val="center"/>
                </w:tcPr>
                <w:p>
                  <w:pPr>
                    <w:pStyle w:val="24"/>
                    <w:rPr>
                      <w:rFonts w:hint="eastAsia" w:eastAsia="宋体"/>
                      <w:color w:val="auto"/>
                      <w:lang w:eastAsia="zh-CN"/>
                    </w:rPr>
                  </w:pPr>
                  <w:r>
                    <w:rPr>
                      <w:color w:val="auto"/>
                    </w:rPr>
                    <w:t>废包装桶（除油剂）、废包装袋（除油粉）、槽渣</w:t>
                  </w:r>
                  <w:r>
                    <w:rPr>
                      <w:rFonts w:hint="eastAsia"/>
                      <w:color w:val="auto"/>
                      <w:lang w:eastAsia="zh-CN"/>
                    </w:rPr>
                    <w:t>、</w:t>
                  </w:r>
                  <w:r>
                    <w:rPr>
                      <w:rFonts w:hint="eastAsia"/>
                      <w:color w:val="auto"/>
                      <w:lang w:val="en-US" w:eastAsia="zh-CN"/>
                    </w:rPr>
                    <w:t>废槽液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21</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rPr>
                      <w:rFonts w:hint="default" w:eastAsia="宋体"/>
                      <w:lang w:val="en-US" w:eastAsia="zh-CN"/>
                    </w:rPr>
                  </w:pPr>
                  <w:r>
                    <w:rPr>
                      <w:rFonts w:hint="eastAsia"/>
                      <w:lang w:val="en-US" w:eastAsia="zh-CN"/>
                    </w:rPr>
                    <w:t>S22</w:t>
                  </w:r>
                </w:p>
              </w:tc>
              <w:tc>
                <w:tcPr>
                  <w:tcW w:w="1528" w:type="dxa"/>
                  <w:tcBorders>
                    <w:tl2br w:val="nil"/>
                    <w:tr2bl w:val="nil"/>
                  </w:tcBorders>
                  <w:vAlign w:val="center"/>
                </w:tcPr>
                <w:p>
                  <w:pPr>
                    <w:pStyle w:val="24"/>
                    <w:rPr>
                      <w:rFonts w:hint="eastAsia"/>
                      <w:color w:val="auto"/>
                      <w:lang w:eastAsia="zh-CN"/>
                    </w:rPr>
                  </w:pPr>
                  <w:r>
                    <w:rPr>
                      <w:rFonts w:hint="eastAsia"/>
                      <w:color w:val="auto"/>
                      <w:lang w:eastAsia="zh-CN"/>
                    </w:rPr>
                    <w:t>喷粉</w:t>
                  </w:r>
                  <w:r>
                    <w:rPr>
                      <w:rFonts w:hint="eastAsia"/>
                      <w:color w:val="auto"/>
                    </w:rPr>
                    <w:t>车间</w:t>
                  </w:r>
                </w:p>
              </w:tc>
              <w:tc>
                <w:tcPr>
                  <w:tcW w:w="1081" w:type="dxa"/>
                  <w:tcBorders>
                    <w:tl2br w:val="nil"/>
                    <w:tr2bl w:val="nil"/>
                  </w:tcBorders>
                  <w:vAlign w:val="center"/>
                </w:tcPr>
                <w:p>
                  <w:pPr>
                    <w:pStyle w:val="24"/>
                    <w:rPr>
                      <w:rFonts w:hint="eastAsia" w:eastAsia="宋体"/>
                      <w:color w:val="auto"/>
                      <w:lang w:val="en-US" w:eastAsia="zh-CN"/>
                    </w:rPr>
                  </w:pPr>
                  <w:r>
                    <w:rPr>
                      <w:rFonts w:hint="eastAsia"/>
                      <w:color w:val="auto"/>
                      <w:lang w:val="en-US" w:eastAsia="zh-CN"/>
                    </w:rPr>
                    <w:t>酸洗</w:t>
                  </w:r>
                </w:p>
              </w:tc>
              <w:tc>
                <w:tcPr>
                  <w:tcW w:w="3259" w:type="dxa"/>
                  <w:tcBorders>
                    <w:tl2br w:val="nil"/>
                    <w:tr2bl w:val="nil"/>
                  </w:tcBorders>
                  <w:vAlign w:val="center"/>
                </w:tcPr>
                <w:p>
                  <w:pPr>
                    <w:pStyle w:val="24"/>
                    <w:rPr>
                      <w:rFonts w:hint="default" w:eastAsia="宋体"/>
                      <w:color w:val="auto"/>
                      <w:lang w:val="en-US" w:eastAsia="zh-CN"/>
                    </w:rPr>
                  </w:pPr>
                  <w:r>
                    <w:rPr>
                      <w:rFonts w:hint="eastAsia"/>
                      <w:color w:val="auto"/>
                    </w:rPr>
                    <w:t>废包装桶（酸洗剂）、槽渣</w:t>
                  </w:r>
                  <w:r>
                    <w:rPr>
                      <w:rFonts w:hint="eastAsia"/>
                      <w:color w:val="auto"/>
                      <w:lang w:eastAsia="zh-CN"/>
                    </w:rPr>
                    <w:t>、</w:t>
                  </w:r>
                  <w:r>
                    <w:rPr>
                      <w:rFonts w:hint="eastAsia"/>
                      <w:color w:val="auto"/>
                      <w:lang w:val="en-US" w:eastAsia="zh-CN"/>
                    </w:rPr>
                    <w:t>废槽液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22</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pPr>
                  <w:r>
                    <w:rPr>
                      <w:rFonts w:hint="eastAsia"/>
                    </w:rPr>
                    <w:t>S23</w:t>
                  </w:r>
                </w:p>
              </w:tc>
              <w:tc>
                <w:tcPr>
                  <w:tcW w:w="1528" w:type="dxa"/>
                  <w:tcBorders>
                    <w:tl2br w:val="nil"/>
                    <w:tr2bl w:val="nil"/>
                  </w:tcBorders>
                  <w:shd w:val="clear" w:color="auto" w:fill="auto"/>
                  <w:vAlign w:val="center"/>
                </w:tcPr>
                <w:p>
                  <w:pPr>
                    <w:pStyle w:val="24"/>
                    <w:rPr>
                      <w:color w:val="auto"/>
                    </w:rPr>
                  </w:pPr>
                  <w:r>
                    <w:rPr>
                      <w:rFonts w:hint="eastAsia"/>
                      <w:color w:val="auto"/>
                      <w:lang w:eastAsia="zh-CN"/>
                    </w:rPr>
                    <w:t>喷粉</w:t>
                  </w:r>
                  <w:r>
                    <w:rPr>
                      <w:rFonts w:hint="eastAsia"/>
                      <w:color w:val="auto"/>
                    </w:rPr>
                    <w:t>车间</w:t>
                  </w:r>
                </w:p>
              </w:tc>
              <w:tc>
                <w:tcPr>
                  <w:tcW w:w="1081" w:type="dxa"/>
                  <w:tcBorders>
                    <w:tl2br w:val="nil"/>
                    <w:tr2bl w:val="nil"/>
                  </w:tcBorders>
                  <w:shd w:val="clear" w:color="auto" w:fill="auto"/>
                  <w:vAlign w:val="center"/>
                </w:tcPr>
                <w:p>
                  <w:pPr>
                    <w:pStyle w:val="24"/>
                    <w:rPr>
                      <w:color w:val="auto"/>
                    </w:rPr>
                  </w:pPr>
                  <w:r>
                    <w:rPr>
                      <w:rFonts w:hint="eastAsia"/>
                      <w:color w:val="auto"/>
                    </w:rPr>
                    <w:t>表调</w:t>
                  </w:r>
                </w:p>
              </w:tc>
              <w:tc>
                <w:tcPr>
                  <w:tcW w:w="3259" w:type="dxa"/>
                  <w:tcBorders>
                    <w:tl2br w:val="nil"/>
                    <w:tr2bl w:val="nil"/>
                  </w:tcBorders>
                  <w:vAlign w:val="center"/>
                </w:tcPr>
                <w:p>
                  <w:pPr>
                    <w:pStyle w:val="24"/>
                    <w:rPr>
                      <w:color w:val="auto"/>
                    </w:rPr>
                  </w:pPr>
                  <w:r>
                    <w:rPr>
                      <w:rFonts w:hint="eastAsia"/>
                      <w:color w:val="auto"/>
                    </w:rPr>
                    <w:t>废</w:t>
                  </w:r>
                  <w:r>
                    <w:rPr>
                      <w:color w:val="auto"/>
                    </w:rPr>
                    <w:t>包装桶（表调剂）、槽渣</w:t>
                  </w:r>
                  <w:r>
                    <w:rPr>
                      <w:rFonts w:hint="eastAsia"/>
                      <w:color w:val="auto"/>
                      <w:lang w:eastAsia="zh-CN"/>
                    </w:rPr>
                    <w:t>、</w:t>
                  </w:r>
                  <w:r>
                    <w:rPr>
                      <w:rFonts w:hint="eastAsia"/>
                      <w:color w:val="auto"/>
                      <w:lang w:val="en-US" w:eastAsia="zh-CN"/>
                    </w:rPr>
                    <w:t>废槽液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23</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pPr>
                  <w:r>
                    <w:rPr>
                      <w:rFonts w:hint="eastAsia"/>
                    </w:rPr>
                    <w:t>S24</w:t>
                  </w:r>
                </w:p>
              </w:tc>
              <w:tc>
                <w:tcPr>
                  <w:tcW w:w="1528" w:type="dxa"/>
                  <w:tcBorders>
                    <w:tl2br w:val="nil"/>
                    <w:tr2bl w:val="nil"/>
                  </w:tcBorders>
                  <w:shd w:val="clear" w:color="auto" w:fill="auto"/>
                  <w:vAlign w:val="center"/>
                </w:tcPr>
                <w:p>
                  <w:pPr>
                    <w:pStyle w:val="24"/>
                    <w:rPr>
                      <w:color w:val="auto"/>
                    </w:rPr>
                  </w:pPr>
                  <w:r>
                    <w:rPr>
                      <w:rFonts w:hint="eastAsia"/>
                      <w:color w:val="auto"/>
                      <w:lang w:eastAsia="zh-CN"/>
                    </w:rPr>
                    <w:t>喷粉</w:t>
                  </w:r>
                  <w:r>
                    <w:rPr>
                      <w:rFonts w:hint="eastAsia"/>
                      <w:color w:val="auto"/>
                    </w:rPr>
                    <w:t>车间</w:t>
                  </w:r>
                </w:p>
              </w:tc>
              <w:tc>
                <w:tcPr>
                  <w:tcW w:w="1081" w:type="dxa"/>
                  <w:tcBorders>
                    <w:tl2br w:val="nil"/>
                    <w:tr2bl w:val="nil"/>
                  </w:tcBorders>
                  <w:shd w:val="clear" w:color="auto" w:fill="auto"/>
                  <w:vAlign w:val="center"/>
                </w:tcPr>
                <w:p>
                  <w:pPr>
                    <w:pStyle w:val="24"/>
                    <w:rPr>
                      <w:color w:val="auto"/>
                    </w:rPr>
                  </w:pPr>
                  <w:r>
                    <w:rPr>
                      <w:rFonts w:hint="eastAsia"/>
                      <w:color w:val="auto"/>
                    </w:rPr>
                    <w:t>磷化</w:t>
                  </w:r>
                </w:p>
              </w:tc>
              <w:tc>
                <w:tcPr>
                  <w:tcW w:w="3259" w:type="dxa"/>
                  <w:tcBorders>
                    <w:tl2br w:val="nil"/>
                    <w:tr2bl w:val="nil"/>
                  </w:tcBorders>
                  <w:vAlign w:val="center"/>
                </w:tcPr>
                <w:p>
                  <w:pPr>
                    <w:pStyle w:val="24"/>
                    <w:rPr>
                      <w:color w:val="auto"/>
                    </w:rPr>
                  </w:pPr>
                  <w:r>
                    <w:rPr>
                      <w:color w:val="auto"/>
                    </w:rPr>
                    <w:t>废包装桶（磷化剂）、槽渣</w:t>
                  </w:r>
                  <w:r>
                    <w:rPr>
                      <w:rFonts w:hint="eastAsia"/>
                      <w:color w:val="auto"/>
                      <w:lang w:eastAsia="zh-CN"/>
                    </w:rPr>
                    <w:t>、</w:t>
                  </w:r>
                  <w:r>
                    <w:rPr>
                      <w:rFonts w:hint="eastAsia"/>
                      <w:color w:val="auto"/>
                      <w:lang w:val="en-US" w:eastAsia="zh-CN"/>
                    </w:rPr>
                    <w:t>废槽液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24</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rFonts w:hint="default" w:eastAsia="宋体"/>
                      <w:lang w:val="en-US" w:eastAsia="zh-CN"/>
                    </w:rPr>
                  </w:pPr>
                  <w:r>
                    <w:rPr>
                      <w:rFonts w:hint="eastAsia"/>
                      <w:lang w:val="en-US" w:eastAsia="zh-CN"/>
                    </w:rPr>
                    <w:t>S3、S4</w:t>
                  </w:r>
                </w:p>
              </w:tc>
              <w:tc>
                <w:tcPr>
                  <w:tcW w:w="1528" w:type="dxa"/>
                  <w:tcBorders>
                    <w:tl2br w:val="nil"/>
                    <w:tr2bl w:val="nil"/>
                  </w:tcBorders>
                  <w:shd w:val="clear" w:color="auto" w:fill="auto"/>
                  <w:vAlign w:val="center"/>
                </w:tcPr>
                <w:p>
                  <w:pPr>
                    <w:pStyle w:val="24"/>
                    <w:rPr>
                      <w:rFonts w:hint="default"/>
                      <w:color w:val="auto"/>
                      <w:lang w:val="en-US" w:eastAsia="zh-CN"/>
                    </w:rPr>
                  </w:pPr>
                  <w:r>
                    <w:rPr>
                      <w:rFonts w:hint="eastAsia"/>
                      <w:color w:val="auto"/>
                      <w:lang w:val="en-US" w:eastAsia="zh-CN"/>
                    </w:rPr>
                    <w:t>喷粉车间</w:t>
                  </w:r>
                </w:p>
              </w:tc>
              <w:tc>
                <w:tcPr>
                  <w:tcW w:w="1081" w:type="dxa"/>
                  <w:tcBorders>
                    <w:tl2br w:val="nil"/>
                    <w:tr2bl w:val="nil"/>
                  </w:tcBorders>
                  <w:shd w:val="clear" w:color="auto" w:fill="auto"/>
                  <w:vAlign w:val="center"/>
                </w:tcPr>
                <w:p>
                  <w:pPr>
                    <w:pStyle w:val="24"/>
                    <w:rPr>
                      <w:rFonts w:hint="default" w:eastAsia="宋体"/>
                      <w:color w:val="auto"/>
                      <w:lang w:val="en-US" w:eastAsia="zh-CN"/>
                    </w:rPr>
                  </w:pPr>
                  <w:r>
                    <w:rPr>
                      <w:rFonts w:hint="eastAsia"/>
                      <w:color w:val="auto"/>
                      <w:lang w:val="en-US" w:eastAsia="zh-CN"/>
                    </w:rPr>
                    <w:t>生物质燃烧</w:t>
                  </w:r>
                </w:p>
              </w:tc>
              <w:tc>
                <w:tcPr>
                  <w:tcW w:w="3259" w:type="dxa"/>
                  <w:tcBorders>
                    <w:tl2br w:val="nil"/>
                    <w:tr2bl w:val="nil"/>
                  </w:tcBorders>
                  <w:vAlign w:val="center"/>
                </w:tcPr>
                <w:p>
                  <w:pPr>
                    <w:pStyle w:val="24"/>
                    <w:rPr>
                      <w:color w:val="auto"/>
                    </w:rPr>
                  </w:pPr>
                  <w:r>
                    <w:rPr>
                      <w:rFonts w:hint="eastAsia"/>
                      <w:color w:val="auto"/>
                      <w:vertAlign w:val="baseline"/>
                      <w:lang w:val="en-US" w:eastAsia="zh-CN"/>
                    </w:rPr>
                    <w:t>生物质热风炉燃烧炉渣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25</w:t>
                  </w:r>
                </w:p>
              </w:tc>
              <w:tc>
                <w:tcPr>
                  <w:tcW w:w="657" w:type="dxa"/>
                  <w:vMerge w:val="restart"/>
                  <w:tcBorders>
                    <w:tl2br w:val="nil"/>
                    <w:tr2bl w:val="nil"/>
                  </w:tcBorders>
                  <w:vAlign w:val="center"/>
                </w:tcPr>
                <w:p>
                  <w:pPr>
                    <w:pStyle w:val="24"/>
                  </w:pPr>
                  <w:r>
                    <w:rPr>
                      <w:rFonts w:hint="eastAsia"/>
                    </w:rPr>
                    <w:t>废水</w:t>
                  </w:r>
                </w:p>
              </w:tc>
              <w:tc>
                <w:tcPr>
                  <w:tcW w:w="835" w:type="dxa"/>
                  <w:tcBorders>
                    <w:tl2br w:val="nil"/>
                    <w:tr2bl w:val="nil"/>
                  </w:tcBorders>
                  <w:shd w:val="clear" w:color="auto" w:fill="auto"/>
                  <w:vAlign w:val="center"/>
                </w:tcPr>
                <w:p>
                  <w:pPr>
                    <w:pStyle w:val="24"/>
                  </w:pPr>
                  <w:r>
                    <w:rPr>
                      <w:rFonts w:hint="eastAsia"/>
                    </w:rPr>
                    <w:t>/</w:t>
                  </w:r>
                </w:p>
              </w:tc>
              <w:tc>
                <w:tcPr>
                  <w:tcW w:w="1528" w:type="dxa"/>
                  <w:tcBorders>
                    <w:tl2br w:val="nil"/>
                    <w:tr2bl w:val="nil"/>
                  </w:tcBorders>
                  <w:shd w:val="clear" w:color="auto" w:fill="auto"/>
                  <w:vAlign w:val="center"/>
                </w:tcPr>
                <w:p>
                  <w:pPr>
                    <w:pStyle w:val="24"/>
                  </w:pPr>
                  <w:r>
                    <w:rPr>
                      <w:rFonts w:hint="eastAsia"/>
                    </w:rPr>
                    <w:t>卫生间</w:t>
                  </w:r>
                </w:p>
              </w:tc>
              <w:tc>
                <w:tcPr>
                  <w:tcW w:w="1081" w:type="dxa"/>
                  <w:tcBorders>
                    <w:tl2br w:val="nil"/>
                    <w:tr2bl w:val="nil"/>
                  </w:tcBorders>
                  <w:shd w:val="clear" w:color="auto" w:fill="auto"/>
                  <w:vAlign w:val="center"/>
                </w:tcPr>
                <w:p>
                  <w:pPr>
                    <w:pStyle w:val="24"/>
                  </w:pPr>
                  <w:r>
                    <w:rPr>
                      <w:rFonts w:hint="eastAsia"/>
                    </w:rPr>
                    <w:t>员工生活</w:t>
                  </w:r>
                </w:p>
              </w:tc>
              <w:tc>
                <w:tcPr>
                  <w:tcW w:w="3259" w:type="dxa"/>
                  <w:tcBorders>
                    <w:tl2br w:val="nil"/>
                    <w:tr2bl w:val="nil"/>
                  </w:tcBorders>
                  <w:vAlign w:val="center"/>
                </w:tcPr>
                <w:p>
                  <w:pPr>
                    <w:pStyle w:val="24"/>
                  </w:pPr>
                  <w:r>
                    <w:rPr>
                      <w:rFonts w:hint="eastAsia"/>
                    </w:rPr>
                    <w:t>生活污水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26</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W1</w:t>
                  </w:r>
                </w:p>
              </w:tc>
              <w:tc>
                <w:tcPr>
                  <w:tcW w:w="1528" w:type="dxa"/>
                  <w:tcBorders>
                    <w:tl2br w:val="nil"/>
                    <w:tr2bl w:val="nil"/>
                  </w:tcBorders>
                  <w:vAlign w:val="center"/>
                </w:tcPr>
                <w:p>
                  <w:pPr>
                    <w:pStyle w:val="24"/>
                  </w:pPr>
                  <w:r>
                    <w:rPr>
                      <w:rFonts w:hint="eastAsia"/>
                      <w:lang w:eastAsia="zh-CN"/>
                    </w:rPr>
                    <w:t>喷粉</w:t>
                  </w:r>
                  <w:r>
                    <w:rPr>
                      <w:rFonts w:hint="eastAsia"/>
                    </w:rPr>
                    <w:t>车间</w:t>
                  </w:r>
                </w:p>
              </w:tc>
              <w:tc>
                <w:tcPr>
                  <w:tcW w:w="1081" w:type="dxa"/>
                  <w:tcBorders>
                    <w:tl2br w:val="nil"/>
                    <w:tr2bl w:val="nil"/>
                  </w:tcBorders>
                  <w:vAlign w:val="center"/>
                </w:tcPr>
                <w:p>
                  <w:pPr>
                    <w:pStyle w:val="24"/>
                  </w:pPr>
                  <w:r>
                    <w:rPr>
                      <w:rFonts w:hint="eastAsia"/>
                    </w:rPr>
                    <w:t>前处理</w:t>
                  </w:r>
                </w:p>
              </w:tc>
              <w:tc>
                <w:tcPr>
                  <w:tcW w:w="3259" w:type="dxa"/>
                  <w:tcBorders>
                    <w:tl2br w:val="nil"/>
                    <w:tr2bl w:val="nil"/>
                  </w:tcBorders>
                  <w:vAlign w:val="center"/>
                </w:tcPr>
                <w:p>
                  <w:pPr>
                    <w:pStyle w:val="24"/>
                  </w:pPr>
                  <w:r>
                    <w:t>清洗废水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27</w:t>
                  </w:r>
                </w:p>
              </w:tc>
              <w:tc>
                <w:tcPr>
                  <w:tcW w:w="657" w:type="dxa"/>
                  <w:vMerge w:val="continue"/>
                  <w:tcBorders>
                    <w:tl2br w:val="nil"/>
                    <w:tr2bl w:val="nil"/>
                  </w:tcBorders>
                  <w:vAlign w:val="center"/>
                </w:tcPr>
                <w:p>
                  <w:pPr>
                    <w:pStyle w:val="24"/>
                  </w:pPr>
                </w:p>
              </w:tc>
              <w:tc>
                <w:tcPr>
                  <w:tcW w:w="835" w:type="dxa"/>
                  <w:tcBorders>
                    <w:tl2br w:val="nil"/>
                    <w:tr2bl w:val="nil"/>
                  </w:tcBorders>
                  <w:vAlign w:val="center"/>
                </w:tcPr>
                <w:p>
                  <w:pPr>
                    <w:pStyle w:val="24"/>
                  </w:pPr>
                  <w:r>
                    <w:rPr>
                      <w:rFonts w:hint="eastAsia"/>
                    </w:rPr>
                    <w:t>W11</w:t>
                  </w:r>
                  <w:r>
                    <w:rPr>
                      <w:rFonts w:hint="eastAsia"/>
                      <w:lang w:eastAsia="zh-CN"/>
                    </w:rPr>
                    <w:t>、</w:t>
                  </w:r>
                  <w:r>
                    <w:rPr>
                      <w:rFonts w:hint="eastAsia"/>
                    </w:rPr>
                    <w:t>W1</w:t>
                  </w:r>
                  <w:r>
                    <w:rPr>
                      <w:rFonts w:hint="eastAsia"/>
                      <w:lang w:val="en-US" w:eastAsia="zh-CN"/>
                    </w:rPr>
                    <w:t>2</w:t>
                  </w:r>
                </w:p>
              </w:tc>
              <w:tc>
                <w:tcPr>
                  <w:tcW w:w="1528"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水洗</w:t>
                  </w:r>
                </w:p>
              </w:tc>
              <w:tc>
                <w:tcPr>
                  <w:tcW w:w="3259"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清洗废水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28</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rFonts w:hint="eastAsia" w:eastAsia="宋体"/>
                      <w:lang w:eastAsia="zh-CN"/>
                    </w:rPr>
                  </w:pPr>
                  <w:r>
                    <w:rPr>
                      <w:rFonts w:hint="eastAsia"/>
                    </w:rPr>
                    <w:t>W1</w:t>
                  </w:r>
                  <w:r>
                    <w:rPr>
                      <w:rFonts w:hint="eastAsia"/>
                      <w:lang w:val="en-US" w:eastAsia="zh-CN"/>
                    </w:rPr>
                    <w:t>3、W14</w:t>
                  </w:r>
                </w:p>
              </w:tc>
              <w:tc>
                <w:tcPr>
                  <w:tcW w:w="1528"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水洗</w:t>
                  </w:r>
                </w:p>
              </w:tc>
              <w:tc>
                <w:tcPr>
                  <w:tcW w:w="3259"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清洗废水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29</w:t>
                  </w:r>
                </w:p>
              </w:tc>
              <w:tc>
                <w:tcPr>
                  <w:tcW w:w="657" w:type="dxa"/>
                  <w:vMerge w:val="continue"/>
                  <w:tcBorders>
                    <w:tl2br w:val="nil"/>
                    <w:tr2bl w:val="nil"/>
                  </w:tcBorders>
                  <w:vAlign w:val="center"/>
                </w:tcPr>
                <w:p>
                  <w:pPr>
                    <w:pStyle w:val="24"/>
                  </w:pPr>
                </w:p>
              </w:tc>
              <w:tc>
                <w:tcPr>
                  <w:tcW w:w="835" w:type="dxa"/>
                  <w:tcBorders>
                    <w:tl2br w:val="nil"/>
                    <w:tr2bl w:val="nil"/>
                  </w:tcBorders>
                  <w:shd w:val="clear" w:color="auto" w:fill="auto"/>
                  <w:vAlign w:val="center"/>
                </w:tcPr>
                <w:p>
                  <w:pPr>
                    <w:pStyle w:val="24"/>
                    <w:rPr>
                      <w:rFonts w:hint="default" w:eastAsia="宋体"/>
                      <w:lang w:val="en-US" w:eastAsia="zh-CN"/>
                    </w:rPr>
                  </w:pPr>
                  <w:r>
                    <w:rPr>
                      <w:rFonts w:hint="eastAsia"/>
                    </w:rPr>
                    <w:t>W15</w:t>
                  </w:r>
                </w:p>
              </w:tc>
              <w:tc>
                <w:tcPr>
                  <w:tcW w:w="1528"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eastAsia="zh-CN"/>
                    </w:rPr>
                    <w:t>喷粉</w:t>
                  </w:r>
                  <w:r>
                    <w:rPr>
                      <w:rFonts w:hint="eastAsia"/>
                    </w:rPr>
                    <w:t>车间</w:t>
                  </w:r>
                </w:p>
              </w:tc>
              <w:tc>
                <w:tcPr>
                  <w:tcW w:w="1081" w:type="dxa"/>
                  <w:tcBorders>
                    <w:tl2br w:val="nil"/>
                    <w:tr2bl w:val="nil"/>
                  </w:tcBorders>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rPr>
                    <w:t>水洗</w:t>
                  </w:r>
                </w:p>
              </w:tc>
              <w:tc>
                <w:tcPr>
                  <w:tcW w:w="3259" w:type="dxa"/>
                  <w:tcBorders>
                    <w:tl2br w:val="nil"/>
                    <w:tr2bl w:val="nil"/>
                  </w:tcBorders>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rPr>
                    <w:t>清洗废水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30</w:t>
                  </w:r>
                </w:p>
              </w:tc>
              <w:tc>
                <w:tcPr>
                  <w:tcW w:w="657"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噪声</w:t>
                  </w:r>
                </w:p>
              </w:tc>
              <w:tc>
                <w:tcPr>
                  <w:tcW w:w="835" w:type="dxa"/>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N</w:t>
                  </w:r>
                </w:p>
              </w:tc>
              <w:tc>
                <w:tcPr>
                  <w:tcW w:w="1528"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所有厂房</w:t>
                  </w:r>
                </w:p>
              </w:tc>
              <w:tc>
                <w:tcPr>
                  <w:tcW w:w="1081"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设备运转</w:t>
                  </w:r>
                </w:p>
              </w:tc>
              <w:tc>
                <w:tcPr>
                  <w:tcW w:w="3259" w:type="dxa"/>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噪声</w:t>
                  </w:r>
                </w:p>
              </w:tc>
            </w:tr>
          </w:tbl>
          <w:p>
            <w:pPr>
              <w:ind w:firstLine="0" w:firstLineChars="0"/>
            </w:pPr>
          </w:p>
          <w:p>
            <w:pPr>
              <w:ind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vAlign w:val="center"/>
          </w:tcPr>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与项目有关的原有环境污染问题</w:t>
            </w:r>
          </w:p>
        </w:tc>
        <w:tc>
          <w:tcPr>
            <w:tcW w:w="8161" w:type="dxa"/>
          </w:tcPr>
          <w:p>
            <w:pPr>
              <w:ind w:firstLine="480"/>
            </w:pPr>
            <w:r>
              <w:rPr>
                <w:rFonts w:hint="eastAsia"/>
              </w:rPr>
              <w:t>本项目租赁衡阳西渡高新区双创中心内现有厂房28栋和23栋一层建设，位于西渡高新产业园区内，总建筑面积为6125.61平方米。</w:t>
            </w:r>
          </w:p>
          <w:p>
            <w:pPr>
              <w:ind w:firstLine="480"/>
            </w:pPr>
            <w:r>
              <w:rPr>
                <w:rFonts w:hint="eastAsia"/>
              </w:rPr>
              <w:t>本项目属于新建项目，经现场踏勘，项目厂房为衡阳西渡高新区双创中心内闲置厂房，厂房内无生产设施，不存在与本项目有关的原有污染情况及历史遗留环境问题。</w:t>
            </w:r>
          </w:p>
          <w:p>
            <w:pPr>
              <w:ind w:firstLine="480"/>
            </w:pPr>
          </w:p>
        </w:tc>
      </w:tr>
    </w:tbl>
    <w:p>
      <w:pPr>
        <w:pStyle w:val="15"/>
        <w:jc w:val="center"/>
        <w:rPr>
          <w:rFonts w:hint="eastAsia" w:ascii="黑体" w:hAnsi="黑体" w:eastAsia="黑体"/>
          <w:snapToGrid w:val="0"/>
          <w:sz w:val="36"/>
          <w:szCs w:val="36"/>
        </w:rPr>
        <w:sectPr>
          <w:footerReference r:id="rId8"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5"/>
        <w:jc w:val="center"/>
        <w:outlineLvl w:val="0"/>
        <w:rPr>
          <w:rFonts w:hint="eastAsia" w:ascii="黑体" w:hAnsi="黑体" w:eastAsia="黑体"/>
          <w:snapToGrid w:val="0"/>
          <w:sz w:val="30"/>
          <w:szCs w:val="30"/>
        </w:rPr>
      </w:pPr>
      <w:bookmarkStart w:id="92" w:name="_Toc12220"/>
      <w:r>
        <w:rPr>
          <w:rFonts w:hint="eastAsia" w:ascii="黑体" w:hAnsi="黑体" w:eastAsia="黑体"/>
          <w:snapToGrid w:val="0"/>
          <w:sz w:val="30"/>
          <w:szCs w:val="30"/>
        </w:rPr>
        <w:t>三、区域环境质量现状、环境保护目标及评价标准</w:t>
      </w:r>
      <w:bookmarkEnd w:id="92"/>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区域</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环境</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质量</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现状</w:t>
            </w:r>
          </w:p>
        </w:tc>
        <w:tc>
          <w:tcPr>
            <w:tcW w:w="8190" w:type="dxa"/>
            <w:vAlign w:val="center"/>
          </w:tcPr>
          <w:p>
            <w:pPr>
              <w:pStyle w:val="2"/>
              <w:spacing w:before="120"/>
            </w:pPr>
            <w:bookmarkStart w:id="93" w:name="_Toc21298"/>
            <w:bookmarkStart w:id="94" w:name="_Toc12443"/>
            <w:bookmarkStart w:id="95" w:name="_Toc28771"/>
            <w:bookmarkStart w:id="96" w:name="_Toc4629"/>
            <w:r>
              <w:rPr>
                <w:rFonts w:hint="eastAsia"/>
              </w:rPr>
              <w:t>1、大气环境</w:t>
            </w:r>
            <w:bookmarkEnd w:id="93"/>
            <w:bookmarkEnd w:id="94"/>
            <w:bookmarkEnd w:id="95"/>
            <w:bookmarkEnd w:id="96"/>
          </w:p>
          <w:p>
            <w:pPr>
              <w:pStyle w:val="4"/>
              <w:ind w:firstLine="482"/>
              <w:rPr>
                <w:rFonts w:hint="eastAsia"/>
              </w:rPr>
            </w:pPr>
            <w:r>
              <w:rPr>
                <w:rFonts w:hint="eastAsia"/>
              </w:rPr>
              <w:t>（1）项目所在区域达标判断</w:t>
            </w:r>
          </w:p>
          <w:p>
            <w:pPr>
              <w:ind w:firstLine="480"/>
            </w:pPr>
            <w:r>
              <w:rPr>
                <w:rFonts w:hint="eastAsia"/>
              </w:rPr>
              <w:t>根据《环境影响评价技术导则 大气环境》（HJ 2.2-2018）中“6.2.1.1项目所在区域达标判定，优先采用国家或地方生态环境主管部门公开发布的评价基准年环境质量公告或环境质量报告中的数据或结论”。</w:t>
            </w:r>
          </w:p>
          <w:p>
            <w:pPr>
              <w:ind w:firstLine="480"/>
            </w:pPr>
            <w:r>
              <w:rPr>
                <w:rFonts w:hint="eastAsia"/>
              </w:rPr>
              <w:t>本项目位于二类环境空气功能区，执行《环境空气质量标准》（GB 3095-2012）及其修改单中的二级标准。为了解本项目周边环境空气质量状况，本项目引用衡阳市生态环境局《关于202</w:t>
            </w:r>
            <w:r>
              <w:rPr>
                <w:rFonts w:hint="eastAsia"/>
                <w:lang w:val="en-US" w:eastAsia="zh-CN"/>
              </w:rPr>
              <w:t>4</w:t>
            </w:r>
            <w:r>
              <w:rPr>
                <w:rFonts w:hint="eastAsia"/>
              </w:rPr>
              <w:t>年12月及1-12月全市环境质量状况的通报》中相关数据进行判定，其判定结果如下。</w:t>
            </w:r>
          </w:p>
          <w:p>
            <w:pPr>
              <w:ind w:firstLine="0" w:firstLineChars="0"/>
              <w:rPr>
                <w:rFonts w:hint="eastAsia" w:eastAsia="宋体"/>
                <w:lang w:eastAsia="zh-CN"/>
              </w:rPr>
            </w:pPr>
            <w:r>
              <w:rPr>
                <w:rFonts w:hint="eastAsia" w:eastAsia="宋体"/>
                <w:lang w:eastAsia="zh-CN"/>
              </w:rPr>
              <w:drawing>
                <wp:inline distT="0" distB="0" distL="114300" distR="114300">
                  <wp:extent cx="4935220" cy="2241550"/>
                  <wp:effectExtent l="0" t="0" r="17780" b="6350"/>
                  <wp:docPr id="76" name="图片 76" descr="空气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空气质量"/>
                          <pic:cNvPicPr>
                            <a:picLocks noChangeAspect="1"/>
                          </pic:cNvPicPr>
                        </pic:nvPicPr>
                        <pic:blipFill>
                          <a:blip r:embed="rId20"/>
                          <a:srcRect l="452" t="4772" r="1959" b="3181"/>
                          <a:stretch>
                            <a:fillRect/>
                          </a:stretch>
                        </pic:blipFill>
                        <pic:spPr>
                          <a:xfrm>
                            <a:off x="0" y="0"/>
                            <a:ext cx="4935220" cy="2241550"/>
                          </a:xfrm>
                          <a:prstGeom prst="rect">
                            <a:avLst/>
                          </a:prstGeom>
                        </pic:spPr>
                      </pic:pic>
                    </a:graphicData>
                  </a:graphic>
                </wp:inline>
              </w:drawing>
            </w:r>
          </w:p>
          <w:p>
            <w:pPr>
              <w:ind w:firstLine="0" w:firstLineChars="0"/>
              <w:jc w:val="center"/>
              <w:rPr>
                <w:b/>
                <w:bCs/>
                <w:sz w:val="21"/>
                <w:szCs w:val="21"/>
              </w:rPr>
            </w:pPr>
            <w:r>
              <w:rPr>
                <w:rFonts w:hint="eastAsia"/>
                <w:b/>
                <w:bCs/>
                <w:sz w:val="21"/>
                <w:szCs w:val="21"/>
              </w:rPr>
              <w:t>图3-1 202</w:t>
            </w:r>
            <w:r>
              <w:rPr>
                <w:rFonts w:hint="eastAsia"/>
                <w:b/>
                <w:bCs/>
                <w:sz w:val="21"/>
                <w:szCs w:val="21"/>
                <w:lang w:val="en-US" w:eastAsia="zh-CN"/>
              </w:rPr>
              <w:t>4</w:t>
            </w:r>
            <w:r>
              <w:rPr>
                <w:rFonts w:hint="eastAsia"/>
                <w:b/>
                <w:bCs/>
                <w:sz w:val="21"/>
                <w:szCs w:val="21"/>
              </w:rPr>
              <w:t>年12月及1-12月衡阳市各县市区环境空气污染物浓度情况</w:t>
            </w:r>
          </w:p>
          <w:p>
            <w:pPr>
              <w:ind w:firstLine="0" w:firstLineChars="0"/>
              <w:jc w:val="center"/>
              <w:rPr>
                <w:b/>
                <w:bCs/>
                <w:sz w:val="21"/>
                <w:szCs w:val="21"/>
              </w:rPr>
            </w:pPr>
            <w:r>
              <w:rPr>
                <w:rFonts w:hint="eastAsia"/>
                <w:b/>
                <w:bCs/>
                <w:sz w:val="21"/>
                <w:szCs w:val="21"/>
              </w:rPr>
              <w:t>表3-1 区域环境空气质量现状评价表</w:t>
            </w:r>
          </w:p>
          <w:tbl>
            <w:tblPr>
              <w:tblStyle w:val="19"/>
              <w:tblW w:w="49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857"/>
              <w:gridCol w:w="2264"/>
              <w:gridCol w:w="822"/>
              <w:gridCol w:w="654"/>
              <w:gridCol w:w="754"/>
              <w:gridCol w:w="874"/>
              <w:gridCol w:w="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pct"/>
                  <w:tcBorders>
                    <w:top w:val="single" w:color="000000" w:sz="12" w:space="0"/>
                    <w:left w:val="nil"/>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县市区名称</w:t>
                  </w:r>
                </w:p>
              </w:tc>
              <w:tc>
                <w:tcPr>
                  <w:tcW w:w="541"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污染物</w:t>
                  </w:r>
                </w:p>
              </w:tc>
              <w:tc>
                <w:tcPr>
                  <w:tcW w:w="1429"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评价指标</w:t>
                  </w:r>
                </w:p>
              </w:tc>
              <w:tc>
                <w:tcPr>
                  <w:tcW w:w="519"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单位</w:t>
                  </w:r>
                </w:p>
              </w:tc>
              <w:tc>
                <w:tcPr>
                  <w:tcW w:w="413"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现状浓度</w:t>
                  </w:r>
                </w:p>
              </w:tc>
              <w:tc>
                <w:tcPr>
                  <w:tcW w:w="476"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标准值</w:t>
                  </w:r>
                </w:p>
              </w:tc>
              <w:tc>
                <w:tcPr>
                  <w:tcW w:w="552"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占标率(%)</w:t>
                  </w:r>
                </w:p>
              </w:tc>
              <w:tc>
                <w:tcPr>
                  <w:tcW w:w="498" w:type="pct"/>
                  <w:tcBorders>
                    <w:top w:val="single" w:color="000000" w:sz="12" w:space="0"/>
                    <w:left w:val="single" w:color="auto" w:sz="4" w:space="0"/>
                    <w:bottom w:val="single" w:color="000000" w:sz="4" w:space="0"/>
                    <w:right w:val="nil"/>
                  </w:tcBorders>
                  <w:shd w:val="clear" w:color="auto" w:fill="FFFFFF"/>
                  <w:vAlign w:val="center"/>
                </w:tcPr>
                <w:p>
                  <w:pPr>
                    <w:pStyle w:val="24"/>
                    <w:rPr>
                      <w:b/>
                      <w:bCs/>
                      <w:color w:val="000000"/>
                    </w:rPr>
                  </w:pPr>
                  <w:r>
                    <w:rPr>
                      <w:rFonts w:hint="eastAsia"/>
                      <w:b/>
                      <w:bCs/>
                      <w:color w:val="000000"/>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restart"/>
                  <w:tcBorders>
                    <w:top w:val="single" w:color="000000"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衡阳县</w:t>
                  </w:r>
                </w:p>
              </w:tc>
              <w:tc>
                <w:tcPr>
                  <w:tcW w:w="541"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PM</w:t>
                  </w:r>
                  <w:r>
                    <w:rPr>
                      <w:rFonts w:hint="eastAsia"/>
                      <w:color w:val="000000"/>
                      <w:vertAlign w:val="subscript"/>
                    </w:rPr>
                    <w:t>2.5</w:t>
                  </w:r>
                </w:p>
              </w:tc>
              <w:tc>
                <w:tcPr>
                  <w:tcW w:w="1429"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color w:val="000000"/>
                    </w:rPr>
                    <w:t>年平均质量浓度</w:t>
                  </w:r>
                </w:p>
              </w:tc>
              <w:tc>
                <w:tcPr>
                  <w:tcW w:w="519"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ug/m</w:t>
                  </w:r>
                  <w:r>
                    <w:rPr>
                      <w:rFonts w:hint="eastAsia"/>
                      <w:color w:val="000000"/>
                      <w:vertAlign w:val="superscript"/>
                    </w:rPr>
                    <w:t>3</w:t>
                  </w:r>
                </w:p>
              </w:tc>
              <w:tc>
                <w:tcPr>
                  <w:tcW w:w="413"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rFonts w:hint="eastAsia" w:eastAsia="宋体"/>
                      <w:color w:val="000000"/>
                      <w:lang w:eastAsia="zh-CN"/>
                    </w:rPr>
                  </w:pPr>
                  <w:r>
                    <w:rPr>
                      <w:rFonts w:hint="eastAsia"/>
                      <w:color w:val="000000"/>
                    </w:rPr>
                    <w:t>3</w:t>
                  </w:r>
                  <w:r>
                    <w:rPr>
                      <w:rFonts w:hint="eastAsia"/>
                      <w:color w:val="000000"/>
                      <w:lang w:val="en-US" w:eastAsia="zh-CN"/>
                    </w:rPr>
                    <w:t>0</w:t>
                  </w:r>
                </w:p>
              </w:tc>
              <w:tc>
                <w:tcPr>
                  <w:tcW w:w="476"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35</w:t>
                  </w:r>
                </w:p>
              </w:tc>
              <w:tc>
                <w:tcPr>
                  <w:tcW w:w="552"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85.71</w:t>
                  </w:r>
                </w:p>
              </w:tc>
              <w:tc>
                <w:tcPr>
                  <w:tcW w:w="498"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4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PM</w:t>
                  </w:r>
                  <w:r>
                    <w:rPr>
                      <w:rFonts w:hint="eastAsia"/>
                      <w:color w:val="000000"/>
                      <w:vertAlign w:val="subscript"/>
                    </w:rPr>
                    <w:t>10</w:t>
                  </w:r>
                </w:p>
              </w:tc>
              <w:tc>
                <w:tcPr>
                  <w:tcW w:w="142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年平均质量浓度</w:t>
                  </w:r>
                </w:p>
              </w:tc>
              <w:tc>
                <w:tcPr>
                  <w:tcW w:w="51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ug/m</w:t>
                  </w:r>
                  <w:r>
                    <w:rPr>
                      <w:rFonts w:hint="eastAsia"/>
                      <w:color w:val="000000"/>
                      <w:vertAlign w:val="superscript"/>
                    </w:rPr>
                    <w:t>3</w:t>
                  </w:r>
                </w:p>
              </w:tc>
              <w:tc>
                <w:tcPr>
                  <w:tcW w:w="41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38</w:t>
                  </w:r>
                </w:p>
              </w:tc>
              <w:tc>
                <w:tcPr>
                  <w:tcW w:w="47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70</w:t>
                  </w:r>
                </w:p>
              </w:tc>
              <w:tc>
                <w:tcPr>
                  <w:tcW w:w="55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54.29</w:t>
                  </w:r>
                </w:p>
              </w:tc>
              <w:tc>
                <w:tcPr>
                  <w:tcW w:w="498"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4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O</w:t>
                  </w:r>
                  <w:r>
                    <w:rPr>
                      <w:rFonts w:hint="eastAsia"/>
                      <w:color w:val="000000"/>
                      <w:vertAlign w:val="subscript"/>
                    </w:rPr>
                    <w:t>3</w:t>
                  </w:r>
                </w:p>
              </w:tc>
              <w:tc>
                <w:tcPr>
                  <w:tcW w:w="142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最大8h平均质量浓度</w:t>
                  </w:r>
                </w:p>
              </w:tc>
              <w:tc>
                <w:tcPr>
                  <w:tcW w:w="51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ug/m</w:t>
                  </w:r>
                  <w:r>
                    <w:rPr>
                      <w:rFonts w:hint="eastAsia"/>
                      <w:color w:val="000000"/>
                      <w:vertAlign w:val="superscript"/>
                    </w:rPr>
                    <w:t>3</w:t>
                  </w:r>
                </w:p>
              </w:tc>
              <w:tc>
                <w:tcPr>
                  <w:tcW w:w="41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rPr>
                    <w:t>1</w:t>
                  </w:r>
                  <w:r>
                    <w:rPr>
                      <w:rFonts w:hint="eastAsia"/>
                      <w:color w:val="000000"/>
                      <w:lang w:val="en-US" w:eastAsia="zh-CN"/>
                    </w:rPr>
                    <w:t>12</w:t>
                  </w:r>
                </w:p>
              </w:tc>
              <w:tc>
                <w:tcPr>
                  <w:tcW w:w="47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160</w:t>
                  </w:r>
                </w:p>
              </w:tc>
              <w:tc>
                <w:tcPr>
                  <w:tcW w:w="55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70</w:t>
                  </w:r>
                </w:p>
              </w:tc>
              <w:tc>
                <w:tcPr>
                  <w:tcW w:w="498"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4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SO</w:t>
                  </w:r>
                  <w:r>
                    <w:rPr>
                      <w:rFonts w:hint="eastAsia"/>
                      <w:color w:val="000000"/>
                      <w:vertAlign w:val="subscript"/>
                    </w:rPr>
                    <w:t>2</w:t>
                  </w:r>
                </w:p>
              </w:tc>
              <w:tc>
                <w:tcPr>
                  <w:tcW w:w="142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年平均质量浓度</w:t>
                  </w:r>
                </w:p>
              </w:tc>
              <w:tc>
                <w:tcPr>
                  <w:tcW w:w="51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ug/m</w:t>
                  </w:r>
                  <w:r>
                    <w:rPr>
                      <w:rFonts w:hint="eastAsia"/>
                      <w:color w:val="000000"/>
                      <w:vertAlign w:val="superscript"/>
                    </w:rPr>
                    <w:t>3</w:t>
                  </w:r>
                </w:p>
              </w:tc>
              <w:tc>
                <w:tcPr>
                  <w:tcW w:w="41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6</w:t>
                  </w:r>
                </w:p>
              </w:tc>
              <w:tc>
                <w:tcPr>
                  <w:tcW w:w="47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60</w:t>
                  </w:r>
                </w:p>
              </w:tc>
              <w:tc>
                <w:tcPr>
                  <w:tcW w:w="55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10</w:t>
                  </w:r>
                </w:p>
              </w:tc>
              <w:tc>
                <w:tcPr>
                  <w:tcW w:w="498"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41"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NO</w:t>
                  </w:r>
                  <w:r>
                    <w:rPr>
                      <w:rFonts w:hint="eastAsia"/>
                      <w:color w:val="000000"/>
                      <w:vertAlign w:val="subscript"/>
                    </w:rPr>
                    <w:t>2</w:t>
                  </w:r>
                </w:p>
              </w:tc>
              <w:tc>
                <w:tcPr>
                  <w:tcW w:w="142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年平均质量浓度</w:t>
                  </w:r>
                </w:p>
              </w:tc>
              <w:tc>
                <w:tcPr>
                  <w:tcW w:w="519"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ug/m</w:t>
                  </w:r>
                  <w:r>
                    <w:rPr>
                      <w:rFonts w:hint="eastAsia"/>
                      <w:color w:val="000000"/>
                      <w:vertAlign w:val="superscript"/>
                    </w:rPr>
                    <w:t>3</w:t>
                  </w:r>
                </w:p>
              </w:tc>
              <w:tc>
                <w:tcPr>
                  <w:tcW w:w="413"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eastAsia" w:eastAsia="宋体"/>
                      <w:color w:val="000000"/>
                      <w:lang w:val="en-US" w:eastAsia="zh-CN"/>
                    </w:rPr>
                  </w:pPr>
                  <w:r>
                    <w:rPr>
                      <w:rFonts w:hint="eastAsia"/>
                      <w:color w:val="000000"/>
                    </w:rPr>
                    <w:t>1</w:t>
                  </w:r>
                  <w:r>
                    <w:rPr>
                      <w:rFonts w:hint="eastAsia"/>
                      <w:color w:val="000000"/>
                      <w:lang w:val="en-US" w:eastAsia="zh-CN"/>
                    </w:rPr>
                    <w:t>1</w:t>
                  </w:r>
                </w:p>
              </w:tc>
              <w:tc>
                <w:tcPr>
                  <w:tcW w:w="476"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40</w:t>
                  </w:r>
                </w:p>
              </w:tc>
              <w:tc>
                <w:tcPr>
                  <w:tcW w:w="55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27.5</w:t>
                  </w:r>
                </w:p>
              </w:tc>
              <w:tc>
                <w:tcPr>
                  <w:tcW w:w="498"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9" w:type="pct"/>
                  <w:vMerge w:val="continue"/>
                  <w:tcBorders>
                    <w:top w:val="single" w:color="auto" w:sz="4" w:space="0"/>
                    <w:left w:val="nil"/>
                    <w:bottom w:val="single" w:color="000000" w:sz="12" w:space="0"/>
                    <w:right w:val="single" w:color="auto" w:sz="4" w:space="0"/>
                  </w:tcBorders>
                  <w:shd w:val="clear" w:color="auto" w:fill="FFFFFF"/>
                  <w:vAlign w:val="center"/>
                </w:tcPr>
                <w:p>
                  <w:pPr>
                    <w:pStyle w:val="24"/>
                    <w:rPr>
                      <w:color w:val="000000"/>
                    </w:rPr>
                  </w:pPr>
                </w:p>
              </w:tc>
              <w:tc>
                <w:tcPr>
                  <w:tcW w:w="541"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CO</w:t>
                  </w:r>
                </w:p>
              </w:tc>
              <w:tc>
                <w:tcPr>
                  <w:tcW w:w="1429"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24h平均质量浓度</w:t>
                  </w:r>
                </w:p>
              </w:tc>
              <w:tc>
                <w:tcPr>
                  <w:tcW w:w="519"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mg/m</w:t>
                  </w:r>
                  <w:r>
                    <w:rPr>
                      <w:rFonts w:hint="eastAsia"/>
                      <w:color w:val="000000"/>
                      <w:vertAlign w:val="superscript"/>
                    </w:rPr>
                    <w:t>3</w:t>
                  </w:r>
                </w:p>
              </w:tc>
              <w:tc>
                <w:tcPr>
                  <w:tcW w:w="413"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rFonts w:hint="eastAsia" w:eastAsia="宋体"/>
                      <w:color w:val="000000"/>
                      <w:lang w:val="en-US" w:eastAsia="zh-CN"/>
                    </w:rPr>
                  </w:pPr>
                  <w:r>
                    <w:rPr>
                      <w:rFonts w:hint="eastAsia"/>
                      <w:color w:val="000000"/>
                    </w:rPr>
                    <w:t>1.</w:t>
                  </w:r>
                  <w:r>
                    <w:rPr>
                      <w:rFonts w:hint="eastAsia"/>
                      <w:color w:val="000000"/>
                      <w:lang w:val="en-US" w:eastAsia="zh-CN"/>
                    </w:rPr>
                    <w:t>1</w:t>
                  </w:r>
                </w:p>
              </w:tc>
              <w:tc>
                <w:tcPr>
                  <w:tcW w:w="476"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4</w:t>
                  </w:r>
                </w:p>
              </w:tc>
              <w:tc>
                <w:tcPr>
                  <w:tcW w:w="552"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27.5</w:t>
                  </w:r>
                </w:p>
              </w:tc>
              <w:tc>
                <w:tcPr>
                  <w:tcW w:w="498" w:type="pct"/>
                  <w:tcBorders>
                    <w:top w:val="single" w:color="auto" w:sz="4" w:space="0"/>
                    <w:left w:val="single" w:color="auto" w:sz="4" w:space="0"/>
                    <w:bottom w:val="single" w:color="000000" w:sz="12" w:space="0"/>
                    <w:right w:val="nil"/>
                  </w:tcBorders>
                  <w:shd w:val="clear" w:color="auto" w:fill="FFFFFF"/>
                  <w:vAlign w:val="center"/>
                </w:tcPr>
                <w:p>
                  <w:pPr>
                    <w:pStyle w:val="24"/>
                    <w:rPr>
                      <w:color w:val="000000"/>
                    </w:rPr>
                  </w:pPr>
                  <w:r>
                    <w:rPr>
                      <w:rFonts w:hint="eastAsia"/>
                      <w:color w:val="000000"/>
                    </w:rPr>
                    <w:t>达标</w:t>
                  </w:r>
                </w:p>
              </w:tc>
            </w:tr>
          </w:tbl>
          <w:p>
            <w:r>
              <w:rPr>
                <w:rFonts w:hint="eastAsia"/>
              </w:rPr>
              <w:t>由上表可知，衡阳县细颗粒物（PM</w:t>
            </w:r>
            <w:r>
              <w:rPr>
                <w:rFonts w:hint="eastAsia"/>
                <w:vertAlign w:val="subscript"/>
              </w:rPr>
              <w:t>2.5</w:t>
            </w:r>
            <w:r>
              <w:rPr>
                <w:rFonts w:hint="eastAsia"/>
              </w:rPr>
              <w:t>）、可吸入颗粒物（PM</w:t>
            </w:r>
            <w:r>
              <w:rPr>
                <w:rFonts w:hint="eastAsia"/>
                <w:vertAlign w:val="subscript"/>
              </w:rPr>
              <w:t>10</w:t>
            </w:r>
            <w:r>
              <w:rPr>
                <w:rFonts w:hint="eastAsia"/>
              </w:rPr>
              <w:t>）、臭氧年评价浓度（第90百分位数）、一氧化碳年评价浓度（第95百分位数）、二氧化硫和二氧化氮年平均质量浓度均达到《环境空气质量标准》（GB 3095-2012及2018修改单）中的二级标准，本项目所在区域为达标区。</w:t>
            </w:r>
          </w:p>
          <w:p>
            <w:pPr>
              <w:pStyle w:val="4"/>
              <w:ind w:firstLine="482"/>
            </w:pPr>
            <w:r>
              <w:rPr>
                <w:rFonts w:hint="eastAsia"/>
              </w:rPr>
              <w:t>（2）特征因子</w:t>
            </w:r>
          </w:p>
          <w:p>
            <w:pPr>
              <w:ind w:firstLine="480"/>
            </w:pPr>
            <w:r>
              <w:rPr>
                <w:rFonts w:hint="eastAsia"/>
              </w:rPr>
              <w:t>根据《建设项目环境影响报告表编制技术指南（污染影响类）（试行）》的相关规定，本报告引用衡阳西渡高新产业园管委会公布的《西渡高新区2022年度第2次环境质量检测报告》中的TVOC和TSP监测数据</w:t>
            </w:r>
            <w:r>
              <w:rPr>
                <w:rFonts w:hint="eastAsia"/>
                <w:lang w:eastAsia="zh-CN"/>
              </w:rPr>
              <w:t>，以及</w:t>
            </w:r>
            <w:r>
              <w:rPr>
                <w:rFonts w:hint="eastAsia"/>
              </w:rPr>
              <w:t>《湖南坚利美超硬材料有限公司坚利美超硬材料建设项目》于2023年2月22日-24日委托湖南精博监测科技有限公司对该公司项目所在地及下风向敏感点的</w:t>
            </w:r>
            <w:r>
              <w:rPr>
                <w:rFonts w:hint="eastAsia"/>
                <w:lang w:eastAsia="zh-CN"/>
              </w:rPr>
              <w:t>氯化氢</w:t>
            </w:r>
            <w:r>
              <w:rPr>
                <w:rFonts w:hint="eastAsia"/>
              </w:rPr>
              <w:t>监测数据。引用现状数据为近三年有效数据，监测地点位于项目边界5km范围内，项目引用现状监测数据有效、可行。</w:t>
            </w:r>
          </w:p>
          <w:p>
            <w:pPr>
              <w:ind w:firstLine="480"/>
              <w:rPr>
                <w:rFonts w:hint="eastAsia"/>
              </w:rPr>
            </w:pPr>
            <w:r>
              <w:rPr>
                <w:rFonts w:hint="eastAsia"/>
              </w:rPr>
              <w:t>①监测点位：黄湾村（</w:t>
            </w:r>
            <w:r>
              <w:t>东经</w:t>
            </w:r>
            <w:r>
              <w:rPr>
                <w:rFonts w:hint="eastAsia"/>
              </w:rPr>
              <w:t>112.391805</w:t>
            </w:r>
            <w:r>
              <w:rPr>
                <w:rFonts w:hint="eastAsia"/>
                <w:lang w:val="en-US" w:eastAsia="zh-CN"/>
              </w:rPr>
              <w:t>°，北纬</w:t>
            </w:r>
            <w:r>
              <w:rPr>
                <w:rFonts w:hint="eastAsia"/>
              </w:rPr>
              <w:t>26.98139</w:t>
            </w:r>
            <w:r>
              <w:rPr>
                <w:rFonts w:hint="eastAsia"/>
                <w:lang w:val="en-US" w:eastAsia="zh-CN"/>
              </w:rPr>
              <w:t>4°</w:t>
            </w:r>
            <w:r>
              <w:rPr>
                <w:rFonts w:hint="eastAsia"/>
              </w:rPr>
              <w:t>），位于本项目西南侧2440m；</w:t>
            </w:r>
          </w:p>
          <w:p>
            <w:pPr>
              <w:ind w:firstLine="480"/>
              <w:rPr>
                <w:rFonts w:hint="default"/>
                <w:lang w:val="en-US" w:eastAsia="zh-CN"/>
              </w:rPr>
            </w:pPr>
            <w:r>
              <w:rPr>
                <w:rFonts w:hint="eastAsia"/>
                <w:lang w:val="en-US" w:eastAsia="zh-CN"/>
              </w:rPr>
              <w:t>G1（东经112.397472°，北纬26.991121°），位于本项目西侧1694m；</w:t>
            </w:r>
          </w:p>
          <w:p>
            <w:pPr>
              <w:bidi w:val="0"/>
              <w:rPr>
                <w:rFonts w:hint="default"/>
                <w:lang w:val="en-US" w:eastAsia="zh-CN"/>
              </w:rPr>
            </w:pPr>
            <w:r>
              <w:rPr>
                <w:rFonts w:hint="eastAsia"/>
                <w:lang w:val="en-US" w:eastAsia="zh-CN"/>
              </w:rPr>
              <w:t>G2（东经112.403159°，北纬26.981283°），位于本项目西南侧1309m；</w:t>
            </w:r>
          </w:p>
          <w:p>
            <w:pPr>
              <w:ind w:firstLine="480"/>
              <w:rPr>
                <w:rFonts w:hint="default"/>
                <w:lang w:val="en-US" w:eastAsia="zh-CN"/>
              </w:rPr>
            </w:pPr>
            <w:r>
              <w:rPr>
                <w:rFonts w:hint="eastAsia"/>
                <w:lang w:val="en-US" w:eastAsia="zh-CN"/>
              </w:rPr>
              <w:t>G3（东经112.404634°，北纬26.982452°），位于本项目西南侧1121m；</w:t>
            </w:r>
          </w:p>
          <w:p>
            <w:pPr>
              <w:ind w:firstLine="480"/>
            </w:pPr>
            <w:r>
              <w:rPr>
                <w:rFonts w:hint="eastAsia"/>
              </w:rPr>
              <w:t>②监测因子：TVOC、TSP</w:t>
            </w:r>
            <w:r>
              <w:rPr>
                <w:rFonts w:hint="eastAsia"/>
                <w:lang w:eastAsia="zh-CN"/>
              </w:rPr>
              <w:t>及</w:t>
            </w:r>
            <w:r>
              <w:rPr>
                <w:rFonts w:hint="eastAsia"/>
                <w:u w:val="single"/>
                <w:lang w:eastAsia="zh-CN"/>
              </w:rPr>
              <w:t>氯化氢</w:t>
            </w:r>
            <w:r>
              <w:rPr>
                <w:rFonts w:hint="eastAsia"/>
              </w:rPr>
              <w:t>；</w:t>
            </w:r>
          </w:p>
          <w:p>
            <w:pPr>
              <w:ind w:firstLine="480"/>
              <w:rPr>
                <w:rFonts w:hint="eastAsia" w:eastAsia="宋体"/>
                <w:lang w:eastAsia="zh-CN"/>
              </w:rPr>
            </w:pPr>
            <w:r>
              <w:t>③</w:t>
            </w:r>
            <w:r>
              <w:rPr>
                <w:rFonts w:hint="eastAsia"/>
                <w:lang w:eastAsia="zh-CN"/>
              </w:rPr>
              <w:t>监测时间与频次：</w:t>
            </w:r>
          </w:p>
          <w:p>
            <w:pPr>
              <w:ind w:firstLine="480"/>
              <w:rPr>
                <w:rFonts w:hint="eastAsia"/>
              </w:rPr>
            </w:pPr>
            <w:r>
              <w:rPr>
                <w:rFonts w:hint="eastAsia"/>
              </w:rPr>
              <w:t>TVOC、TSP监测时间与频次：2022年12月11日至12月17日，连续监测7天；</w:t>
            </w:r>
          </w:p>
          <w:p>
            <w:pPr>
              <w:ind w:firstLine="480"/>
              <w:rPr>
                <w:rFonts w:hint="default" w:eastAsia="宋体"/>
                <w:lang w:val="en-US" w:eastAsia="zh-CN"/>
              </w:rPr>
            </w:pPr>
            <w:r>
              <w:rPr>
                <w:rFonts w:hint="eastAsia"/>
                <w:u w:val="single"/>
                <w:lang w:eastAsia="zh-CN"/>
              </w:rPr>
              <w:t>氯化氢</w:t>
            </w:r>
            <w:r>
              <w:rPr>
                <w:rFonts w:hint="eastAsia"/>
                <w:u w:val="single"/>
              </w:rPr>
              <w:t>监测时间与频次：</w:t>
            </w:r>
            <w:r>
              <w:rPr>
                <w:rFonts w:hint="eastAsia"/>
                <w:u w:val="single"/>
                <w:lang w:val="en-US" w:eastAsia="zh-CN"/>
              </w:rPr>
              <w:t>2023年2月22日至2月24日，连续监测3天，每天监测3次；</w:t>
            </w:r>
          </w:p>
          <w:p>
            <w:pPr>
              <w:ind w:firstLine="480"/>
              <w:rPr>
                <w:u w:val="single"/>
              </w:rPr>
            </w:pPr>
            <w:r>
              <w:rPr>
                <w:u w:val="single"/>
              </w:rPr>
              <w:t>④</w:t>
            </w:r>
            <w:r>
              <w:rPr>
                <w:rFonts w:hint="eastAsia"/>
                <w:u w:val="single"/>
              </w:rPr>
              <w:t>评价标准：TSP执行《环境空气质量标准》（GB 3095-2012）及2018年修改单表1中的二级标准及其2018年修改单中的相关标准，TVOC</w:t>
            </w:r>
            <w:r>
              <w:rPr>
                <w:rFonts w:hint="eastAsia"/>
                <w:u w:val="single"/>
                <w:lang w:eastAsia="zh-CN"/>
              </w:rPr>
              <w:t>和氯化氢</w:t>
            </w:r>
            <w:r>
              <w:rPr>
                <w:rFonts w:hint="eastAsia"/>
                <w:u w:val="single"/>
              </w:rPr>
              <w:t>执行《环境影响评价技术导则 大气环境》（HJ 2.2-2018）附录D中表D.1限值标准；</w:t>
            </w:r>
          </w:p>
          <w:p>
            <w:pPr>
              <w:ind w:firstLine="480"/>
            </w:pPr>
            <w:r>
              <w:t>⑤</w:t>
            </w:r>
            <w:r>
              <w:rPr>
                <w:rFonts w:hint="eastAsia"/>
              </w:rPr>
              <w:t>监测结果与评价：监测及评价结果见下表。</w:t>
            </w:r>
          </w:p>
          <w:p>
            <w:pPr>
              <w:ind w:firstLine="0" w:firstLineChars="0"/>
              <w:jc w:val="center"/>
              <w:rPr>
                <w:b/>
                <w:bCs/>
                <w:sz w:val="21"/>
                <w:szCs w:val="21"/>
              </w:rPr>
            </w:pPr>
            <w:r>
              <w:rPr>
                <w:rFonts w:hint="eastAsia"/>
                <w:b/>
                <w:bCs/>
                <w:sz w:val="21"/>
                <w:szCs w:val="21"/>
              </w:rPr>
              <w:t>表3-2 特征污染物TVOC、TSP监测结果</w:t>
            </w:r>
          </w:p>
          <w:tbl>
            <w:tblPr>
              <w:tblStyle w:val="19"/>
              <w:tblW w:w="49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885"/>
              <w:gridCol w:w="1363"/>
              <w:gridCol w:w="1088"/>
              <w:gridCol w:w="1239"/>
              <w:gridCol w:w="1703"/>
              <w:gridCol w:w="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8" w:type="pct"/>
                  <w:tcBorders>
                    <w:top w:val="single" w:color="000000" w:sz="12" w:space="0"/>
                    <w:left w:val="nil"/>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监测点位</w:t>
                  </w:r>
                </w:p>
              </w:tc>
              <w:tc>
                <w:tcPr>
                  <w:tcW w:w="557"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污染物</w:t>
                  </w:r>
                </w:p>
              </w:tc>
              <w:tc>
                <w:tcPr>
                  <w:tcW w:w="858"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平均时间</w:t>
                  </w:r>
                </w:p>
              </w:tc>
              <w:tc>
                <w:tcPr>
                  <w:tcW w:w="685"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评价标准(ug/m</w:t>
                  </w:r>
                  <w:r>
                    <w:rPr>
                      <w:rFonts w:hint="eastAsia"/>
                      <w:b/>
                      <w:bCs/>
                      <w:color w:val="000000"/>
                      <w:vertAlign w:val="superscript"/>
                    </w:rPr>
                    <w:t>3</w:t>
                  </w:r>
                  <w:r>
                    <w:rPr>
                      <w:rFonts w:hint="eastAsia"/>
                      <w:b/>
                      <w:bCs/>
                      <w:color w:val="000000"/>
                    </w:rPr>
                    <w:t>)</w:t>
                  </w:r>
                </w:p>
              </w:tc>
              <w:tc>
                <w:tcPr>
                  <w:tcW w:w="780"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监测浓度(ug/m</w:t>
                  </w:r>
                  <w:r>
                    <w:rPr>
                      <w:rFonts w:hint="eastAsia"/>
                      <w:b/>
                      <w:bCs/>
                      <w:color w:val="000000"/>
                      <w:vertAlign w:val="superscript"/>
                    </w:rPr>
                    <w:t>3</w:t>
                  </w:r>
                  <w:r>
                    <w:rPr>
                      <w:rFonts w:hint="eastAsia"/>
                      <w:b/>
                      <w:bCs/>
                      <w:color w:val="000000"/>
                    </w:rPr>
                    <w:t>)</w:t>
                  </w:r>
                </w:p>
              </w:tc>
              <w:tc>
                <w:tcPr>
                  <w:tcW w:w="1072" w:type="pct"/>
                  <w:tcBorders>
                    <w:top w:val="single" w:color="000000" w:sz="12" w:space="0"/>
                    <w:left w:val="single" w:color="auto" w:sz="4" w:space="0"/>
                    <w:bottom w:val="single" w:color="000000" w:sz="4" w:space="0"/>
                    <w:right w:val="single" w:color="auto" w:sz="4" w:space="0"/>
                  </w:tcBorders>
                  <w:shd w:val="clear" w:color="auto" w:fill="FFFFFF"/>
                  <w:vAlign w:val="center"/>
                </w:tcPr>
                <w:p>
                  <w:pPr>
                    <w:pStyle w:val="24"/>
                    <w:rPr>
                      <w:b/>
                      <w:bCs/>
                      <w:color w:val="000000"/>
                    </w:rPr>
                  </w:pPr>
                  <w:r>
                    <w:rPr>
                      <w:rFonts w:hint="eastAsia"/>
                      <w:b/>
                      <w:bCs/>
                      <w:color w:val="000000"/>
                    </w:rPr>
                    <w:t>最大浓度占标率(%)</w:t>
                  </w:r>
                </w:p>
              </w:tc>
              <w:tc>
                <w:tcPr>
                  <w:tcW w:w="586" w:type="pct"/>
                  <w:tcBorders>
                    <w:top w:val="single" w:color="000000" w:sz="12" w:space="0"/>
                    <w:left w:val="single" w:color="auto" w:sz="4" w:space="0"/>
                    <w:bottom w:val="single" w:color="000000" w:sz="4" w:space="0"/>
                    <w:right w:val="nil"/>
                  </w:tcBorders>
                  <w:shd w:val="clear" w:color="auto" w:fill="FFFFFF"/>
                  <w:vAlign w:val="center"/>
                </w:tcPr>
                <w:p>
                  <w:pPr>
                    <w:pStyle w:val="24"/>
                    <w:rPr>
                      <w:b/>
                      <w:bCs/>
                      <w:color w:val="000000"/>
                    </w:rPr>
                  </w:pPr>
                  <w:r>
                    <w:rPr>
                      <w:rFonts w:hint="eastAsia"/>
                      <w:b/>
                      <w:bCs/>
                      <w:color w:val="000000"/>
                    </w:rP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restart"/>
                  <w:tcBorders>
                    <w:top w:val="single" w:color="000000"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黄湾村</w:t>
                  </w:r>
                </w:p>
              </w:tc>
              <w:tc>
                <w:tcPr>
                  <w:tcW w:w="557" w:type="pct"/>
                  <w:vMerge w:val="restar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TSP</w:t>
                  </w:r>
                </w:p>
              </w:tc>
              <w:tc>
                <w:tcPr>
                  <w:tcW w:w="858" w:type="pct"/>
                  <w:vMerge w:val="restar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24小时均值</w:t>
                  </w:r>
                </w:p>
              </w:tc>
              <w:tc>
                <w:tcPr>
                  <w:tcW w:w="685" w:type="pct"/>
                  <w:vMerge w:val="restar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300</w:t>
                  </w:r>
                </w:p>
              </w:tc>
              <w:tc>
                <w:tcPr>
                  <w:tcW w:w="780"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167</w:t>
                  </w:r>
                </w:p>
              </w:tc>
              <w:tc>
                <w:tcPr>
                  <w:tcW w:w="1072" w:type="pct"/>
                  <w:tcBorders>
                    <w:top w:val="single" w:color="000000"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55.67</w:t>
                  </w:r>
                </w:p>
              </w:tc>
              <w:tc>
                <w:tcPr>
                  <w:tcW w:w="586" w:type="pct"/>
                  <w:tcBorders>
                    <w:top w:val="single" w:color="000000"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142</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47.33</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104</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34.67</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155</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51.67</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145</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48.33</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141</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47.00</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139</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46.33</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TVOC</w:t>
                  </w:r>
                </w:p>
              </w:tc>
              <w:tc>
                <w:tcPr>
                  <w:tcW w:w="858"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8小时均值</w:t>
                  </w:r>
                </w:p>
              </w:tc>
              <w:tc>
                <w:tcPr>
                  <w:tcW w:w="685" w:type="pct"/>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600</w:t>
                  </w: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11.3</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1.88</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﹤0.5</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﹤0.08</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﹤0.5</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pPr>
                  <w:r>
                    <w:rPr>
                      <w:rFonts w:hint="eastAsia"/>
                    </w:rPr>
                    <w:t>﹤0.08</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10.2</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1.70</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8.9</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1.48</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8.9</w:t>
                  </w:r>
                </w:p>
              </w:tc>
              <w:tc>
                <w:tcPr>
                  <w:tcW w:w="1072"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1.48</w:t>
                  </w:r>
                </w:p>
              </w:tc>
              <w:tc>
                <w:tcPr>
                  <w:tcW w:w="586" w:type="pct"/>
                  <w:tcBorders>
                    <w:top w:val="single" w:color="auto" w:sz="4" w:space="0"/>
                    <w:left w:val="single" w:color="auto" w:sz="4" w:space="0"/>
                    <w:bottom w:val="single" w:color="auto" w:sz="4" w:space="0"/>
                    <w:right w:val="nil"/>
                  </w:tcBorders>
                  <w:shd w:val="clear" w:color="auto" w:fill="FFFFFF"/>
                  <w:vAlign w:val="center"/>
                </w:tcPr>
                <w:p>
                  <w:pPr>
                    <w:pStyle w:val="24"/>
                    <w:rPr>
                      <w:color w:val="000000"/>
                    </w:rPr>
                  </w:pPr>
                  <w:r>
                    <w:rPr>
                      <w:rFonts w:hint="eastAsia"/>
                      <w:color w:val="00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8" w:type="pct"/>
                  <w:vMerge w:val="continue"/>
                  <w:tcBorders>
                    <w:top w:val="single" w:color="auto" w:sz="4" w:space="0"/>
                    <w:left w:val="nil"/>
                    <w:bottom w:val="single" w:color="000000" w:sz="12" w:space="0"/>
                    <w:right w:val="single" w:color="auto" w:sz="4" w:space="0"/>
                  </w:tcBorders>
                  <w:shd w:val="clear" w:color="auto" w:fill="FFFFFF"/>
                  <w:vAlign w:val="center"/>
                </w:tcPr>
                <w:p>
                  <w:pPr>
                    <w:pStyle w:val="24"/>
                    <w:rPr>
                      <w:color w:val="000000"/>
                    </w:rPr>
                  </w:pPr>
                </w:p>
              </w:tc>
              <w:tc>
                <w:tcPr>
                  <w:tcW w:w="557" w:type="pct"/>
                  <w:vMerge w:val="continue"/>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p>
              </w:tc>
              <w:tc>
                <w:tcPr>
                  <w:tcW w:w="858" w:type="pct"/>
                  <w:vMerge w:val="continue"/>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p>
              </w:tc>
              <w:tc>
                <w:tcPr>
                  <w:tcW w:w="685" w:type="pct"/>
                  <w:vMerge w:val="continue"/>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p>
              </w:tc>
              <w:tc>
                <w:tcPr>
                  <w:tcW w:w="780"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9.0</w:t>
                  </w:r>
                </w:p>
              </w:tc>
              <w:tc>
                <w:tcPr>
                  <w:tcW w:w="1072" w:type="pct"/>
                  <w:tcBorders>
                    <w:top w:val="single" w:color="auto" w:sz="4" w:space="0"/>
                    <w:left w:val="single" w:color="auto" w:sz="4" w:space="0"/>
                    <w:bottom w:val="single" w:color="000000" w:sz="12" w:space="0"/>
                    <w:right w:val="single" w:color="auto" w:sz="4" w:space="0"/>
                  </w:tcBorders>
                  <w:shd w:val="clear" w:color="auto" w:fill="FFFFFF"/>
                  <w:vAlign w:val="center"/>
                </w:tcPr>
                <w:p>
                  <w:pPr>
                    <w:pStyle w:val="24"/>
                    <w:rPr>
                      <w:color w:val="000000"/>
                    </w:rPr>
                  </w:pPr>
                  <w:r>
                    <w:rPr>
                      <w:rFonts w:hint="eastAsia"/>
                      <w:color w:val="000000"/>
                    </w:rPr>
                    <w:t>1.50</w:t>
                  </w:r>
                </w:p>
              </w:tc>
              <w:tc>
                <w:tcPr>
                  <w:tcW w:w="586" w:type="pct"/>
                  <w:tcBorders>
                    <w:top w:val="single" w:color="auto" w:sz="4" w:space="0"/>
                    <w:left w:val="single" w:color="auto" w:sz="4" w:space="0"/>
                    <w:bottom w:val="single" w:color="000000" w:sz="12" w:space="0"/>
                    <w:right w:val="nil"/>
                  </w:tcBorders>
                  <w:shd w:val="clear" w:color="auto" w:fill="FFFFFF"/>
                  <w:vAlign w:val="center"/>
                </w:tcPr>
                <w:p>
                  <w:pPr>
                    <w:pStyle w:val="24"/>
                    <w:rPr>
                      <w:color w:val="000000"/>
                    </w:rPr>
                  </w:pPr>
                  <w:r>
                    <w:rPr>
                      <w:rFonts w:hint="eastAsia"/>
                      <w:color w:val="000000"/>
                    </w:rPr>
                    <w:t>0</w:t>
                  </w:r>
                </w:p>
              </w:tc>
            </w:tr>
          </w:tbl>
          <w:p>
            <w:pPr>
              <w:pStyle w:val="37"/>
              <w:bidi w:val="0"/>
              <w:rPr>
                <w:rFonts w:hint="default"/>
                <w:u w:val="single"/>
                <w:lang w:val="en-US" w:eastAsia="zh-CN"/>
              </w:rPr>
            </w:pPr>
            <w:r>
              <w:rPr>
                <w:rFonts w:hint="eastAsia"/>
                <w:u w:val="single"/>
                <w:lang w:eastAsia="zh-CN"/>
              </w:rPr>
              <w:t>表</w:t>
            </w:r>
            <w:r>
              <w:rPr>
                <w:rFonts w:hint="eastAsia"/>
                <w:u w:val="single"/>
                <w:lang w:val="en-US" w:eastAsia="zh-CN"/>
              </w:rPr>
              <w:t xml:space="preserve">3-3 </w:t>
            </w:r>
            <w:r>
              <w:rPr>
                <w:rFonts w:hint="eastAsia"/>
                <w:u w:val="single"/>
              </w:rPr>
              <w:t>特征污染物</w:t>
            </w:r>
            <w:r>
              <w:rPr>
                <w:rFonts w:hint="eastAsia"/>
                <w:u w:val="single"/>
                <w:lang w:eastAsia="zh-CN"/>
              </w:rPr>
              <w:t>氯化氢</w:t>
            </w:r>
            <w:r>
              <w:rPr>
                <w:rFonts w:hint="eastAsia"/>
                <w:u w:val="single"/>
              </w:rPr>
              <w:t>监测结果</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1321"/>
              <w:gridCol w:w="1133"/>
              <w:gridCol w:w="1056"/>
              <w:gridCol w:w="1056"/>
              <w:gridCol w:w="1066"/>
              <w:gridCol w:w="12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8" w:type="pct"/>
                  <w:vMerge w:val="restart"/>
                  <w:vAlign w:val="center"/>
                </w:tcPr>
                <w:p>
                  <w:pPr>
                    <w:pStyle w:val="24"/>
                    <w:bidi w:val="0"/>
                    <w:rPr>
                      <w:rFonts w:hint="eastAsia"/>
                      <w:b/>
                      <w:bCs/>
                      <w:u w:val="single"/>
                      <w:lang w:eastAsia="zh-CN"/>
                    </w:rPr>
                  </w:pPr>
                  <w:r>
                    <w:rPr>
                      <w:rFonts w:hint="eastAsia"/>
                      <w:b/>
                      <w:bCs/>
                      <w:u w:val="single"/>
                      <w:lang w:eastAsia="zh-CN"/>
                    </w:rPr>
                    <w:t>监测项目</w:t>
                  </w:r>
                </w:p>
              </w:tc>
              <w:tc>
                <w:tcPr>
                  <w:tcW w:w="828" w:type="pct"/>
                  <w:vMerge w:val="restart"/>
                  <w:vAlign w:val="center"/>
                </w:tcPr>
                <w:p>
                  <w:pPr>
                    <w:pStyle w:val="24"/>
                    <w:bidi w:val="0"/>
                    <w:rPr>
                      <w:rFonts w:hint="eastAsia"/>
                      <w:b/>
                      <w:bCs/>
                      <w:u w:val="single"/>
                      <w:lang w:eastAsia="zh-CN"/>
                    </w:rPr>
                  </w:pPr>
                  <w:r>
                    <w:rPr>
                      <w:rFonts w:hint="eastAsia"/>
                      <w:b/>
                      <w:bCs/>
                      <w:u w:val="single"/>
                      <w:lang w:eastAsia="zh-CN"/>
                    </w:rPr>
                    <w:t>监测点位</w:t>
                  </w:r>
                </w:p>
              </w:tc>
              <w:tc>
                <w:tcPr>
                  <w:tcW w:w="710" w:type="pct"/>
                  <w:vMerge w:val="restart"/>
                  <w:vAlign w:val="center"/>
                </w:tcPr>
                <w:p>
                  <w:pPr>
                    <w:pStyle w:val="24"/>
                    <w:bidi w:val="0"/>
                    <w:rPr>
                      <w:rFonts w:hint="eastAsia"/>
                      <w:b/>
                      <w:bCs/>
                      <w:u w:val="single"/>
                      <w:lang w:eastAsia="zh-CN"/>
                    </w:rPr>
                  </w:pPr>
                  <w:r>
                    <w:rPr>
                      <w:rFonts w:hint="eastAsia"/>
                      <w:b/>
                      <w:bCs/>
                      <w:u w:val="single"/>
                      <w:lang w:eastAsia="zh-CN"/>
                    </w:rPr>
                    <w:t>采样频次</w:t>
                  </w:r>
                </w:p>
              </w:tc>
              <w:tc>
                <w:tcPr>
                  <w:tcW w:w="1990" w:type="pct"/>
                  <w:gridSpan w:val="3"/>
                  <w:vAlign w:val="center"/>
                </w:tcPr>
                <w:p>
                  <w:pPr>
                    <w:pStyle w:val="24"/>
                    <w:bidi w:val="0"/>
                    <w:rPr>
                      <w:rFonts w:hint="eastAsia"/>
                      <w:b/>
                      <w:bCs/>
                      <w:u w:val="single"/>
                    </w:rPr>
                  </w:pPr>
                  <w:r>
                    <w:rPr>
                      <w:rFonts w:hint="eastAsia"/>
                      <w:b/>
                      <w:bCs/>
                      <w:u w:val="single"/>
                      <w:lang w:eastAsia="zh-CN"/>
                    </w:rPr>
                    <w:t>监测结果</w:t>
                  </w:r>
                </w:p>
              </w:tc>
              <w:tc>
                <w:tcPr>
                  <w:tcW w:w="782" w:type="pct"/>
                  <w:vMerge w:val="restart"/>
                  <w:vAlign w:val="center"/>
                </w:tcPr>
                <w:p>
                  <w:pPr>
                    <w:pStyle w:val="24"/>
                    <w:bidi w:val="0"/>
                    <w:rPr>
                      <w:rFonts w:hint="eastAsia" w:eastAsia="宋体"/>
                      <w:b/>
                      <w:bCs/>
                      <w:u w:val="single"/>
                      <w:lang w:eastAsia="zh-CN"/>
                    </w:rPr>
                  </w:pPr>
                  <w:r>
                    <w:rPr>
                      <w:rFonts w:hint="eastAsia"/>
                      <w:b/>
                      <w:bCs/>
                      <w:u w:val="single"/>
                      <w:lang w:eastAsia="zh-CN"/>
                    </w:rPr>
                    <w:t>参考限值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8" w:type="pct"/>
                  <w:vMerge w:val="continue"/>
                  <w:vAlign w:val="center"/>
                </w:tcPr>
                <w:p>
                  <w:pPr>
                    <w:pStyle w:val="24"/>
                    <w:bidi w:val="0"/>
                    <w:rPr>
                      <w:rFonts w:hint="eastAsia"/>
                      <w:u w:val="single"/>
                    </w:rPr>
                  </w:pPr>
                </w:p>
              </w:tc>
              <w:tc>
                <w:tcPr>
                  <w:tcW w:w="828" w:type="pct"/>
                  <w:vMerge w:val="continue"/>
                  <w:vAlign w:val="center"/>
                </w:tcPr>
                <w:p>
                  <w:pPr>
                    <w:pStyle w:val="24"/>
                    <w:bidi w:val="0"/>
                    <w:rPr>
                      <w:rFonts w:hint="eastAsia"/>
                      <w:u w:val="single"/>
                    </w:rPr>
                  </w:pPr>
                </w:p>
              </w:tc>
              <w:tc>
                <w:tcPr>
                  <w:tcW w:w="710" w:type="pct"/>
                  <w:vMerge w:val="continue"/>
                  <w:vAlign w:val="center"/>
                </w:tcPr>
                <w:p>
                  <w:pPr>
                    <w:pStyle w:val="24"/>
                    <w:bidi w:val="0"/>
                    <w:rPr>
                      <w:rFonts w:hint="eastAsia"/>
                      <w:u w:val="single"/>
                    </w:rPr>
                  </w:pPr>
                </w:p>
              </w:tc>
              <w:tc>
                <w:tcPr>
                  <w:tcW w:w="661" w:type="pct"/>
                  <w:vAlign w:val="center"/>
                </w:tcPr>
                <w:p>
                  <w:pPr>
                    <w:pStyle w:val="24"/>
                    <w:bidi w:val="0"/>
                    <w:rPr>
                      <w:rFonts w:hint="default" w:eastAsia="宋体"/>
                      <w:b/>
                      <w:bCs/>
                      <w:u w:val="single"/>
                      <w:lang w:val="en-US" w:eastAsia="zh-CN"/>
                    </w:rPr>
                  </w:pPr>
                  <w:r>
                    <w:rPr>
                      <w:rFonts w:hint="eastAsia"/>
                      <w:b/>
                      <w:bCs/>
                      <w:u w:val="single"/>
                      <w:lang w:val="en-US" w:eastAsia="zh-CN"/>
                    </w:rPr>
                    <w:t>2023.2.22</w:t>
                  </w:r>
                </w:p>
              </w:tc>
              <w:tc>
                <w:tcPr>
                  <w:tcW w:w="661" w:type="pct"/>
                  <w:vAlign w:val="center"/>
                </w:tcPr>
                <w:p>
                  <w:pPr>
                    <w:pStyle w:val="24"/>
                    <w:bidi w:val="0"/>
                    <w:rPr>
                      <w:rFonts w:hint="default" w:eastAsia="宋体"/>
                      <w:b/>
                      <w:bCs/>
                      <w:u w:val="single"/>
                      <w:lang w:val="en-US" w:eastAsia="zh-CN"/>
                    </w:rPr>
                  </w:pPr>
                  <w:r>
                    <w:rPr>
                      <w:rFonts w:hint="eastAsia"/>
                      <w:b/>
                      <w:bCs/>
                      <w:u w:val="single"/>
                      <w:lang w:val="en-US" w:eastAsia="zh-CN"/>
                    </w:rPr>
                    <w:t>2023.2.23</w:t>
                  </w:r>
                </w:p>
              </w:tc>
              <w:tc>
                <w:tcPr>
                  <w:tcW w:w="666" w:type="pct"/>
                  <w:vAlign w:val="center"/>
                </w:tcPr>
                <w:p>
                  <w:pPr>
                    <w:pStyle w:val="24"/>
                    <w:bidi w:val="0"/>
                    <w:rPr>
                      <w:rFonts w:hint="default" w:eastAsia="宋体"/>
                      <w:b/>
                      <w:bCs/>
                      <w:u w:val="single"/>
                      <w:lang w:val="en-US" w:eastAsia="zh-CN"/>
                    </w:rPr>
                  </w:pPr>
                  <w:r>
                    <w:rPr>
                      <w:rFonts w:hint="eastAsia"/>
                      <w:b/>
                      <w:bCs/>
                      <w:u w:val="single"/>
                      <w:lang w:val="en-US" w:eastAsia="zh-CN"/>
                    </w:rPr>
                    <w:t>2023.2.24</w:t>
                  </w:r>
                </w:p>
              </w:tc>
              <w:tc>
                <w:tcPr>
                  <w:tcW w:w="782" w:type="pct"/>
                  <w:vMerge w:val="continue"/>
                  <w:vAlign w:val="center"/>
                </w:tcPr>
                <w:p>
                  <w:pPr>
                    <w:pStyle w:val="24"/>
                    <w:bidi w:val="0"/>
                    <w:rPr>
                      <w:rFonts w:hint="eastAsia"/>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8" w:type="pct"/>
                  <w:vMerge w:val="restart"/>
                  <w:vAlign w:val="center"/>
                </w:tcPr>
                <w:p>
                  <w:pPr>
                    <w:pStyle w:val="24"/>
                    <w:bidi w:val="0"/>
                    <w:rPr>
                      <w:rFonts w:hint="eastAsia" w:eastAsia="宋体"/>
                      <w:u w:val="single"/>
                      <w:lang w:eastAsia="zh-CN"/>
                    </w:rPr>
                  </w:pPr>
                  <w:r>
                    <w:rPr>
                      <w:rFonts w:hint="eastAsia"/>
                      <w:u w:val="single"/>
                      <w:lang w:eastAsia="zh-CN"/>
                    </w:rPr>
                    <w:t>氯化氢</w:t>
                  </w:r>
                </w:p>
              </w:tc>
              <w:tc>
                <w:tcPr>
                  <w:tcW w:w="828" w:type="pct"/>
                  <w:vAlign w:val="center"/>
                </w:tcPr>
                <w:p>
                  <w:pPr>
                    <w:pStyle w:val="24"/>
                    <w:bidi w:val="0"/>
                    <w:rPr>
                      <w:rFonts w:hint="default" w:eastAsia="宋体"/>
                      <w:u w:val="single"/>
                      <w:lang w:val="en-US" w:eastAsia="zh-CN"/>
                    </w:rPr>
                  </w:pPr>
                  <w:r>
                    <w:rPr>
                      <w:rFonts w:hint="eastAsia"/>
                      <w:u w:val="single"/>
                      <w:lang w:val="en-US" w:eastAsia="zh-CN"/>
                    </w:rPr>
                    <w:t>G1项目拟建设地</w:t>
                  </w:r>
                </w:p>
              </w:tc>
              <w:tc>
                <w:tcPr>
                  <w:tcW w:w="710" w:type="pct"/>
                  <w:vAlign w:val="center"/>
                </w:tcPr>
                <w:p>
                  <w:pPr>
                    <w:pStyle w:val="24"/>
                    <w:bidi w:val="0"/>
                    <w:rPr>
                      <w:rFonts w:hint="eastAsia" w:eastAsia="宋体"/>
                      <w:u w:val="single"/>
                      <w:lang w:eastAsia="zh-CN"/>
                    </w:rPr>
                  </w:pPr>
                  <w:r>
                    <w:rPr>
                      <w:rFonts w:hint="eastAsia"/>
                      <w:u w:val="single"/>
                      <w:lang w:eastAsia="zh-CN"/>
                    </w:rPr>
                    <w:t>第一次</w:t>
                  </w:r>
                </w:p>
              </w:tc>
              <w:tc>
                <w:tcPr>
                  <w:tcW w:w="661" w:type="pct"/>
                  <w:vAlign w:val="center"/>
                </w:tcPr>
                <w:p>
                  <w:pPr>
                    <w:pStyle w:val="24"/>
                    <w:bidi w:val="0"/>
                    <w:rPr>
                      <w:rFonts w:hint="default" w:eastAsia="宋体"/>
                      <w:u w:val="single"/>
                      <w:lang w:val="en-US" w:eastAsia="zh-CN"/>
                    </w:rPr>
                  </w:pPr>
                  <w:r>
                    <w:rPr>
                      <w:rFonts w:hint="eastAsia"/>
                      <w:u w:val="single"/>
                      <w:lang w:val="en-US" w:eastAsia="zh-CN"/>
                    </w:rPr>
                    <w:t>0.004</w:t>
                  </w:r>
                </w:p>
              </w:tc>
              <w:tc>
                <w:tcPr>
                  <w:tcW w:w="661" w:type="pct"/>
                  <w:vAlign w:val="center"/>
                </w:tcPr>
                <w:p>
                  <w:pPr>
                    <w:pStyle w:val="24"/>
                    <w:bidi w:val="0"/>
                    <w:rPr>
                      <w:rFonts w:hint="default" w:eastAsia="宋体"/>
                      <w:u w:val="single"/>
                      <w:lang w:val="en-US" w:eastAsia="zh-CN"/>
                    </w:rPr>
                  </w:pPr>
                  <w:r>
                    <w:rPr>
                      <w:rFonts w:hint="eastAsia"/>
                      <w:u w:val="single"/>
                      <w:lang w:val="en-US" w:eastAsia="zh-CN"/>
                    </w:rPr>
                    <w:t>0.003</w:t>
                  </w:r>
                </w:p>
              </w:tc>
              <w:tc>
                <w:tcPr>
                  <w:tcW w:w="666" w:type="pct"/>
                  <w:vAlign w:val="center"/>
                </w:tcPr>
                <w:p>
                  <w:pPr>
                    <w:pStyle w:val="24"/>
                    <w:bidi w:val="0"/>
                    <w:rPr>
                      <w:rFonts w:hint="default" w:eastAsia="宋体"/>
                      <w:u w:val="single"/>
                      <w:lang w:val="en-US" w:eastAsia="zh-CN"/>
                    </w:rPr>
                  </w:pPr>
                  <w:r>
                    <w:rPr>
                      <w:rFonts w:hint="eastAsia"/>
                      <w:u w:val="single"/>
                      <w:lang w:val="en-US" w:eastAsia="zh-CN"/>
                    </w:rPr>
                    <w:t>0.004</w:t>
                  </w:r>
                </w:p>
              </w:tc>
              <w:tc>
                <w:tcPr>
                  <w:tcW w:w="782" w:type="pct"/>
                  <w:vMerge w:val="restart"/>
                  <w:vAlign w:val="center"/>
                </w:tcPr>
                <w:p>
                  <w:pPr>
                    <w:pStyle w:val="24"/>
                    <w:bidi w:val="0"/>
                    <w:rPr>
                      <w:rFonts w:hint="default" w:eastAsia="宋体"/>
                      <w:u w:val="single"/>
                      <w:lang w:val="en-US" w:eastAsia="zh-CN"/>
                    </w:rPr>
                  </w:pPr>
                  <w:r>
                    <w:rPr>
                      <w:rFonts w:hint="eastAsia"/>
                      <w:u w:val="single"/>
                      <w:lang w:val="en-US" w:eastAsia="zh-CN"/>
                    </w:rPr>
                    <w:t>0.015mg/m</w:t>
                  </w:r>
                  <w:r>
                    <w:rPr>
                      <w:rFonts w:hint="eastAsia"/>
                      <w:u w:val="single"/>
                      <w:vertAlign w:val="superscript"/>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8" w:type="pct"/>
                  <w:vMerge w:val="continue"/>
                  <w:vAlign w:val="center"/>
                </w:tcPr>
                <w:p>
                  <w:pPr>
                    <w:pStyle w:val="24"/>
                    <w:bidi w:val="0"/>
                    <w:rPr>
                      <w:rFonts w:hint="eastAsia"/>
                      <w:u w:val="single"/>
                    </w:rPr>
                  </w:pPr>
                </w:p>
              </w:tc>
              <w:tc>
                <w:tcPr>
                  <w:tcW w:w="828" w:type="pct"/>
                  <w:vAlign w:val="center"/>
                </w:tcPr>
                <w:p>
                  <w:pPr>
                    <w:pStyle w:val="24"/>
                    <w:bidi w:val="0"/>
                    <w:rPr>
                      <w:rFonts w:hint="default" w:eastAsia="宋体"/>
                      <w:u w:val="single"/>
                      <w:lang w:val="en-US" w:eastAsia="zh-CN"/>
                    </w:rPr>
                  </w:pPr>
                  <w:r>
                    <w:rPr>
                      <w:rFonts w:hint="eastAsia"/>
                      <w:u w:val="single"/>
                      <w:lang w:val="en-US" w:eastAsia="zh-CN"/>
                    </w:rPr>
                    <w:t>G2下风向敏感点</w:t>
                  </w:r>
                </w:p>
              </w:tc>
              <w:tc>
                <w:tcPr>
                  <w:tcW w:w="710" w:type="pct"/>
                  <w:vAlign w:val="center"/>
                </w:tcPr>
                <w:p>
                  <w:pPr>
                    <w:pStyle w:val="24"/>
                    <w:bidi w:val="0"/>
                    <w:rPr>
                      <w:rFonts w:hint="eastAsia" w:eastAsia="宋体"/>
                      <w:u w:val="single"/>
                      <w:lang w:eastAsia="zh-CN"/>
                    </w:rPr>
                  </w:pPr>
                  <w:r>
                    <w:rPr>
                      <w:rFonts w:hint="eastAsia"/>
                      <w:u w:val="single"/>
                      <w:lang w:eastAsia="zh-CN"/>
                    </w:rPr>
                    <w:t>第二次</w:t>
                  </w:r>
                </w:p>
              </w:tc>
              <w:tc>
                <w:tcPr>
                  <w:tcW w:w="661" w:type="pct"/>
                  <w:vAlign w:val="center"/>
                </w:tcPr>
                <w:p>
                  <w:pPr>
                    <w:pStyle w:val="24"/>
                    <w:bidi w:val="0"/>
                    <w:rPr>
                      <w:rFonts w:hint="default" w:eastAsia="宋体"/>
                      <w:u w:val="single"/>
                      <w:lang w:val="en-US" w:eastAsia="zh-CN"/>
                    </w:rPr>
                  </w:pPr>
                  <w:r>
                    <w:rPr>
                      <w:rFonts w:hint="eastAsia"/>
                      <w:u w:val="single"/>
                      <w:lang w:val="en-US" w:eastAsia="zh-CN"/>
                    </w:rPr>
                    <w:t>ND</w:t>
                  </w:r>
                </w:p>
              </w:tc>
              <w:tc>
                <w:tcPr>
                  <w:tcW w:w="661" w:type="pct"/>
                  <w:vAlign w:val="center"/>
                </w:tcPr>
                <w:p>
                  <w:pPr>
                    <w:pStyle w:val="24"/>
                    <w:bidi w:val="0"/>
                    <w:rPr>
                      <w:rFonts w:hint="default" w:eastAsia="宋体"/>
                      <w:u w:val="single"/>
                      <w:lang w:val="en-US" w:eastAsia="zh-CN"/>
                    </w:rPr>
                  </w:pPr>
                  <w:r>
                    <w:rPr>
                      <w:rFonts w:hint="eastAsia"/>
                      <w:u w:val="single"/>
                      <w:lang w:val="en-US" w:eastAsia="zh-CN"/>
                    </w:rPr>
                    <w:t>ND</w:t>
                  </w:r>
                </w:p>
              </w:tc>
              <w:tc>
                <w:tcPr>
                  <w:tcW w:w="666" w:type="pct"/>
                  <w:vAlign w:val="center"/>
                </w:tcPr>
                <w:p>
                  <w:pPr>
                    <w:pStyle w:val="24"/>
                    <w:bidi w:val="0"/>
                    <w:rPr>
                      <w:rFonts w:hint="default" w:eastAsia="宋体"/>
                      <w:u w:val="single"/>
                      <w:lang w:val="en-US" w:eastAsia="zh-CN"/>
                    </w:rPr>
                  </w:pPr>
                  <w:r>
                    <w:rPr>
                      <w:rFonts w:hint="eastAsia"/>
                      <w:u w:val="single"/>
                      <w:lang w:val="en-US" w:eastAsia="zh-CN"/>
                    </w:rPr>
                    <w:t>ND</w:t>
                  </w:r>
                </w:p>
              </w:tc>
              <w:tc>
                <w:tcPr>
                  <w:tcW w:w="782" w:type="pct"/>
                  <w:vMerge w:val="continue"/>
                  <w:vAlign w:val="center"/>
                </w:tcPr>
                <w:p>
                  <w:pPr>
                    <w:pStyle w:val="24"/>
                    <w:bidi w:val="0"/>
                    <w:rPr>
                      <w:rFonts w:hint="eastAsia"/>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8" w:type="pct"/>
                  <w:vMerge w:val="continue"/>
                  <w:vAlign w:val="center"/>
                </w:tcPr>
                <w:p>
                  <w:pPr>
                    <w:pStyle w:val="24"/>
                    <w:bidi w:val="0"/>
                    <w:rPr>
                      <w:rFonts w:hint="eastAsia"/>
                      <w:u w:val="single"/>
                    </w:rPr>
                  </w:pPr>
                </w:p>
              </w:tc>
              <w:tc>
                <w:tcPr>
                  <w:tcW w:w="828" w:type="pct"/>
                  <w:vAlign w:val="center"/>
                </w:tcPr>
                <w:p>
                  <w:pPr>
                    <w:pStyle w:val="24"/>
                    <w:bidi w:val="0"/>
                    <w:rPr>
                      <w:rFonts w:hint="default" w:eastAsia="宋体"/>
                      <w:u w:val="single"/>
                      <w:lang w:val="en-US" w:eastAsia="zh-CN"/>
                    </w:rPr>
                  </w:pPr>
                  <w:r>
                    <w:rPr>
                      <w:rFonts w:hint="eastAsia"/>
                      <w:u w:val="single"/>
                      <w:lang w:val="en-US" w:eastAsia="zh-CN"/>
                    </w:rPr>
                    <w:t>G3下风向敏感点</w:t>
                  </w:r>
                </w:p>
              </w:tc>
              <w:tc>
                <w:tcPr>
                  <w:tcW w:w="710" w:type="pct"/>
                  <w:vAlign w:val="center"/>
                </w:tcPr>
                <w:p>
                  <w:pPr>
                    <w:pStyle w:val="24"/>
                    <w:bidi w:val="0"/>
                    <w:rPr>
                      <w:rFonts w:hint="eastAsia" w:eastAsia="宋体"/>
                      <w:u w:val="single"/>
                      <w:lang w:eastAsia="zh-CN"/>
                    </w:rPr>
                  </w:pPr>
                  <w:r>
                    <w:rPr>
                      <w:rFonts w:hint="eastAsia"/>
                      <w:u w:val="single"/>
                      <w:lang w:eastAsia="zh-CN"/>
                    </w:rPr>
                    <w:t>第三次</w:t>
                  </w:r>
                </w:p>
              </w:tc>
              <w:tc>
                <w:tcPr>
                  <w:tcW w:w="661" w:type="pct"/>
                  <w:vAlign w:val="center"/>
                </w:tcPr>
                <w:p>
                  <w:pPr>
                    <w:pStyle w:val="24"/>
                    <w:bidi w:val="0"/>
                    <w:rPr>
                      <w:rFonts w:hint="default" w:eastAsia="宋体"/>
                      <w:u w:val="single"/>
                      <w:lang w:val="en-US" w:eastAsia="zh-CN"/>
                    </w:rPr>
                  </w:pPr>
                  <w:r>
                    <w:rPr>
                      <w:rFonts w:hint="eastAsia"/>
                      <w:u w:val="single"/>
                      <w:lang w:val="en-US" w:eastAsia="zh-CN"/>
                    </w:rPr>
                    <w:t>ND</w:t>
                  </w:r>
                </w:p>
              </w:tc>
              <w:tc>
                <w:tcPr>
                  <w:tcW w:w="661" w:type="pct"/>
                  <w:vAlign w:val="center"/>
                </w:tcPr>
                <w:p>
                  <w:pPr>
                    <w:pStyle w:val="24"/>
                    <w:bidi w:val="0"/>
                    <w:rPr>
                      <w:rFonts w:hint="default" w:eastAsia="宋体"/>
                      <w:u w:val="single"/>
                      <w:lang w:val="en-US" w:eastAsia="zh-CN"/>
                    </w:rPr>
                  </w:pPr>
                  <w:r>
                    <w:rPr>
                      <w:rFonts w:hint="eastAsia"/>
                      <w:u w:val="single"/>
                      <w:lang w:val="en-US" w:eastAsia="zh-CN"/>
                    </w:rPr>
                    <w:t>ND</w:t>
                  </w:r>
                </w:p>
              </w:tc>
              <w:tc>
                <w:tcPr>
                  <w:tcW w:w="666" w:type="pct"/>
                  <w:vAlign w:val="center"/>
                </w:tcPr>
                <w:p>
                  <w:pPr>
                    <w:pStyle w:val="24"/>
                    <w:bidi w:val="0"/>
                    <w:rPr>
                      <w:rFonts w:hint="default" w:eastAsia="宋体"/>
                      <w:u w:val="single"/>
                      <w:lang w:val="en-US" w:eastAsia="zh-CN"/>
                    </w:rPr>
                  </w:pPr>
                  <w:r>
                    <w:rPr>
                      <w:rFonts w:hint="eastAsia"/>
                      <w:u w:val="single"/>
                      <w:lang w:val="en-US" w:eastAsia="zh-CN"/>
                    </w:rPr>
                    <w:t>ND</w:t>
                  </w:r>
                </w:p>
              </w:tc>
              <w:tc>
                <w:tcPr>
                  <w:tcW w:w="782" w:type="pct"/>
                  <w:vMerge w:val="continue"/>
                  <w:vAlign w:val="center"/>
                </w:tcPr>
                <w:p>
                  <w:pPr>
                    <w:pStyle w:val="24"/>
                    <w:bidi w:val="0"/>
                    <w:rPr>
                      <w:rFonts w:hint="eastAsia"/>
                      <w:u w:val="single"/>
                    </w:rPr>
                  </w:pPr>
                </w:p>
              </w:tc>
            </w:tr>
          </w:tbl>
          <w:p>
            <w:pPr>
              <w:ind w:firstLine="480"/>
            </w:pPr>
            <w:r>
              <w:rPr>
                <w:rFonts w:hint="eastAsia"/>
              </w:rPr>
              <w:t>根据</w:t>
            </w:r>
            <w:r>
              <w:rPr>
                <w:rFonts w:hint="eastAsia"/>
                <w:lang w:eastAsia="zh-CN"/>
              </w:rPr>
              <w:t>表</w:t>
            </w:r>
            <w:r>
              <w:rPr>
                <w:rFonts w:hint="eastAsia"/>
                <w:lang w:val="en-US" w:eastAsia="zh-CN"/>
              </w:rPr>
              <w:t>3-2和表3-3监测结果</w:t>
            </w:r>
            <w:r>
              <w:rPr>
                <w:rFonts w:hint="eastAsia"/>
              </w:rPr>
              <w:t>，项目所在区域TSP满足《环境空气质量标准》（GB 3095-2012）及2018年修改单表1中的二级标准及其2018年修改单中的相关标准</w:t>
            </w:r>
            <w:r>
              <w:rPr>
                <w:rFonts w:hint="eastAsia"/>
                <w:lang w:eastAsia="zh-CN"/>
              </w:rPr>
              <w:t>，</w:t>
            </w:r>
            <w:r>
              <w:rPr>
                <w:rFonts w:hint="eastAsia"/>
              </w:rPr>
              <w:t>TVOC</w:t>
            </w:r>
            <w:r>
              <w:rPr>
                <w:rFonts w:hint="eastAsia"/>
                <w:lang w:eastAsia="zh-CN"/>
              </w:rPr>
              <w:t>和氯化氢浓度满足</w:t>
            </w:r>
            <w:r>
              <w:rPr>
                <w:rFonts w:hint="eastAsia"/>
              </w:rPr>
              <w:t>《环境影响评价技术导则 大气环境》（HJ 2.2-2018）附录D中表D.1限值标准</w:t>
            </w:r>
            <w:r>
              <w:rPr>
                <w:rFonts w:hint="eastAsia"/>
                <w:lang w:eastAsia="zh-CN"/>
              </w:rPr>
              <w:t>，</w:t>
            </w:r>
            <w:r>
              <w:rPr>
                <w:rFonts w:hint="eastAsia"/>
              </w:rPr>
              <w:t>说明项目所在区域环境空气质量现状良好。</w:t>
            </w:r>
          </w:p>
          <w:p>
            <w:pPr>
              <w:pStyle w:val="2"/>
              <w:spacing w:before="120"/>
            </w:pPr>
            <w:bookmarkStart w:id="97" w:name="_Toc28080"/>
            <w:bookmarkStart w:id="98" w:name="_Toc3097"/>
            <w:bookmarkStart w:id="99" w:name="_Toc23445"/>
            <w:bookmarkStart w:id="100" w:name="_Toc9600"/>
            <w:r>
              <w:rPr>
                <w:rFonts w:hint="eastAsia"/>
              </w:rPr>
              <w:t>2、地表水环境</w:t>
            </w:r>
            <w:bookmarkEnd w:id="97"/>
            <w:bookmarkEnd w:id="98"/>
            <w:bookmarkEnd w:id="99"/>
            <w:bookmarkEnd w:id="100"/>
          </w:p>
          <w:p>
            <w:pPr>
              <w:ind w:firstLine="480"/>
            </w:pPr>
            <w:r>
              <w:rPr>
                <w:rFonts w:hint="eastAsia"/>
              </w:rPr>
              <w:t>根据《建设项目环境影响报告表编制技术指南（污染影响类）（试行）》,地表水环境引用与建设项目距离近的有效数据，项目最近水体为蒸水，距离本项目最近的地表水监测断面为西渡水厂断面，据衡阳市生态环境局发布的《关于202</w:t>
            </w:r>
            <w:r>
              <w:rPr>
                <w:rFonts w:hint="eastAsia"/>
                <w:lang w:val="en-US" w:eastAsia="zh-CN"/>
              </w:rPr>
              <w:t>4</w:t>
            </w:r>
            <w:r>
              <w:rPr>
                <w:rFonts w:hint="eastAsia"/>
              </w:rPr>
              <w:t>年12月及1~12月全市环境质量状况的通报》可知其水质监测情况如下图所示。</w:t>
            </w:r>
          </w:p>
          <w:p>
            <w:pPr>
              <w:ind w:firstLine="0" w:firstLineChars="0"/>
              <w:rPr>
                <w:rFonts w:hint="eastAsia" w:eastAsia="宋体"/>
                <w:lang w:eastAsia="zh-CN"/>
              </w:rPr>
            </w:pPr>
            <w:r>
              <w:rPr>
                <w:rFonts w:hint="eastAsia" w:eastAsia="宋体"/>
                <w:lang w:eastAsia="zh-CN"/>
              </w:rPr>
              <w:drawing>
                <wp:inline distT="0" distB="0" distL="114300" distR="114300">
                  <wp:extent cx="5066665" cy="3373755"/>
                  <wp:effectExtent l="0" t="0" r="635" b="17145"/>
                  <wp:docPr id="77" name="图片 77" descr="水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水质量"/>
                          <pic:cNvPicPr>
                            <a:picLocks noChangeAspect="1"/>
                          </pic:cNvPicPr>
                        </pic:nvPicPr>
                        <pic:blipFill>
                          <a:blip r:embed="rId21"/>
                          <a:stretch>
                            <a:fillRect/>
                          </a:stretch>
                        </pic:blipFill>
                        <pic:spPr>
                          <a:xfrm>
                            <a:off x="0" y="0"/>
                            <a:ext cx="5066665" cy="3373755"/>
                          </a:xfrm>
                          <a:prstGeom prst="rect">
                            <a:avLst/>
                          </a:prstGeom>
                        </pic:spPr>
                      </pic:pic>
                    </a:graphicData>
                  </a:graphic>
                </wp:inline>
              </w:drawing>
            </w:r>
          </w:p>
          <w:p>
            <w:pPr>
              <w:ind w:firstLine="0" w:firstLineChars="0"/>
              <w:jc w:val="center"/>
              <w:rPr>
                <w:b/>
                <w:bCs/>
                <w:sz w:val="21"/>
                <w:szCs w:val="21"/>
              </w:rPr>
            </w:pPr>
            <w:r>
              <w:rPr>
                <w:rFonts w:hint="eastAsia"/>
                <w:b/>
                <w:bCs/>
                <w:sz w:val="21"/>
                <w:szCs w:val="21"/>
              </w:rPr>
              <w:t>图3-2 202</w:t>
            </w:r>
            <w:r>
              <w:rPr>
                <w:rFonts w:hint="eastAsia"/>
                <w:b/>
                <w:bCs/>
                <w:sz w:val="21"/>
                <w:szCs w:val="21"/>
                <w:lang w:val="en-US" w:eastAsia="zh-CN"/>
              </w:rPr>
              <w:t>4</w:t>
            </w:r>
            <w:r>
              <w:rPr>
                <w:rFonts w:hint="eastAsia"/>
                <w:b/>
                <w:bCs/>
                <w:sz w:val="21"/>
                <w:szCs w:val="21"/>
              </w:rPr>
              <w:t>年1-12月衡阳县地表水环境质量现状</w:t>
            </w:r>
          </w:p>
          <w:p>
            <w:pPr>
              <w:ind w:firstLine="480"/>
            </w:pPr>
            <w:r>
              <w:rPr>
                <w:rFonts w:hint="eastAsia"/>
              </w:rPr>
              <w:t>由上图监测数据表明：西渡水厂断面水质均满足《地表水环境质量标准》（GB 3838-2002）Ⅱ类标准的要求，项目所在区域地表水环境属于达标区。</w:t>
            </w:r>
          </w:p>
          <w:p>
            <w:pPr>
              <w:pStyle w:val="2"/>
              <w:spacing w:before="120"/>
            </w:pPr>
            <w:bookmarkStart w:id="101" w:name="_Toc5118"/>
            <w:bookmarkStart w:id="102" w:name="_Toc1841"/>
            <w:bookmarkStart w:id="103" w:name="_Toc10773"/>
            <w:bookmarkStart w:id="104" w:name="_Toc6678"/>
            <w:r>
              <w:rPr>
                <w:rFonts w:hint="eastAsia"/>
              </w:rPr>
              <w:t>3、声环境</w:t>
            </w:r>
            <w:bookmarkEnd w:id="101"/>
            <w:bookmarkEnd w:id="102"/>
            <w:bookmarkEnd w:id="103"/>
            <w:bookmarkEnd w:id="104"/>
          </w:p>
          <w:p>
            <w:pPr>
              <w:ind w:firstLine="480"/>
            </w:pPr>
            <w:r>
              <w:rPr>
                <w:rFonts w:hint="eastAsia"/>
              </w:rPr>
              <w:t>本项目位于湖南省衡阳市衡阳县西渡镇西渡高新区创新创业园，根据《建设项目环境影响报告表编制技术指南（污染影响类）（试行）》，“声环境厂界外周边50米范围内存在声环境保护目标的建设项目，应监测保护目标声环境质量现状并评价达标情况”，经现场踏勘，本项目50m范围内无声环境保护目标，因此无需开展声环境质量现状监测。</w:t>
            </w:r>
          </w:p>
          <w:p>
            <w:pPr>
              <w:pStyle w:val="2"/>
              <w:spacing w:before="120"/>
            </w:pPr>
            <w:bookmarkStart w:id="105" w:name="_Toc6315"/>
            <w:bookmarkStart w:id="106" w:name="_Toc16813"/>
            <w:bookmarkStart w:id="107" w:name="_Toc8827"/>
            <w:bookmarkStart w:id="108" w:name="_Toc9073"/>
            <w:r>
              <w:rPr>
                <w:rFonts w:hint="eastAsia"/>
              </w:rPr>
              <w:t>4、生态环境</w:t>
            </w:r>
            <w:bookmarkEnd w:id="105"/>
            <w:bookmarkEnd w:id="106"/>
            <w:bookmarkEnd w:id="107"/>
            <w:bookmarkEnd w:id="108"/>
          </w:p>
          <w:p>
            <w:pPr>
              <w:ind w:firstLine="480"/>
            </w:pPr>
            <w:r>
              <w:rPr>
                <w:rFonts w:hint="eastAsia"/>
              </w:rPr>
              <w:t>根据《建设项目环境影响报告表编制技术指南（污染影响类）（试行）》，“生态环境。产业园区外建设项目新增用地且用地范围内含有生态环境保护目标时，应进行生态现状调查”，本项目位于衡阳西渡高新区创新创业园已建成的建筑物内，场地均已硬化，故无需进行生态现状调查。</w:t>
            </w:r>
          </w:p>
          <w:p>
            <w:pPr>
              <w:pStyle w:val="2"/>
              <w:spacing w:before="120"/>
            </w:pPr>
            <w:bookmarkStart w:id="109" w:name="_Toc5890"/>
            <w:bookmarkStart w:id="110" w:name="_Toc17727"/>
            <w:bookmarkStart w:id="111" w:name="_Toc16232"/>
            <w:bookmarkStart w:id="112" w:name="_Toc22285"/>
            <w:r>
              <w:rPr>
                <w:rFonts w:hint="eastAsia"/>
              </w:rPr>
              <w:t>5、地下水、土壤环境</w:t>
            </w:r>
            <w:bookmarkEnd w:id="109"/>
            <w:bookmarkEnd w:id="110"/>
            <w:bookmarkEnd w:id="111"/>
            <w:bookmarkEnd w:id="112"/>
          </w:p>
          <w:p>
            <w:pPr>
              <w:ind w:firstLine="480"/>
            </w:pPr>
            <w:r>
              <w:rPr>
                <w:rFonts w:hint="eastAsia"/>
              </w:rPr>
              <w:t>根据《建设项目环境影响报告表编制技术指南（污染影响类）（试行）》，“地下水、土壤环境。原则上不开展环境质量现状调查。建设项目存在土壤、地下水环境污染途径的，应结合污染源、保护目标分布情况开展现状调查以留作背景值。结合本项目工程分析，项目场地均已硬化，做好防渗，项目不存在土壤、地下水环境污染途径，因此，可不开展土壤、地下水环境质量现状调查。</w:t>
            </w:r>
          </w:p>
          <w:p>
            <w:pPr>
              <w:pStyle w:val="2"/>
              <w:spacing w:before="120"/>
            </w:pPr>
            <w:bookmarkStart w:id="113" w:name="_Toc2420"/>
            <w:bookmarkStart w:id="114" w:name="_Toc32386"/>
            <w:bookmarkStart w:id="115" w:name="_Toc17336"/>
            <w:r>
              <w:rPr>
                <w:rFonts w:hint="eastAsia"/>
              </w:rPr>
              <w:t>6、电磁辐射</w:t>
            </w:r>
            <w:bookmarkEnd w:id="113"/>
            <w:bookmarkEnd w:id="114"/>
            <w:bookmarkEnd w:id="115"/>
          </w:p>
          <w:p>
            <w:pPr>
              <w:ind w:firstLine="480"/>
            </w:pPr>
            <w:r>
              <w:t>本项目不涉及电磁辐射设备，不进行电磁辐射影响评价，因此无需进行电磁辐射环境现状调查。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环境</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保护</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目标</w:t>
            </w:r>
          </w:p>
        </w:tc>
        <w:tc>
          <w:tcPr>
            <w:tcW w:w="8190" w:type="dxa"/>
            <w:vAlign w:val="center"/>
          </w:tcPr>
          <w:p>
            <w:pPr>
              <w:pStyle w:val="2"/>
              <w:spacing w:before="120"/>
            </w:pPr>
            <w:bookmarkStart w:id="116" w:name="_Toc18838"/>
            <w:bookmarkStart w:id="117" w:name="_Toc22082"/>
            <w:bookmarkStart w:id="118" w:name="_Toc20324"/>
            <w:bookmarkStart w:id="119" w:name="_Toc29573"/>
            <w:r>
              <w:rPr>
                <w:rFonts w:hint="eastAsia"/>
              </w:rPr>
              <w:t>1、大气环境</w:t>
            </w:r>
            <w:bookmarkEnd w:id="116"/>
            <w:bookmarkEnd w:id="117"/>
            <w:bookmarkEnd w:id="118"/>
            <w:bookmarkEnd w:id="119"/>
          </w:p>
          <w:p>
            <w:pPr>
              <w:ind w:firstLine="480"/>
            </w:pPr>
            <w:r>
              <w:rPr>
                <w:rFonts w:hint="eastAsia"/>
              </w:rPr>
              <w:t>项目厂界外500米范围内的大气环境保护目标详见下表。</w:t>
            </w:r>
          </w:p>
          <w:p>
            <w:pPr>
              <w:ind w:firstLine="0" w:firstLineChars="0"/>
              <w:jc w:val="center"/>
              <w:rPr>
                <w:b/>
                <w:bCs/>
                <w:sz w:val="21"/>
                <w:szCs w:val="21"/>
              </w:rPr>
            </w:pPr>
            <w:r>
              <w:rPr>
                <w:rFonts w:hint="eastAsia"/>
                <w:b/>
                <w:bCs/>
                <w:sz w:val="21"/>
                <w:szCs w:val="21"/>
              </w:rPr>
              <w:t>表3-</w:t>
            </w:r>
            <w:r>
              <w:rPr>
                <w:rFonts w:hint="eastAsia"/>
                <w:b/>
                <w:bCs/>
                <w:sz w:val="21"/>
                <w:szCs w:val="21"/>
                <w:lang w:val="en-US" w:eastAsia="zh-CN"/>
              </w:rPr>
              <w:t>4</w:t>
            </w:r>
            <w:r>
              <w:rPr>
                <w:rFonts w:hint="eastAsia"/>
                <w:b/>
                <w:bCs/>
                <w:sz w:val="21"/>
                <w:szCs w:val="21"/>
              </w:rPr>
              <w:t xml:space="preserve"> 大气环境保护目标一览表</w:t>
            </w:r>
          </w:p>
          <w:tbl>
            <w:tblPr>
              <w:tblStyle w:val="19"/>
              <w:tblW w:w="4986" w:type="pct"/>
              <w:jc w:val="center"/>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560"/>
              <w:gridCol w:w="1273"/>
              <w:gridCol w:w="1199"/>
              <w:gridCol w:w="1348"/>
              <w:gridCol w:w="1426"/>
              <w:gridCol w:w="1045"/>
              <w:gridCol w:w="1107"/>
            </w:tblGrid>
            <w:tr>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97" w:hRule="atLeast"/>
                <w:jc w:val="center"/>
              </w:trPr>
              <w:tc>
                <w:tcPr>
                  <w:tcW w:w="352" w:type="pct"/>
                  <w:vMerge w:val="restart"/>
                  <w:tcBorders>
                    <w:bottom w:val="single" w:color="000000" w:sz="4" w:space="0"/>
                  </w:tcBorders>
                  <w:shd w:val="clear" w:color="auto" w:fill="FFFFFF"/>
                  <w:vAlign w:val="center"/>
                </w:tcPr>
                <w:p>
                  <w:pPr>
                    <w:pStyle w:val="24"/>
                    <w:rPr>
                      <w:b/>
                      <w:bCs/>
                      <w:color w:val="000000"/>
                    </w:rPr>
                  </w:pPr>
                  <w:r>
                    <w:rPr>
                      <w:rFonts w:hint="eastAsia"/>
                      <w:b/>
                      <w:bCs/>
                      <w:color w:val="000000"/>
                    </w:rPr>
                    <w:t>序号</w:t>
                  </w:r>
                </w:p>
              </w:tc>
              <w:tc>
                <w:tcPr>
                  <w:tcW w:w="1552" w:type="pct"/>
                  <w:gridSpan w:val="2"/>
                  <w:tcBorders>
                    <w:bottom w:val="single" w:color="000000" w:sz="4" w:space="0"/>
                  </w:tcBorders>
                  <w:shd w:val="clear" w:color="auto" w:fill="FFFFFF"/>
                  <w:vAlign w:val="center"/>
                </w:tcPr>
                <w:p>
                  <w:pPr>
                    <w:pStyle w:val="24"/>
                    <w:rPr>
                      <w:b/>
                      <w:bCs/>
                      <w:color w:val="000000"/>
                    </w:rPr>
                  </w:pPr>
                  <w:r>
                    <w:rPr>
                      <w:rFonts w:hint="eastAsia"/>
                      <w:b/>
                      <w:bCs/>
                      <w:color w:val="000000"/>
                    </w:rPr>
                    <w:t>中心坐标</w:t>
                  </w:r>
                </w:p>
              </w:tc>
              <w:tc>
                <w:tcPr>
                  <w:tcW w:w="846" w:type="pct"/>
                  <w:vMerge w:val="restart"/>
                  <w:tcBorders>
                    <w:bottom w:val="single" w:color="000000" w:sz="4" w:space="0"/>
                  </w:tcBorders>
                  <w:shd w:val="clear" w:color="auto" w:fill="FFFFFF"/>
                  <w:vAlign w:val="center"/>
                </w:tcPr>
                <w:p>
                  <w:pPr>
                    <w:pStyle w:val="24"/>
                    <w:rPr>
                      <w:b/>
                      <w:bCs/>
                      <w:color w:val="000000"/>
                    </w:rPr>
                  </w:pPr>
                  <w:r>
                    <w:rPr>
                      <w:rFonts w:hint="eastAsia"/>
                      <w:b/>
                      <w:bCs/>
                      <w:color w:val="000000"/>
                    </w:rPr>
                    <w:t>保护目标</w:t>
                  </w:r>
                </w:p>
              </w:tc>
              <w:tc>
                <w:tcPr>
                  <w:tcW w:w="895" w:type="pct"/>
                  <w:vMerge w:val="restart"/>
                  <w:tcBorders>
                    <w:bottom w:val="single" w:color="000000" w:sz="4" w:space="0"/>
                  </w:tcBorders>
                  <w:shd w:val="clear" w:color="auto" w:fill="FFFFFF"/>
                  <w:vAlign w:val="center"/>
                </w:tcPr>
                <w:p>
                  <w:pPr>
                    <w:pStyle w:val="24"/>
                    <w:rPr>
                      <w:b/>
                      <w:bCs/>
                      <w:color w:val="000000"/>
                    </w:rPr>
                  </w:pPr>
                  <w:r>
                    <w:rPr>
                      <w:rFonts w:hint="eastAsia"/>
                      <w:b/>
                      <w:bCs/>
                      <w:color w:val="000000"/>
                    </w:rPr>
                    <w:t>规模</w:t>
                  </w:r>
                </w:p>
              </w:tc>
              <w:tc>
                <w:tcPr>
                  <w:tcW w:w="656" w:type="pct"/>
                  <w:vMerge w:val="restart"/>
                  <w:tcBorders>
                    <w:bottom w:val="single" w:color="000000" w:sz="4" w:space="0"/>
                  </w:tcBorders>
                  <w:shd w:val="clear" w:color="auto" w:fill="FFFFFF"/>
                  <w:vAlign w:val="center"/>
                </w:tcPr>
                <w:p>
                  <w:pPr>
                    <w:pStyle w:val="24"/>
                    <w:rPr>
                      <w:b/>
                      <w:bCs/>
                      <w:color w:val="000000"/>
                    </w:rPr>
                  </w:pPr>
                  <w:r>
                    <w:rPr>
                      <w:rFonts w:hint="eastAsia"/>
                      <w:b/>
                      <w:bCs/>
                      <w:color w:val="000000"/>
                    </w:rPr>
                    <w:t>相对厂址方位</w:t>
                  </w:r>
                </w:p>
              </w:tc>
              <w:tc>
                <w:tcPr>
                  <w:tcW w:w="695" w:type="pct"/>
                  <w:vMerge w:val="restart"/>
                  <w:tcBorders>
                    <w:bottom w:val="single" w:color="000000" w:sz="4" w:space="0"/>
                  </w:tcBorders>
                  <w:shd w:val="clear" w:color="auto" w:fill="FFFFFF"/>
                  <w:vAlign w:val="center"/>
                </w:tcPr>
                <w:p>
                  <w:pPr>
                    <w:pStyle w:val="24"/>
                    <w:rPr>
                      <w:b/>
                      <w:bCs/>
                      <w:color w:val="000000"/>
                    </w:rPr>
                  </w:pPr>
                  <w:r>
                    <w:rPr>
                      <w:rFonts w:hint="eastAsia"/>
                      <w:b/>
                      <w:bCs/>
                      <w:color w:val="000000"/>
                    </w:rPr>
                    <w:t>相对厂界最近距离</w:t>
                  </w:r>
                </w:p>
              </w:tc>
            </w:tr>
            <w:tr>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352" w:type="pct"/>
                  <w:vMerge w:val="continue"/>
                  <w:tcBorders>
                    <w:top w:val="single" w:color="000000" w:sz="4" w:space="0"/>
                    <w:bottom w:val="single" w:color="000000" w:sz="4" w:space="0"/>
                  </w:tcBorders>
                  <w:shd w:val="clear" w:color="auto" w:fill="FFFFFF"/>
                  <w:vAlign w:val="center"/>
                </w:tcPr>
                <w:p>
                  <w:pPr>
                    <w:pStyle w:val="24"/>
                    <w:rPr>
                      <w:color w:val="000000"/>
                    </w:rPr>
                  </w:pPr>
                </w:p>
              </w:tc>
              <w:tc>
                <w:tcPr>
                  <w:tcW w:w="799" w:type="pct"/>
                  <w:tcBorders>
                    <w:top w:val="single" w:color="000000" w:sz="4" w:space="0"/>
                    <w:bottom w:val="single" w:color="000000" w:sz="4" w:space="0"/>
                  </w:tcBorders>
                  <w:shd w:val="clear" w:color="auto" w:fill="FFFFFF"/>
                  <w:vAlign w:val="center"/>
                </w:tcPr>
                <w:p>
                  <w:pPr>
                    <w:pStyle w:val="24"/>
                    <w:rPr>
                      <w:b/>
                      <w:bCs/>
                      <w:color w:val="000000"/>
                    </w:rPr>
                  </w:pPr>
                  <w:r>
                    <w:rPr>
                      <w:rFonts w:hint="eastAsia"/>
                      <w:b/>
                      <w:bCs/>
                      <w:color w:val="000000"/>
                    </w:rPr>
                    <w:t>经度</w:t>
                  </w:r>
                </w:p>
              </w:tc>
              <w:tc>
                <w:tcPr>
                  <w:tcW w:w="753" w:type="pct"/>
                  <w:tcBorders>
                    <w:top w:val="single" w:color="000000" w:sz="4" w:space="0"/>
                    <w:bottom w:val="single" w:color="000000" w:sz="4" w:space="0"/>
                  </w:tcBorders>
                  <w:shd w:val="clear" w:color="auto" w:fill="FFFFFF"/>
                  <w:vAlign w:val="center"/>
                </w:tcPr>
                <w:p>
                  <w:pPr>
                    <w:pStyle w:val="24"/>
                    <w:rPr>
                      <w:b/>
                      <w:bCs/>
                      <w:color w:val="000000"/>
                    </w:rPr>
                  </w:pPr>
                  <w:r>
                    <w:rPr>
                      <w:rFonts w:hint="eastAsia"/>
                      <w:b/>
                      <w:bCs/>
                      <w:color w:val="000000"/>
                    </w:rPr>
                    <w:t>纬度</w:t>
                  </w:r>
                </w:p>
              </w:tc>
              <w:tc>
                <w:tcPr>
                  <w:tcW w:w="846" w:type="pct"/>
                  <w:vMerge w:val="continue"/>
                  <w:tcBorders>
                    <w:top w:val="single" w:color="000000" w:sz="4" w:space="0"/>
                    <w:bottom w:val="single" w:color="000000" w:sz="4" w:space="0"/>
                  </w:tcBorders>
                  <w:shd w:val="clear" w:color="auto" w:fill="FFFFFF"/>
                  <w:vAlign w:val="center"/>
                </w:tcPr>
                <w:p>
                  <w:pPr>
                    <w:pStyle w:val="24"/>
                    <w:rPr>
                      <w:color w:val="000000"/>
                    </w:rPr>
                  </w:pPr>
                </w:p>
              </w:tc>
              <w:tc>
                <w:tcPr>
                  <w:tcW w:w="895" w:type="pct"/>
                  <w:vMerge w:val="continue"/>
                  <w:tcBorders>
                    <w:top w:val="single" w:color="000000" w:sz="4" w:space="0"/>
                    <w:bottom w:val="single" w:color="000000" w:sz="4" w:space="0"/>
                  </w:tcBorders>
                  <w:shd w:val="clear" w:color="auto" w:fill="FFFFFF"/>
                  <w:vAlign w:val="center"/>
                </w:tcPr>
                <w:p>
                  <w:pPr>
                    <w:pStyle w:val="24"/>
                    <w:rPr>
                      <w:color w:val="000000"/>
                    </w:rPr>
                  </w:pPr>
                </w:p>
              </w:tc>
              <w:tc>
                <w:tcPr>
                  <w:tcW w:w="656" w:type="pct"/>
                  <w:vMerge w:val="continue"/>
                  <w:tcBorders>
                    <w:top w:val="single" w:color="000000" w:sz="4" w:space="0"/>
                    <w:bottom w:val="single" w:color="000000" w:sz="4" w:space="0"/>
                  </w:tcBorders>
                  <w:shd w:val="clear" w:color="auto" w:fill="FFFFFF"/>
                  <w:vAlign w:val="center"/>
                </w:tcPr>
                <w:p>
                  <w:pPr>
                    <w:pStyle w:val="24"/>
                    <w:rPr>
                      <w:color w:val="000000"/>
                    </w:rPr>
                  </w:pPr>
                </w:p>
              </w:tc>
              <w:tc>
                <w:tcPr>
                  <w:tcW w:w="695" w:type="pct"/>
                  <w:vMerge w:val="continue"/>
                  <w:tcBorders>
                    <w:top w:val="single" w:color="000000" w:sz="4" w:space="0"/>
                    <w:bottom w:val="single" w:color="000000" w:sz="4" w:space="0"/>
                  </w:tcBorders>
                  <w:shd w:val="clear" w:color="auto" w:fill="FFFFFF"/>
                  <w:vAlign w:val="center"/>
                </w:tcPr>
                <w:p>
                  <w:pPr>
                    <w:pStyle w:val="24"/>
                    <w:rPr>
                      <w:color w:val="000000"/>
                    </w:rPr>
                  </w:pPr>
                </w:p>
              </w:tc>
            </w:tr>
            <w:tr>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①</w:t>
                  </w:r>
                </w:p>
              </w:tc>
              <w:tc>
                <w:tcPr>
                  <w:tcW w:w="799"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112.411291</w:t>
                  </w:r>
                </w:p>
              </w:tc>
              <w:tc>
                <w:tcPr>
                  <w:tcW w:w="753"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26.990414</w:t>
                  </w:r>
                </w:p>
              </w:tc>
              <w:tc>
                <w:tcPr>
                  <w:tcW w:w="846"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散户居民1#</w:t>
                  </w:r>
                </w:p>
              </w:tc>
              <w:tc>
                <w:tcPr>
                  <w:tcW w:w="895"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8户24人</w:t>
                  </w:r>
                </w:p>
              </w:tc>
              <w:tc>
                <w:tcPr>
                  <w:tcW w:w="656"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西面</w:t>
                  </w:r>
                </w:p>
              </w:tc>
              <w:tc>
                <w:tcPr>
                  <w:tcW w:w="695"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332m</w:t>
                  </w:r>
                </w:p>
              </w:tc>
            </w:tr>
            <w:tr>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op w:val="single" w:color="000000" w:sz="4" w:space="0"/>
                    <w:bottom w:val="single" w:color="000000" w:sz="4" w:space="0"/>
                  </w:tcBorders>
                  <w:shd w:val="clear" w:color="auto" w:fill="FFFFFF"/>
                  <w:vAlign w:val="center"/>
                </w:tcPr>
                <w:p>
                  <w:pPr>
                    <w:pStyle w:val="24"/>
                    <w:rPr>
                      <w:color w:val="000000"/>
                    </w:rPr>
                  </w:pPr>
                  <w:r>
                    <w:rPr>
                      <w:color w:val="000000"/>
                    </w:rPr>
                    <w:t>②</w:t>
                  </w:r>
                </w:p>
              </w:tc>
              <w:tc>
                <w:tcPr>
                  <w:tcW w:w="799"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112.415968</w:t>
                  </w:r>
                </w:p>
              </w:tc>
              <w:tc>
                <w:tcPr>
                  <w:tcW w:w="753"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26.991347</w:t>
                  </w:r>
                </w:p>
              </w:tc>
              <w:tc>
                <w:tcPr>
                  <w:tcW w:w="846"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散户居民2#</w:t>
                  </w:r>
                </w:p>
              </w:tc>
              <w:tc>
                <w:tcPr>
                  <w:tcW w:w="895"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14户42人</w:t>
                  </w:r>
                </w:p>
              </w:tc>
              <w:tc>
                <w:tcPr>
                  <w:tcW w:w="656"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北面</w:t>
                  </w:r>
                </w:p>
              </w:tc>
              <w:tc>
                <w:tcPr>
                  <w:tcW w:w="695" w:type="pct"/>
                  <w:tcBorders>
                    <w:top w:val="single" w:color="000000" w:sz="4" w:space="0"/>
                    <w:bottom w:val="single" w:color="000000" w:sz="4" w:space="0"/>
                  </w:tcBorders>
                  <w:shd w:val="clear" w:color="auto" w:fill="FFFFFF"/>
                  <w:vAlign w:val="center"/>
                </w:tcPr>
                <w:p>
                  <w:pPr>
                    <w:pStyle w:val="24"/>
                    <w:rPr>
                      <w:color w:val="000000"/>
                    </w:rPr>
                  </w:pPr>
                  <w:r>
                    <w:rPr>
                      <w:rFonts w:hint="eastAsia"/>
                      <w:color w:val="000000"/>
                    </w:rPr>
                    <w:t>247m</w:t>
                  </w:r>
                </w:p>
              </w:tc>
            </w:tr>
            <w:tr>
              <w:tblPrEx>
                <w:tblBorders>
                  <w:top w:val="single" w:color="000000" w:sz="12" w:space="0"/>
                  <w:left w:val="none" w:color="auto" w:sz="0" w:space="0"/>
                  <w:bottom w:val="single" w:color="000000" w:sz="12"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397" w:hRule="atLeast"/>
                <w:jc w:val="center"/>
              </w:trPr>
              <w:tc>
                <w:tcPr>
                  <w:tcW w:w="352" w:type="pct"/>
                  <w:tcBorders>
                    <w:top w:val="single" w:color="000000" w:sz="4" w:space="0"/>
                  </w:tcBorders>
                  <w:shd w:val="clear" w:color="auto" w:fill="FFFFFF"/>
                  <w:vAlign w:val="center"/>
                </w:tcPr>
                <w:p>
                  <w:pPr>
                    <w:pStyle w:val="24"/>
                    <w:rPr>
                      <w:color w:val="000000"/>
                    </w:rPr>
                  </w:pPr>
                  <w:r>
                    <w:rPr>
                      <w:color w:val="000000"/>
                    </w:rPr>
                    <w:t>③</w:t>
                  </w:r>
                </w:p>
              </w:tc>
              <w:tc>
                <w:tcPr>
                  <w:tcW w:w="799" w:type="pct"/>
                  <w:tcBorders>
                    <w:top w:val="single" w:color="000000" w:sz="4" w:space="0"/>
                  </w:tcBorders>
                  <w:shd w:val="clear" w:color="auto" w:fill="FFFFFF"/>
                  <w:vAlign w:val="center"/>
                </w:tcPr>
                <w:p>
                  <w:pPr>
                    <w:pStyle w:val="24"/>
                    <w:rPr>
                      <w:color w:val="000000"/>
                    </w:rPr>
                  </w:pPr>
                  <w:r>
                    <w:rPr>
                      <w:rFonts w:hint="eastAsia"/>
                      <w:color w:val="000000"/>
                    </w:rPr>
                    <w:t>112.419557</w:t>
                  </w:r>
                </w:p>
              </w:tc>
              <w:tc>
                <w:tcPr>
                  <w:tcW w:w="753" w:type="pct"/>
                  <w:tcBorders>
                    <w:top w:val="single" w:color="000000" w:sz="4" w:space="0"/>
                  </w:tcBorders>
                  <w:shd w:val="clear" w:color="auto" w:fill="FFFFFF"/>
                  <w:vAlign w:val="center"/>
                </w:tcPr>
                <w:p>
                  <w:pPr>
                    <w:pStyle w:val="24"/>
                    <w:rPr>
                      <w:color w:val="000000"/>
                    </w:rPr>
                  </w:pPr>
                  <w:r>
                    <w:rPr>
                      <w:rFonts w:hint="eastAsia"/>
                      <w:color w:val="000000"/>
                    </w:rPr>
                    <w:t>26.988944</w:t>
                  </w:r>
                </w:p>
              </w:tc>
              <w:tc>
                <w:tcPr>
                  <w:tcW w:w="846" w:type="pct"/>
                  <w:tcBorders>
                    <w:top w:val="single" w:color="000000" w:sz="4" w:space="0"/>
                  </w:tcBorders>
                  <w:shd w:val="clear" w:color="auto" w:fill="FFFFFF"/>
                  <w:vAlign w:val="center"/>
                </w:tcPr>
                <w:p>
                  <w:pPr>
                    <w:pStyle w:val="24"/>
                    <w:rPr>
                      <w:color w:val="000000"/>
                    </w:rPr>
                  </w:pPr>
                  <w:r>
                    <w:rPr>
                      <w:rFonts w:hint="eastAsia"/>
                      <w:color w:val="000000"/>
                    </w:rPr>
                    <w:t>散户居民3#</w:t>
                  </w:r>
                </w:p>
              </w:tc>
              <w:tc>
                <w:tcPr>
                  <w:tcW w:w="895" w:type="pct"/>
                  <w:tcBorders>
                    <w:top w:val="single" w:color="000000" w:sz="4" w:space="0"/>
                  </w:tcBorders>
                  <w:shd w:val="clear" w:color="auto" w:fill="FFFFFF"/>
                  <w:vAlign w:val="center"/>
                </w:tcPr>
                <w:p>
                  <w:pPr>
                    <w:pStyle w:val="24"/>
                    <w:rPr>
                      <w:color w:val="000000"/>
                    </w:rPr>
                  </w:pPr>
                  <w:r>
                    <w:rPr>
                      <w:rFonts w:hint="eastAsia"/>
                      <w:color w:val="000000"/>
                    </w:rPr>
                    <w:t>7户21人</w:t>
                  </w:r>
                </w:p>
              </w:tc>
              <w:tc>
                <w:tcPr>
                  <w:tcW w:w="656" w:type="pct"/>
                  <w:tcBorders>
                    <w:top w:val="single" w:color="000000" w:sz="4" w:space="0"/>
                  </w:tcBorders>
                  <w:shd w:val="clear" w:color="auto" w:fill="FFFFFF"/>
                  <w:vAlign w:val="center"/>
                </w:tcPr>
                <w:p>
                  <w:pPr>
                    <w:pStyle w:val="24"/>
                    <w:rPr>
                      <w:color w:val="000000"/>
                    </w:rPr>
                  </w:pPr>
                  <w:r>
                    <w:rPr>
                      <w:rFonts w:hint="eastAsia"/>
                      <w:color w:val="000000"/>
                    </w:rPr>
                    <w:t>东北面</w:t>
                  </w:r>
                </w:p>
              </w:tc>
              <w:tc>
                <w:tcPr>
                  <w:tcW w:w="695" w:type="pct"/>
                  <w:tcBorders>
                    <w:top w:val="single" w:color="000000" w:sz="4" w:space="0"/>
                  </w:tcBorders>
                  <w:shd w:val="clear" w:color="auto" w:fill="FFFFFF"/>
                  <w:vAlign w:val="center"/>
                </w:tcPr>
                <w:p>
                  <w:pPr>
                    <w:pStyle w:val="24"/>
                    <w:rPr>
                      <w:color w:val="000000"/>
                    </w:rPr>
                  </w:pPr>
                  <w:r>
                    <w:rPr>
                      <w:rFonts w:hint="eastAsia"/>
                      <w:color w:val="000000"/>
                    </w:rPr>
                    <w:t>460m</w:t>
                  </w:r>
                </w:p>
              </w:tc>
            </w:tr>
          </w:tbl>
          <w:p>
            <w:pPr>
              <w:pStyle w:val="2"/>
              <w:spacing w:before="120"/>
            </w:pPr>
            <w:bookmarkStart w:id="120" w:name="_Toc4552"/>
            <w:bookmarkStart w:id="121" w:name="_Toc19217"/>
            <w:bookmarkStart w:id="122" w:name="_Toc994"/>
            <w:bookmarkStart w:id="123" w:name="_Toc20738"/>
            <w:r>
              <w:rPr>
                <w:rFonts w:hint="eastAsia"/>
              </w:rPr>
              <w:t>2、地表水环境</w:t>
            </w:r>
            <w:bookmarkEnd w:id="120"/>
            <w:bookmarkEnd w:id="121"/>
            <w:bookmarkEnd w:id="122"/>
            <w:bookmarkEnd w:id="123"/>
          </w:p>
          <w:p>
            <w:pPr>
              <w:ind w:firstLine="480"/>
            </w:pPr>
            <w:r>
              <w:rPr>
                <w:rFonts w:hint="eastAsia"/>
              </w:rPr>
              <w:t>项目</w:t>
            </w:r>
            <w:r>
              <w:rPr>
                <w:rFonts w:hint="eastAsia"/>
                <w:lang w:val="en-US" w:eastAsia="zh-CN"/>
              </w:rPr>
              <w:t>外排废水在污水处理厂处理达标后最终排入</w:t>
            </w:r>
            <w:r>
              <w:rPr>
                <w:rFonts w:hint="eastAsia"/>
              </w:rPr>
              <w:t>蒸水</w:t>
            </w:r>
            <w:r>
              <w:rPr>
                <w:rFonts w:hint="eastAsia"/>
                <w:lang w:eastAsia="zh-CN"/>
              </w:rPr>
              <w:t>。</w:t>
            </w:r>
            <w:r>
              <w:rPr>
                <w:rFonts w:hint="eastAsia"/>
                <w:lang w:val="en-US" w:eastAsia="zh-CN"/>
              </w:rPr>
              <w:t>项目地表水环境保护目标为蒸水，</w:t>
            </w:r>
            <w:r>
              <w:rPr>
                <w:rFonts w:hint="eastAsia"/>
              </w:rPr>
              <w:t>距离项目所在地3700米，满足《地表水环境质量标准》（GB 3838-2002）Ⅲ类标准。</w:t>
            </w:r>
          </w:p>
          <w:p>
            <w:pPr>
              <w:pStyle w:val="2"/>
              <w:spacing w:before="120"/>
            </w:pPr>
            <w:bookmarkStart w:id="124" w:name="_Toc12269"/>
            <w:bookmarkStart w:id="125" w:name="_Toc29940"/>
            <w:bookmarkStart w:id="126" w:name="_Toc14023"/>
            <w:bookmarkStart w:id="127" w:name="_Toc10285"/>
            <w:r>
              <w:rPr>
                <w:rFonts w:hint="eastAsia"/>
              </w:rPr>
              <w:t>3、声环境</w:t>
            </w:r>
            <w:bookmarkEnd w:id="124"/>
            <w:bookmarkEnd w:id="125"/>
            <w:bookmarkEnd w:id="126"/>
            <w:bookmarkEnd w:id="127"/>
          </w:p>
          <w:p>
            <w:pPr>
              <w:ind w:firstLine="480"/>
            </w:pPr>
            <w:r>
              <w:rPr>
                <w:rFonts w:hint="eastAsia"/>
              </w:rPr>
              <w:t>项目厂界外50米范围无声环境保护目标。</w:t>
            </w:r>
          </w:p>
          <w:p>
            <w:pPr>
              <w:pStyle w:val="2"/>
              <w:spacing w:before="120"/>
            </w:pPr>
            <w:bookmarkStart w:id="128" w:name="_Toc7955"/>
            <w:bookmarkStart w:id="129" w:name="_Toc25979"/>
            <w:bookmarkStart w:id="130" w:name="_Toc3876"/>
            <w:bookmarkStart w:id="131" w:name="_Toc31161"/>
            <w:r>
              <w:rPr>
                <w:rFonts w:hint="eastAsia"/>
              </w:rPr>
              <w:t>4、地下水环境</w:t>
            </w:r>
            <w:bookmarkEnd w:id="128"/>
            <w:bookmarkEnd w:id="129"/>
            <w:bookmarkEnd w:id="130"/>
            <w:bookmarkEnd w:id="131"/>
          </w:p>
          <w:p>
            <w:pPr>
              <w:ind w:firstLine="480"/>
            </w:pPr>
            <w:r>
              <w:rPr>
                <w:rFonts w:hint="eastAsia"/>
              </w:rPr>
              <w:t>项目厂界外500米范围内无地下水集中式饮用水水源和热水、矿泉水、温泉等特殊地下水资源等地下水环境保护目标。</w:t>
            </w:r>
          </w:p>
          <w:p>
            <w:pPr>
              <w:pStyle w:val="2"/>
              <w:spacing w:before="120"/>
            </w:pPr>
            <w:bookmarkStart w:id="132" w:name="_Toc30660"/>
            <w:bookmarkStart w:id="133" w:name="_Toc6077"/>
            <w:bookmarkStart w:id="134" w:name="_Toc13962"/>
            <w:bookmarkStart w:id="135" w:name="_Toc29699"/>
            <w:r>
              <w:rPr>
                <w:rFonts w:hint="eastAsia"/>
              </w:rPr>
              <w:t>5、生态环境</w:t>
            </w:r>
            <w:bookmarkEnd w:id="132"/>
            <w:bookmarkEnd w:id="133"/>
            <w:bookmarkEnd w:id="134"/>
            <w:bookmarkEnd w:id="135"/>
          </w:p>
          <w:p>
            <w:pPr>
              <w:ind w:firstLine="480"/>
              <w:rPr>
                <w:rFonts w:hint="eastAsia" w:ascii="宋体" w:hAnsi="宋体" w:cs="宋体"/>
                <w:szCs w:val="21"/>
              </w:rPr>
            </w:pPr>
            <w:r>
              <w:rPr>
                <w:rFonts w:hint="eastAsia"/>
              </w:rPr>
              <w:t>本项目占地范围内无生态环境保护目标。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tcMar>
              <w:left w:w="28" w:type="dxa"/>
              <w:right w:w="28" w:type="dxa"/>
            </w:tcMar>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污染</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物排</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放控</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制标</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准</w:t>
            </w:r>
          </w:p>
        </w:tc>
        <w:tc>
          <w:tcPr>
            <w:tcW w:w="8190" w:type="dxa"/>
            <w:vAlign w:val="center"/>
          </w:tcPr>
          <w:p>
            <w:pPr>
              <w:pStyle w:val="2"/>
              <w:spacing w:before="120"/>
            </w:pPr>
            <w:bookmarkStart w:id="136" w:name="_Toc15263"/>
            <w:bookmarkStart w:id="137" w:name="_Toc21231"/>
            <w:bookmarkStart w:id="138" w:name="_Toc26086"/>
            <w:bookmarkStart w:id="139" w:name="_Toc2180"/>
            <w:r>
              <w:rPr>
                <w:rFonts w:hint="eastAsia"/>
              </w:rPr>
              <w:t>1、废气</w:t>
            </w:r>
            <w:bookmarkEnd w:id="136"/>
            <w:bookmarkEnd w:id="137"/>
            <w:bookmarkEnd w:id="138"/>
            <w:bookmarkEnd w:id="139"/>
          </w:p>
          <w:p>
            <w:pPr>
              <w:ind w:firstLine="480"/>
              <w:rPr>
                <w:u w:val="single"/>
              </w:rPr>
            </w:pPr>
            <w:r>
              <w:rPr>
                <w:rFonts w:hint="eastAsia"/>
                <w:u w:val="single"/>
              </w:rPr>
              <w:t>固化工序产生的有机废气有组织排放执行湖南省《表面涂装（汽车制造及维修）挥发性有机物、镍排放标准》（DB43/1356-2017）排放限值；有机废气无组织排放执行《挥发性有机物无组织排放控制标准》（GB 37822-2019）附录A限值要求；生物质</w:t>
            </w:r>
            <w:r>
              <w:rPr>
                <w:rFonts w:hint="eastAsia"/>
                <w:u w:val="single"/>
                <w:lang w:val="en-US" w:eastAsia="zh-CN"/>
              </w:rPr>
              <w:t>成型燃料</w:t>
            </w:r>
            <w:r>
              <w:rPr>
                <w:rFonts w:hint="eastAsia"/>
                <w:u w:val="single"/>
              </w:rPr>
              <w:t>燃烧产生的</w:t>
            </w:r>
            <w:r>
              <w:rPr>
                <w:rFonts w:hint="eastAsia"/>
                <w:u w:val="single"/>
                <w:lang w:val="en-US" w:eastAsia="zh-CN"/>
              </w:rPr>
              <w:t>烟（粉）尘、林格曼黑度有组织排放执行《工业炉窑大气污染物排放标准》（GB9078-1996）表2新污染源大气污染物排放限值二级标准；生物质燃烧产生的</w:t>
            </w:r>
            <w:r>
              <w:rPr>
                <w:rFonts w:hint="eastAsia"/>
                <w:u w:val="single"/>
              </w:rPr>
              <w:t>SO</w:t>
            </w:r>
            <w:r>
              <w:rPr>
                <w:rFonts w:hint="eastAsia"/>
                <w:u w:val="single"/>
                <w:vertAlign w:val="subscript"/>
              </w:rPr>
              <w:t>2</w:t>
            </w:r>
            <w:r>
              <w:rPr>
                <w:rFonts w:hint="eastAsia"/>
                <w:u w:val="single"/>
              </w:rPr>
              <w:t>、NO</w:t>
            </w:r>
            <w:r>
              <w:rPr>
                <w:rFonts w:hint="eastAsia"/>
                <w:u w:val="single"/>
                <w:vertAlign w:val="subscript"/>
              </w:rPr>
              <w:t>x</w:t>
            </w:r>
            <w:r>
              <w:rPr>
                <w:rFonts w:hint="eastAsia"/>
                <w:u w:val="single"/>
                <w:vertAlign w:val="baseline"/>
                <w:lang w:eastAsia="zh-CN"/>
              </w:rPr>
              <w:t>、</w:t>
            </w:r>
            <w:r>
              <w:rPr>
                <w:rFonts w:hint="eastAsia"/>
                <w:u w:val="single"/>
                <w:vertAlign w:val="baseline"/>
                <w:lang w:val="en-US" w:eastAsia="zh-CN"/>
              </w:rPr>
              <w:t>焊接产生的颗粒物和酸洗产生的</w:t>
            </w:r>
            <w:r>
              <w:rPr>
                <w:rFonts w:hint="eastAsia"/>
                <w:u w:val="single"/>
                <w:lang w:val="en-US" w:eastAsia="zh-CN"/>
              </w:rPr>
              <w:t>氯化氢有组织排放</w:t>
            </w:r>
            <w:r>
              <w:rPr>
                <w:rFonts w:hint="eastAsia"/>
                <w:u w:val="single"/>
              </w:rPr>
              <w:t>执行《大气污染物综合排放标准》（GB16297-1996）表</w:t>
            </w:r>
            <w:r>
              <w:rPr>
                <w:rFonts w:hint="eastAsia"/>
                <w:u w:val="single"/>
                <w:lang w:val="en-US" w:eastAsia="zh-CN"/>
              </w:rPr>
              <w:t>2</w:t>
            </w:r>
            <w:r>
              <w:rPr>
                <w:rFonts w:hint="eastAsia"/>
                <w:u w:val="single"/>
              </w:rPr>
              <w:t>中二级标准要求；厂界无组织颗粒物、SO</w:t>
            </w:r>
            <w:r>
              <w:rPr>
                <w:rFonts w:hint="eastAsia"/>
                <w:u w:val="single"/>
                <w:vertAlign w:val="subscript"/>
              </w:rPr>
              <w:t>2</w:t>
            </w:r>
            <w:r>
              <w:rPr>
                <w:rFonts w:hint="eastAsia"/>
                <w:u w:val="single"/>
                <w:lang w:eastAsia="zh-CN"/>
              </w:rPr>
              <w:t>、</w:t>
            </w:r>
            <w:r>
              <w:rPr>
                <w:rFonts w:hint="eastAsia"/>
                <w:u w:val="single"/>
              </w:rPr>
              <w:t>NO</w:t>
            </w:r>
            <w:r>
              <w:rPr>
                <w:rFonts w:hint="eastAsia"/>
                <w:u w:val="single"/>
                <w:vertAlign w:val="subscript"/>
              </w:rPr>
              <w:t>x</w:t>
            </w:r>
            <w:r>
              <w:rPr>
                <w:rFonts w:hint="eastAsia"/>
                <w:u w:val="single"/>
                <w:vertAlign w:val="baseline"/>
                <w:lang w:eastAsia="zh-CN"/>
              </w:rPr>
              <w:t>、</w:t>
            </w:r>
            <w:r>
              <w:rPr>
                <w:rFonts w:hint="eastAsia"/>
                <w:u w:val="single"/>
                <w:vertAlign w:val="baseline"/>
                <w:lang w:val="en-US" w:eastAsia="zh-CN"/>
              </w:rPr>
              <w:t>VOCs和氯化氢</w:t>
            </w:r>
            <w:r>
              <w:rPr>
                <w:rFonts w:hint="eastAsia"/>
                <w:u w:val="single"/>
              </w:rPr>
              <w:t>排放执行《大气污染物综合排放标准》(GB16297-1996)表2中无组织排放监控浓度限值要求。</w:t>
            </w:r>
          </w:p>
          <w:p>
            <w:pPr>
              <w:pStyle w:val="37"/>
              <w:spacing w:before="288" w:beforeLines="120" w:after="120"/>
              <w:rPr>
                <w:rFonts w:hint="default"/>
              </w:rPr>
            </w:pPr>
            <w:r>
              <w:t>表3-</w:t>
            </w:r>
            <w:r>
              <w:rPr>
                <w:rFonts w:hint="eastAsia"/>
                <w:lang w:val="en-US" w:eastAsia="zh-CN"/>
              </w:rPr>
              <w:t>5</w:t>
            </w:r>
            <w:r>
              <w:t xml:space="preserve"> DB43/1356-2017</w:t>
            </w:r>
            <w:r>
              <w:rPr>
                <w:rFonts w:hint="eastAsia"/>
                <w:lang w:val="en-US" w:eastAsia="zh-CN"/>
              </w:rPr>
              <w:t>有机废气有组织</w:t>
            </w:r>
            <w:r>
              <w:t>排放限值（节选）   单位：mg/m</w:t>
            </w:r>
            <w:r>
              <w:rPr>
                <w:vertAlign w:val="superscript"/>
              </w:rPr>
              <w:t>3</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8"/>
              <w:gridCol w:w="2744"/>
              <w:gridCol w:w="3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pct"/>
                  <w:tcBorders>
                    <w:bottom w:val="single" w:color="auto" w:sz="4" w:space="0"/>
                  </w:tcBorders>
                  <w:vAlign w:val="center"/>
                </w:tcPr>
                <w:p>
                  <w:pPr>
                    <w:pStyle w:val="24"/>
                    <w:rPr>
                      <w:b/>
                      <w:bCs/>
                    </w:rPr>
                  </w:pPr>
                  <w:r>
                    <w:rPr>
                      <w:rFonts w:hint="eastAsia"/>
                      <w:b/>
                      <w:bCs/>
                    </w:rPr>
                    <w:t>污染物</w:t>
                  </w:r>
                </w:p>
              </w:tc>
              <w:tc>
                <w:tcPr>
                  <w:tcW w:w="1719" w:type="pct"/>
                  <w:tcBorders>
                    <w:bottom w:val="single" w:color="auto" w:sz="4" w:space="0"/>
                  </w:tcBorders>
                  <w:vAlign w:val="center"/>
                </w:tcPr>
                <w:p>
                  <w:pPr>
                    <w:pStyle w:val="24"/>
                    <w:rPr>
                      <w:b/>
                      <w:bCs/>
                    </w:rPr>
                  </w:pPr>
                  <w:r>
                    <w:rPr>
                      <w:rFonts w:hint="eastAsia"/>
                      <w:b/>
                      <w:bCs/>
                    </w:rPr>
                    <w:t>最高允许排放浓度</w:t>
                  </w:r>
                </w:p>
              </w:tc>
              <w:tc>
                <w:tcPr>
                  <w:tcW w:w="2134" w:type="pct"/>
                  <w:tcBorders>
                    <w:bottom w:val="single" w:color="auto" w:sz="4" w:space="0"/>
                  </w:tcBorders>
                  <w:vAlign w:val="center"/>
                </w:tcPr>
                <w:p>
                  <w:pPr>
                    <w:pStyle w:val="24"/>
                    <w:rPr>
                      <w:b/>
                      <w:bCs/>
                    </w:rPr>
                  </w:pPr>
                  <w:r>
                    <w:rPr>
                      <w:rFonts w:hint="eastAsia"/>
                      <w:b/>
                      <w:bCs/>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6" w:type="pct"/>
                  <w:tcBorders>
                    <w:top w:val="single" w:color="auto" w:sz="4" w:space="0"/>
                  </w:tcBorders>
                  <w:vAlign w:val="center"/>
                </w:tcPr>
                <w:p>
                  <w:pPr>
                    <w:pStyle w:val="24"/>
                  </w:pPr>
                  <w:r>
                    <w:rPr>
                      <w:rFonts w:hint="eastAsia"/>
                    </w:rPr>
                    <w:t>非甲烷总烃</w:t>
                  </w:r>
                </w:p>
              </w:tc>
              <w:tc>
                <w:tcPr>
                  <w:tcW w:w="1719" w:type="pct"/>
                  <w:tcBorders>
                    <w:top w:val="single" w:color="auto" w:sz="4" w:space="0"/>
                  </w:tcBorders>
                  <w:vAlign w:val="center"/>
                </w:tcPr>
                <w:p>
                  <w:pPr>
                    <w:pStyle w:val="24"/>
                  </w:pPr>
                  <w:r>
                    <w:rPr>
                      <w:rFonts w:hint="eastAsia"/>
                    </w:rPr>
                    <w:t>40</w:t>
                  </w:r>
                </w:p>
              </w:tc>
              <w:tc>
                <w:tcPr>
                  <w:tcW w:w="2134" w:type="pct"/>
                  <w:tcBorders>
                    <w:top w:val="single" w:color="auto" w:sz="4" w:space="0"/>
                  </w:tcBorders>
                  <w:vAlign w:val="center"/>
                </w:tcPr>
                <w:p>
                  <w:pPr>
                    <w:pStyle w:val="24"/>
                  </w:pPr>
                  <w:r>
                    <w:t>生产设施排气筒</w:t>
                  </w:r>
                </w:p>
              </w:tc>
            </w:tr>
          </w:tbl>
          <w:p>
            <w:pPr>
              <w:pStyle w:val="37"/>
              <w:spacing w:before="288" w:beforeLines="120" w:after="120"/>
              <w:rPr>
                <w:rFonts w:hint="default"/>
              </w:rPr>
            </w:pPr>
            <w:r>
              <w:t>表3-</w:t>
            </w:r>
            <w:r>
              <w:rPr>
                <w:rFonts w:hint="eastAsia"/>
                <w:lang w:val="en-US" w:eastAsia="zh-CN"/>
              </w:rPr>
              <w:t>6</w:t>
            </w:r>
            <w:r>
              <w:t xml:space="preserve"> GB 37822-2019厂区内VOCs无组织排放限值（节选）   单位：mg/m</w:t>
            </w:r>
            <w:r>
              <w:rPr>
                <w:vertAlign w:val="superscript"/>
              </w:rPr>
              <w:t>3</w:t>
            </w:r>
          </w:p>
          <w:tbl>
            <w:tblPr>
              <w:tblStyle w:val="1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9"/>
              <w:gridCol w:w="1210"/>
              <w:gridCol w:w="2895"/>
              <w:gridCol w:w="2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9" w:type="pct"/>
                  <w:tcBorders>
                    <w:top w:val="single" w:color="000000" w:sz="12" w:space="0"/>
                    <w:left w:val="nil"/>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rPr>
                  </w:pPr>
                  <w:r>
                    <w:rPr>
                      <w:rFonts w:hint="eastAsia"/>
                      <w:b/>
                      <w:color w:val="000000"/>
                      <w:sz w:val="21"/>
                    </w:rPr>
                    <w:t>污染物项目</w:t>
                  </w:r>
                </w:p>
              </w:tc>
              <w:tc>
                <w:tcPr>
                  <w:tcW w:w="759"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rPr>
                  </w:pPr>
                  <w:r>
                    <w:rPr>
                      <w:rFonts w:hint="eastAsia"/>
                      <w:b/>
                      <w:color w:val="000000"/>
                      <w:sz w:val="21"/>
                    </w:rPr>
                    <w:t>排放限值</w:t>
                  </w:r>
                </w:p>
              </w:tc>
              <w:tc>
                <w:tcPr>
                  <w:tcW w:w="1816" w:type="pct"/>
                  <w:tcBorders>
                    <w:top w:val="single" w:color="000000" w:sz="12" w:space="0"/>
                    <w:left w:val="single" w:color="auto" w:sz="4" w:space="0"/>
                    <w:bottom w:val="single" w:color="000000" w:sz="4" w:space="0"/>
                    <w:right w:val="single" w:color="auto" w:sz="4" w:space="0"/>
                  </w:tcBorders>
                  <w:shd w:val="clear" w:color="auto" w:fill="FFFFFF"/>
                  <w:vAlign w:val="center"/>
                </w:tcPr>
                <w:p>
                  <w:pPr>
                    <w:spacing w:line="240" w:lineRule="auto"/>
                    <w:ind w:firstLine="0" w:firstLineChars="0"/>
                    <w:jc w:val="center"/>
                    <w:rPr>
                      <w:b/>
                      <w:color w:val="000000"/>
                      <w:sz w:val="21"/>
                    </w:rPr>
                  </w:pPr>
                  <w:r>
                    <w:rPr>
                      <w:rFonts w:hint="eastAsia"/>
                      <w:b/>
                      <w:color w:val="000000"/>
                      <w:sz w:val="21"/>
                    </w:rPr>
                    <w:t>限值含义</w:t>
                  </w:r>
                </w:p>
              </w:tc>
              <w:tc>
                <w:tcPr>
                  <w:tcW w:w="1514" w:type="pct"/>
                  <w:tcBorders>
                    <w:top w:val="single" w:color="000000" w:sz="12" w:space="0"/>
                    <w:left w:val="single" w:color="auto" w:sz="4" w:space="0"/>
                    <w:bottom w:val="single" w:color="000000" w:sz="4" w:space="0"/>
                    <w:right w:val="nil"/>
                  </w:tcBorders>
                  <w:shd w:val="clear" w:color="auto" w:fill="FFFFFF"/>
                  <w:vAlign w:val="center"/>
                </w:tcPr>
                <w:p>
                  <w:pPr>
                    <w:spacing w:line="240" w:lineRule="auto"/>
                    <w:ind w:firstLine="0" w:firstLineChars="0"/>
                    <w:jc w:val="center"/>
                    <w:rPr>
                      <w:b/>
                      <w:color w:val="000000"/>
                      <w:sz w:val="21"/>
                    </w:rPr>
                  </w:pPr>
                  <w:r>
                    <w:rPr>
                      <w:rFonts w:hint="eastAsia"/>
                      <w:b/>
                      <w:color w:val="000000"/>
                      <w:sz w:val="21"/>
                    </w:rPr>
                    <w:t>无组织排放监测位置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9" w:type="pct"/>
                  <w:vMerge w:val="restart"/>
                  <w:tcBorders>
                    <w:top w:val="single" w:color="000000"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rPr>
                  </w:pPr>
                  <w:r>
                    <w:rPr>
                      <w:rFonts w:hint="eastAsia"/>
                      <w:color w:val="000000"/>
                      <w:sz w:val="21"/>
                    </w:rPr>
                    <w:t>NMHC</w:t>
                  </w:r>
                </w:p>
              </w:tc>
              <w:tc>
                <w:tcPr>
                  <w:tcW w:w="759"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rPr>
                  </w:pPr>
                  <w:r>
                    <w:rPr>
                      <w:rFonts w:hint="eastAsia"/>
                      <w:color w:val="000000"/>
                      <w:sz w:val="21"/>
                    </w:rPr>
                    <w:t>10</w:t>
                  </w:r>
                </w:p>
              </w:tc>
              <w:tc>
                <w:tcPr>
                  <w:tcW w:w="1816" w:type="pct"/>
                  <w:tcBorders>
                    <w:top w:val="single" w:color="000000"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color w:val="000000"/>
                      <w:sz w:val="21"/>
                    </w:rPr>
                  </w:pPr>
                  <w:r>
                    <w:rPr>
                      <w:rFonts w:hint="eastAsia"/>
                      <w:color w:val="000000"/>
                      <w:sz w:val="21"/>
                    </w:rPr>
                    <w:t>监控点处1h平均浓度</w:t>
                  </w:r>
                </w:p>
              </w:tc>
              <w:tc>
                <w:tcPr>
                  <w:tcW w:w="1514" w:type="pct"/>
                  <w:vMerge w:val="restart"/>
                  <w:tcBorders>
                    <w:top w:val="single" w:color="000000"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color w:val="000000"/>
                      <w:sz w:val="21"/>
                    </w:rPr>
                  </w:pPr>
                  <w:r>
                    <w:rPr>
                      <w:rFonts w:hint="eastAsia"/>
                      <w:color w:val="000000"/>
                      <w:sz w:val="21"/>
                    </w:rPr>
                    <w:t>在厂房外设置监控点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9" w:type="pct"/>
                  <w:vMerge w:val="continue"/>
                  <w:tcBorders>
                    <w:top w:val="single" w:color="auto"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rPr>
                  </w:pPr>
                </w:p>
              </w:tc>
              <w:tc>
                <w:tcPr>
                  <w:tcW w:w="759"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rPr>
                  </w:pPr>
                  <w:r>
                    <w:rPr>
                      <w:rFonts w:hint="eastAsia"/>
                      <w:color w:val="000000"/>
                      <w:sz w:val="21"/>
                    </w:rPr>
                    <w:t>30</w:t>
                  </w:r>
                </w:p>
              </w:tc>
              <w:tc>
                <w:tcPr>
                  <w:tcW w:w="1816" w:type="pct"/>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rPr>
                  </w:pPr>
                  <w:r>
                    <w:rPr>
                      <w:rFonts w:hint="eastAsia"/>
                      <w:color w:val="000000"/>
                      <w:sz w:val="21"/>
                    </w:rPr>
                    <w:t>监控点处任意一次浓度值</w:t>
                  </w:r>
                </w:p>
              </w:tc>
              <w:tc>
                <w:tcPr>
                  <w:tcW w:w="1514" w:type="pct"/>
                  <w:vMerge w:val="continue"/>
                  <w:tcBorders>
                    <w:top w:val="single" w:color="auto"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color w:val="000000"/>
                      <w:sz w:val="21"/>
                    </w:rPr>
                  </w:pPr>
                </w:p>
              </w:tc>
            </w:tr>
          </w:tbl>
          <w:p>
            <w:pPr>
              <w:pStyle w:val="37"/>
              <w:spacing w:before="288" w:beforeLines="120" w:after="120"/>
              <w:rPr>
                <w:rFonts w:hint="default"/>
              </w:rPr>
            </w:pPr>
            <w:r>
              <w:t>表3-</w:t>
            </w:r>
            <w:r>
              <w:rPr>
                <w:rFonts w:hint="eastAsia"/>
                <w:lang w:val="en-US" w:eastAsia="zh-CN"/>
              </w:rPr>
              <w:t>7</w:t>
            </w:r>
            <w:r>
              <w:t xml:space="preserve"> </w:t>
            </w:r>
            <w:r>
              <w:rPr>
                <w:rFonts w:hint="eastAsia"/>
              </w:rPr>
              <w:t>GB9078-1996</w:t>
            </w:r>
            <w:r>
              <w:rPr>
                <w:rFonts w:hint="eastAsia"/>
                <w:lang w:val="en-US" w:eastAsia="zh-CN"/>
              </w:rPr>
              <w:t>表2大气污染物有组织排放限值</w:t>
            </w:r>
            <w:r>
              <w:t>（节选） 单位：mg/m</w:t>
            </w:r>
            <w:r>
              <w:rPr>
                <w:vertAlign w:val="superscript"/>
              </w:rPr>
              <w:t>3</w:t>
            </w:r>
          </w:p>
          <w:tbl>
            <w:tblPr>
              <w:tblStyle w:val="19"/>
              <w:tblW w:w="497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3401"/>
              <w:gridCol w:w="31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906" w:type="pct"/>
                  <w:tcBorders>
                    <w:bottom w:val="single" w:color="auto" w:sz="4" w:space="0"/>
                  </w:tcBorders>
                  <w:vAlign w:val="center"/>
                </w:tcPr>
                <w:p>
                  <w:pPr>
                    <w:pStyle w:val="24"/>
                    <w:rPr>
                      <w:b/>
                      <w:bCs/>
                    </w:rPr>
                  </w:pPr>
                  <w:r>
                    <w:rPr>
                      <w:rFonts w:hint="eastAsia"/>
                      <w:b/>
                      <w:bCs/>
                    </w:rPr>
                    <w:t>序号</w:t>
                  </w:r>
                </w:p>
              </w:tc>
              <w:tc>
                <w:tcPr>
                  <w:tcW w:w="2140" w:type="pct"/>
                  <w:tcBorders>
                    <w:bottom w:val="single" w:color="auto" w:sz="4" w:space="0"/>
                  </w:tcBorders>
                  <w:vAlign w:val="center"/>
                </w:tcPr>
                <w:p>
                  <w:pPr>
                    <w:pStyle w:val="24"/>
                    <w:rPr>
                      <w:b/>
                      <w:bCs/>
                    </w:rPr>
                  </w:pPr>
                  <w:r>
                    <w:rPr>
                      <w:rFonts w:hint="eastAsia"/>
                      <w:b/>
                      <w:bCs/>
                    </w:rPr>
                    <w:t>污染物</w:t>
                  </w:r>
                </w:p>
              </w:tc>
              <w:tc>
                <w:tcPr>
                  <w:tcW w:w="1953" w:type="pct"/>
                  <w:tcBorders>
                    <w:bottom w:val="single" w:color="auto" w:sz="4" w:space="0"/>
                  </w:tcBorders>
                  <w:vAlign w:val="center"/>
                </w:tcPr>
                <w:p>
                  <w:pPr>
                    <w:pStyle w:val="24"/>
                    <w:rPr>
                      <w:b/>
                      <w:bCs/>
                    </w:rPr>
                  </w:pPr>
                  <w:r>
                    <w:rPr>
                      <w:rFonts w:hint="eastAsia"/>
                      <w:b/>
                      <w:bCs/>
                    </w:rPr>
                    <w:t>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906" w:type="pct"/>
                  <w:tcBorders>
                    <w:top w:val="single" w:color="auto" w:sz="4" w:space="0"/>
                  </w:tcBorders>
                  <w:vAlign w:val="center"/>
                </w:tcPr>
                <w:p>
                  <w:pPr>
                    <w:pStyle w:val="24"/>
                  </w:pPr>
                  <w:r>
                    <w:rPr>
                      <w:rFonts w:hint="eastAsia"/>
                    </w:rPr>
                    <w:t>1</w:t>
                  </w:r>
                </w:p>
              </w:tc>
              <w:tc>
                <w:tcPr>
                  <w:tcW w:w="2140" w:type="pct"/>
                  <w:tcBorders>
                    <w:top w:val="single" w:color="auto" w:sz="4" w:space="0"/>
                  </w:tcBorders>
                  <w:vAlign w:val="center"/>
                </w:tcPr>
                <w:p>
                  <w:pPr>
                    <w:pStyle w:val="24"/>
                    <w:rPr>
                      <w:rFonts w:hint="default" w:eastAsia="宋体"/>
                      <w:lang w:val="en-US" w:eastAsia="zh-CN"/>
                    </w:rPr>
                  </w:pPr>
                  <w:r>
                    <w:rPr>
                      <w:rFonts w:hint="eastAsia"/>
                      <w:lang w:val="en-US" w:eastAsia="zh-CN"/>
                    </w:rPr>
                    <w:t>烟（粉）尘</w:t>
                  </w:r>
                </w:p>
              </w:tc>
              <w:tc>
                <w:tcPr>
                  <w:tcW w:w="1953" w:type="pct"/>
                  <w:tcBorders>
                    <w:top w:val="single" w:color="auto" w:sz="4" w:space="0"/>
                  </w:tcBorders>
                  <w:vAlign w:val="center"/>
                </w:tcPr>
                <w:p>
                  <w:pPr>
                    <w:pStyle w:val="24"/>
                    <w:rPr>
                      <w:rFonts w:hint="default" w:eastAsia="宋体"/>
                      <w:lang w:val="en-US" w:eastAsia="zh-CN"/>
                    </w:rPr>
                  </w:pPr>
                  <w:r>
                    <w:rPr>
                      <w:rFonts w:hint="eastAsia"/>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906" w:type="pct"/>
                  <w:vAlign w:val="center"/>
                </w:tcPr>
                <w:p>
                  <w:pPr>
                    <w:pStyle w:val="24"/>
                    <w:rPr>
                      <w:rFonts w:hint="eastAsia" w:eastAsia="宋体"/>
                      <w:lang w:val="en-US" w:eastAsia="zh-CN"/>
                    </w:rPr>
                  </w:pPr>
                  <w:r>
                    <w:rPr>
                      <w:rFonts w:hint="eastAsia"/>
                      <w:lang w:val="en-US" w:eastAsia="zh-CN"/>
                    </w:rPr>
                    <w:t>2</w:t>
                  </w:r>
                </w:p>
              </w:tc>
              <w:tc>
                <w:tcPr>
                  <w:tcW w:w="2140" w:type="pct"/>
                  <w:vAlign w:val="center"/>
                </w:tcPr>
                <w:p>
                  <w:pPr>
                    <w:pStyle w:val="24"/>
                    <w:rPr>
                      <w:rFonts w:hint="eastAsia" w:eastAsia="宋体"/>
                      <w:lang w:val="en-US" w:eastAsia="zh-CN"/>
                    </w:rPr>
                  </w:pPr>
                  <w:r>
                    <w:rPr>
                      <w:rFonts w:hint="eastAsia"/>
                      <w:lang w:val="en-US" w:eastAsia="zh-CN"/>
                    </w:rPr>
                    <w:t>烟气黑度（林格曼级）</w:t>
                  </w:r>
                </w:p>
              </w:tc>
              <w:tc>
                <w:tcPr>
                  <w:tcW w:w="1953" w:type="pct"/>
                  <w:vAlign w:val="center"/>
                </w:tcPr>
                <w:p>
                  <w:pPr>
                    <w:pStyle w:val="24"/>
                    <w:rPr>
                      <w:rFonts w:hint="default" w:eastAsia="宋体"/>
                      <w:lang w:val="en-US" w:eastAsia="zh-CN"/>
                    </w:rPr>
                  </w:pPr>
                  <w:r>
                    <w:rPr>
                      <w:rFonts w:hint="eastAsia"/>
                      <w:lang w:val="en-US" w:eastAsia="zh-CN"/>
                    </w:rPr>
                    <w:t>1</w:t>
                  </w:r>
                </w:p>
              </w:tc>
            </w:tr>
          </w:tbl>
          <w:p>
            <w:pPr>
              <w:pStyle w:val="37"/>
              <w:keepNext w:val="0"/>
              <w:keepLines w:val="0"/>
              <w:pageBreakBefore w:val="0"/>
              <w:widowControl w:val="0"/>
              <w:kinsoku/>
              <w:wordWrap/>
              <w:overflowPunct/>
              <w:topLinePunct w:val="0"/>
              <w:autoSpaceDE/>
              <w:autoSpaceDN/>
              <w:bidi w:val="0"/>
              <w:adjustRightInd/>
              <w:snapToGrid/>
              <w:spacing w:before="313" w:beforeLines="100" w:after="120"/>
              <w:textAlignment w:val="auto"/>
              <w:rPr>
                <w:rFonts w:hint="default"/>
              </w:rPr>
            </w:pPr>
            <w:r>
              <w:t>表3-</w:t>
            </w:r>
            <w:r>
              <w:rPr>
                <w:rFonts w:hint="eastAsia"/>
                <w:lang w:val="en-US" w:eastAsia="zh-CN"/>
              </w:rPr>
              <w:t>8</w:t>
            </w:r>
            <w:r>
              <w:t xml:space="preserve"> GB 16297-1996表2大气污染物</w:t>
            </w:r>
            <w:r>
              <w:rPr>
                <w:rFonts w:hint="eastAsia"/>
                <w:lang w:val="en-US" w:eastAsia="zh-CN"/>
              </w:rPr>
              <w:t>有组织</w:t>
            </w:r>
            <w:r>
              <w:t>排放限值（节选）</w:t>
            </w:r>
          </w:p>
          <w:tbl>
            <w:tblPr>
              <w:tblStyle w:val="19"/>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1992"/>
              <w:gridCol w:w="1993"/>
              <w:gridCol w:w="19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1" w:type="dxa"/>
                  <w:tcBorders>
                    <w:bottom w:val="single" w:color="auto" w:sz="4" w:space="0"/>
                  </w:tcBorders>
                  <w:vAlign w:val="center"/>
                </w:tcPr>
                <w:p>
                  <w:pPr>
                    <w:pStyle w:val="24"/>
                    <w:rPr>
                      <w:b/>
                      <w:bCs/>
                    </w:rPr>
                  </w:pPr>
                  <w:r>
                    <w:rPr>
                      <w:rFonts w:hint="eastAsia"/>
                      <w:b/>
                      <w:bCs/>
                    </w:rPr>
                    <w:t>污染物</w:t>
                  </w:r>
                </w:p>
              </w:tc>
              <w:tc>
                <w:tcPr>
                  <w:tcW w:w="1992" w:type="dxa"/>
                  <w:tcBorders>
                    <w:bottom w:val="single" w:color="auto" w:sz="4" w:space="0"/>
                  </w:tcBorders>
                  <w:vAlign w:val="center"/>
                </w:tcPr>
                <w:p>
                  <w:pPr>
                    <w:pStyle w:val="24"/>
                    <w:rPr>
                      <w:b/>
                      <w:bCs/>
                    </w:rPr>
                  </w:pPr>
                  <w:r>
                    <w:rPr>
                      <w:rFonts w:hint="eastAsia"/>
                      <w:b/>
                      <w:bCs/>
                    </w:rPr>
                    <w:t>最高允许排放浓度</w:t>
                  </w:r>
                </w:p>
                <w:p>
                  <w:pPr>
                    <w:pStyle w:val="24"/>
                    <w:rPr>
                      <w:b/>
                      <w:bCs/>
                    </w:rPr>
                  </w:pPr>
                  <w:r>
                    <w:rPr>
                      <w:rFonts w:hint="eastAsia"/>
                      <w:b/>
                      <w:bCs/>
                    </w:rPr>
                    <w:t>（mg/m</w:t>
                  </w:r>
                  <w:r>
                    <w:rPr>
                      <w:rFonts w:hint="eastAsia"/>
                      <w:b/>
                      <w:bCs/>
                      <w:vertAlign w:val="superscript"/>
                    </w:rPr>
                    <w:t>3</w:t>
                  </w:r>
                  <w:r>
                    <w:rPr>
                      <w:rFonts w:hint="eastAsia"/>
                      <w:b/>
                      <w:bCs/>
                    </w:rPr>
                    <w:t>）</w:t>
                  </w:r>
                </w:p>
              </w:tc>
              <w:tc>
                <w:tcPr>
                  <w:tcW w:w="1993" w:type="dxa"/>
                  <w:tcBorders>
                    <w:bottom w:val="single" w:color="auto" w:sz="4" w:space="0"/>
                  </w:tcBorders>
                  <w:vAlign w:val="center"/>
                </w:tcPr>
                <w:p>
                  <w:pPr>
                    <w:pStyle w:val="24"/>
                    <w:rPr>
                      <w:b/>
                      <w:bCs/>
                    </w:rPr>
                  </w:pPr>
                  <w:r>
                    <w:rPr>
                      <w:rFonts w:hint="eastAsia"/>
                      <w:b/>
                      <w:bCs/>
                    </w:rPr>
                    <w:t>排气筒高度</w:t>
                  </w:r>
                </w:p>
                <w:p>
                  <w:pPr>
                    <w:pStyle w:val="24"/>
                    <w:rPr>
                      <w:b/>
                      <w:bCs/>
                    </w:rPr>
                  </w:pPr>
                  <w:r>
                    <w:rPr>
                      <w:rFonts w:hint="eastAsia"/>
                      <w:b/>
                      <w:bCs/>
                    </w:rPr>
                    <w:t>（m）</w:t>
                  </w:r>
                </w:p>
              </w:tc>
              <w:tc>
                <w:tcPr>
                  <w:tcW w:w="1993" w:type="dxa"/>
                  <w:tcBorders>
                    <w:bottom w:val="single" w:color="auto" w:sz="4" w:space="0"/>
                  </w:tcBorders>
                  <w:vAlign w:val="center"/>
                </w:tcPr>
                <w:p>
                  <w:pPr>
                    <w:pStyle w:val="24"/>
                    <w:rPr>
                      <w:b/>
                      <w:bCs/>
                    </w:rPr>
                  </w:pPr>
                  <w:r>
                    <w:rPr>
                      <w:rFonts w:hint="eastAsia"/>
                      <w:b/>
                      <w:bCs/>
                    </w:rPr>
                    <w:t>最高允许排放速率</w:t>
                  </w:r>
                </w:p>
                <w:p>
                  <w:pPr>
                    <w:pStyle w:val="24"/>
                    <w:rPr>
                      <w:b/>
                      <w:bCs/>
                    </w:rPr>
                  </w:pPr>
                  <w:r>
                    <w:rPr>
                      <w:rFonts w:hint="eastAsia"/>
                      <w:b/>
                      <w:bCs/>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1" w:type="dxa"/>
                  <w:tcBorders>
                    <w:bottom w:val="single" w:color="auto" w:sz="4" w:space="0"/>
                  </w:tcBorders>
                  <w:vAlign w:val="center"/>
                </w:tcPr>
                <w:p>
                  <w:pPr>
                    <w:pStyle w:val="24"/>
                    <w:rPr>
                      <w:rFonts w:hint="eastAsia"/>
                      <w:lang w:val="en-US" w:eastAsia="zh-CN"/>
                    </w:rPr>
                  </w:pPr>
                  <w:r>
                    <w:rPr>
                      <w:rFonts w:hint="eastAsia"/>
                      <w:lang w:val="en-US" w:eastAsia="zh-CN"/>
                    </w:rPr>
                    <w:t>颗粒物</w:t>
                  </w:r>
                </w:p>
              </w:tc>
              <w:tc>
                <w:tcPr>
                  <w:tcW w:w="1992" w:type="dxa"/>
                  <w:tcBorders>
                    <w:bottom w:val="single" w:color="auto" w:sz="4" w:space="0"/>
                  </w:tcBorders>
                  <w:vAlign w:val="center"/>
                </w:tcPr>
                <w:p>
                  <w:pPr>
                    <w:pStyle w:val="24"/>
                    <w:rPr>
                      <w:rFonts w:hint="default"/>
                      <w:lang w:val="en-US" w:eastAsia="zh-CN"/>
                    </w:rPr>
                  </w:pPr>
                  <w:r>
                    <w:rPr>
                      <w:rFonts w:hint="eastAsia"/>
                      <w:lang w:val="en-US" w:eastAsia="zh-CN"/>
                    </w:rPr>
                    <w:t>120</w:t>
                  </w:r>
                </w:p>
              </w:tc>
              <w:tc>
                <w:tcPr>
                  <w:tcW w:w="1993" w:type="dxa"/>
                  <w:tcBorders>
                    <w:bottom w:val="single" w:color="auto" w:sz="4" w:space="0"/>
                  </w:tcBorders>
                  <w:vAlign w:val="center"/>
                </w:tcPr>
                <w:p>
                  <w:pPr>
                    <w:pStyle w:val="24"/>
                    <w:bidi w:val="0"/>
                    <w:rPr>
                      <w:rFonts w:hint="default"/>
                      <w:lang w:val="en-US" w:eastAsia="zh-CN"/>
                    </w:rPr>
                  </w:pPr>
                  <w:r>
                    <w:rPr>
                      <w:rFonts w:hint="eastAsia"/>
                      <w:lang w:val="en-US" w:eastAsia="zh-CN"/>
                    </w:rPr>
                    <w:t>27</w:t>
                  </w:r>
                </w:p>
              </w:tc>
              <w:tc>
                <w:tcPr>
                  <w:tcW w:w="1993" w:type="dxa"/>
                  <w:tcBorders>
                    <w:bottom w:val="single" w:color="auto" w:sz="4" w:space="0"/>
                  </w:tcBorders>
                  <w:vAlign w:val="center"/>
                </w:tcPr>
                <w:p>
                  <w:pPr>
                    <w:pStyle w:val="24"/>
                    <w:bidi w:val="0"/>
                    <w:rPr>
                      <w:rFonts w:hint="default"/>
                      <w:lang w:val="en-US" w:eastAsia="zh-CN"/>
                    </w:rPr>
                  </w:pPr>
                  <w:r>
                    <w:rPr>
                      <w:rFonts w:hint="eastAsia"/>
                      <w:lang w:val="en-US" w:eastAsia="zh-CN"/>
                    </w:rPr>
                    <w:t>17.87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1" w:type="dxa"/>
                  <w:tcBorders>
                    <w:top w:val="single" w:color="auto" w:sz="4" w:space="0"/>
                    <w:bottom w:val="single" w:color="auto" w:sz="4" w:space="0"/>
                  </w:tcBorders>
                  <w:vAlign w:val="center"/>
                </w:tcPr>
                <w:p>
                  <w:pPr>
                    <w:pStyle w:val="24"/>
                  </w:pPr>
                  <w:r>
                    <w:rPr>
                      <w:rFonts w:hint="eastAsia"/>
                    </w:rPr>
                    <w:t>NO</w:t>
                  </w:r>
                  <w:r>
                    <w:rPr>
                      <w:rFonts w:hint="eastAsia"/>
                      <w:vertAlign w:val="subscript"/>
                    </w:rPr>
                    <w:t>x</w:t>
                  </w:r>
                </w:p>
              </w:tc>
              <w:tc>
                <w:tcPr>
                  <w:tcW w:w="1992" w:type="dxa"/>
                  <w:tcBorders>
                    <w:top w:val="single" w:color="auto" w:sz="4" w:space="0"/>
                    <w:bottom w:val="single" w:color="auto" w:sz="4" w:space="0"/>
                  </w:tcBorders>
                  <w:vAlign w:val="center"/>
                </w:tcPr>
                <w:p>
                  <w:pPr>
                    <w:pStyle w:val="24"/>
                    <w:rPr>
                      <w:rFonts w:hint="default" w:eastAsia="宋体"/>
                      <w:lang w:val="en-US" w:eastAsia="zh-CN"/>
                    </w:rPr>
                  </w:pPr>
                  <w:r>
                    <w:rPr>
                      <w:rFonts w:hint="eastAsia"/>
                      <w:lang w:val="en-US" w:eastAsia="zh-CN"/>
                    </w:rPr>
                    <w:t>240</w:t>
                  </w:r>
                </w:p>
              </w:tc>
              <w:tc>
                <w:tcPr>
                  <w:tcW w:w="1993" w:type="dxa"/>
                  <w:tcBorders>
                    <w:top w:val="single" w:color="auto" w:sz="4" w:space="0"/>
                    <w:bottom w:val="single" w:color="auto" w:sz="4" w:space="0"/>
                  </w:tcBorders>
                  <w:vAlign w:val="center"/>
                </w:tcPr>
                <w:p>
                  <w:pPr>
                    <w:pStyle w:val="24"/>
                    <w:bidi w:val="0"/>
                    <w:rPr>
                      <w:rFonts w:hint="default"/>
                      <w:lang w:val="en-US" w:eastAsia="zh-CN"/>
                    </w:rPr>
                  </w:pPr>
                  <w:r>
                    <w:rPr>
                      <w:rFonts w:hint="eastAsia"/>
                      <w:lang w:val="en-US" w:eastAsia="zh-CN"/>
                    </w:rPr>
                    <w:t>27</w:t>
                  </w:r>
                </w:p>
              </w:tc>
              <w:tc>
                <w:tcPr>
                  <w:tcW w:w="1993" w:type="dxa"/>
                  <w:tcBorders>
                    <w:top w:val="single" w:color="auto" w:sz="4" w:space="0"/>
                    <w:bottom w:val="single" w:color="auto" w:sz="4" w:space="0"/>
                  </w:tcBorders>
                  <w:vAlign w:val="center"/>
                </w:tcPr>
                <w:p>
                  <w:pPr>
                    <w:pStyle w:val="24"/>
                    <w:bidi w:val="0"/>
                    <w:rPr>
                      <w:rFonts w:hint="default"/>
                      <w:lang w:val="en-US" w:eastAsia="zh-CN"/>
                    </w:rPr>
                  </w:pPr>
                  <w:r>
                    <w:rPr>
                      <w:rFonts w:hint="eastAsia"/>
                      <w:lang w:val="en-US" w:eastAsia="zh-CN"/>
                    </w:rPr>
                    <w:t>3.47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1" w:type="dxa"/>
                  <w:tcBorders>
                    <w:top w:val="single" w:color="auto" w:sz="4" w:space="0"/>
                    <w:bottom w:val="single" w:color="auto" w:sz="4" w:space="0"/>
                  </w:tcBorders>
                  <w:vAlign w:val="center"/>
                </w:tcPr>
                <w:p>
                  <w:pPr>
                    <w:pStyle w:val="24"/>
                    <w:rPr>
                      <w:rFonts w:hint="eastAsia" w:eastAsia="宋体"/>
                      <w:lang w:val="en-US" w:eastAsia="zh-CN"/>
                    </w:rPr>
                  </w:pPr>
                  <w:r>
                    <w:rPr>
                      <w:rFonts w:hint="eastAsia"/>
                      <w:lang w:val="en-US" w:eastAsia="zh-CN"/>
                    </w:rPr>
                    <w:t>氯化氢</w:t>
                  </w:r>
                </w:p>
              </w:tc>
              <w:tc>
                <w:tcPr>
                  <w:tcW w:w="1992" w:type="dxa"/>
                  <w:tcBorders>
                    <w:top w:val="single" w:color="auto" w:sz="4" w:space="0"/>
                    <w:bottom w:val="single" w:color="auto" w:sz="4" w:space="0"/>
                  </w:tcBorders>
                  <w:vAlign w:val="center"/>
                </w:tcPr>
                <w:p>
                  <w:pPr>
                    <w:pStyle w:val="24"/>
                    <w:rPr>
                      <w:rFonts w:hint="default" w:eastAsia="宋体"/>
                      <w:lang w:val="en-US" w:eastAsia="zh-CN"/>
                    </w:rPr>
                  </w:pPr>
                  <w:r>
                    <w:rPr>
                      <w:rFonts w:hint="eastAsia"/>
                      <w:lang w:val="en-US" w:eastAsia="zh-CN"/>
                    </w:rPr>
                    <w:t>100</w:t>
                  </w:r>
                </w:p>
              </w:tc>
              <w:tc>
                <w:tcPr>
                  <w:tcW w:w="1993" w:type="dxa"/>
                  <w:tcBorders>
                    <w:top w:val="single" w:color="auto" w:sz="4" w:space="0"/>
                    <w:bottom w:val="single" w:color="auto" w:sz="4" w:space="0"/>
                  </w:tcBorders>
                  <w:vAlign w:val="center"/>
                </w:tcPr>
                <w:p>
                  <w:pPr>
                    <w:pStyle w:val="24"/>
                    <w:bidi w:val="0"/>
                  </w:pPr>
                  <w:r>
                    <w:rPr>
                      <w:rFonts w:hint="eastAsia"/>
                      <w:lang w:val="en-US" w:eastAsia="zh-CN"/>
                    </w:rPr>
                    <w:t>27</w:t>
                  </w:r>
                </w:p>
              </w:tc>
              <w:tc>
                <w:tcPr>
                  <w:tcW w:w="1993" w:type="dxa"/>
                  <w:tcBorders>
                    <w:top w:val="single" w:color="auto" w:sz="4" w:space="0"/>
                    <w:bottom w:val="single" w:color="auto" w:sz="4" w:space="0"/>
                  </w:tcBorders>
                  <w:vAlign w:val="center"/>
                </w:tcPr>
                <w:p>
                  <w:pPr>
                    <w:pStyle w:val="24"/>
                    <w:bidi w:val="0"/>
                    <w:rPr>
                      <w:rFonts w:hint="default"/>
                      <w:lang w:val="en-US" w:eastAsia="zh-CN"/>
                    </w:rPr>
                  </w:pPr>
                  <w:r>
                    <w:rPr>
                      <w:rFonts w:hint="eastAsia"/>
                      <w:lang w:val="en-US" w:eastAsia="zh-CN"/>
                    </w:rPr>
                    <w:t>1.11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1" w:type="dxa"/>
                  <w:tcBorders>
                    <w:top w:val="single" w:color="auto" w:sz="4" w:space="0"/>
                    <w:bottom w:val="single" w:color="auto" w:sz="4" w:space="0"/>
                  </w:tcBorders>
                  <w:vAlign w:val="center"/>
                </w:tcPr>
                <w:p>
                  <w:pPr>
                    <w:pStyle w:val="24"/>
                    <w:rPr>
                      <w:rFonts w:hint="eastAsia"/>
                      <w:lang w:val="en-US" w:eastAsia="zh-CN"/>
                    </w:rPr>
                  </w:pPr>
                  <w:r>
                    <w:rPr>
                      <w:rFonts w:hint="eastAsia"/>
                    </w:rPr>
                    <w:t>SO</w:t>
                  </w:r>
                  <w:r>
                    <w:rPr>
                      <w:rFonts w:hint="eastAsia"/>
                      <w:vertAlign w:val="subscript"/>
                    </w:rPr>
                    <w:t>2</w:t>
                  </w:r>
                </w:p>
              </w:tc>
              <w:tc>
                <w:tcPr>
                  <w:tcW w:w="1992" w:type="dxa"/>
                  <w:tcBorders>
                    <w:top w:val="single" w:color="auto" w:sz="4" w:space="0"/>
                    <w:bottom w:val="single" w:color="auto" w:sz="4" w:space="0"/>
                  </w:tcBorders>
                  <w:vAlign w:val="center"/>
                </w:tcPr>
                <w:p>
                  <w:pPr>
                    <w:pStyle w:val="24"/>
                    <w:rPr>
                      <w:rFonts w:hint="default"/>
                      <w:lang w:val="en-US" w:eastAsia="zh-CN"/>
                    </w:rPr>
                  </w:pPr>
                  <w:r>
                    <w:rPr>
                      <w:rFonts w:hint="eastAsia"/>
                      <w:lang w:val="en-US" w:eastAsia="zh-CN"/>
                    </w:rPr>
                    <w:t>550</w:t>
                  </w:r>
                </w:p>
              </w:tc>
              <w:tc>
                <w:tcPr>
                  <w:tcW w:w="1993" w:type="dxa"/>
                  <w:tcBorders>
                    <w:top w:val="single" w:color="auto" w:sz="4" w:space="0"/>
                    <w:bottom w:val="single" w:color="auto" w:sz="4" w:space="0"/>
                  </w:tcBorders>
                  <w:vAlign w:val="center"/>
                </w:tcPr>
                <w:p>
                  <w:pPr>
                    <w:pStyle w:val="24"/>
                    <w:bidi w:val="0"/>
                    <w:rPr>
                      <w:rFonts w:hint="default"/>
                      <w:lang w:val="en-US" w:eastAsia="zh-CN"/>
                    </w:rPr>
                  </w:pPr>
                  <w:r>
                    <w:rPr>
                      <w:rFonts w:hint="eastAsia"/>
                      <w:lang w:val="en-US" w:eastAsia="zh-CN"/>
                    </w:rPr>
                    <w:t>27</w:t>
                  </w:r>
                </w:p>
              </w:tc>
              <w:tc>
                <w:tcPr>
                  <w:tcW w:w="1993" w:type="dxa"/>
                  <w:tcBorders>
                    <w:top w:val="single" w:color="auto" w:sz="4" w:space="0"/>
                    <w:bottom w:val="single" w:color="auto" w:sz="4" w:space="0"/>
                  </w:tcBorders>
                  <w:vAlign w:val="center"/>
                </w:tcPr>
                <w:p>
                  <w:pPr>
                    <w:pStyle w:val="24"/>
                    <w:bidi w:val="0"/>
                    <w:rPr>
                      <w:rFonts w:hint="default"/>
                      <w:lang w:val="en-US" w:eastAsia="zh-CN"/>
                    </w:rPr>
                  </w:pPr>
                  <w:r>
                    <w:rPr>
                      <w:rFonts w:hint="eastAsia"/>
                      <w:lang w:val="en-US" w:eastAsia="zh-CN"/>
                    </w:rPr>
                    <w:t>11.79</w:t>
                  </w:r>
                </w:p>
              </w:tc>
            </w:tr>
          </w:tbl>
          <w:p>
            <w:pPr>
              <w:pStyle w:val="37"/>
              <w:spacing w:before="240" w:beforeLines="100" w:after="120"/>
              <w:rPr>
                <w:rFonts w:hint="default"/>
                <w:color w:val="auto"/>
              </w:rPr>
            </w:pPr>
            <w:r>
              <w:rPr>
                <w:color w:val="auto"/>
              </w:rPr>
              <w:t>表3-</w:t>
            </w:r>
            <w:r>
              <w:rPr>
                <w:rFonts w:hint="eastAsia"/>
                <w:color w:val="auto"/>
                <w:lang w:val="en-US" w:eastAsia="zh-CN"/>
              </w:rPr>
              <w:t>9</w:t>
            </w:r>
            <w:r>
              <w:rPr>
                <w:color w:val="auto"/>
              </w:rPr>
              <w:t xml:space="preserve"> GB16297-1996表2无组织排放监控浓度限值   单位：mg/m</w:t>
            </w:r>
            <w:r>
              <w:rPr>
                <w:color w:val="auto"/>
                <w:vertAlign w:val="superscript"/>
              </w:rPr>
              <w:t>3</w:t>
            </w:r>
          </w:p>
          <w:tbl>
            <w:tblPr>
              <w:tblStyle w:val="19"/>
              <w:tblW w:w="7970"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5"/>
              <w:gridCol w:w="3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12" w:space="0"/>
                    <w:left w:val="nil"/>
                    <w:bottom w:val="single" w:color="000000" w:sz="4" w:space="0"/>
                    <w:right w:val="single" w:color="auto" w:sz="4" w:space="0"/>
                  </w:tcBorders>
                  <w:shd w:val="clear" w:color="auto" w:fill="FFFFFF"/>
                  <w:vAlign w:val="center"/>
                </w:tcPr>
                <w:p>
                  <w:pPr>
                    <w:spacing w:line="240" w:lineRule="auto"/>
                    <w:ind w:firstLine="0" w:firstLineChars="0"/>
                    <w:jc w:val="center"/>
                    <w:rPr>
                      <w:b/>
                      <w:color w:val="auto"/>
                      <w:sz w:val="21"/>
                    </w:rPr>
                  </w:pPr>
                  <w:r>
                    <w:rPr>
                      <w:rFonts w:hint="eastAsia"/>
                      <w:b/>
                      <w:color w:val="auto"/>
                      <w:sz w:val="21"/>
                    </w:rPr>
                    <w:t>污染物</w:t>
                  </w:r>
                </w:p>
              </w:tc>
              <w:tc>
                <w:tcPr>
                  <w:tcW w:w="3985" w:type="dxa"/>
                  <w:tcBorders>
                    <w:top w:val="single" w:color="000000" w:sz="12" w:space="0"/>
                    <w:left w:val="single" w:color="auto" w:sz="4" w:space="0"/>
                    <w:bottom w:val="single" w:color="000000" w:sz="4" w:space="0"/>
                    <w:right w:val="nil"/>
                  </w:tcBorders>
                  <w:shd w:val="clear" w:color="auto" w:fill="FFFFFF"/>
                  <w:vAlign w:val="center"/>
                </w:tcPr>
                <w:p>
                  <w:pPr>
                    <w:spacing w:line="240" w:lineRule="auto"/>
                    <w:ind w:firstLine="0" w:firstLineChars="0"/>
                    <w:jc w:val="center"/>
                    <w:rPr>
                      <w:b/>
                      <w:color w:val="auto"/>
                      <w:sz w:val="21"/>
                    </w:rPr>
                  </w:pPr>
                  <w:r>
                    <w:rPr>
                      <w:rFonts w:hint="eastAsia"/>
                      <w:b/>
                      <w:color w:val="auto"/>
                      <w:sz w:val="21"/>
                    </w:rPr>
                    <w:t>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4" w:space="0"/>
                    <w:left w:val="nil"/>
                    <w:bottom w:val="single" w:color="000000" w:sz="4" w:space="0"/>
                    <w:right w:val="single" w:color="auto" w:sz="4" w:space="0"/>
                  </w:tcBorders>
                  <w:shd w:val="clear" w:color="auto" w:fill="FFFFFF"/>
                  <w:vAlign w:val="center"/>
                </w:tcPr>
                <w:p>
                  <w:pPr>
                    <w:spacing w:line="240" w:lineRule="auto"/>
                    <w:ind w:firstLine="0" w:firstLineChars="0"/>
                    <w:jc w:val="center"/>
                    <w:rPr>
                      <w:color w:val="auto"/>
                      <w:sz w:val="21"/>
                    </w:rPr>
                  </w:pPr>
                  <w:r>
                    <w:rPr>
                      <w:rFonts w:hint="eastAsia"/>
                      <w:color w:val="auto"/>
                      <w:sz w:val="21"/>
                    </w:rPr>
                    <w:t>颗粒物</w:t>
                  </w:r>
                </w:p>
              </w:tc>
              <w:tc>
                <w:tcPr>
                  <w:tcW w:w="3985" w:type="dxa"/>
                  <w:tcBorders>
                    <w:top w:val="single" w:color="000000" w:sz="4" w:space="0"/>
                    <w:left w:val="single" w:color="auto" w:sz="4" w:space="0"/>
                    <w:bottom w:val="single" w:color="000000" w:sz="4" w:space="0"/>
                    <w:right w:val="nil"/>
                  </w:tcBorders>
                  <w:shd w:val="clear" w:color="auto" w:fill="FFFFFF"/>
                  <w:vAlign w:val="center"/>
                </w:tcPr>
                <w:p>
                  <w:pPr>
                    <w:spacing w:line="240" w:lineRule="auto"/>
                    <w:ind w:firstLine="0" w:firstLineChars="0"/>
                    <w:jc w:val="center"/>
                    <w:rPr>
                      <w:color w:val="auto"/>
                      <w:sz w:val="21"/>
                    </w:rPr>
                  </w:pPr>
                  <w:r>
                    <w:rPr>
                      <w:rFonts w:hint="eastAsia"/>
                      <w:color w:val="auto"/>
                      <w:sz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4" w:space="0"/>
                    <w:left w:val="nil"/>
                    <w:bottom w:val="single" w:color="000000" w:sz="4" w:space="0"/>
                    <w:right w:val="single" w:color="auto" w:sz="4" w:space="0"/>
                  </w:tcBorders>
                  <w:shd w:val="clear" w:color="auto" w:fill="FFFFFF"/>
                  <w:vAlign w:val="center"/>
                </w:tcPr>
                <w:p>
                  <w:pPr>
                    <w:spacing w:line="240" w:lineRule="auto"/>
                    <w:ind w:firstLine="0" w:firstLineChars="0"/>
                    <w:jc w:val="center"/>
                    <w:rPr>
                      <w:color w:val="auto"/>
                      <w:sz w:val="21"/>
                    </w:rPr>
                  </w:pPr>
                  <w:bookmarkStart w:id="140" w:name="_Toc956"/>
                  <w:r>
                    <w:rPr>
                      <w:rFonts w:hint="eastAsia"/>
                      <w:color w:val="auto"/>
                    </w:rPr>
                    <w:t>SO</w:t>
                  </w:r>
                  <w:r>
                    <w:rPr>
                      <w:rFonts w:hint="eastAsia"/>
                      <w:color w:val="auto"/>
                      <w:vertAlign w:val="subscript"/>
                    </w:rPr>
                    <w:t>2</w:t>
                  </w:r>
                </w:p>
              </w:tc>
              <w:tc>
                <w:tcPr>
                  <w:tcW w:w="3985" w:type="dxa"/>
                  <w:tcBorders>
                    <w:top w:val="single" w:color="000000" w:sz="4" w:space="0"/>
                    <w:left w:val="single" w:color="auto" w:sz="4" w:space="0"/>
                    <w:bottom w:val="single" w:color="000000" w:sz="4" w:space="0"/>
                    <w:right w:val="nil"/>
                  </w:tcBorders>
                  <w:shd w:val="clear" w:color="auto" w:fill="FFFFFF"/>
                  <w:vAlign w:val="center"/>
                </w:tcPr>
                <w:p>
                  <w:pPr>
                    <w:spacing w:line="240" w:lineRule="auto"/>
                    <w:ind w:firstLine="0" w:firstLineChars="0"/>
                    <w:jc w:val="center"/>
                    <w:rPr>
                      <w:color w:val="auto"/>
                      <w:sz w:val="21"/>
                    </w:rPr>
                  </w:pPr>
                  <w:r>
                    <w:rPr>
                      <w:rFonts w:hint="eastAsia"/>
                      <w:color w:val="auto"/>
                      <w:sz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4" w:space="0"/>
                    <w:left w:val="nil"/>
                    <w:bottom w:val="single" w:color="000000" w:sz="4" w:space="0"/>
                    <w:right w:val="single" w:color="auto" w:sz="4" w:space="0"/>
                  </w:tcBorders>
                  <w:shd w:val="clear" w:color="auto" w:fill="FFFFFF"/>
                  <w:vAlign w:val="center"/>
                </w:tcPr>
                <w:p>
                  <w:pPr>
                    <w:spacing w:line="240" w:lineRule="auto"/>
                    <w:ind w:firstLine="0" w:firstLineChars="0"/>
                    <w:jc w:val="center"/>
                    <w:rPr>
                      <w:color w:val="auto"/>
                      <w:sz w:val="21"/>
                    </w:rPr>
                  </w:pPr>
                  <w:r>
                    <w:rPr>
                      <w:rFonts w:hint="eastAsia"/>
                      <w:color w:val="auto"/>
                    </w:rPr>
                    <w:t>NO</w:t>
                  </w:r>
                  <w:r>
                    <w:rPr>
                      <w:rFonts w:hint="eastAsia"/>
                      <w:color w:val="auto"/>
                      <w:vertAlign w:val="subscript"/>
                    </w:rPr>
                    <w:t>x</w:t>
                  </w:r>
                </w:p>
              </w:tc>
              <w:tc>
                <w:tcPr>
                  <w:tcW w:w="3985" w:type="dxa"/>
                  <w:tcBorders>
                    <w:top w:val="single" w:color="000000" w:sz="4" w:space="0"/>
                    <w:left w:val="single" w:color="auto" w:sz="4" w:space="0"/>
                    <w:bottom w:val="single" w:color="000000" w:sz="4" w:space="0"/>
                    <w:right w:val="nil"/>
                  </w:tcBorders>
                  <w:shd w:val="clear" w:color="auto" w:fill="FFFFFF"/>
                  <w:vAlign w:val="center"/>
                </w:tcPr>
                <w:p>
                  <w:pPr>
                    <w:spacing w:line="240" w:lineRule="auto"/>
                    <w:ind w:firstLine="0" w:firstLineChars="0"/>
                    <w:jc w:val="center"/>
                    <w:rPr>
                      <w:color w:val="auto"/>
                      <w:sz w:val="21"/>
                    </w:rPr>
                  </w:pPr>
                  <w:r>
                    <w:rPr>
                      <w:rFonts w:hint="eastAsia"/>
                      <w:color w:val="auto"/>
                      <w:sz w:val="21"/>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4" w:space="0"/>
                    <w:left w:val="nil"/>
                    <w:bottom w:val="single" w:color="000000" w:sz="4" w:space="0"/>
                    <w:right w:val="single" w:color="auto" w:sz="4" w:space="0"/>
                  </w:tcBorders>
                  <w:shd w:val="clear" w:color="auto" w:fill="FFFFFF"/>
                  <w:vAlign w:val="center"/>
                </w:tcPr>
                <w:p>
                  <w:pPr>
                    <w:spacing w:line="240" w:lineRule="auto"/>
                    <w:ind w:firstLine="0" w:firstLineChars="0"/>
                    <w:jc w:val="center"/>
                    <w:rPr>
                      <w:rFonts w:hint="eastAsia"/>
                      <w:color w:val="auto"/>
                    </w:rPr>
                  </w:pPr>
                  <w:bookmarkStart w:id="141" w:name="_Toc17862"/>
                  <w:r>
                    <w:rPr>
                      <w:rFonts w:hint="eastAsia"/>
                      <w:color w:val="auto"/>
                      <w:sz w:val="21"/>
                    </w:rPr>
                    <w:t>NMHC</w:t>
                  </w:r>
                </w:p>
              </w:tc>
              <w:tc>
                <w:tcPr>
                  <w:tcW w:w="3985" w:type="dxa"/>
                  <w:tcBorders>
                    <w:top w:val="single" w:color="000000" w:sz="4" w:space="0"/>
                    <w:left w:val="single" w:color="auto" w:sz="4" w:space="0"/>
                    <w:bottom w:val="single" w:color="000000" w:sz="4" w:space="0"/>
                    <w:right w:val="nil"/>
                  </w:tcBorders>
                  <w:shd w:val="clear" w:color="auto" w:fill="FFFFFF"/>
                  <w:vAlign w:val="center"/>
                </w:tcPr>
                <w:p>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5" w:type="dxa"/>
                  <w:tcBorders>
                    <w:top w:val="single" w:color="000000"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rFonts w:hint="default" w:eastAsia="宋体"/>
                      <w:color w:val="auto"/>
                      <w:sz w:val="21"/>
                      <w:lang w:val="en-US" w:eastAsia="zh-CN"/>
                    </w:rPr>
                  </w:pPr>
                  <w:r>
                    <w:rPr>
                      <w:rFonts w:hint="eastAsia"/>
                      <w:color w:val="auto"/>
                      <w:sz w:val="21"/>
                      <w:lang w:val="en-US" w:eastAsia="zh-CN"/>
                    </w:rPr>
                    <w:t>氯化氢</w:t>
                  </w:r>
                </w:p>
              </w:tc>
              <w:tc>
                <w:tcPr>
                  <w:tcW w:w="3985" w:type="dxa"/>
                  <w:tcBorders>
                    <w:top w:val="single" w:color="000000"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rFonts w:hint="default"/>
                      <w:color w:val="auto"/>
                      <w:sz w:val="21"/>
                      <w:lang w:val="en-US" w:eastAsia="zh-CN"/>
                    </w:rPr>
                  </w:pPr>
                  <w:r>
                    <w:rPr>
                      <w:rFonts w:hint="eastAsia"/>
                      <w:color w:val="auto"/>
                      <w:sz w:val="21"/>
                      <w:lang w:val="en-US" w:eastAsia="zh-CN"/>
                    </w:rPr>
                    <w:t>0.2</w:t>
                  </w:r>
                </w:p>
              </w:tc>
            </w:tr>
          </w:tbl>
          <w:p>
            <w:pPr>
              <w:pStyle w:val="2"/>
              <w:spacing w:before="0" w:beforeLines="0" w:line="312" w:lineRule="auto"/>
            </w:pPr>
            <w:bookmarkStart w:id="142" w:name="_Toc10599"/>
            <w:bookmarkStart w:id="143" w:name="_Toc30683"/>
            <w:r>
              <w:rPr>
                <w:rFonts w:hint="eastAsia"/>
              </w:rPr>
              <w:t>2、废水</w:t>
            </w:r>
            <w:bookmarkEnd w:id="140"/>
            <w:bookmarkEnd w:id="141"/>
            <w:bookmarkEnd w:id="142"/>
            <w:bookmarkEnd w:id="143"/>
          </w:p>
          <w:p>
            <w:pPr>
              <w:keepNext w:val="0"/>
              <w:keepLines w:val="0"/>
              <w:pageBreakBefore w:val="0"/>
              <w:widowControl w:val="0"/>
              <w:kinsoku/>
              <w:wordWrap/>
              <w:overflowPunct/>
              <w:topLinePunct w:val="0"/>
              <w:autoSpaceDE/>
              <w:autoSpaceDN/>
              <w:bidi w:val="0"/>
              <w:adjustRightInd/>
              <w:snapToGrid/>
              <w:spacing w:line="356" w:lineRule="auto"/>
              <w:ind w:firstLine="480"/>
              <w:textAlignment w:val="auto"/>
            </w:pPr>
            <w:r>
              <w:rPr>
                <w:rFonts w:hint="eastAsia"/>
              </w:rPr>
              <w:t>本项目外排废水主要为生产</w:t>
            </w:r>
            <w:r>
              <w:rPr>
                <w:rFonts w:hint="eastAsia"/>
                <w:lang w:val="en-US" w:eastAsia="zh-CN"/>
              </w:rPr>
              <w:t>综合废水（清洗废水、保洁废水、碱液喷淋塔废水）</w:t>
            </w:r>
            <w:r>
              <w:rPr>
                <w:rFonts w:hint="eastAsia"/>
              </w:rPr>
              <w:t>和生活污水，经隔油池除油后的除油清洗废水与酸洗清洗废水、磷化清洗废水、保洁废水和</w:t>
            </w:r>
            <w:r>
              <w:rPr>
                <w:rFonts w:hint="eastAsia"/>
                <w:lang w:eastAsia="zh-CN"/>
              </w:rPr>
              <w:t>碱液喷淋塔</w:t>
            </w:r>
            <w:r>
              <w:rPr>
                <w:rFonts w:hint="eastAsia"/>
              </w:rPr>
              <w:t>废水一起，经“调节池+一体化</w:t>
            </w:r>
            <w:r>
              <w:rPr>
                <w:rFonts w:hint="eastAsia"/>
                <w:lang w:val="en-US" w:eastAsia="zh-CN"/>
              </w:rPr>
              <w:t>处理设施</w:t>
            </w:r>
            <w:r>
              <w:rPr>
                <w:rFonts w:hint="eastAsia"/>
              </w:rPr>
              <w:t>（pH调节+混凝沉淀+二沉池（斜管沉淀））”预处理达综排3级标准与接管标准中较严者后，进入市政污水管网</w:t>
            </w:r>
            <w:r>
              <w:rPr>
                <w:rFonts w:hint="eastAsia"/>
                <w:lang w:eastAsia="zh-CN"/>
              </w:rPr>
              <w:t>，</w:t>
            </w:r>
            <w:r>
              <w:rPr>
                <w:rFonts w:hint="eastAsia"/>
              </w:rPr>
              <w:t>排至衡阳西渡高新区污水处理厂进行深度处理；生活污水依托双创中心化粪池预处理后经市政管网排至衡阳西渡高新技术产业园区污水处理厂</w:t>
            </w:r>
            <w:r>
              <w:rPr>
                <w:rFonts w:hint="eastAsia"/>
                <w:lang w:val="en-US" w:eastAsia="zh-CN"/>
              </w:rPr>
              <w:t>进一步处理</w:t>
            </w:r>
            <w:r>
              <w:rPr>
                <w:rFonts w:hint="eastAsia"/>
              </w:rPr>
              <w:t>；污水处理厂处理后的水达到《城镇污水处理厂污染物排放标准》（GB 18918-2002）一级标准A标准后外排蒸水。</w:t>
            </w:r>
          </w:p>
          <w:p>
            <w:pPr>
              <w:ind w:firstLine="0" w:firstLineChars="0"/>
              <w:jc w:val="center"/>
              <w:rPr>
                <w:b/>
                <w:bCs/>
                <w:sz w:val="21"/>
              </w:rPr>
            </w:pPr>
            <w:r>
              <w:rPr>
                <w:rFonts w:hint="eastAsia"/>
                <w:b/>
                <w:bCs/>
                <w:sz w:val="21"/>
                <w:szCs w:val="21"/>
              </w:rPr>
              <w:t>表3-</w:t>
            </w:r>
            <w:r>
              <w:rPr>
                <w:rFonts w:hint="eastAsia"/>
                <w:b/>
                <w:bCs/>
                <w:sz w:val="21"/>
                <w:szCs w:val="21"/>
                <w:lang w:val="en-US" w:eastAsia="zh-CN"/>
              </w:rPr>
              <w:t>10</w:t>
            </w:r>
            <w:r>
              <w:rPr>
                <w:rFonts w:hint="eastAsia"/>
                <w:b/>
                <w:bCs/>
                <w:sz w:val="21"/>
                <w:szCs w:val="21"/>
              </w:rPr>
              <w:t xml:space="preserve"> </w:t>
            </w:r>
            <w:r>
              <w:rPr>
                <w:rFonts w:hint="eastAsia"/>
                <w:b/>
                <w:bCs/>
                <w:sz w:val="21"/>
                <w:szCs w:val="21"/>
                <w:lang w:val="en-US" w:eastAsia="zh-CN"/>
              </w:rPr>
              <w:t>综合</w:t>
            </w:r>
            <w:r>
              <w:rPr>
                <w:rFonts w:hint="eastAsia"/>
                <w:b/>
                <w:bCs/>
                <w:sz w:val="21"/>
                <w:szCs w:val="21"/>
              </w:rPr>
              <w:t>废水污染物</w:t>
            </w:r>
            <w:r>
              <w:rPr>
                <w:b/>
                <w:bCs/>
                <w:sz w:val="21"/>
                <w:szCs w:val="21"/>
              </w:rPr>
              <w:t>排放限值</w:t>
            </w:r>
            <w:r>
              <w:rPr>
                <w:rFonts w:hint="eastAsia"/>
                <w:b/>
                <w:bCs/>
                <w:sz w:val="21"/>
                <w:szCs w:val="21"/>
              </w:rPr>
              <w:t xml:space="preserve">   单位：</w:t>
            </w:r>
            <w:r>
              <w:rPr>
                <w:rFonts w:hint="eastAsia"/>
                <w:b/>
                <w:bCs/>
                <w:sz w:val="21"/>
              </w:rPr>
              <w:t>mg/L</w:t>
            </w:r>
          </w:p>
          <w:tbl>
            <w:tblPr>
              <w:tblStyle w:val="19"/>
              <w:tblW w:w="4953"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0"/>
              <w:gridCol w:w="834"/>
              <w:gridCol w:w="1623"/>
              <w:gridCol w:w="1911"/>
              <w:gridCol w:w="29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1" w:type="pct"/>
                  <w:tcBorders>
                    <w:top w:val="single" w:color="000000" w:sz="12" w:space="0"/>
                    <w:left w:val="nil"/>
                    <w:bottom w:val="single" w:color="auto" w:sz="4" w:space="0"/>
                    <w:right w:val="single" w:color="auto" w:sz="4" w:space="0"/>
                    <w:tl2br w:val="nil"/>
                  </w:tcBorders>
                  <w:shd w:val="clear" w:color="auto" w:fill="FFFFFF"/>
                  <w:vAlign w:val="center"/>
                </w:tcPr>
                <w:p>
                  <w:pPr>
                    <w:pStyle w:val="24"/>
                    <w:rPr>
                      <w:b/>
                      <w:color w:val="000000"/>
                    </w:rPr>
                  </w:pPr>
                  <w:r>
                    <w:rPr>
                      <w:rFonts w:hint="eastAsia"/>
                      <w:b/>
                      <w:color w:val="000000"/>
                    </w:rPr>
                    <w:t>序号</w:t>
                  </w:r>
                </w:p>
              </w:tc>
              <w:tc>
                <w:tcPr>
                  <w:tcW w:w="528"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color w:val="000000"/>
                    </w:rPr>
                  </w:pPr>
                  <w:r>
                    <w:rPr>
                      <w:rFonts w:hint="eastAsia"/>
                      <w:b/>
                      <w:color w:val="000000"/>
                    </w:rPr>
                    <w:t>污染因子</w:t>
                  </w:r>
                </w:p>
              </w:tc>
              <w:tc>
                <w:tcPr>
                  <w:tcW w:w="1028"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color w:val="000000"/>
                    </w:rPr>
                  </w:pPr>
                  <w:r>
                    <w:rPr>
                      <w:rFonts w:hint="eastAsia"/>
                      <w:b/>
                      <w:color w:val="000000"/>
                    </w:rPr>
                    <w:t>污水处理厂进水水质限值</w:t>
                  </w:r>
                </w:p>
              </w:tc>
              <w:tc>
                <w:tcPr>
                  <w:tcW w:w="1210" w:type="pct"/>
                  <w:tcBorders>
                    <w:top w:val="single" w:color="000000" w:sz="12" w:space="0"/>
                    <w:left w:val="single" w:color="auto" w:sz="4" w:space="0"/>
                    <w:bottom w:val="single" w:color="auto" w:sz="4" w:space="0"/>
                    <w:right w:val="single" w:color="auto" w:sz="4" w:space="0"/>
                  </w:tcBorders>
                  <w:shd w:val="clear" w:color="auto" w:fill="FFFFFF"/>
                  <w:vAlign w:val="center"/>
                </w:tcPr>
                <w:p>
                  <w:pPr>
                    <w:pStyle w:val="24"/>
                    <w:rPr>
                      <w:b/>
                      <w:color w:val="000000"/>
                    </w:rPr>
                  </w:pPr>
                  <w:r>
                    <w:rPr>
                      <w:rFonts w:hint="eastAsia"/>
                      <w:b/>
                      <w:color w:val="000000"/>
                    </w:rPr>
                    <w:t>（GB 8978-1996）表4中三级标准</w:t>
                  </w:r>
                </w:p>
              </w:tc>
              <w:tc>
                <w:tcPr>
                  <w:tcW w:w="1871" w:type="pct"/>
                  <w:tcBorders>
                    <w:top w:val="single" w:color="000000" w:sz="12" w:space="0"/>
                    <w:left w:val="single" w:color="auto" w:sz="4" w:space="0"/>
                    <w:bottom w:val="single" w:color="auto" w:sz="4" w:space="0"/>
                    <w:right w:val="nil"/>
                  </w:tcBorders>
                  <w:shd w:val="clear" w:color="auto" w:fill="FFFFFF"/>
                  <w:vAlign w:val="center"/>
                </w:tcPr>
                <w:p>
                  <w:pPr>
                    <w:pStyle w:val="24"/>
                    <w:rPr>
                      <w:b/>
                      <w:color w:val="000000"/>
                    </w:rPr>
                  </w:pPr>
                  <w:r>
                    <w:rPr>
                      <w:rFonts w:hint="eastAsia"/>
                      <w:b/>
                      <w:color w:val="000000"/>
                    </w:rPr>
                    <w:t>《城镇污水处理厂污染物排放标准》（GB 18918-2002）一级A标准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1"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1</w:t>
                  </w:r>
                </w:p>
              </w:tc>
              <w:tc>
                <w:tcPr>
                  <w:tcW w:w="5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pH</w:t>
                  </w:r>
                </w:p>
              </w:tc>
              <w:tc>
                <w:tcPr>
                  <w:tcW w:w="10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w:t>
                  </w:r>
                </w:p>
              </w:tc>
              <w:tc>
                <w:tcPr>
                  <w:tcW w:w="12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6~9</w:t>
                  </w:r>
                </w:p>
              </w:tc>
              <w:tc>
                <w:tcPr>
                  <w:tcW w:w="1871" w:type="pct"/>
                  <w:tcBorders>
                    <w:top w:val="single" w:color="auto" w:sz="4" w:space="0"/>
                    <w:left w:val="single" w:color="auto" w:sz="4" w:space="0"/>
                    <w:bottom w:val="single" w:color="auto" w:sz="4" w:space="0"/>
                    <w:right w:val="nil"/>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1"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2</w:t>
                  </w:r>
                </w:p>
              </w:tc>
              <w:tc>
                <w:tcPr>
                  <w:tcW w:w="5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COD</w:t>
                  </w:r>
                  <w:r>
                    <w:rPr>
                      <w:rFonts w:hint="eastAsia"/>
                      <w:color w:val="000000"/>
                      <w:vertAlign w:val="subscript"/>
                    </w:rPr>
                    <w:t>Cr</w:t>
                  </w:r>
                </w:p>
              </w:tc>
              <w:tc>
                <w:tcPr>
                  <w:tcW w:w="10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400</w:t>
                  </w:r>
                </w:p>
              </w:tc>
              <w:tc>
                <w:tcPr>
                  <w:tcW w:w="12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500</w:t>
                  </w:r>
                </w:p>
              </w:tc>
              <w:tc>
                <w:tcPr>
                  <w:tcW w:w="1871" w:type="pct"/>
                  <w:tcBorders>
                    <w:top w:val="single" w:color="auto" w:sz="4" w:space="0"/>
                    <w:left w:val="single" w:color="auto" w:sz="4" w:space="0"/>
                    <w:bottom w:val="single" w:color="auto" w:sz="4" w:space="0"/>
                    <w:right w:val="nil"/>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1"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3</w:t>
                  </w:r>
                </w:p>
              </w:tc>
              <w:tc>
                <w:tcPr>
                  <w:tcW w:w="5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BOD</w:t>
                  </w:r>
                  <w:r>
                    <w:rPr>
                      <w:rFonts w:hint="eastAsia"/>
                      <w:color w:val="000000"/>
                      <w:vertAlign w:val="subscript"/>
                    </w:rPr>
                    <w:t>5</w:t>
                  </w:r>
                </w:p>
              </w:tc>
              <w:tc>
                <w:tcPr>
                  <w:tcW w:w="10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300</w:t>
                  </w:r>
                </w:p>
              </w:tc>
              <w:tc>
                <w:tcPr>
                  <w:tcW w:w="12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300</w:t>
                  </w:r>
                </w:p>
              </w:tc>
              <w:tc>
                <w:tcPr>
                  <w:tcW w:w="1871" w:type="pct"/>
                  <w:tcBorders>
                    <w:top w:val="single" w:color="auto" w:sz="4" w:space="0"/>
                    <w:left w:val="single" w:color="auto" w:sz="4" w:space="0"/>
                    <w:bottom w:val="single" w:color="auto" w:sz="4" w:space="0"/>
                    <w:right w:val="nil"/>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1"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4</w:t>
                  </w:r>
                </w:p>
              </w:tc>
              <w:tc>
                <w:tcPr>
                  <w:tcW w:w="5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氨氮</w:t>
                  </w:r>
                </w:p>
              </w:tc>
              <w:tc>
                <w:tcPr>
                  <w:tcW w:w="10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25</w:t>
                  </w:r>
                </w:p>
              </w:tc>
              <w:tc>
                <w:tcPr>
                  <w:tcW w:w="12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w:t>
                  </w:r>
                </w:p>
              </w:tc>
              <w:tc>
                <w:tcPr>
                  <w:tcW w:w="1871" w:type="pct"/>
                  <w:tcBorders>
                    <w:top w:val="single" w:color="auto" w:sz="4" w:space="0"/>
                    <w:left w:val="single" w:color="auto" w:sz="4" w:space="0"/>
                    <w:bottom w:val="single" w:color="auto" w:sz="4" w:space="0"/>
                    <w:right w:val="nil"/>
                  </w:tcBorders>
                  <w:shd w:val="clear" w:color="auto" w:fill="FFFFFF"/>
                  <w:vAlign w:val="center"/>
                </w:tcPr>
                <w:p>
                  <w:pPr>
                    <w:pStyle w:val="24"/>
                    <w:rPr>
                      <w:rFonts w:hint="eastAsia" w:eastAsia="宋体"/>
                      <w:color w:val="000000"/>
                      <w:lang w:val="en-US" w:eastAsia="zh-CN"/>
                    </w:rPr>
                  </w:pPr>
                  <w:r>
                    <w:rPr>
                      <w:rFonts w:hint="eastAsia"/>
                      <w:color w:val="000000"/>
                      <w:lang w:val="en-US" w:eastAsia="zh-CN"/>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1" w:type="pct"/>
                  <w:tcBorders>
                    <w:top w:val="single" w:color="auto" w:sz="4" w:space="0"/>
                    <w:left w:val="nil"/>
                    <w:bottom w:val="single" w:color="auto" w:sz="4" w:space="0"/>
                    <w:right w:val="single" w:color="auto" w:sz="4" w:space="0"/>
                  </w:tcBorders>
                  <w:shd w:val="clear" w:color="auto" w:fill="FFFFFF"/>
                  <w:vAlign w:val="center"/>
                </w:tcPr>
                <w:p>
                  <w:pPr>
                    <w:pStyle w:val="24"/>
                    <w:rPr>
                      <w:color w:val="000000"/>
                    </w:rPr>
                  </w:pPr>
                  <w:r>
                    <w:rPr>
                      <w:rFonts w:hint="eastAsia"/>
                      <w:color w:val="000000"/>
                    </w:rPr>
                    <w:t>5</w:t>
                  </w:r>
                </w:p>
              </w:tc>
              <w:tc>
                <w:tcPr>
                  <w:tcW w:w="5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SS</w:t>
                  </w:r>
                </w:p>
              </w:tc>
              <w:tc>
                <w:tcPr>
                  <w:tcW w:w="1028"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400</w:t>
                  </w:r>
                </w:p>
              </w:tc>
              <w:tc>
                <w:tcPr>
                  <w:tcW w:w="1210" w:type="pct"/>
                  <w:tcBorders>
                    <w:top w:val="single" w:color="auto" w:sz="4" w:space="0"/>
                    <w:left w:val="single" w:color="auto" w:sz="4" w:space="0"/>
                    <w:bottom w:val="single" w:color="auto" w:sz="4" w:space="0"/>
                    <w:right w:val="single" w:color="auto" w:sz="4" w:space="0"/>
                  </w:tcBorders>
                  <w:shd w:val="clear" w:color="auto" w:fill="FFFFFF"/>
                  <w:vAlign w:val="center"/>
                </w:tcPr>
                <w:p>
                  <w:pPr>
                    <w:pStyle w:val="24"/>
                    <w:rPr>
                      <w:color w:val="000000"/>
                    </w:rPr>
                  </w:pPr>
                  <w:r>
                    <w:rPr>
                      <w:rFonts w:hint="eastAsia"/>
                      <w:color w:val="000000"/>
                    </w:rPr>
                    <w:t>400</w:t>
                  </w:r>
                </w:p>
              </w:tc>
              <w:tc>
                <w:tcPr>
                  <w:tcW w:w="1871" w:type="pct"/>
                  <w:tcBorders>
                    <w:top w:val="single" w:color="auto" w:sz="4" w:space="0"/>
                    <w:left w:val="single" w:color="auto" w:sz="4" w:space="0"/>
                    <w:bottom w:val="single" w:color="auto" w:sz="4" w:space="0"/>
                    <w:right w:val="nil"/>
                  </w:tcBorders>
                  <w:shd w:val="clear" w:color="auto" w:fill="FFFFFF"/>
                  <w:vAlign w:val="center"/>
                </w:tcPr>
                <w:p>
                  <w:pPr>
                    <w:pStyle w:val="24"/>
                    <w:rPr>
                      <w:rFonts w:hint="default" w:eastAsia="宋体"/>
                      <w:color w:val="000000"/>
                      <w:lang w:val="en-US" w:eastAsia="zh-CN"/>
                    </w:rPr>
                  </w:pPr>
                  <w:r>
                    <w:rPr>
                      <w:rFonts w:hint="eastAsia"/>
                      <w:color w:val="000000"/>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tcBorders>
                    <w:top w:val="single" w:color="auto" w:sz="4" w:space="0"/>
                    <w:left w:val="nil"/>
                    <w:bottom w:val="single" w:color="000000" w:sz="12" w:space="0"/>
                    <w:right w:val="nil"/>
                  </w:tcBorders>
                  <w:shd w:val="clear" w:color="auto" w:fill="FFFFFF"/>
                  <w:vAlign w:val="center"/>
                </w:tcPr>
                <w:p>
                  <w:pPr>
                    <w:pStyle w:val="24"/>
                    <w:jc w:val="both"/>
                    <w:rPr>
                      <w:rFonts w:hint="eastAsia"/>
                      <w:color w:val="000000"/>
                      <w:lang w:val="en-US" w:eastAsia="zh-CN"/>
                    </w:rPr>
                  </w:pPr>
                  <w:bookmarkStart w:id="144" w:name="_Toc10139"/>
                  <w:bookmarkStart w:id="145" w:name="_Toc28621"/>
                  <w:bookmarkStart w:id="146" w:name="_Toc9176"/>
                  <w:r>
                    <w:rPr>
                      <w:rFonts w:hint="eastAsia"/>
                      <w:color w:val="000000"/>
                      <w:lang w:val="en-US" w:eastAsia="zh-CN"/>
                    </w:rPr>
                    <w:t>注：对于城镇污水处理厂，括号外数值为水温&gt;12℃时的控制指标，括号内数值为</w:t>
                  </w:r>
                </w:p>
                <w:p>
                  <w:pPr>
                    <w:pStyle w:val="24"/>
                    <w:jc w:val="both"/>
                    <w:rPr>
                      <w:rFonts w:hint="eastAsia"/>
                      <w:color w:val="000000"/>
                      <w:lang w:val="en-US" w:eastAsia="zh-CN"/>
                    </w:rPr>
                  </w:pPr>
                  <w:r>
                    <w:rPr>
                      <w:rFonts w:hint="eastAsia"/>
                      <w:color w:val="000000"/>
                      <w:lang w:val="en-US" w:eastAsia="zh-CN"/>
                    </w:rPr>
                    <w:t>水温≤12℃时的控制指标。</w:t>
                  </w:r>
                </w:p>
              </w:tc>
            </w:tr>
          </w:tbl>
          <w:p>
            <w:pPr>
              <w:pStyle w:val="2"/>
              <w:spacing w:before="0" w:beforeLines="0" w:line="300" w:lineRule="auto"/>
            </w:pPr>
            <w:bookmarkStart w:id="147" w:name="_Toc3957"/>
            <w:r>
              <w:rPr>
                <w:rFonts w:hint="eastAsia"/>
              </w:rPr>
              <w:t>3、噪声</w:t>
            </w:r>
            <w:bookmarkEnd w:id="144"/>
            <w:bookmarkEnd w:id="145"/>
            <w:bookmarkEnd w:id="146"/>
            <w:bookmarkEnd w:id="147"/>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项目四周边界噪声执行《工业企业</w:t>
            </w:r>
            <w:r>
              <w:rPr>
                <w:rFonts w:hint="eastAsia"/>
              </w:rPr>
              <w:t>厂</w:t>
            </w:r>
            <w:r>
              <w:t>界环境噪声排放标准》（GB 12348-2008）中的3类标准。</w:t>
            </w:r>
          </w:p>
          <w:p>
            <w:pPr>
              <w:ind w:firstLine="0" w:firstLineChars="0"/>
              <w:jc w:val="center"/>
              <w:rPr>
                <w:b/>
                <w:bCs/>
                <w:sz w:val="21"/>
                <w:szCs w:val="21"/>
              </w:rPr>
            </w:pPr>
            <w:r>
              <w:rPr>
                <w:b/>
                <w:bCs/>
                <w:sz w:val="21"/>
                <w:szCs w:val="21"/>
              </w:rPr>
              <w:t>表3-</w:t>
            </w:r>
            <w:r>
              <w:rPr>
                <w:rFonts w:hint="eastAsia"/>
                <w:b/>
                <w:bCs/>
                <w:sz w:val="21"/>
                <w:szCs w:val="21"/>
              </w:rPr>
              <w:t>1</w:t>
            </w:r>
            <w:r>
              <w:rPr>
                <w:rFonts w:hint="eastAsia"/>
                <w:b/>
                <w:bCs/>
                <w:sz w:val="21"/>
                <w:szCs w:val="21"/>
                <w:lang w:val="en-US" w:eastAsia="zh-CN"/>
              </w:rPr>
              <w:t>1</w:t>
            </w:r>
            <w:r>
              <w:rPr>
                <w:b/>
                <w:bCs/>
                <w:sz w:val="21"/>
                <w:szCs w:val="21"/>
              </w:rPr>
              <w:t xml:space="preserve"> 噪声排放标准   单位：dB(A)</w:t>
            </w: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6"/>
              <w:gridCol w:w="2657"/>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6" w:type="dxa"/>
                  <w:vMerge w:val="restart"/>
                  <w:tcBorders>
                    <w:top w:val="single" w:color="000000" w:sz="12" w:space="0"/>
                    <w:left w:val="nil"/>
                    <w:bottom w:val="single" w:color="auto" w:sz="4" w:space="0"/>
                    <w:right w:val="single" w:color="auto" w:sz="4" w:space="0"/>
                    <w:tl2br w:val="nil"/>
                  </w:tcBorders>
                  <w:shd w:val="clear" w:color="auto" w:fill="FFFFFF"/>
                  <w:vAlign w:val="center"/>
                </w:tcPr>
                <w:p>
                  <w:pPr>
                    <w:spacing w:line="240" w:lineRule="auto"/>
                    <w:ind w:firstLine="0" w:firstLineChars="0"/>
                    <w:jc w:val="center"/>
                    <w:rPr>
                      <w:b/>
                      <w:color w:val="000000"/>
                      <w:sz w:val="21"/>
                    </w:rPr>
                  </w:pPr>
                  <w:r>
                    <w:rPr>
                      <w:b/>
                      <w:color w:val="000000"/>
                      <w:sz w:val="21"/>
                    </w:rPr>
                    <w:t>厂界外声环境功能区类别</w:t>
                  </w:r>
                </w:p>
              </w:tc>
              <w:tc>
                <w:tcPr>
                  <w:tcW w:w="5314" w:type="dxa"/>
                  <w:gridSpan w:val="2"/>
                  <w:tcBorders>
                    <w:top w:val="single" w:color="000000" w:sz="12" w:space="0"/>
                    <w:left w:val="single" w:color="auto" w:sz="4" w:space="0"/>
                    <w:bottom w:val="single" w:color="auto" w:sz="4" w:space="0"/>
                    <w:right w:val="nil"/>
                  </w:tcBorders>
                  <w:shd w:val="clear" w:color="auto" w:fill="FFFFFF"/>
                  <w:vAlign w:val="center"/>
                </w:tcPr>
                <w:p>
                  <w:pPr>
                    <w:spacing w:line="240" w:lineRule="auto"/>
                    <w:ind w:firstLine="0" w:firstLineChars="0"/>
                    <w:jc w:val="center"/>
                    <w:rPr>
                      <w:b/>
                      <w:color w:val="000000"/>
                      <w:sz w:val="21"/>
                    </w:rPr>
                  </w:pPr>
                  <w:r>
                    <w:rPr>
                      <w:b/>
                      <w:color w:val="000000"/>
                      <w:sz w:val="21"/>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6" w:type="dxa"/>
                  <w:vMerge w:val="continue"/>
                  <w:tcBorders>
                    <w:top w:val="single" w:color="auto" w:sz="4" w:space="0"/>
                    <w:left w:val="nil"/>
                    <w:bottom w:val="single" w:color="auto" w:sz="4" w:space="0"/>
                    <w:right w:val="single" w:color="auto" w:sz="4" w:space="0"/>
                  </w:tcBorders>
                  <w:shd w:val="clear" w:color="auto" w:fill="FFFFFF"/>
                  <w:vAlign w:val="center"/>
                </w:tcPr>
                <w:p>
                  <w:pPr>
                    <w:spacing w:line="240" w:lineRule="auto"/>
                    <w:ind w:firstLine="0" w:firstLineChars="0"/>
                    <w:jc w:val="center"/>
                    <w:rPr>
                      <w:b/>
                      <w:color w:val="000000"/>
                      <w:sz w:val="21"/>
                    </w:rPr>
                  </w:pPr>
                </w:p>
              </w:tc>
              <w:tc>
                <w:tcPr>
                  <w:tcW w:w="2657"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auto"/>
                    <w:ind w:firstLine="0" w:firstLineChars="0"/>
                    <w:jc w:val="center"/>
                    <w:rPr>
                      <w:b/>
                      <w:color w:val="000000"/>
                      <w:sz w:val="21"/>
                    </w:rPr>
                  </w:pPr>
                  <w:r>
                    <w:rPr>
                      <w:b/>
                      <w:color w:val="000000"/>
                      <w:sz w:val="21"/>
                    </w:rPr>
                    <w:t>昼间</w:t>
                  </w:r>
                </w:p>
              </w:tc>
              <w:tc>
                <w:tcPr>
                  <w:tcW w:w="2657" w:type="dxa"/>
                  <w:tcBorders>
                    <w:top w:val="single" w:color="auto" w:sz="4" w:space="0"/>
                    <w:left w:val="single" w:color="auto" w:sz="4" w:space="0"/>
                    <w:bottom w:val="single" w:color="auto" w:sz="4" w:space="0"/>
                    <w:right w:val="nil"/>
                  </w:tcBorders>
                  <w:shd w:val="clear" w:color="auto" w:fill="FFFFFF"/>
                  <w:vAlign w:val="center"/>
                </w:tcPr>
                <w:p>
                  <w:pPr>
                    <w:spacing w:line="240" w:lineRule="auto"/>
                    <w:ind w:firstLine="0" w:firstLineChars="0"/>
                    <w:jc w:val="center"/>
                    <w:rPr>
                      <w:b/>
                      <w:color w:val="000000"/>
                      <w:sz w:val="21"/>
                    </w:rPr>
                  </w:pPr>
                  <w:r>
                    <w:rPr>
                      <w:b/>
                      <w:color w:val="000000"/>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656" w:type="dxa"/>
                  <w:tcBorders>
                    <w:top w:val="single" w:color="auto" w:sz="4" w:space="0"/>
                    <w:left w:val="nil"/>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rPr>
                  </w:pPr>
                  <w:r>
                    <w:rPr>
                      <w:color w:val="000000"/>
                      <w:sz w:val="21"/>
                    </w:rPr>
                    <w:t>3类</w:t>
                  </w:r>
                </w:p>
              </w:tc>
              <w:tc>
                <w:tcPr>
                  <w:tcW w:w="2657" w:type="dxa"/>
                  <w:tcBorders>
                    <w:top w:val="single" w:color="auto" w:sz="4" w:space="0"/>
                    <w:left w:val="single" w:color="auto" w:sz="4" w:space="0"/>
                    <w:bottom w:val="single" w:color="000000" w:sz="12" w:space="0"/>
                    <w:right w:val="single" w:color="auto" w:sz="4" w:space="0"/>
                  </w:tcBorders>
                  <w:shd w:val="clear" w:color="auto" w:fill="FFFFFF"/>
                  <w:vAlign w:val="center"/>
                </w:tcPr>
                <w:p>
                  <w:pPr>
                    <w:spacing w:line="240" w:lineRule="auto"/>
                    <w:ind w:firstLine="0" w:firstLineChars="0"/>
                    <w:jc w:val="center"/>
                    <w:rPr>
                      <w:color w:val="000000"/>
                      <w:sz w:val="21"/>
                    </w:rPr>
                  </w:pPr>
                  <w:r>
                    <w:rPr>
                      <w:color w:val="000000"/>
                      <w:sz w:val="21"/>
                    </w:rPr>
                    <w:t>65</w:t>
                  </w:r>
                </w:p>
              </w:tc>
              <w:tc>
                <w:tcPr>
                  <w:tcW w:w="2657" w:type="dxa"/>
                  <w:tcBorders>
                    <w:top w:val="single" w:color="auto" w:sz="4" w:space="0"/>
                    <w:left w:val="single" w:color="auto" w:sz="4" w:space="0"/>
                    <w:bottom w:val="single" w:color="000000" w:sz="12" w:space="0"/>
                    <w:right w:val="nil"/>
                  </w:tcBorders>
                  <w:shd w:val="clear" w:color="auto" w:fill="FFFFFF"/>
                  <w:vAlign w:val="center"/>
                </w:tcPr>
                <w:p>
                  <w:pPr>
                    <w:spacing w:line="240" w:lineRule="auto"/>
                    <w:ind w:firstLine="0" w:firstLineChars="0"/>
                    <w:jc w:val="center"/>
                    <w:rPr>
                      <w:color w:val="000000"/>
                      <w:sz w:val="21"/>
                    </w:rPr>
                  </w:pPr>
                  <w:r>
                    <w:rPr>
                      <w:color w:val="000000"/>
                      <w:sz w:val="21"/>
                    </w:rPr>
                    <w:t>55</w:t>
                  </w:r>
                </w:p>
              </w:tc>
            </w:tr>
          </w:tbl>
          <w:p>
            <w:pPr>
              <w:pStyle w:val="2"/>
              <w:spacing w:before="240" w:beforeLines="100"/>
            </w:pPr>
            <w:bookmarkStart w:id="148" w:name="_Toc5304"/>
            <w:bookmarkStart w:id="149" w:name="_Toc32689"/>
            <w:bookmarkStart w:id="150" w:name="_Toc7215"/>
            <w:bookmarkStart w:id="151" w:name="_Toc5975"/>
            <w:r>
              <w:t>4、固体废物</w:t>
            </w:r>
            <w:bookmarkEnd w:id="148"/>
            <w:bookmarkEnd w:id="149"/>
            <w:bookmarkEnd w:id="150"/>
            <w:bookmarkEnd w:id="151"/>
          </w:p>
          <w:p>
            <w:pPr>
              <w:ind w:firstLine="480"/>
            </w:pPr>
            <w:r>
              <w:t>一般工业固体废物贮存执行《一般工业固体废物贮存和填埋污染控制标准》（GB 18599-2020）；生活垃圾参照执行</w:t>
            </w:r>
            <w:r>
              <w:rPr>
                <w:rFonts w:hint="eastAsia"/>
              </w:rPr>
              <w:t>《生活垃圾焚烧污染控制标准》（GB 18485-2014）（含2019年修改单）</w:t>
            </w:r>
            <w:r>
              <w:t>；危险废物执行《危险废物贮存污染控制标准》（GB 18597-2023）有关要求。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总量</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控制</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指标</w:t>
            </w:r>
          </w:p>
        </w:tc>
        <w:tc>
          <w:tcPr>
            <w:tcW w:w="8190" w:type="dxa"/>
            <w:vAlign w:val="center"/>
          </w:tcPr>
          <w:p>
            <w:pPr>
              <w:ind w:firstLine="480"/>
            </w:pPr>
            <w:r>
              <w:rPr>
                <w:rFonts w:hint="eastAsia"/>
              </w:rPr>
              <w:t>按国家对污染物排放总量控制指标的要求，在核算污染物排放量的基础上提出工程污染物总量控制建议指标，是建设项目环境影响评价的任务之一，污染物总量控制建议指标应包括国家规定的指标和项目的特征污染物。</w:t>
            </w:r>
          </w:p>
          <w:p>
            <w:pPr>
              <w:spacing w:line="356" w:lineRule="auto"/>
              <w:ind w:firstLine="480"/>
              <w:rPr>
                <w:rFonts w:hint="eastAsia" w:eastAsia="宋体"/>
                <w:lang w:val="en-US" w:eastAsia="zh-CN"/>
              </w:rPr>
            </w:pPr>
            <w:r>
              <w:rPr>
                <w:rFonts w:hint="eastAsia"/>
              </w:rPr>
              <w:t>本项目外排废水主要为生产</w:t>
            </w:r>
            <w:r>
              <w:rPr>
                <w:rFonts w:hint="eastAsia"/>
                <w:lang w:val="en-US" w:eastAsia="zh-CN"/>
              </w:rPr>
              <w:t>综合废水（清洗废水、保洁废水、碱液喷淋塔废水）</w:t>
            </w:r>
            <w:r>
              <w:rPr>
                <w:rFonts w:hint="eastAsia"/>
              </w:rPr>
              <w:t>和生活污水，经隔油池除油后的除油清洗废水与酸洗清洗废水、磷化清洗废水、保洁废水和</w:t>
            </w:r>
            <w:r>
              <w:rPr>
                <w:rFonts w:hint="eastAsia"/>
                <w:lang w:eastAsia="zh-CN"/>
              </w:rPr>
              <w:t>碱液喷淋塔</w:t>
            </w:r>
            <w:r>
              <w:rPr>
                <w:rFonts w:hint="eastAsia"/>
              </w:rPr>
              <w:t>废水一起，经“调节池+一体化</w:t>
            </w:r>
            <w:r>
              <w:rPr>
                <w:rFonts w:hint="eastAsia"/>
                <w:lang w:val="en-US" w:eastAsia="zh-CN"/>
              </w:rPr>
              <w:t>处理设施</w:t>
            </w:r>
            <w:r>
              <w:rPr>
                <w:rFonts w:hint="eastAsia"/>
              </w:rPr>
              <w:t>（pH调节+混凝沉淀+二沉池（斜管沉淀））”预处理达综排3级标准与接管标准中较严者后，进入市政污水管网</w:t>
            </w:r>
            <w:r>
              <w:rPr>
                <w:rFonts w:hint="eastAsia"/>
                <w:lang w:eastAsia="zh-CN"/>
              </w:rPr>
              <w:t>，</w:t>
            </w:r>
            <w:r>
              <w:rPr>
                <w:rFonts w:hint="eastAsia"/>
              </w:rPr>
              <w:t>排至衡阳西渡高新区污水处理厂进行深度处理；生活污水依托双创中心化粪池预处理后经市政管网排至衡阳西渡高新技术产业园区污水处理厂</w:t>
            </w:r>
            <w:r>
              <w:rPr>
                <w:rFonts w:hint="eastAsia"/>
                <w:lang w:val="en-US" w:eastAsia="zh-CN"/>
              </w:rPr>
              <w:t>进一步处理</w:t>
            </w:r>
            <w:r>
              <w:rPr>
                <w:rFonts w:hint="eastAsia"/>
              </w:rPr>
              <w:t>；污水处理厂处理后的水达到《城镇污水处理厂污染物排放标准》（GB 18918-2002）一级标准A标准后外排蒸水。根据工程分析计算，</w:t>
            </w:r>
            <w:r>
              <w:rPr>
                <w:rFonts w:hint="eastAsia"/>
                <w:lang w:val="en-US" w:eastAsia="zh-CN"/>
              </w:rPr>
              <w:t>项目厂区污水排放口污染物排放总量为：</w:t>
            </w:r>
            <w:r>
              <w:rPr>
                <w:rFonts w:hint="eastAsia"/>
              </w:rPr>
              <w:t>COD</w:t>
            </w:r>
            <w:r>
              <w:rPr>
                <w:rFonts w:hint="eastAsia"/>
                <w:vertAlign w:val="subscript"/>
                <w:lang w:val="en-US" w:eastAsia="zh-CN"/>
              </w:rPr>
              <w:t>cr</w:t>
            </w:r>
            <w:r>
              <w:rPr>
                <w:rFonts w:hint="eastAsia"/>
              </w:rPr>
              <w:t>：</w:t>
            </w:r>
            <w:r>
              <w:rPr>
                <w:rFonts w:hint="eastAsia"/>
                <w:lang w:val="en-US" w:eastAsia="zh-CN"/>
              </w:rPr>
              <w:t>0.201</w:t>
            </w:r>
            <w:r>
              <w:rPr>
                <w:rFonts w:hint="eastAsia"/>
              </w:rPr>
              <w:t>t/a、NH</w:t>
            </w:r>
            <w:r>
              <w:rPr>
                <w:rFonts w:hint="eastAsia"/>
                <w:vertAlign w:val="subscript"/>
              </w:rPr>
              <w:t>3</w:t>
            </w:r>
            <w:r>
              <w:rPr>
                <w:rFonts w:hint="eastAsia"/>
              </w:rPr>
              <w:t>-N：0.0</w:t>
            </w:r>
            <w:r>
              <w:rPr>
                <w:rFonts w:hint="eastAsia"/>
                <w:lang w:val="en-US" w:eastAsia="zh-CN"/>
              </w:rPr>
              <w:t>18</w:t>
            </w:r>
            <w:r>
              <w:rPr>
                <w:rFonts w:hint="eastAsia"/>
              </w:rPr>
              <w:t>t/a</w:t>
            </w:r>
            <w:r>
              <w:rPr>
                <w:rFonts w:hint="eastAsia"/>
                <w:lang w:val="en-US" w:eastAsia="zh-CN"/>
              </w:rPr>
              <w:t>。按照</w:t>
            </w:r>
            <w:r>
              <w:rPr>
                <w:rFonts w:hint="eastAsia"/>
              </w:rPr>
              <w:t>衡阳西渡高新区</w:t>
            </w:r>
            <w:r>
              <w:rPr>
                <w:rFonts w:hint="eastAsia"/>
                <w:lang w:val="en-US" w:eastAsia="zh-CN"/>
              </w:rPr>
              <w:t>污水处理厂出水标准进行核算，</w:t>
            </w:r>
            <w:r>
              <w:rPr>
                <w:rFonts w:hint="eastAsia"/>
              </w:rPr>
              <w:t>项目废水中总量控制指标建议值为COD</w:t>
            </w:r>
            <w:r>
              <w:rPr>
                <w:rFonts w:hint="eastAsia"/>
                <w:vertAlign w:val="subscript"/>
                <w:lang w:val="en-US" w:eastAsia="zh-CN"/>
              </w:rPr>
              <w:t>cr</w:t>
            </w:r>
            <w:r>
              <w:rPr>
                <w:rFonts w:hint="eastAsia"/>
              </w:rPr>
              <w:t>：0.0</w:t>
            </w:r>
            <w:r>
              <w:rPr>
                <w:rFonts w:hint="eastAsia"/>
                <w:lang w:val="en-US" w:eastAsia="zh-CN"/>
              </w:rPr>
              <w:t>45</w:t>
            </w:r>
            <w:r>
              <w:rPr>
                <w:rFonts w:hint="eastAsia"/>
              </w:rPr>
              <w:t>t/a、NH</w:t>
            </w:r>
            <w:r>
              <w:rPr>
                <w:rFonts w:hint="eastAsia"/>
                <w:vertAlign w:val="subscript"/>
              </w:rPr>
              <w:t>3</w:t>
            </w:r>
            <w:r>
              <w:rPr>
                <w:rFonts w:hint="eastAsia"/>
              </w:rPr>
              <w:t>-N：0.00</w:t>
            </w:r>
            <w:r>
              <w:rPr>
                <w:rFonts w:hint="eastAsia"/>
                <w:lang w:val="en-US" w:eastAsia="zh-CN"/>
              </w:rPr>
              <w:t>5</w:t>
            </w:r>
            <w:r>
              <w:rPr>
                <w:rFonts w:hint="eastAsia"/>
              </w:rPr>
              <w:t>t/a，</w:t>
            </w:r>
            <w:r>
              <w:rPr>
                <w:rFonts w:hint="eastAsia" w:ascii="宋体" w:hAnsi="宋体" w:cs="宋体"/>
                <w:color w:val="000000"/>
                <w:kern w:val="0"/>
                <w:lang w:bidi="ar"/>
              </w:rPr>
              <w:t>项目废水总量将纳入</w:t>
            </w:r>
            <w:r>
              <w:rPr>
                <w:rFonts w:hint="eastAsia"/>
              </w:rPr>
              <w:t>衡阳西渡高新区污水处理厂</w:t>
            </w:r>
            <w:r>
              <w:rPr>
                <w:rFonts w:hint="eastAsia" w:ascii="宋体" w:hAnsi="宋体" w:cs="宋体"/>
                <w:color w:val="000000"/>
                <w:kern w:val="0"/>
                <w:lang w:bidi="ar"/>
              </w:rPr>
              <w:t>总量控制指标，不单独申请</w:t>
            </w:r>
            <w:r>
              <w:rPr>
                <w:rFonts w:hint="eastAsia" w:ascii="宋体" w:hAnsi="宋体" w:cs="宋体"/>
                <w:color w:val="000000"/>
                <w:kern w:val="0"/>
                <w:lang w:eastAsia="zh-CN" w:bidi="ar"/>
              </w:rPr>
              <w:t>。</w:t>
            </w:r>
          </w:p>
          <w:p>
            <w:pPr>
              <w:spacing w:line="356" w:lineRule="auto"/>
              <w:ind w:firstLine="480"/>
            </w:pPr>
            <w:r>
              <w:rPr>
                <w:rFonts w:hint="eastAsia"/>
              </w:rPr>
              <w:t>本项目</w:t>
            </w:r>
            <w:r>
              <w:rPr>
                <w:rFonts w:hint="eastAsia"/>
                <w:lang w:val="en-US" w:eastAsia="zh-CN"/>
              </w:rPr>
              <w:t>涉及总量控制的</w:t>
            </w:r>
            <w:r>
              <w:rPr>
                <w:rFonts w:hint="eastAsia"/>
              </w:rPr>
              <w:t>大气污染物</w:t>
            </w:r>
            <w:r>
              <w:rPr>
                <w:rFonts w:hint="eastAsia"/>
                <w:lang w:val="en-US" w:eastAsia="zh-CN"/>
              </w:rPr>
              <w:t>指标</w:t>
            </w:r>
            <w:r>
              <w:rPr>
                <w:rFonts w:hint="eastAsia"/>
              </w:rPr>
              <w:t>为VOCs、SO</w:t>
            </w:r>
            <w:r>
              <w:rPr>
                <w:rFonts w:hint="eastAsia"/>
                <w:vertAlign w:val="subscript"/>
              </w:rPr>
              <w:t>2</w:t>
            </w:r>
            <w:r>
              <w:rPr>
                <w:rFonts w:hint="eastAsia"/>
              </w:rPr>
              <w:t>和NO</w:t>
            </w:r>
            <w:r>
              <w:rPr>
                <w:rFonts w:hint="eastAsia"/>
                <w:vertAlign w:val="subscript"/>
              </w:rPr>
              <w:t>x</w:t>
            </w:r>
            <w:r>
              <w:rPr>
                <w:rFonts w:hint="eastAsia"/>
              </w:rPr>
              <w:t>，根据污染源核算可知，其排放量分别为0.060t/a、0.842t/a和0.505t/a</w:t>
            </w:r>
            <w:r>
              <w:rPr>
                <w:rFonts w:hint="eastAsia"/>
                <w:lang w:eastAsia="zh-CN"/>
              </w:rPr>
              <w:t>。</w:t>
            </w:r>
            <w:r>
              <w:rPr>
                <w:rFonts w:hint="eastAsia"/>
              </w:rPr>
              <w:t>本项目的大气污染物VOCs排放纳入衡阳县整体VOCs</w:t>
            </w:r>
            <w:r>
              <w:rPr>
                <w:rFonts w:hint="eastAsia"/>
                <w:lang w:val="en-US" w:eastAsia="zh-CN"/>
              </w:rPr>
              <w:t>整体总量替代计划</w:t>
            </w:r>
            <w:r>
              <w:rPr>
                <w:rFonts w:hint="eastAsia"/>
              </w:rPr>
              <w:t>，本项目VOCs排放达标，故实行区域VOCs排放等量替代</w:t>
            </w:r>
            <w:r>
              <w:rPr>
                <w:rFonts w:hint="eastAsia"/>
                <w:lang w:eastAsia="zh-CN"/>
              </w:rPr>
              <w:t>。</w:t>
            </w:r>
            <w:r>
              <w:rPr>
                <w:rFonts w:hint="eastAsia"/>
              </w:rPr>
              <w:t>项目</w:t>
            </w:r>
            <w:r>
              <w:rPr>
                <w:rFonts w:hint="eastAsia"/>
                <w:lang w:val="en-US" w:eastAsia="zh-CN"/>
              </w:rPr>
              <w:t>需申请的大气污染物总量控制指标为：</w:t>
            </w:r>
            <w:r>
              <w:rPr>
                <w:rFonts w:hint="eastAsia"/>
              </w:rPr>
              <w:t>VOCs</w:t>
            </w:r>
            <w:r>
              <w:rPr>
                <w:rFonts w:hint="eastAsia"/>
                <w:lang w:val="en-US" w:eastAsia="zh-CN"/>
              </w:rPr>
              <w:t xml:space="preserve"> </w:t>
            </w:r>
            <w:r>
              <w:rPr>
                <w:rFonts w:hint="eastAsia"/>
              </w:rPr>
              <w:t>0.060t/a</w:t>
            </w:r>
            <w:r>
              <w:rPr>
                <w:rFonts w:hint="eastAsia"/>
                <w:lang w:eastAsia="zh-CN"/>
              </w:rPr>
              <w:t>，</w:t>
            </w:r>
            <w:r>
              <w:rPr>
                <w:rFonts w:hint="eastAsia"/>
              </w:rPr>
              <w:t>SO</w:t>
            </w:r>
            <w:r>
              <w:rPr>
                <w:rFonts w:hint="eastAsia"/>
                <w:vertAlign w:val="subscript"/>
              </w:rPr>
              <w:t>2</w:t>
            </w:r>
            <w:r>
              <w:rPr>
                <w:rFonts w:hint="eastAsia"/>
                <w:vertAlign w:val="subscript"/>
                <w:lang w:val="en-US" w:eastAsia="zh-CN"/>
              </w:rPr>
              <w:t xml:space="preserve"> </w:t>
            </w:r>
            <w:r>
              <w:rPr>
                <w:rFonts w:hint="eastAsia"/>
              </w:rPr>
              <w:t>0.842t/a</w:t>
            </w:r>
            <w:r>
              <w:rPr>
                <w:rFonts w:hint="eastAsia"/>
                <w:lang w:eastAsia="zh-CN"/>
              </w:rPr>
              <w:t>，</w:t>
            </w:r>
            <w:r>
              <w:rPr>
                <w:rFonts w:hint="eastAsia"/>
              </w:rPr>
              <w:t>NO</w:t>
            </w:r>
            <w:r>
              <w:rPr>
                <w:rFonts w:hint="eastAsia"/>
                <w:vertAlign w:val="subscript"/>
              </w:rPr>
              <w:t>x</w:t>
            </w:r>
            <w:r>
              <w:rPr>
                <w:rFonts w:hint="eastAsia"/>
                <w:vertAlign w:val="subscript"/>
                <w:lang w:val="en-US" w:eastAsia="zh-CN"/>
              </w:rPr>
              <w:t xml:space="preserve"> </w:t>
            </w:r>
            <w:r>
              <w:rPr>
                <w:rFonts w:hint="eastAsia"/>
              </w:rPr>
              <w:t>0.505t/a。</w:t>
            </w:r>
          </w:p>
        </w:tc>
      </w:tr>
    </w:tbl>
    <w:p>
      <w:pPr>
        <w:pStyle w:val="15"/>
        <w:jc w:val="center"/>
        <w:outlineLvl w:val="0"/>
        <w:rPr>
          <w:rFonts w:hint="eastAsia" w:ascii="黑体" w:hAnsi="黑体" w:eastAsia="黑体"/>
          <w:snapToGrid w:val="0"/>
          <w:sz w:val="30"/>
          <w:szCs w:val="30"/>
        </w:rPr>
      </w:pPr>
      <w:r>
        <w:rPr>
          <w:rFonts w:ascii="黑体" w:hAnsi="黑体" w:eastAsia="黑体"/>
          <w:snapToGrid w:val="0"/>
          <w:sz w:val="36"/>
          <w:szCs w:val="36"/>
        </w:rPr>
        <w:br w:type="page"/>
      </w:r>
      <w:bookmarkStart w:id="152" w:name="_Toc21763"/>
      <w:r>
        <w:rPr>
          <w:rFonts w:hint="eastAsia" w:ascii="黑体" w:hAnsi="黑体" w:eastAsia="黑体"/>
          <w:snapToGrid w:val="0"/>
          <w:sz w:val="30"/>
          <w:szCs w:val="30"/>
        </w:rPr>
        <w:t>四、主要环境影响和保护措施</w:t>
      </w:r>
      <w:bookmarkEnd w:id="152"/>
    </w:p>
    <w:tbl>
      <w:tblPr>
        <w:tblStyle w:val="1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98"/>
        <w:gridCol w:w="80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898" w:type="dxa"/>
            <w:tcMar>
              <w:left w:w="28" w:type="dxa"/>
              <w:right w:w="28" w:type="dxa"/>
            </w:tcMar>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施工</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期环</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境保</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护措</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施</w:t>
            </w:r>
          </w:p>
        </w:tc>
        <w:tc>
          <w:tcPr>
            <w:tcW w:w="8083" w:type="dxa"/>
            <w:vAlign w:val="center"/>
          </w:tcPr>
          <w:p>
            <w:pPr>
              <w:spacing w:before="120" w:beforeLines="50"/>
              <w:ind w:firstLine="480"/>
            </w:pPr>
            <w:r>
              <w:rPr>
                <w:rFonts w:hint="eastAsia"/>
              </w:rPr>
              <w:t>本项目依托现有空置厂房，施工期仅为场地清理和设备安装，无土建工程，施工量较小。施工期主要关注设备安装期间施工设备噪声、施工扬尘、施工人员生活污水、生活垃圾以及装修材料包装物和建筑垃圾等固体废弃物。</w:t>
            </w:r>
          </w:p>
          <w:p>
            <w:pPr>
              <w:ind w:firstLine="480"/>
            </w:pPr>
            <w:r>
              <w:rPr>
                <w:rFonts w:hint="eastAsia"/>
              </w:rPr>
              <w:t>施工期主要环境影响及环境保护措施见表4-1。</w:t>
            </w:r>
          </w:p>
          <w:p>
            <w:pPr>
              <w:pStyle w:val="37"/>
              <w:spacing w:before="72" w:after="120"/>
              <w:rPr>
                <w:rFonts w:hint="default"/>
              </w:rPr>
            </w:pPr>
            <w:r>
              <w:t>表4-1 施工期主要环境影响及环境保护措施</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8"/>
              <w:gridCol w:w="665"/>
              <w:gridCol w:w="3010"/>
              <w:gridCol w:w="35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8" w:type="pct"/>
                  <w:tcBorders>
                    <w:tl2br w:val="nil"/>
                    <w:tr2bl w:val="nil"/>
                  </w:tcBorders>
                  <w:vAlign w:val="center"/>
                </w:tcPr>
                <w:p>
                  <w:pPr>
                    <w:pStyle w:val="24"/>
                    <w:rPr>
                      <w:b/>
                      <w:bCs/>
                    </w:rPr>
                  </w:pPr>
                  <w:r>
                    <w:rPr>
                      <w:rFonts w:hint="eastAsia"/>
                      <w:b/>
                      <w:bCs/>
                    </w:rPr>
                    <w:t>序号</w:t>
                  </w:r>
                </w:p>
              </w:tc>
              <w:tc>
                <w:tcPr>
                  <w:tcW w:w="422" w:type="pct"/>
                  <w:tcBorders>
                    <w:tl2br w:val="nil"/>
                    <w:tr2bl w:val="nil"/>
                  </w:tcBorders>
                  <w:vAlign w:val="center"/>
                </w:tcPr>
                <w:p>
                  <w:pPr>
                    <w:pStyle w:val="24"/>
                    <w:rPr>
                      <w:b/>
                      <w:bCs/>
                    </w:rPr>
                  </w:pPr>
                  <w:r>
                    <w:rPr>
                      <w:rFonts w:hint="eastAsia"/>
                      <w:b/>
                      <w:bCs/>
                    </w:rPr>
                    <w:t>类别</w:t>
                  </w:r>
                </w:p>
              </w:tc>
              <w:tc>
                <w:tcPr>
                  <w:tcW w:w="1913" w:type="pct"/>
                  <w:tcBorders>
                    <w:tl2br w:val="nil"/>
                    <w:tr2bl w:val="nil"/>
                  </w:tcBorders>
                  <w:vAlign w:val="center"/>
                </w:tcPr>
                <w:p>
                  <w:pPr>
                    <w:pStyle w:val="24"/>
                    <w:rPr>
                      <w:b/>
                      <w:bCs/>
                    </w:rPr>
                  </w:pPr>
                  <w:r>
                    <w:rPr>
                      <w:rFonts w:hint="eastAsia"/>
                      <w:b/>
                      <w:bCs/>
                    </w:rPr>
                    <w:t>环境影响</w:t>
                  </w:r>
                </w:p>
              </w:tc>
              <w:tc>
                <w:tcPr>
                  <w:tcW w:w="2244" w:type="pct"/>
                  <w:tcBorders>
                    <w:tl2br w:val="nil"/>
                    <w:tr2bl w:val="nil"/>
                  </w:tcBorders>
                  <w:vAlign w:val="center"/>
                </w:tcPr>
                <w:p>
                  <w:pPr>
                    <w:pStyle w:val="24"/>
                    <w:rPr>
                      <w:b/>
                      <w:bCs/>
                    </w:rPr>
                  </w:pPr>
                  <w:r>
                    <w:rPr>
                      <w:rFonts w:hint="eastAsia"/>
                      <w:b/>
                      <w:bCs/>
                    </w:rPr>
                    <w:t>环境保护措施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8" w:type="pct"/>
                  <w:tcBorders>
                    <w:tl2br w:val="nil"/>
                    <w:tr2bl w:val="nil"/>
                  </w:tcBorders>
                  <w:vAlign w:val="center"/>
                </w:tcPr>
                <w:p>
                  <w:pPr>
                    <w:pStyle w:val="24"/>
                  </w:pPr>
                  <w:r>
                    <w:rPr>
                      <w:rFonts w:hint="eastAsia"/>
                    </w:rPr>
                    <w:t>1</w:t>
                  </w:r>
                </w:p>
              </w:tc>
              <w:tc>
                <w:tcPr>
                  <w:tcW w:w="422" w:type="pct"/>
                  <w:tcBorders>
                    <w:tl2br w:val="nil"/>
                    <w:tr2bl w:val="nil"/>
                  </w:tcBorders>
                  <w:vAlign w:val="center"/>
                </w:tcPr>
                <w:p>
                  <w:pPr>
                    <w:pStyle w:val="24"/>
                  </w:pPr>
                  <w:r>
                    <w:rPr>
                      <w:rFonts w:hint="eastAsia"/>
                    </w:rPr>
                    <w:t>废气</w:t>
                  </w:r>
                </w:p>
              </w:tc>
              <w:tc>
                <w:tcPr>
                  <w:tcW w:w="1913" w:type="pct"/>
                  <w:tcBorders>
                    <w:tl2br w:val="nil"/>
                    <w:tr2bl w:val="nil"/>
                  </w:tcBorders>
                  <w:vAlign w:val="center"/>
                </w:tcPr>
                <w:p>
                  <w:pPr>
                    <w:pStyle w:val="24"/>
                  </w:pPr>
                  <w:r>
                    <w:rPr>
                      <w:rFonts w:hint="eastAsia"/>
                    </w:rPr>
                    <w:t>场地清理和设备安装、建筑垃圾清运过程产生的扬尘</w:t>
                  </w:r>
                </w:p>
              </w:tc>
              <w:tc>
                <w:tcPr>
                  <w:tcW w:w="2244" w:type="pct"/>
                  <w:tcBorders>
                    <w:tl2br w:val="nil"/>
                    <w:tr2bl w:val="nil"/>
                  </w:tcBorders>
                  <w:vAlign w:val="center"/>
                </w:tcPr>
                <w:p>
                  <w:pPr>
                    <w:pStyle w:val="24"/>
                  </w:pPr>
                  <w:r>
                    <w:rPr>
                      <w:rFonts w:hint="eastAsia"/>
                    </w:rPr>
                    <w:t>采取洒水抑尘等措施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8" w:type="pct"/>
                  <w:tcBorders>
                    <w:tl2br w:val="nil"/>
                    <w:tr2bl w:val="nil"/>
                  </w:tcBorders>
                  <w:vAlign w:val="center"/>
                </w:tcPr>
                <w:p>
                  <w:pPr>
                    <w:pStyle w:val="24"/>
                  </w:pPr>
                  <w:r>
                    <w:rPr>
                      <w:rFonts w:hint="eastAsia"/>
                    </w:rPr>
                    <w:t>2</w:t>
                  </w:r>
                </w:p>
              </w:tc>
              <w:tc>
                <w:tcPr>
                  <w:tcW w:w="422" w:type="pct"/>
                  <w:tcBorders>
                    <w:tl2br w:val="nil"/>
                    <w:tr2bl w:val="nil"/>
                  </w:tcBorders>
                  <w:vAlign w:val="center"/>
                </w:tcPr>
                <w:p>
                  <w:pPr>
                    <w:pStyle w:val="24"/>
                  </w:pPr>
                  <w:r>
                    <w:rPr>
                      <w:rFonts w:hint="eastAsia"/>
                    </w:rPr>
                    <w:t>废水</w:t>
                  </w:r>
                </w:p>
              </w:tc>
              <w:tc>
                <w:tcPr>
                  <w:tcW w:w="1913" w:type="pct"/>
                  <w:tcBorders>
                    <w:tl2br w:val="nil"/>
                    <w:tr2bl w:val="nil"/>
                  </w:tcBorders>
                  <w:vAlign w:val="center"/>
                </w:tcPr>
                <w:p>
                  <w:pPr>
                    <w:pStyle w:val="24"/>
                  </w:pPr>
                  <w:r>
                    <w:rPr>
                      <w:rFonts w:hint="eastAsia"/>
                    </w:rPr>
                    <w:t>无生产废水产生，有少量生活污水产生</w:t>
                  </w:r>
                </w:p>
              </w:tc>
              <w:tc>
                <w:tcPr>
                  <w:tcW w:w="2244" w:type="pct"/>
                  <w:tcBorders>
                    <w:tl2br w:val="nil"/>
                    <w:tr2bl w:val="nil"/>
                  </w:tcBorders>
                  <w:vAlign w:val="center"/>
                </w:tcPr>
                <w:p>
                  <w:pPr>
                    <w:pStyle w:val="24"/>
                  </w:pPr>
                  <w:r>
                    <w:t>施工期生活污水经双创中心园区化粪池处理后排放至衡阳西渡高新技术产业园区污水处理厂处理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8" w:type="pct"/>
                  <w:tcBorders>
                    <w:tl2br w:val="nil"/>
                    <w:tr2bl w:val="nil"/>
                  </w:tcBorders>
                  <w:vAlign w:val="center"/>
                </w:tcPr>
                <w:p>
                  <w:pPr>
                    <w:pStyle w:val="24"/>
                  </w:pPr>
                  <w:r>
                    <w:rPr>
                      <w:rFonts w:hint="eastAsia"/>
                    </w:rPr>
                    <w:t>3</w:t>
                  </w:r>
                </w:p>
              </w:tc>
              <w:tc>
                <w:tcPr>
                  <w:tcW w:w="422" w:type="pct"/>
                  <w:tcBorders>
                    <w:tl2br w:val="nil"/>
                    <w:tr2bl w:val="nil"/>
                  </w:tcBorders>
                  <w:vAlign w:val="center"/>
                </w:tcPr>
                <w:p>
                  <w:pPr>
                    <w:pStyle w:val="24"/>
                  </w:pPr>
                  <w:r>
                    <w:rPr>
                      <w:rFonts w:hint="eastAsia"/>
                    </w:rPr>
                    <w:t>噪声</w:t>
                  </w:r>
                </w:p>
              </w:tc>
              <w:tc>
                <w:tcPr>
                  <w:tcW w:w="1913" w:type="pct"/>
                  <w:tcBorders>
                    <w:tl2br w:val="nil"/>
                    <w:tr2bl w:val="nil"/>
                  </w:tcBorders>
                  <w:vAlign w:val="center"/>
                </w:tcPr>
                <w:p>
                  <w:pPr>
                    <w:pStyle w:val="24"/>
                  </w:pPr>
                  <w:r>
                    <w:rPr>
                      <w:rFonts w:hint="eastAsia"/>
                    </w:rPr>
                    <w:t>主要是设备安装阶段施工机械设备噪声，主要噪声源如电钻、人员敲打等</w:t>
                  </w:r>
                </w:p>
              </w:tc>
              <w:tc>
                <w:tcPr>
                  <w:tcW w:w="2244" w:type="pct"/>
                  <w:tcBorders>
                    <w:tl2br w:val="nil"/>
                    <w:tr2bl w:val="nil"/>
                  </w:tcBorders>
                  <w:vAlign w:val="center"/>
                </w:tcPr>
                <w:p>
                  <w:pPr>
                    <w:pStyle w:val="24"/>
                  </w:pPr>
                  <w:r>
                    <w:rPr>
                      <w:rFonts w:hint="eastAsia"/>
                    </w:rPr>
                    <w:t>通过隔音、减震措施减少噪声影响，并经过厂界距离衰减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8" w:type="pct"/>
                  <w:tcBorders>
                    <w:tl2br w:val="nil"/>
                    <w:tr2bl w:val="nil"/>
                  </w:tcBorders>
                  <w:vAlign w:val="center"/>
                </w:tcPr>
                <w:p>
                  <w:pPr>
                    <w:pStyle w:val="24"/>
                  </w:pPr>
                  <w:r>
                    <w:rPr>
                      <w:rFonts w:hint="eastAsia"/>
                    </w:rPr>
                    <w:t>4</w:t>
                  </w:r>
                </w:p>
              </w:tc>
              <w:tc>
                <w:tcPr>
                  <w:tcW w:w="422" w:type="pct"/>
                  <w:tcBorders>
                    <w:tl2br w:val="nil"/>
                    <w:tr2bl w:val="nil"/>
                  </w:tcBorders>
                  <w:vAlign w:val="center"/>
                </w:tcPr>
                <w:p>
                  <w:pPr>
                    <w:pStyle w:val="24"/>
                  </w:pPr>
                  <w:r>
                    <w:rPr>
                      <w:rFonts w:hint="eastAsia"/>
                    </w:rPr>
                    <w:t>固废</w:t>
                  </w:r>
                </w:p>
              </w:tc>
              <w:tc>
                <w:tcPr>
                  <w:tcW w:w="1913" w:type="pct"/>
                  <w:tcBorders>
                    <w:tl2br w:val="nil"/>
                    <w:tr2bl w:val="nil"/>
                  </w:tcBorders>
                  <w:vAlign w:val="center"/>
                </w:tcPr>
                <w:p>
                  <w:pPr>
                    <w:pStyle w:val="24"/>
                  </w:pPr>
                  <w:r>
                    <w:rPr>
                      <w:rFonts w:hint="eastAsia"/>
                    </w:rPr>
                    <w:t>施工人员的生活垃圾和建筑垃圾、废包材等</w:t>
                  </w:r>
                </w:p>
              </w:tc>
              <w:tc>
                <w:tcPr>
                  <w:tcW w:w="2244" w:type="pct"/>
                  <w:tcBorders>
                    <w:tl2br w:val="nil"/>
                    <w:tr2bl w:val="nil"/>
                  </w:tcBorders>
                  <w:vAlign w:val="center"/>
                </w:tcPr>
                <w:p>
                  <w:pPr>
                    <w:pStyle w:val="24"/>
                  </w:pPr>
                  <w:r>
                    <w:rPr>
                      <w:rFonts w:hint="eastAsia"/>
                    </w:rPr>
                    <w:t>施工人员的生活垃圾交市政环卫部门统一收运处置，建筑垃圾交由建渣清运单位处理</w:t>
                  </w:r>
                </w:p>
              </w:tc>
            </w:tr>
          </w:tbl>
          <w:p>
            <w:pPr>
              <w:ind w:firstLine="480"/>
            </w:pPr>
            <w:r>
              <w:rPr>
                <w:rFonts w:hint="eastAsia"/>
              </w:rPr>
              <w:t>本项目施工过程主要是对现有厂房进行场地清理和设备安装，不新增土地，不进行土地开挖、取土、堆土等，因此项目建设施工过程中对生态环境的影响较小。由于施工期污染物产生量较少，持续时间短暂且在厂区内部进行，施工期的影响随施工期结束而消除，对环境影响较小。</w:t>
            </w:r>
          </w:p>
        </w:tc>
      </w:tr>
    </w:tbl>
    <w:p>
      <w:pPr>
        <w:pStyle w:val="15"/>
        <w:keepLines/>
        <w:adjustRightInd w:val="0"/>
        <w:snapToGrid w:val="0"/>
        <w:spacing w:beforeAutospacing="0" w:afterAutospacing="0" w:line="240" w:lineRule="auto"/>
        <w:jc w:val="center"/>
        <w:rPr>
          <w:rFonts w:hint="eastAsia" w:cs="宋体"/>
          <w:sz w:val="21"/>
          <w:szCs w:val="21"/>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tbl>
      <w:tblPr>
        <w:tblStyle w:val="1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5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1" w:hRule="atLeast"/>
          <w:jc w:val="center"/>
        </w:trPr>
        <w:tc>
          <w:tcPr>
            <w:tcW w:w="707" w:type="dxa"/>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运营</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期环</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境影</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响和</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保护</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措施</w:t>
            </w:r>
          </w:p>
        </w:tc>
        <w:tc>
          <w:tcPr>
            <w:tcW w:w="12521" w:type="dxa"/>
          </w:tcPr>
          <w:p>
            <w:pPr>
              <w:pStyle w:val="2"/>
              <w:spacing w:before="120"/>
            </w:pPr>
            <w:bookmarkStart w:id="153" w:name="_Toc1544"/>
            <w:bookmarkStart w:id="154" w:name="_Toc17891"/>
            <w:bookmarkStart w:id="155" w:name="_Toc9531"/>
            <w:bookmarkStart w:id="156" w:name="_Toc20922"/>
            <w:r>
              <w:rPr>
                <w:rFonts w:hint="eastAsia"/>
              </w:rPr>
              <w:t>1、废气</w:t>
            </w:r>
            <w:bookmarkEnd w:id="153"/>
            <w:bookmarkEnd w:id="154"/>
            <w:bookmarkEnd w:id="155"/>
            <w:bookmarkEnd w:id="156"/>
          </w:p>
          <w:p>
            <w:pPr>
              <w:ind w:firstLine="480"/>
              <w:rPr>
                <w:rFonts w:hint="default" w:eastAsia="宋体"/>
                <w:lang w:val="en-US" w:eastAsia="zh-CN"/>
              </w:rPr>
            </w:pPr>
            <w:r>
              <w:rPr>
                <w:rFonts w:hint="eastAsia"/>
              </w:rPr>
              <w:t>根据项目所用原辅材料以及生产工艺分析，项目的废气来源于：五金加工工序产生的废气、</w:t>
            </w:r>
            <w:r>
              <w:rPr>
                <w:rFonts w:hint="eastAsia"/>
                <w:lang w:val="en-US" w:eastAsia="zh-CN"/>
              </w:rPr>
              <w:t>酸洗工序产生的废气、</w:t>
            </w:r>
            <w:r>
              <w:rPr>
                <w:rFonts w:hint="eastAsia"/>
              </w:rPr>
              <w:t>喷粉工序产生的废气</w:t>
            </w:r>
            <w:r>
              <w:rPr>
                <w:rFonts w:hint="eastAsia"/>
                <w:lang w:val="en-US" w:eastAsia="zh-CN"/>
              </w:rPr>
              <w:t>和</w:t>
            </w:r>
            <w:r>
              <w:rPr>
                <w:rFonts w:hint="eastAsia"/>
              </w:rPr>
              <w:t>烘干、固化工序产生的废气。</w:t>
            </w:r>
            <w:r>
              <w:rPr>
                <w:rFonts w:hint="eastAsia"/>
                <w:u w:val="single"/>
                <w:lang w:val="en-US" w:eastAsia="zh-CN"/>
              </w:rPr>
              <w:t>项目共设置4个排气筒，高度均为27m。</w:t>
            </w:r>
          </w:p>
          <w:p>
            <w:pPr>
              <w:pStyle w:val="3"/>
              <w:ind w:firstLine="482"/>
            </w:pPr>
            <w:r>
              <w:rPr>
                <w:rFonts w:hint="eastAsia"/>
              </w:rPr>
              <w:t>1）废气源强核算结果</w:t>
            </w:r>
          </w:p>
          <w:p>
            <w:pPr>
              <w:ind w:firstLine="480"/>
              <w:rPr>
                <w:color w:val="auto"/>
              </w:rPr>
            </w:pPr>
            <w:r>
              <w:rPr>
                <w:rFonts w:hint="eastAsia"/>
                <w:color w:val="auto"/>
              </w:rPr>
              <w:t>项目废气污染源强核算结果及相关参数见表4-2所示。</w:t>
            </w:r>
          </w:p>
          <w:p>
            <w:pPr>
              <w:pStyle w:val="37"/>
              <w:spacing w:before="72" w:after="120"/>
              <w:rPr>
                <w:rFonts w:hint="default"/>
                <w:color w:val="auto"/>
              </w:rPr>
            </w:pPr>
            <w:r>
              <w:rPr>
                <w:color w:val="auto"/>
              </w:rPr>
              <w:t>表4-2 废气污染源强核算结果及相关参数一览表</w:t>
            </w:r>
          </w:p>
          <w:tbl>
            <w:tblPr>
              <w:tblStyle w:val="18"/>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50"/>
              <w:gridCol w:w="420"/>
              <w:gridCol w:w="839"/>
              <w:gridCol w:w="677"/>
              <w:gridCol w:w="951"/>
              <w:gridCol w:w="709"/>
              <w:gridCol w:w="952"/>
              <w:gridCol w:w="1121"/>
              <w:gridCol w:w="750"/>
              <w:gridCol w:w="1081"/>
              <w:gridCol w:w="734"/>
              <w:gridCol w:w="718"/>
              <w:gridCol w:w="926"/>
              <w:gridCol w:w="847"/>
              <w:gridCol w:w="9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trPr>
              <w:tc>
                <w:tcPr>
                  <w:tcW w:w="264" w:type="pct"/>
                  <w:vMerge w:val="restart"/>
                  <w:tcBorders>
                    <w:left w:val="nil"/>
                  </w:tcBorders>
                  <w:shd w:val="clear" w:color="auto" w:fill="auto"/>
                  <w:noWrap/>
                  <w:vAlign w:val="center"/>
                </w:tcPr>
                <w:p>
                  <w:pPr>
                    <w:pStyle w:val="24"/>
                    <w:bidi w:val="0"/>
                    <w:rPr>
                      <w:rFonts w:hint="default"/>
                      <w:b/>
                      <w:bCs/>
                      <w:color w:val="auto"/>
                    </w:rPr>
                  </w:pPr>
                  <w:r>
                    <w:rPr>
                      <w:rFonts w:hint="default"/>
                      <w:b/>
                      <w:bCs/>
                      <w:color w:val="auto"/>
                      <w:lang w:val="en-US" w:eastAsia="zh-CN"/>
                    </w:rPr>
                    <w:t>产污环节</w:t>
                  </w:r>
                </w:p>
              </w:tc>
              <w:tc>
                <w:tcPr>
                  <w:tcW w:w="170" w:type="pct"/>
                  <w:vMerge w:val="restart"/>
                  <w:shd w:val="clear" w:color="auto" w:fill="auto"/>
                  <w:noWrap/>
                  <w:vAlign w:val="center"/>
                </w:tcPr>
                <w:p>
                  <w:pPr>
                    <w:pStyle w:val="24"/>
                    <w:bidi w:val="0"/>
                    <w:rPr>
                      <w:rFonts w:hint="default"/>
                      <w:b/>
                      <w:bCs/>
                      <w:color w:val="auto"/>
                      <w:lang w:val="en-US" w:eastAsia="zh-CN"/>
                    </w:rPr>
                  </w:pPr>
                  <w:r>
                    <w:rPr>
                      <w:rFonts w:hint="eastAsia"/>
                      <w:b/>
                      <w:bCs/>
                      <w:color w:val="auto"/>
                      <w:lang w:val="en-US" w:eastAsia="zh-CN"/>
                    </w:rPr>
                    <w:t>排放形式</w:t>
                  </w:r>
                </w:p>
              </w:tc>
              <w:tc>
                <w:tcPr>
                  <w:tcW w:w="340" w:type="pct"/>
                  <w:vMerge w:val="restart"/>
                  <w:shd w:val="clear" w:color="auto" w:fill="auto"/>
                  <w:noWrap/>
                  <w:vAlign w:val="center"/>
                </w:tcPr>
                <w:p>
                  <w:pPr>
                    <w:pStyle w:val="24"/>
                    <w:bidi w:val="0"/>
                    <w:rPr>
                      <w:rFonts w:hint="default"/>
                      <w:b/>
                      <w:bCs/>
                      <w:color w:val="auto"/>
                    </w:rPr>
                  </w:pPr>
                  <w:r>
                    <w:rPr>
                      <w:rFonts w:hint="default"/>
                      <w:b/>
                      <w:bCs/>
                      <w:color w:val="auto"/>
                      <w:lang w:val="en-US" w:eastAsia="zh-CN"/>
                    </w:rPr>
                    <w:t>排气筒编号</w:t>
                  </w:r>
                </w:p>
              </w:tc>
              <w:tc>
                <w:tcPr>
                  <w:tcW w:w="275" w:type="pct"/>
                  <w:vMerge w:val="restart"/>
                  <w:shd w:val="clear" w:color="auto" w:fill="auto"/>
                  <w:noWrap/>
                  <w:vAlign w:val="center"/>
                </w:tcPr>
                <w:p>
                  <w:pPr>
                    <w:pStyle w:val="24"/>
                    <w:bidi w:val="0"/>
                    <w:rPr>
                      <w:rFonts w:hint="default"/>
                      <w:b/>
                      <w:bCs/>
                      <w:color w:val="auto"/>
                      <w:lang w:val="en-US" w:eastAsia="zh-CN"/>
                    </w:rPr>
                  </w:pPr>
                  <w:r>
                    <w:rPr>
                      <w:rFonts w:hint="eastAsia"/>
                      <w:b/>
                      <w:bCs/>
                      <w:color w:val="auto"/>
                      <w:lang w:val="en-US" w:eastAsia="zh-CN"/>
                    </w:rPr>
                    <w:t>排气筒高度</w:t>
                  </w:r>
                </w:p>
              </w:tc>
              <w:tc>
                <w:tcPr>
                  <w:tcW w:w="386" w:type="pct"/>
                  <w:vMerge w:val="restart"/>
                  <w:shd w:val="clear" w:color="auto" w:fill="auto"/>
                  <w:noWrap/>
                  <w:vAlign w:val="center"/>
                </w:tcPr>
                <w:p>
                  <w:pPr>
                    <w:pStyle w:val="24"/>
                    <w:bidi w:val="0"/>
                    <w:rPr>
                      <w:rFonts w:hint="default"/>
                      <w:b/>
                      <w:bCs/>
                      <w:color w:val="auto"/>
                    </w:rPr>
                  </w:pPr>
                  <w:r>
                    <w:rPr>
                      <w:rFonts w:hint="default"/>
                      <w:b/>
                      <w:bCs/>
                      <w:color w:val="auto"/>
                      <w:lang w:val="en-US" w:eastAsia="zh-CN"/>
                    </w:rPr>
                    <w:t>污染物</w:t>
                  </w:r>
                </w:p>
              </w:tc>
              <w:tc>
                <w:tcPr>
                  <w:tcW w:w="1130" w:type="pct"/>
                  <w:gridSpan w:val="3"/>
                  <w:vMerge w:val="restart"/>
                  <w:shd w:val="clear" w:color="auto" w:fill="auto"/>
                  <w:noWrap/>
                  <w:vAlign w:val="center"/>
                </w:tcPr>
                <w:p>
                  <w:pPr>
                    <w:pStyle w:val="24"/>
                    <w:bidi w:val="0"/>
                    <w:rPr>
                      <w:rFonts w:hint="default"/>
                      <w:b/>
                      <w:bCs/>
                      <w:color w:val="auto"/>
                    </w:rPr>
                  </w:pPr>
                  <w:r>
                    <w:rPr>
                      <w:rFonts w:hint="default"/>
                      <w:b/>
                      <w:bCs/>
                      <w:color w:val="auto"/>
                      <w:lang w:val="en-US" w:eastAsia="zh-CN"/>
                    </w:rPr>
                    <w:t>污染物产生</w:t>
                  </w:r>
                </w:p>
              </w:tc>
              <w:tc>
                <w:tcPr>
                  <w:tcW w:w="1042" w:type="pct"/>
                  <w:gridSpan w:val="3"/>
                  <w:vMerge w:val="restart"/>
                  <w:shd w:val="clear" w:color="auto" w:fill="auto"/>
                  <w:noWrap/>
                  <w:vAlign w:val="center"/>
                </w:tcPr>
                <w:p>
                  <w:pPr>
                    <w:pStyle w:val="24"/>
                    <w:bidi w:val="0"/>
                    <w:rPr>
                      <w:rFonts w:hint="default"/>
                      <w:b/>
                      <w:bCs/>
                      <w:color w:val="auto"/>
                    </w:rPr>
                  </w:pPr>
                  <w:r>
                    <w:rPr>
                      <w:rFonts w:hint="default"/>
                      <w:b/>
                      <w:bCs/>
                      <w:color w:val="auto"/>
                      <w:lang w:val="en-US" w:eastAsia="zh-CN"/>
                    </w:rPr>
                    <w:t>处理措施</w:t>
                  </w:r>
                </w:p>
              </w:tc>
              <w:tc>
                <w:tcPr>
                  <w:tcW w:w="1389" w:type="pct"/>
                  <w:gridSpan w:val="4"/>
                  <w:tcBorders>
                    <w:right w:val="nil"/>
                  </w:tcBorders>
                  <w:shd w:val="clear" w:color="auto" w:fill="auto"/>
                  <w:noWrap/>
                  <w:vAlign w:val="center"/>
                </w:tcPr>
                <w:p>
                  <w:pPr>
                    <w:pStyle w:val="24"/>
                    <w:bidi w:val="0"/>
                    <w:rPr>
                      <w:rFonts w:hint="default"/>
                      <w:b/>
                      <w:bCs/>
                      <w:color w:val="auto"/>
                    </w:rPr>
                  </w:pPr>
                  <w:r>
                    <w:rPr>
                      <w:rFonts w:hint="default"/>
                      <w:b/>
                      <w:bCs/>
                      <w:color w:val="auto"/>
                      <w:lang w:val="en-US" w:eastAsia="zh-CN"/>
                    </w:rPr>
                    <w:t>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264" w:type="pct"/>
                  <w:vMerge w:val="continue"/>
                  <w:tcBorders>
                    <w:left w:val="nil"/>
                  </w:tcBorders>
                  <w:shd w:val="clear" w:color="auto" w:fill="auto"/>
                  <w:noWrap/>
                  <w:vAlign w:val="center"/>
                </w:tcPr>
                <w:p>
                  <w:pPr>
                    <w:pStyle w:val="24"/>
                    <w:bidi w:val="0"/>
                    <w:rPr>
                      <w:rFonts w:hint="default"/>
                      <w:b/>
                      <w:bCs/>
                      <w:color w:val="auto"/>
                    </w:rPr>
                  </w:pPr>
                </w:p>
              </w:tc>
              <w:tc>
                <w:tcPr>
                  <w:tcW w:w="170" w:type="pct"/>
                  <w:vMerge w:val="continue"/>
                  <w:shd w:val="clear" w:color="auto" w:fill="auto"/>
                  <w:noWrap/>
                  <w:vAlign w:val="center"/>
                </w:tcPr>
                <w:p>
                  <w:pPr>
                    <w:pStyle w:val="24"/>
                    <w:bidi w:val="0"/>
                    <w:rPr>
                      <w:rFonts w:hint="default"/>
                      <w:b/>
                      <w:bCs/>
                      <w:color w:val="auto"/>
                    </w:rPr>
                  </w:pPr>
                </w:p>
              </w:tc>
              <w:tc>
                <w:tcPr>
                  <w:tcW w:w="340" w:type="pct"/>
                  <w:vMerge w:val="continue"/>
                  <w:shd w:val="clear" w:color="auto" w:fill="auto"/>
                  <w:noWrap/>
                  <w:vAlign w:val="center"/>
                </w:tcPr>
                <w:p>
                  <w:pPr>
                    <w:pStyle w:val="24"/>
                    <w:bidi w:val="0"/>
                    <w:rPr>
                      <w:rFonts w:hint="default"/>
                      <w:b/>
                      <w:bCs/>
                      <w:color w:val="auto"/>
                    </w:rPr>
                  </w:pPr>
                </w:p>
              </w:tc>
              <w:tc>
                <w:tcPr>
                  <w:tcW w:w="275" w:type="pct"/>
                  <w:vMerge w:val="continue"/>
                  <w:shd w:val="clear" w:color="auto" w:fill="auto"/>
                  <w:noWrap/>
                  <w:vAlign w:val="center"/>
                </w:tcPr>
                <w:p>
                  <w:pPr>
                    <w:pStyle w:val="24"/>
                    <w:bidi w:val="0"/>
                    <w:rPr>
                      <w:rFonts w:hint="default"/>
                      <w:b/>
                      <w:bCs/>
                      <w:color w:val="auto"/>
                    </w:rPr>
                  </w:pPr>
                </w:p>
              </w:tc>
              <w:tc>
                <w:tcPr>
                  <w:tcW w:w="386" w:type="pct"/>
                  <w:vMerge w:val="continue"/>
                  <w:shd w:val="clear" w:color="auto" w:fill="auto"/>
                  <w:noWrap/>
                  <w:vAlign w:val="center"/>
                </w:tcPr>
                <w:p>
                  <w:pPr>
                    <w:pStyle w:val="24"/>
                    <w:bidi w:val="0"/>
                    <w:rPr>
                      <w:rFonts w:hint="default"/>
                      <w:b/>
                      <w:bCs/>
                      <w:color w:val="auto"/>
                    </w:rPr>
                  </w:pPr>
                </w:p>
              </w:tc>
              <w:tc>
                <w:tcPr>
                  <w:tcW w:w="1130" w:type="pct"/>
                  <w:gridSpan w:val="3"/>
                  <w:vMerge w:val="continue"/>
                  <w:shd w:val="clear" w:color="auto" w:fill="auto"/>
                  <w:noWrap/>
                  <w:vAlign w:val="center"/>
                </w:tcPr>
                <w:p>
                  <w:pPr>
                    <w:pStyle w:val="24"/>
                    <w:bidi w:val="0"/>
                    <w:rPr>
                      <w:rFonts w:hint="default"/>
                      <w:b/>
                      <w:bCs/>
                      <w:color w:val="auto"/>
                    </w:rPr>
                  </w:pPr>
                </w:p>
              </w:tc>
              <w:tc>
                <w:tcPr>
                  <w:tcW w:w="1042" w:type="pct"/>
                  <w:gridSpan w:val="3"/>
                  <w:vMerge w:val="continue"/>
                  <w:shd w:val="clear" w:color="auto" w:fill="auto"/>
                  <w:noWrap/>
                  <w:vAlign w:val="center"/>
                </w:tcPr>
                <w:p>
                  <w:pPr>
                    <w:pStyle w:val="24"/>
                    <w:bidi w:val="0"/>
                    <w:rPr>
                      <w:rFonts w:hint="default"/>
                      <w:b/>
                      <w:bCs/>
                      <w:color w:val="auto"/>
                    </w:rPr>
                  </w:pPr>
                </w:p>
              </w:tc>
              <w:tc>
                <w:tcPr>
                  <w:tcW w:w="1012" w:type="pct"/>
                  <w:gridSpan w:val="3"/>
                  <w:shd w:val="clear" w:color="auto" w:fill="auto"/>
                  <w:noWrap/>
                  <w:vAlign w:val="center"/>
                </w:tcPr>
                <w:p>
                  <w:pPr>
                    <w:pStyle w:val="24"/>
                    <w:bidi w:val="0"/>
                    <w:rPr>
                      <w:rFonts w:hint="default"/>
                      <w:b/>
                      <w:bCs/>
                      <w:color w:val="auto"/>
                    </w:rPr>
                  </w:pPr>
                  <w:r>
                    <w:rPr>
                      <w:rFonts w:hint="default"/>
                      <w:b/>
                      <w:bCs/>
                      <w:color w:val="auto"/>
                      <w:lang w:val="en-US" w:eastAsia="zh-CN"/>
                    </w:rPr>
                    <w:t>有组织</w:t>
                  </w:r>
                </w:p>
              </w:tc>
              <w:tc>
                <w:tcPr>
                  <w:tcW w:w="377" w:type="pct"/>
                  <w:tcBorders>
                    <w:right w:val="nil"/>
                  </w:tcBorders>
                  <w:shd w:val="clear" w:color="auto" w:fill="auto"/>
                  <w:noWrap/>
                  <w:vAlign w:val="center"/>
                </w:tcPr>
                <w:p>
                  <w:pPr>
                    <w:pStyle w:val="24"/>
                    <w:bidi w:val="0"/>
                    <w:rPr>
                      <w:rFonts w:hint="default"/>
                      <w:b/>
                      <w:bCs/>
                      <w:color w:val="auto"/>
                    </w:rPr>
                  </w:pPr>
                  <w:r>
                    <w:rPr>
                      <w:rFonts w:hint="default"/>
                      <w:b/>
                      <w:bCs/>
                      <w:color w:val="auto"/>
                      <w:lang w:val="en-US" w:eastAsia="zh-CN"/>
                    </w:rPr>
                    <w:t>无组织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8" w:hRule="atLeast"/>
              </w:trPr>
              <w:tc>
                <w:tcPr>
                  <w:tcW w:w="264" w:type="pct"/>
                  <w:vMerge w:val="continue"/>
                  <w:tcBorders>
                    <w:left w:val="nil"/>
                  </w:tcBorders>
                  <w:shd w:val="clear" w:color="auto" w:fill="auto"/>
                  <w:noWrap/>
                  <w:vAlign w:val="center"/>
                </w:tcPr>
                <w:p>
                  <w:pPr>
                    <w:pStyle w:val="24"/>
                    <w:bidi w:val="0"/>
                    <w:rPr>
                      <w:rFonts w:hint="default"/>
                      <w:b/>
                      <w:bCs/>
                      <w:color w:val="auto"/>
                    </w:rPr>
                  </w:pPr>
                </w:p>
              </w:tc>
              <w:tc>
                <w:tcPr>
                  <w:tcW w:w="170" w:type="pct"/>
                  <w:vMerge w:val="continue"/>
                  <w:shd w:val="clear" w:color="auto" w:fill="auto"/>
                  <w:noWrap/>
                  <w:vAlign w:val="center"/>
                </w:tcPr>
                <w:p>
                  <w:pPr>
                    <w:pStyle w:val="24"/>
                    <w:bidi w:val="0"/>
                    <w:rPr>
                      <w:rFonts w:hint="default"/>
                      <w:b/>
                      <w:bCs/>
                      <w:color w:val="auto"/>
                    </w:rPr>
                  </w:pPr>
                </w:p>
              </w:tc>
              <w:tc>
                <w:tcPr>
                  <w:tcW w:w="340" w:type="pct"/>
                  <w:vMerge w:val="continue"/>
                  <w:shd w:val="clear" w:color="auto" w:fill="auto"/>
                  <w:noWrap/>
                  <w:vAlign w:val="center"/>
                </w:tcPr>
                <w:p>
                  <w:pPr>
                    <w:pStyle w:val="24"/>
                    <w:bidi w:val="0"/>
                    <w:rPr>
                      <w:rFonts w:hint="default"/>
                      <w:b/>
                      <w:bCs/>
                      <w:color w:val="auto"/>
                    </w:rPr>
                  </w:pPr>
                </w:p>
              </w:tc>
              <w:tc>
                <w:tcPr>
                  <w:tcW w:w="275" w:type="pct"/>
                  <w:vMerge w:val="continue"/>
                  <w:shd w:val="clear" w:color="auto" w:fill="auto"/>
                  <w:noWrap/>
                  <w:vAlign w:val="center"/>
                </w:tcPr>
                <w:p>
                  <w:pPr>
                    <w:pStyle w:val="24"/>
                    <w:bidi w:val="0"/>
                    <w:rPr>
                      <w:rFonts w:hint="default"/>
                      <w:b/>
                      <w:bCs/>
                      <w:color w:val="auto"/>
                    </w:rPr>
                  </w:pPr>
                </w:p>
              </w:tc>
              <w:tc>
                <w:tcPr>
                  <w:tcW w:w="386" w:type="pct"/>
                  <w:vMerge w:val="continue"/>
                  <w:shd w:val="clear" w:color="auto" w:fill="auto"/>
                  <w:noWrap/>
                  <w:vAlign w:val="center"/>
                </w:tcPr>
                <w:p>
                  <w:pPr>
                    <w:pStyle w:val="24"/>
                    <w:bidi w:val="0"/>
                    <w:rPr>
                      <w:rFonts w:hint="default"/>
                      <w:b/>
                      <w:bCs/>
                      <w:color w:val="auto"/>
                    </w:rPr>
                  </w:pPr>
                </w:p>
              </w:tc>
              <w:tc>
                <w:tcPr>
                  <w:tcW w:w="288" w:type="pct"/>
                  <w:shd w:val="clear" w:color="auto" w:fill="auto"/>
                  <w:noWrap/>
                  <w:vAlign w:val="center"/>
                </w:tcPr>
                <w:p>
                  <w:pPr>
                    <w:pStyle w:val="24"/>
                    <w:bidi w:val="0"/>
                    <w:rPr>
                      <w:rFonts w:hint="default"/>
                      <w:b/>
                      <w:bCs/>
                      <w:color w:val="auto"/>
                    </w:rPr>
                  </w:pPr>
                  <w:r>
                    <w:rPr>
                      <w:rFonts w:hint="default"/>
                      <w:b/>
                      <w:bCs/>
                      <w:color w:val="auto"/>
                      <w:lang w:val="en-US" w:eastAsia="zh-CN"/>
                    </w:rPr>
                    <w:t>产生量t/a</w:t>
                  </w:r>
                </w:p>
              </w:tc>
              <w:tc>
                <w:tcPr>
                  <w:tcW w:w="386" w:type="pct"/>
                  <w:shd w:val="clear" w:color="auto" w:fill="auto"/>
                  <w:noWrap/>
                  <w:vAlign w:val="center"/>
                </w:tcPr>
                <w:p>
                  <w:pPr>
                    <w:pStyle w:val="24"/>
                    <w:bidi w:val="0"/>
                    <w:rPr>
                      <w:rFonts w:hint="default"/>
                      <w:b/>
                      <w:bCs/>
                      <w:color w:val="auto"/>
                    </w:rPr>
                  </w:pPr>
                  <w:r>
                    <w:rPr>
                      <w:rFonts w:hint="default"/>
                      <w:b/>
                      <w:bCs/>
                      <w:color w:val="auto"/>
                      <w:lang w:val="en-US" w:eastAsia="zh-CN"/>
                    </w:rPr>
                    <w:t>产生速率kg/h</w:t>
                  </w:r>
                </w:p>
              </w:tc>
              <w:tc>
                <w:tcPr>
                  <w:tcW w:w="455" w:type="pct"/>
                  <w:shd w:val="clear" w:color="auto" w:fill="auto"/>
                  <w:noWrap/>
                  <w:vAlign w:val="center"/>
                </w:tcPr>
                <w:p>
                  <w:pPr>
                    <w:pStyle w:val="24"/>
                    <w:bidi w:val="0"/>
                    <w:rPr>
                      <w:rFonts w:hint="default"/>
                      <w:b/>
                      <w:bCs/>
                      <w:color w:val="auto"/>
                    </w:rPr>
                  </w:pPr>
                  <w:r>
                    <w:rPr>
                      <w:rFonts w:hint="default"/>
                      <w:b/>
                      <w:bCs/>
                      <w:color w:val="auto"/>
                      <w:lang w:val="en-US" w:eastAsia="zh-CN"/>
                    </w:rPr>
                    <w:t>产生浓度mg/m</w:t>
                  </w:r>
                  <w:r>
                    <w:rPr>
                      <w:rFonts w:hint="default"/>
                      <w:b/>
                      <w:bCs/>
                      <w:color w:val="auto"/>
                      <w:vertAlign w:val="superscript"/>
                      <w:lang w:val="en-US" w:eastAsia="zh-CN"/>
                    </w:rPr>
                    <w:t>3</w:t>
                  </w:r>
                </w:p>
              </w:tc>
              <w:tc>
                <w:tcPr>
                  <w:tcW w:w="304" w:type="pct"/>
                  <w:shd w:val="clear" w:color="auto" w:fill="auto"/>
                  <w:noWrap/>
                  <w:vAlign w:val="center"/>
                </w:tcPr>
                <w:p>
                  <w:pPr>
                    <w:pStyle w:val="24"/>
                    <w:bidi w:val="0"/>
                    <w:rPr>
                      <w:rFonts w:hint="default"/>
                      <w:b/>
                      <w:bCs/>
                      <w:color w:val="auto"/>
                    </w:rPr>
                  </w:pPr>
                  <w:r>
                    <w:rPr>
                      <w:rFonts w:hint="default"/>
                      <w:b/>
                      <w:bCs/>
                      <w:color w:val="auto"/>
                      <w:lang w:val="en-US" w:eastAsia="zh-CN"/>
                    </w:rPr>
                    <w:t>收集效率</w:t>
                  </w:r>
                </w:p>
              </w:tc>
              <w:tc>
                <w:tcPr>
                  <w:tcW w:w="439" w:type="pct"/>
                  <w:shd w:val="clear" w:color="auto" w:fill="auto"/>
                  <w:noWrap/>
                  <w:vAlign w:val="center"/>
                </w:tcPr>
                <w:p>
                  <w:pPr>
                    <w:pStyle w:val="24"/>
                    <w:bidi w:val="0"/>
                    <w:rPr>
                      <w:rFonts w:hint="default"/>
                      <w:b/>
                      <w:bCs/>
                      <w:color w:val="auto"/>
                    </w:rPr>
                  </w:pPr>
                  <w:r>
                    <w:rPr>
                      <w:rFonts w:hint="default"/>
                      <w:b/>
                      <w:bCs/>
                      <w:color w:val="auto"/>
                      <w:lang w:val="en-US" w:eastAsia="zh-CN"/>
                    </w:rPr>
                    <w:t>处理工艺</w:t>
                  </w:r>
                </w:p>
              </w:tc>
              <w:tc>
                <w:tcPr>
                  <w:tcW w:w="298" w:type="pct"/>
                  <w:shd w:val="clear" w:color="auto" w:fill="auto"/>
                  <w:noWrap/>
                  <w:vAlign w:val="center"/>
                </w:tcPr>
                <w:p>
                  <w:pPr>
                    <w:pStyle w:val="24"/>
                    <w:bidi w:val="0"/>
                    <w:rPr>
                      <w:rFonts w:hint="default"/>
                      <w:b/>
                      <w:bCs/>
                      <w:color w:val="auto"/>
                    </w:rPr>
                  </w:pPr>
                  <w:r>
                    <w:rPr>
                      <w:rFonts w:hint="default"/>
                      <w:b/>
                      <w:bCs/>
                      <w:color w:val="auto"/>
                      <w:lang w:val="en-US" w:eastAsia="zh-CN"/>
                    </w:rPr>
                    <w:t>去除效率</w:t>
                  </w:r>
                </w:p>
              </w:tc>
              <w:tc>
                <w:tcPr>
                  <w:tcW w:w="291" w:type="pct"/>
                  <w:shd w:val="clear" w:color="auto" w:fill="auto"/>
                  <w:noWrap/>
                  <w:vAlign w:val="center"/>
                </w:tcPr>
                <w:p>
                  <w:pPr>
                    <w:pStyle w:val="24"/>
                    <w:bidi w:val="0"/>
                    <w:rPr>
                      <w:rFonts w:hint="default"/>
                      <w:b/>
                      <w:bCs/>
                      <w:color w:val="auto"/>
                    </w:rPr>
                  </w:pPr>
                  <w:r>
                    <w:rPr>
                      <w:rFonts w:hint="default"/>
                      <w:b/>
                      <w:bCs/>
                      <w:color w:val="auto"/>
                      <w:lang w:val="en-US" w:eastAsia="zh-CN"/>
                    </w:rPr>
                    <w:t>排放量t/a</w:t>
                  </w:r>
                </w:p>
              </w:tc>
              <w:tc>
                <w:tcPr>
                  <w:tcW w:w="376" w:type="pct"/>
                  <w:shd w:val="clear" w:color="auto" w:fill="auto"/>
                  <w:noWrap/>
                  <w:vAlign w:val="center"/>
                </w:tcPr>
                <w:p>
                  <w:pPr>
                    <w:pStyle w:val="24"/>
                    <w:bidi w:val="0"/>
                    <w:rPr>
                      <w:rFonts w:hint="default"/>
                      <w:b/>
                      <w:bCs/>
                      <w:color w:val="auto"/>
                    </w:rPr>
                  </w:pPr>
                  <w:r>
                    <w:rPr>
                      <w:rFonts w:hint="default"/>
                      <w:b/>
                      <w:bCs/>
                      <w:color w:val="auto"/>
                      <w:lang w:val="en-US" w:eastAsia="zh-CN"/>
                    </w:rPr>
                    <w:t>排放速率kg/h</w:t>
                  </w:r>
                </w:p>
              </w:tc>
              <w:tc>
                <w:tcPr>
                  <w:tcW w:w="344" w:type="pct"/>
                  <w:shd w:val="clear" w:color="auto" w:fill="auto"/>
                  <w:noWrap/>
                  <w:vAlign w:val="center"/>
                </w:tcPr>
                <w:p>
                  <w:pPr>
                    <w:pStyle w:val="24"/>
                    <w:bidi w:val="0"/>
                    <w:rPr>
                      <w:rFonts w:hint="default"/>
                      <w:b/>
                      <w:bCs/>
                      <w:color w:val="auto"/>
                    </w:rPr>
                  </w:pPr>
                  <w:r>
                    <w:rPr>
                      <w:rFonts w:hint="default"/>
                      <w:b/>
                      <w:bCs/>
                      <w:color w:val="auto"/>
                      <w:lang w:val="en-US" w:eastAsia="zh-CN"/>
                    </w:rPr>
                    <w:t>排放浓度mg/m</w:t>
                  </w:r>
                  <w:r>
                    <w:rPr>
                      <w:rFonts w:hint="default"/>
                      <w:b/>
                      <w:bCs/>
                      <w:color w:val="auto"/>
                      <w:vertAlign w:val="superscript"/>
                      <w:lang w:val="en-US" w:eastAsia="zh-CN"/>
                    </w:rPr>
                    <w:t>3</w:t>
                  </w:r>
                </w:p>
              </w:tc>
              <w:tc>
                <w:tcPr>
                  <w:tcW w:w="377" w:type="pct"/>
                  <w:tcBorders>
                    <w:right w:val="nil"/>
                  </w:tcBorders>
                  <w:shd w:val="clear" w:color="auto" w:fill="auto"/>
                  <w:noWrap/>
                  <w:vAlign w:val="center"/>
                </w:tcPr>
                <w:p>
                  <w:pPr>
                    <w:pStyle w:val="24"/>
                    <w:bidi w:val="0"/>
                    <w:rPr>
                      <w:rFonts w:hint="default"/>
                      <w:b/>
                      <w:bCs/>
                      <w:color w:val="auto"/>
                    </w:rPr>
                  </w:pPr>
                  <w:r>
                    <w:rPr>
                      <w:rFonts w:hint="default"/>
                      <w:b/>
                      <w:bCs/>
                      <w:color w:val="auto"/>
                      <w:lang w:val="en-US" w:eastAsia="zh-CN"/>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264" w:type="pct"/>
                  <w:tcBorders>
                    <w:left w:val="nil"/>
                  </w:tcBorders>
                  <w:shd w:val="clear" w:color="auto" w:fill="auto"/>
                  <w:noWrap/>
                  <w:vAlign w:val="center"/>
                </w:tcPr>
                <w:p>
                  <w:pPr>
                    <w:pStyle w:val="24"/>
                    <w:bidi w:val="0"/>
                    <w:rPr>
                      <w:rFonts w:hint="default"/>
                      <w:color w:val="auto"/>
                    </w:rPr>
                  </w:pPr>
                  <w:r>
                    <w:rPr>
                      <w:rFonts w:hint="default"/>
                      <w:color w:val="auto"/>
                      <w:lang w:val="en-US" w:eastAsia="zh-CN"/>
                    </w:rPr>
                    <w:t>焊接</w:t>
                  </w:r>
                </w:p>
              </w:tc>
              <w:tc>
                <w:tcPr>
                  <w:tcW w:w="170" w:type="pct"/>
                  <w:vMerge w:val="restart"/>
                  <w:shd w:val="clear" w:color="auto" w:fill="auto"/>
                  <w:noWrap/>
                  <w:vAlign w:val="center"/>
                </w:tcPr>
                <w:p>
                  <w:pPr>
                    <w:pStyle w:val="24"/>
                    <w:bidi w:val="0"/>
                    <w:rPr>
                      <w:rFonts w:hint="default"/>
                      <w:color w:val="auto"/>
                      <w:lang w:val="en-US" w:eastAsia="zh-CN"/>
                    </w:rPr>
                  </w:pPr>
                  <w:r>
                    <w:rPr>
                      <w:rFonts w:hint="eastAsia"/>
                      <w:color w:val="auto"/>
                      <w:lang w:val="en-US" w:eastAsia="zh-CN"/>
                    </w:rPr>
                    <w:t>有组织</w:t>
                  </w:r>
                </w:p>
              </w:tc>
              <w:tc>
                <w:tcPr>
                  <w:tcW w:w="340" w:type="pct"/>
                  <w:shd w:val="clear" w:color="auto" w:fill="auto"/>
                  <w:noWrap/>
                  <w:vAlign w:val="center"/>
                </w:tcPr>
                <w:p>
                  <w:pPr>
                    <w:pStyle w:val="24"/>
                    <w:bidi w:val="0"/>
                    <w:rPr>
                      <w:rFonts w:hint="default"/>
                      <w:color w:val="auto"/>
                    </w:rPr>
                  </w:pPr>
                  <w:r>
                    <w:rPr>
                      <w:rFonts w:hint="default"/>
                      <w:color w:val="auto"/>
                      <w:lang w:val="en-US" w:eastAsia="zh-CN"/>
                    </w:rPr>
                    <w:t>DA001</w:t>
                  </w:r>
                </w:p>
              </w:tc>
              <w:tc>
                <w:tcPr>
                  <w:tcW w:w="275" w:type="pct"/>
                  <w:shd w:val="clear" w:color="auto" w:fill="auto"/>
                  <w:noWrap/>
                  <w:vAlign w:val="center"/>
                </w:tcPr>
                <w:p>
                  <w:pPr>
                    <w:pStyle w:val="24"/>
                    <w:bidi w:val="0"/>
                    <w:rPr>
                      <w:rFonts w:hint="default"/>
                      <w:color w:val="auto"/>
                      <w:lang w:val="en-US" w:eastAsia="zh-CN"/>
                    </w:rPr>
                  </w:pPr>
                  <w:r>
                    <w:rPr>
                      <w:rFonts w:hint="eastAsia"/>
                      <w:color w:val="auto"/>
                      <w:lang w:val="en-US" w:eastAsia="zh-CN"/>
                    </w:rPr>
                    <w:t>27m</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颗粒物</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0.014</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0.006</w:t>
                  </w:r>
                </w:p>
              </w:tc>
              <w:tc>
                <w:tcPr>
                  <w:tcW w:w="455" w:type="pct"/>
                  <w:shd w:val="clear" w:color="auto" w:fill="auto"/>
                  <w:noWrap/>
                  <w:vAlign w:val="center"/>
                </w:tcPr>
                <w:p>
                  <w:pPr>
                    <w:pStyle w:val="24"/>
                    <w:bidi w:val="0"/>
                    <w:rPr>
                      <w:rFonts w:hint="default"/>
                      <w:color w:val="auto"/>
                    </w:rPr>
                  </w:pPr>
                  <w:r>
                    <w:rPr>
                      <w:rFonts w:hint="default"/>
                      <w:color w:val="auto"/>
                      <w:lang w:val="en-US" w:eastAsia="zh-CN"/>
                    </w:rPr>
                    <w:t>0.718</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70%</w:t>
                  </w:r>
                </w:p>
              </w:tc>
              <w:tc>
                <w:tcPr>
                  <w:tcW w:w="439" w:type="pct"/>
                  <w:shd w:val="clear" w:color="auto" w:fill="auto"/>
                  <w:noWrap/>
                  <w:vAlign w:val="center"/>
                </w:tcPr>
                <w:p>
                  <w:pPr>
                    <w:pStyle w:val="24"/>
                    <w:bidi w:val="0"/>
                    <w:rPr>
                      <w:rFonts w:hint="default"/>
                      <w:color w:val="auto"/>
                    </w:rPr>
                  </w:pPr>
                  <w:r>
                    <w:rPr>
                      <w:rFonts w:hint="default"/>
                      <w:color w:val="auto"/>
                      <w:lang w:val="en-US" w:eastAsia="zh-CN"/>
                    </w:rPr>
                    <w:t>集中式焊烟净化器</w:t>
                  </w:r>
                </w:p>
              </w:tc>
              <w:tc>
                <w:tcPr>
                  <w:tcW w:w="298" w:type="pct"/>
                  <w:shd w:val="clear" w:color="auto" w:fill="auto"/>
                  <w:noWrap/>
                  <w:vAlign w:val="center"/>
                </w:tcPr>
                <w:p>
                  <w:pPr>
                    <w:pStyle w:val="24"/>
                    <w:bidi w:val="0"/>
                    <w:rPr>
                      <w:rFonts w:hint="default"/>
                      <w:color w:val="auto"/>
                    </w:rPr>
                  </w:pPr>
                  <w:r>
                    <w:rPr>
                      <w:rFonts w:hint="default"/>
                      <w:color w:val="auto"/>
                      <w:lang w:val="en-US" w:eastAsia="zh-CN"/>
                    </w:rPr>
                    <w:t>80%</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0.002</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0.001</w:t>
                  </w:r>
                </w:p>
              </w:tc>
              <w:tc>
                <w:tcPr>
                  <w:tcW w:w="344" w:type="pct"/>
                  <w:shd w:val="clear" w:color="auto" w:fill="auto"/>
                  <w:noWrap/>
                  <w:vAlign w:val="center"/>
                </w:tcPr>
                <w:p>
                  <w:pPr>
                    <w:pStyle w:val="24"/>
                    <w:bidi w:val="0"/>
                    <w:rPr>
                      <w:rFonts w:hint="default"/>
                      <w:color w:val="auto"/>
                    </w:rPr>
                  </w:pPr>
                  <w:r>
                    <w:rPr>
                      <w:rFonts w:hint="default"/>
                      <w:color w:val="auto"/>
                      <w:lang w:val="en-US" w:eastAsia="zh-CN"/>
                    </w:rPr>
                    <w:t>0.101</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64" w:type="pct"/>
                  <w:tcBorders>
                    <w:left w:val="nil"/>
                  </w:tcBorders>
                  <w:shd w:val="clear" w:color="auto" w:fill="auto"/>
                  <w:noWrap/>
                  <w:vAlign w:val="center"/>
                </w:tcPr>
                <w:p>
                  <w:pPr>
                    <w:pStyle w:val="24"/>
                    <w:bidi w:val="0"/>
                    <w:rPr>
                      <w:rFonts w:hint="default"/>
                      <w:color w:val="auto"/>
                    </w:rPr>
                  </w:pPr>
                  <w:r>
                    <w:rPr>
                      <w:rFonts w:hint="default"/>
                      <w:color w:val="auto"/>
                      <w:lang w:val="en-US" w:eastAsia="zh-CN"/>
                    </w:rPr>
                    <w:t>酸洗</w:t>
                  </w:r>
                </w:p>
              </w:tc>
              <w:tc>
                <w:tcPr>
                  <w:tcW w:w="170" w:type="pct"/>
                  <w:vMerge w:val="continue"/>
                  <w:shd w:val="clear" w:color="auto" w:fill="auto"/>
                  <w:noWrap/>
                  <w:vAlign w:val="center"/>
                </w:tcPr>
                <w:p>
                  <w:pPr>
                    <w:pStyle w:val="24"/>
                    <w:bidi w:val="0"/>
                    <w:rPr>
                      <w:rFonts w:hint="default"/>
                      <w:color w:val="auto"/>
                      <w:lang w:val="en-US" w:eastAsia="zh-CN"/>
                    </w:rPr>
                  </w:pPr>
                </w:p>
              </w:tc>
              <w:tc>
                <w:tcPr>
                  <w:tcW w:w="340" w:type="pct"/>
                  <w:shd w:val="clear" w:color="auto" w:fill="auto"/>
                  <w:noWrap/>
                  <w:vAlign w:val="center"/>
                </w:tcPr>
                <w:p>
                  <w:pPr>
                    <w:pStyle w:val="24"/>
                    <w:bidi w:val="0"/>
                    <w:rPr>
                      <w:rFonts w:hint="default"/>
                      <w:color w:val="auto"/>
                    </w:rPr>
                  </w:pPr>
                  <w:r>
                    <w:rPr>
                      <w:rFonts w:hint="default"/>
                      <w:color w:val="auto"/>
                      <w:lang w:val="en-US" w:eastAsia="zh-CN"/>
                    </w:rPr>
                    <w:t>DA002</w:t>
                  </w:r>
                </w:p>
              </w:tc>
              <w:tc>
                <w:tcPr>
                  <w:tcW w:w="275" w:type="pct"/>
                  <w:shd w:val="clear" w:color="auto" w:fill="auto"/>
                  <w:noWrap/>
                  <w:vAlign w:val="center"/>
                </w:tcPr>
                <w:p>
                  <w:pPr>
                    <w:pStyle w:val="24"/>
                    <w:bidi w:val="0"/>
                    <w:rPr>
                      <w:rFonts w:hint="default"/>
                      <w:color w:val="auto"/>
                      <w:lang w:val="en-US" w:eastAsia="zh-CN"/>
                    </w:rPr>
                  </w:pPr>
                  <w:r>
                    <w:rPr>
                      <w:rFonts w:hint="eastAsia"/>
                      <w:color w:val="auto"/>
                      <w:lang w:val="en-US" w:eastAsia="zh-CN"/>
                    </w:rPr>
                    <w:t>27m</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氯化氢</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0.024</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0.010</w:t>
                  </w:r>
                </w:p>
              </w:tc>
              <w:tc>
                <w:tcPr>
                  <w:tcW w:w="455" w:type="pct"/>
                  <w:shd w:val="clear" w:color="auto" w:fill="auto"/>
                  <w:noWrap/>
                  <w:vAlign w:val="center"/>
                </w:tcPr>
                <w:p>
                  <w:pPr>
                    <w:pStyle w:val="24"/>
                    <w:bidi w:val="0"/>
                    <w:rPr>
                      <w:rFonts w:hint="default"/>
                      <w:color w:val="auto"/>
                    </w:rPr>
                  </w:pPr>
                  <w:r>
                    <w:rPr>
                      <w:rFonts w:hint="default"/>
                      <w:color w:val="auto"/>
                      <w:lang w:val="en-US" w:eastAsia="zh-CN"/>
                    </w:rPr>
                    <w:t>1.100</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90%</w:t>
                  </w:r>
                </w:p>
              </w:tc>
              <w:tc>
                <w:tcPr>
                  <w:tcW w:w="439" w:type="pct"/>
                  <w:shd w:val="clear" w:color="auto" w:fill="auto"/>
                  <w:noWrap/>
                  <w:vAlign w:val="center"/>
                </w:tcPr>
                <w:p>
                  <w:pPr>
                    <w:pStyle w:val="24"/>
                    <w:bidi w:val="0"/>
                    <w:rPr>
                      <w:rFonts w:hint="default"/>
                      <w:color w:val="auto"/>
                    </w:rPr>
                  </w:pPr>
                  <w:r>
                    <w:rPr>
                      <w:rFonts w:hint="eastAsia"/>
                      <w:color w:val="auto"/>
                      <w:lang w:val="en-US" w:eastAsia="zh-CN"/>
                    </w:rPr>
                    <w:t>碱液喷淋塔</w:t>
                  </w:r>
                </w:p>
              </w:tc>
              <w:tc>
                <w:tcPr>
                  <w:tcW w:w="298" w:type="pct"/>
                  <w:shd w:val="clear" w:color="auto" w:fill="auto"/>
                  <w:noWrap/>
                  <w:vAlign w:val="center"/>
                </w:tcPr>
                <w:p>
                  <w:pPr>
                    <w:pStyle w:val="24"/>
                    <w:bidi w:val="0"/>
                    <w:rPr>
                      <w:rFonts w:hint="default"/>
                      <w:color w:val="auto"/>
                    </w:rPr>
                  </w:pPr>
                  <w:r>
                    <w:rPr>
                      <w:rFonts w:hint="default"/>
                      <w:color w:val="auto"/>
                      <w:lang w:val="en-US" w:eastAsia="zh-CN"/>
                    </w:rPr>
                    <w:t>90%</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0.002</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0.001</w:t>
                  </w:r>
                </w:p>
              </w:tc>
              <w:tc>
                <w:tcPr>
                  <w:tcW w:w="344" w:type="pct"/>
                  <w:shd w:val="clear" w:color="auto" w:fill="auto"/>
                  <w:noWrap/>
                  <w:vAlign w:val="center"/>
                </w:tcPr>
                <w:p>
                  <w:pPr>
                    <w:pStyle w:val="24"/>
                    <w:bidi w:val="0"/>
                    <w:rPr>
                      <w:rFonts w:hint="default"/>
                      <w:color w:val="auto"/>
                    </w:rPr>
                  </w:pPr>
                  <w:r>
                    <w:rPr>
                      <w:rFonts w:hint="default"/>
                      <w:color w:val="auto"/>
                      <w:lang w:val="en-US" w:eastAsia="zh-CN"/>
                    </w:rPr>
                    <w:t>0.099</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64" w:type="pct"/>
                  <w:tcBorders>
                    <w:left w:val="nil"/>
                  </w:tcBorders>
                  <w:shd w:val="clear" w:color="auto" w:fill="auto"/>
                  <w:noWrap/>
                  <w:vAlign w:val="center"/>
                </w:tcPr>
                <w:p>
                  <w:pPr>
                    <w:pStyle w:val="24"/>
                    <w:bidi w:val="0"/>
                    <w:rPr>
                      <w:rFonts w:hint="default"/>
                      <w:color w:val="auto"/>
                    </w:rPr>
                  </w:pPr>
                  <w:r>
                    <w:rPr>
                      <w:rFonts w:hint="default"/>
                      <w:color w:val="auto"/>
                      <w:lang w:val="en-US" w:eastAsia="zh-CN"/>
                    </w:rPr>
                    <w:t>固化</w:t>
                  </w:r>
                </w:p>
              </w:tc>
              <w:tc>
                <w:tcPr>
                  <w:tcW w:w="170" w:type="pct"/>
                  <w:vMerge w:val="continue"/>
                  <w:shd w:val="clear" w:color="auto" w:fill="auto"/>
                  <w:noWrap/>
                  <w:vAlign w:val="center"/>
                </w:tcPr>
                <w:p>
                  <w:pPr>
                    <w:pStyle w:val="24"/>
                    <w:bidi w:val="0"/>
                    <w:rPr>
                      <w:rFonts w:hint="default"/>
                      <w:color w:val="auto"/>
                      <w:lang w:val="en-US" w:eastAsia="zh-CN"/>
                    </w:rPr>
                  </w:pPr>
                </w:p>
              </w:tc>
              <w:tc>
                <w:tcPr>
                  <w:tcW w:w="340" w:type="pct"/>
                  <w:shd w:val="clear" w:color="auto" w:fill="auto"/>
                  <w:noWrap/>
                  <w:vAlign w:val="center"/>
                </w:tcPr>
                <w:p>
                  <w:pPr>
                    <w:pStyle w:val="24"/>
                    <w:bidi w:val="0"/>
                    <w:rPr>
                      <w:rFonts w:hint="default"/>
                      <w:color w:val="auto"/>
                    </w:rPr>
                  </w:pPr>
                  <w:r>
                    <w:rPr>
                      <w:rFonts w:hint="default"/>
                      <w:color w:val="auto"/>
                      <w:lang w:val="en-US" w:eastAsia="zh-CN"/>
                    </w:rPr>
                    <w:t>DA003</w:t>
                  </w:r>
                </w:p>
              </w:tc>
              <w:tc>
                <w:tcPr>
                  <w:tcW w:w="275" w:type="pct"/>
                  <w:shd w:val="clear" w:color="auto" w:fill="auto"/>
                  <w:noWrap/>
                  <w:vAlign w:val="center"/>
                </w:tcPr>
                <w:p>
                  <w:pPr>
                    <w:pStyle w:val="24"/>
                    <w:bidi w:val="0"/>
                    <w:rPr>
                      <w:rFonts w:hint="default"/>
                      <w:color w:val="auto"/>
                      <w:lang w:val="en-US" w:eastAsia="zh-CN"/>
                    </w:rPr>
                  </w:pPr>
                  <w:r>
                    <w:rPr>
                      <w:rFonts w:hint="eastAsia"/>
                      <w:color w:val="auto"/>
                      <w:lang w:val="en-US" w:eastAsia="zh-CN"/>
                    </w:rPr>
                    <w:t>27m</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VOCs</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0.060</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0.025</w:t>
                  </w:r>
                </w:p>
              </w:tc>
              <w:tc>
                <w:tcPr>
                  <w:tcW w:w="455" w:type="pct"/>
                  <w:shd w:val="clear" w:color="auto" w:fill="auto"/>
                  <w:noWrap/>
                  <w:vAlign w:val="center"/>
                </w:tcPr>
                <w:p>
                  <w:pPr>
                    <w:pStyle w:val="24"/>
                    <w:bidi w:val="0"/>
                    <w:rPr>
                      <w:rFonts w:hint="default"/>
                      <w:color w:val="auto"/>
                    </w:rPr>
                  </w:pPr>
                  <w:r>
                    <w:rPr>
                      <w:rFonts w:hint="default"/>
                      <w:color w:val="auto"/>
                      <w:lang w:val="en-US" w:eastAsia="zh-CN"/>
                    </w:rPr>
                    <w:t>6.250</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80%</w:t>
                  </w:r>
                </w:p>
              </w:tc>
              <w:tc>
                <w:tcPr>
                  <w:tcW w:w="439" w:type="pct"/>
                  <w:shd w:val="clear" w:color="auto" w:fill="auto"/>
                  <w:noWrap/>
                  <w:vAlign w:val="center"/>
                </w:tcPr>
                <w:p>
                  <w:pPr>
                    <w:pStyle w:val="24"/>
                    <w:bidi w:val="0"/>
                    <w:rPr>
                      <w:rFonts w:hint="default"/>
                      <w:color w:val="auto"/>
                    </w:rPr>
                  </w:pPr>
                  <w:r>
                    <w:rPr>
                      <w:rFonts w:hint="default"/>
                      <w:color w:val="auto"/>
                      <w:lang w:val="en-US" w:eastAsia="zh-CN"/>
                    </w:rPr>
                    <w:t>/</w:t>
                  </w:r>
                </w:p>
              </w:tc>
              <w:tc>
                <w:tcPr>
                  <w:tcW w:w="298" w:type="pct"/>
                  <w:shd w:val="clear" w:color="auto" w:fill="auto"/>
                  <w:noWrap/>
                  <w:vAlign w:val="center"/>
                </w:tcPr>
                <w:p>
                  <w:pPr>
                    <w:pStyle w:val="24"/>
                    <w:bidi w:val="0"/>
                    <w:rPr>
                      <w:rFonts w:hint="default"/>
                      <w:color w:val="auto"/>
                    </w:rPr>
                  </w:pPr>
                  <w:r>
                    <w:rPr>
                      <w:rFonts w:hint="eastAsia"/>
                      <w:color w:val="auto"/>
                      <w:lang w:val="en-US" w:eastAsia="zh-CN"/>
                    </w:rPr>
                    <w:t>0</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0.048</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0.020</w:t>
                  </w:r>
                </w:p>
              </w:tc>
              <w:tc>
                <w:tcPr>
                  <w:tcW w:w="344" w:type="pct"/>
                  <w:shd w:val="clear" w:color="auto" w:fill="auto"/>
                  <w:noWrap/>
                  <w:vAlign w:val="center"/>
                </w:tcPr>
                <w:p>
                  <w:pPr>
                    <w:pStyle w:val="24"/>
                    <w:bidi w:val="0"/>
                    <w:rPr>
                      <w:rFonts w:hint="default"/>
                      <w:color w:val="auto"/>
                    </w:rPr>
                  </w:pPr>
                  <w:r>
                    <w:rPr>
                      <w:rFonts w:hint="default"/>
                      <w:color w:val="auto"/>
                      <w:lang w:val="en-US" w:eastAsia="zh-CN"/>
                    </w:rPr>
                    <w:t>5.000</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264" w:type="pct"/>
                  <w:vMerge w:val="restart"/>
                  <w:tcBorders>
                    <w:left w:val="nil"/>
                  </w:tcBorders>
                  <w:shd w:val="clear" w:color="auto" w:fill="auto"/>
                  <w:noWrap/>
                  <w:vAlign w:val="center"/>
                </w:tcPr>
                <w:p>
                  <w:pPr>
                    <w:pStyle w:val="24"/>
                    <w:bidi w:val="0"/>
                    <w:rPr>
                      <w:rFonts w:hint="default"/>
                      <w:color w:val="auto"/>
                    </w:rPr>
                  </w:pPr>
                  <w:r>
                    <w:rPr>
                      <w:rFonts w:hint="default"/>
                      <w:color w:val="auto"/>
                      <w:lang w:val="en-US" w:eastAsia="zh-CN"/>
                    </w:rPr>
                    <w:t>生物质燃烧</w:t>
                  </w:r>
                </w:p>
              </w:tc>
              <w:tc>
                <w:tcPr>
                  <w:tcW w:w="170" w:type="pct"/>
                  <w:vMerge w:val="continue"/>
                  <w:shd w:val="clear" w:color="auto" w:fill="auto"/>
                  <w:noWrap/>
                  <w:vAlign w:val="center"/>
                </w:tcPr>
                <w:p>
                  <w:pPr>
                    <w:pStyle w:val="24"/>
                    <w:bidi w:val="0"/>
                    <w:rPr>
                      <w:rFonts w:hint="default"/>
                      <w:color w:val="auto"/>
                      <w:lang w:val="en-US" w:eastAsia="zh-CN"/>
                    </w:rPr>
                  </w:pPr>
                </w:p>
              </w:tc>
              <w:tc>
                <w:tcPr>
                  <w:tcW w:w="340" w:type="pct"/>
                  <w:vMerge w:val="restart"/>
                  <w:shd w:val="clear" w:color="auto" w:fill="auto"/>
                  <w:noWrap/>
                  <w:vAlign w:val="center"/>
                </w:tcPr>
                <w:p>
                  <w:pPr>
                    <w:pStyle w:val="24"/>
                    <w:bidi w:val="0"/>
                    <w:rPr>
                      <w:rFonts w:hint="default"/>
                      <w:color w:val="auto"/>
                    </w:rPr>
                  </w:pPr>
                  <w:r>
                    <w:rPr>
                      <w:rFonts w:hint="default"/>
                      <w:color w:val="auto"/>
                      <w:lang w:val="en-US" w:eastAsia="zh-CN"/>
                    </w:rPr>
                    <w:t>DA004</w:t>
                  </w:r>
                </w:p>
              </w:tc>
              <w:tc>
                <w:tcPr>
                  <w:tcW w:w="275" w:type="pct"/>
                  <w:vMerge w:val="restart"/>
                  <w:shd w:val="clear" w:color="auto" w:fill="auto"/>
                  <w:noWrap/>
                  <w:vAlign w:val="center"/>
                </w:tcPr>
                <w:p>
                  <w:pPr>
                    <w:pStyle w:val="24"/>
                    <w:bidi w:val="0"/>
                    <w:rPr>
                      <w:rFonts w:hint="default"/>
                      <w:color w:val="auto"/>
                      <w:lang w:val="en-US" w:eastAsia="zh-CN"/>
                    </w:rPr>
                  </w:pPr>
                  <w:r>
                    <w:rPr>
                      <w:rFonts w:hint="eastAsia"/>
                      <w:color w:val="auto"/>
                      <w:lang w:val="en-US" w:eastAsia="zh-CN"/>
                    </w:rPr>
                    <w:t>27m</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颗粒物</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0.248</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0.103</w:t>
                  </w:r>
                </w:p>
              </w:tc>
              <w:tc>
                <w:tcPr>
                  <w:tcW w:w="455" w:type="pct"/>
                  <w:shd w:val="clear" w:color="auto" w:fill="auto"/>
                  <w:noWrap/>
                  <w:vAlign w:val="center"/>
                </w:tcPr>
                <w:p>
                  <w:pPr>
                    <w:pStyle w:val="24"/>
                    <w:bidi w:val="0"/>
                    <w:rPr>
                      <w:rFonts w:hint="default"/>
                      <w:color w:val="auto"/>
                      <w:lang w:val="en-US"/>
                    </w:rPr>
                  </w:pPr>
                  <w:r>
                    <w:rPr>
                      <w:rFonts w:hint="eastAsia"/>
                      <w:color w:val="auto"/>
                      <w:lang w:val="en-US" w:eastAsia="zh-CN"/>
                    </w:rPr>
                    <w:t>10.313</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100%</w:t>
                  </w:r>
                </w:p>
              </w:tc>
              <w:tc>
                <w:tcPr>
                  <w:tcW w:w="439" w:type="pct"/>
                  <w:vMerge w:val="restart"/>
                  <w:shd w:val="clear" w:color="auto" w:fill="auto"/>
                  <w:noWrap/>
                  <w:vAlign w:val="center"/>
                </w:tcPr>
                <w:p>
                  <w:pPr>
                    <w:pStyle w:val="24"/>
                    <w:bidi w:val="0"/>
                    <w:rPr>
                      <w:rFonts w:hint="default"/>
                      <w:color w:val="auto"/>
                    </w:rPr>
                  </w:pPr>
                  <w:r>
                    <w:rPr>
                      <w:rFonts w:hint="default"/>
                      <w:color w:val="auto"/>
                      <w:lang w:val="en-US" w:eastAsia="zh-CN"/>
                    </w:rPr>
                    <w:t>旋风除尘+布袋除尘</w:t>
                  </w:r>
                </w:p>
              </w:tc>
              <w:tc>
                <w:tcPr>
                  <w:tcW w:w="298" w:type="pct"/>
                  <w:shd w:val="clear" w:color="auto" w:fill="auto"/>
                  <w:noWrap/>
                  <w:vAlign w:val="center"/>
                </w:tcPr>
                <w:p>
                  <w:pPr>
                    <w:pStyle w:val="24"/>
                    <w:bidi w:val="0"/>
                    <w:rPr>
                      <w:rFonts w:hint="default"/>
                      <w:color w:val="auto"/>
                    </w:rPr>
                  </w:pPr>
                  <w:r>
                    <w:rPr>
                      <w:rFonts w:hint="default"/>
                      <w:color w:val="auto"/>
                      <w:lang w:val="en-US" w:eastAsia="zh-CN"/>
                    </w:rPr>
                    <w:t>9</w:t>
                  </w:r>
                  <w:r>
                    <w:rPr>
                      <w:rFonts w:hint="eastAsia"/>
                      <w:color w:val="auto"/>
                      <w:lang w:val="en-US" w:eastAsia="zh-CN"/>
                    </w:rPr>
                    <w:t>9</w:t>
                  </w:r>
                  <w:r>
                    <w:rPr>
                      <w:rFonts w:hint="default"/>
                      <w:color w:val="auto"/>
                      <w:lang w:val="en-US" w:eastAsia="zh-CN"/>
                    </w:rPr>
                    <w:t>%</w:t>
                  </w:r>
                </w:p>
              </w:tc>
              <w:tc>
                <w:tcPr>
                  <w:tcW w:w="291" w:type="pct"/>
                  <w:shd w:val="clear" w:color="auto" w:fill="auto"/>
                  <w:noWrap/>
                  <w:vAlign w:val="center"/>
                </w:tcPr>
                <w:p>
                  <w:pPr>
                    <w:pStyle w:val="24"/>
                    <w:bidi w:val="0"/>
                    <w:rPr>
                      <w:rFonts w:hint="default"/>
                      <w:color w:val="auto"/>
                      <w:lang w:val="en-US" w:eastAsia="zh-CN"/>
                    </w:rPr>
                  </w:pPr>
                  <w:r>
                    <w:rPr>
                      <w:rFonts w:hint="eastAsia"/>
                      <w:color w:val="auto"/>
                      <w:lang w:val="en-US" w:eastAsia="zh-CN"/>
                    </w:rPr>
                    <w:t>0.002</w:t>
                  </w:r>
                </w:p>
              </w:tc>
              <w:tc>
                <w:tcPr>
                  <w:tcW w:w="376" w:type="pct"/>
                  <w:shd w:val="clear" w:color="auto" w:fill="auto"/>
                  <w:noWrap/>
                  <w:vAlign w:val="center"/>
                </w:tcPr>
                <w:p>
                  <w:pPr>
                    <w:pStyle w:val="24"/>
                    <w:bidi w:val="0"/>
                    <w:rPr>
                      <w:rFonts w:hint="default"/>
                      <w:color w:val="auto"/>
                      <w:lang w:val="en-US" w:eastAsia="zh-CN"/>
                    </w:rPr>
                  </w:pPr>
                  <w:r>
                    <w:rPr>
                      <w:rFonts w:hint="eastAsia"/>
                      <w:color w:val="auto"/>
                      <w:lang w:val="en-US" w:eastAsia="zh-CN"/>
                    </w:rPr>
                    <w:t>0.001</w:t>
                  </w:r>
                </w:p>
              </w:tc>
              <w:tc>
                <w:tcPr>
                  <w:tcW w:w="344" w:type="pct"/>
                  <w:shd w:val="clear" w:color="auto" w:fill="auto"/>
                  <w:noWrap/>
                  <w:vAlign w:val="center"/>
                </w:tcPr>
                <w:p>
                  <w:pPr>
                    <w:pStyle w:val="24"/>
                    <w:bidi w:val="0"/>
                    <w:rPr>
                      <w:rFonts w:hint="default"/>
                      <w:color w:val="auto"/>
                      <w:lang w:val="en-US" w:eastAsia="zh-CN"/>
                    </w:rPr>
                  </w:pPr>
                  <w:r>
                    <w:rPr>
                      <w:rFonts w:hint="eastAsia"/>
                      <w:color w:val="auto"/>
                      <w:lang w:val="en-US" w:eastAsia="zh-CN"/>
                    </w:rPr>
                    <w:t>0.103</w:t>
                  </w:r>
                </w:p>
              </w:tc>
              <w:tc>
                <w:tcPr>
                  <w:tcW w:w="377" w:type="pct"/>
                  <w:tcBorders>
                    <w:right w:val="nil"/>
                  </w:tcBorders>
                  <w:shd w:val="clear" w:color="auto" w:fill="auto"/>
                  <w:noWrap/>
                  <w:vAlign w:val="center"/>
                </w:tcPr>
                <w:p>
                  <w:pPr>
                    <w:pStyle w:val="24"/>
                    <w:bidi w:val="0"/>
                    <w:rPr>
                      <w:rFonts w:hint="default"/>
                      <w:color w:val="auto"/>
                    </w:rPr>
                  </w:pPr>
                  <w:r>
                    <w:rPr>
                      <w:rFonts w:hint="eastAsia"/>
                      <w:color w:val="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64" w:type="pct"/>
                  <w:vMerge w:val="continue"/>
                  <w:tcBorders>
                    <w:left w:val="nil"/>
                  </w:tcBorders>
                  <w:shd w:val="clear" w:color="auto" w:fill="auto"/>
                  <w:noWrap/>
                  <w:vAlign w:val="center"/>
                </w:tcPr>
                <w:p>
                  <w:pPr>
                    <w:pStyle w:val="24"/>
                    <w:bidi w:val="0"/>
                    <w:rPr>
                      <w:rFonts w:hint="default"/>
                      <w:color w:val="auto"/>
                    </w:rPr>
                  </w:pPr>
                </w:p>
              </w:tc>
              <w:tc>
                <w:tcPr>
                  <w:tcW w:w="170" w:type="pct"/>
                  <w:vMerge w:val="continue"/>
                  <w:shd w:val="clear" w:color="auto" w:fill="auto"/>
                  <w:noWrap/>
                  <w:vAlign w:val="center"/>
                </w:tcPr>
                <w:p>
                  <w:pPr>
                    <w:pStyle w:val="24"/>
                    <w:bidi w:val="0"/>
                    <w:rPr>
                      <w:rFonts w:hint="default"/>
                      <w:color w:val="auto"/>
                    </w:rPr>
                  </w:pPr>
                </w:p>
              </w:tc>
              <w:tc>
                <w:tcPr>
                  <w:tcW w:w="340" w:type="pct"/>
                  <w:vMerge w:val="continue"/>
                  <w:shd w:val="clear" w:color="auto" w:fill="auto"/>
                  <w:noWrap/>
                  <w:vAlign w:val="center"/>
                </w:tcPr>
                <w:p>
                  <w:pPr>
                    <w:pStyle w:val="24"/>
                    <w:bidi w:val="0"/>
                    <w:rPr>
                      <w:rFonts w:hint="default"/>
                      <w:color w:val="auto"/>
                    </w:rPr>
                  </w:pPr>
                </w:p>
              </w:tc>
              <w:tc>
                <w:tcPr>
                  <w:tcW w:w="275" w:type="pct"/>
                  <w:vMerge w:val="continue"/>
                  <w:shd w:val="clear" w:color="auto" w:fill="auto"/>
                  <w:noWrap/>
                  <w:vAlign w:val="center"/>
                </w:tcPr>
                <w:p>
                  <w:pPr>
                    <w:pStyle w:val="24"/>
                    <w:bidi w:val="0"/>
                    <w:rPr>
                      <w:rFonts w:hint="default"/>
                      <w:color w:val="auto"/>
                      <w:lang w:val="en-US" w:eastAsia="zh-CN"/>
                    </w:rPr>
                  </w:pPr>
                </w:p>
              </w:tc>
              <w:tc>
                <w:tcPr>
                  <w:tcW w:w="386" w:type="pct"/>
                  <w:shd w:val="clear" w:color="auto" w:fill="auto"/>
                  <w:noWrap/>
                  <w:vAlign w:val="center"/>
                </w:tcPr>
                <w:p>
                  <w:pPr>
                    <w:pStyle w:val="24"/>
                    <w:bidi w:val="0"/>
                    <w:rPr>
                      <w:rFonts w:hint="default"/>
                      <w:color w:val="auto"/>
                    </w:rPr>
                  </w:pPr>
                  <w:r>
                    <w:rPr>
                      <w:rFonts w:hint="default"/>
                      <w:color w:val="auto"/>
                      <w:lang w:val="en-US" w:eastAsia="zh-CN"/>
                    </w:rPr>
                    <w:t>SO</w:t>
                  </w:r>
                  <w:r>
                    <w:rPr>
                      <w:rFonts w:hint="default"/>
                      <w:color w:val="auto"/>
                      <w:vertAlign w:val="subscript"/>
                      <w:lang w:val="en-US" w:eastAsia="zh-CN"/>
                    </w:rPr>
                    <w:t>2</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0.842</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0.351</w:t>
                  </w:r>
                </w:p>
              </w:tc>
              <w:tc>
                <w:tcPr>
                  <w:tcW w:w="455" w:type="pct"/>
                  <w:shd w:val="clear" w:color="auto" w:fill="auto"/>
                  <w:noWrap/>
                  <w:vAlign w:val="center"/>
                </w:tcPr>
                <w:p>
                  <w:pPr>
                    <w:pStyle w:val="24"/>
                    <w:bidi w:val="0"/>
                    <w:rPr>
                      <w:rFonts w:hint="default" w:eastAsia="宋体"/>
                      <w:color w:val="auto"/>
                      <w:lang w:val="en-US" w:eastAsia="zh-CN"/>
                    </w:rPr>
                  </w:pPr>
                  <w:r>
                    <w:rPr>
                      <w:rFonts w:hint="eastAsia"/>
                      <w:color w:val="auto"/>
                      <w:lang w:val="en-US" w:eastAsia="zh-CN"/>
                    </w:rPr>
                    <w:t>35.063</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100%</w:t>
                  </w:r>
                </w:p>
              </w:tc>
              <w:tc>
                <w:tcPr>
                  <w:tcW w:w="439" w:type="pct"/>
                  <w:vMerge w:val="continue"/>
                  <w:shd w:val="clear" w:color="auto" w:fill="auto"/>
                  <w:noWrap/>
                  <w:vAlign w:val="center"/>
                </w:tcPr>
                <w:p>
                  <w:pPr>
                    <w:pStyle w:val="24"/>
                    <w:bidi w:val="0"/>
                    <w:rPr>
                      <w:rFonts w:hint="default"/>
                      <w:color w:val="auto"/>
                    </w:rPr>
                  </w:pPr>
                </w:p>
              </w:tc>
              <w:tc>
                <w:tcPr>
                  <w:tcW w:w="298" w:type="pct"/>
                  <w:shd w:val="clear" w:color="auto" w:fill="auto"/>
                  <w:noWrap/>
                  <w:vAlign w:val="center"/>
                </w:tcPr>
                <w:p>
                  <w:pPr>
                    <w:pStyle w:val="24"/>
                    <w:bidi w:val="0"/>
                    <w:rPr>
                      <w:rFonts w:hint="default"/>
                      <w:color w:val="auto"/>
                    </w:rPr>
                  </w:pPr>
                  <w:r>
                    <w:rPr>
                      <w:rFonts w:hint="default"/>
                      <w:color w:val="auto"/>
                      <w:lang w:val="en-US" w:eastAsia="zh-CN"/>
                    </w:rPr>
                    <w:t>0</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0.842</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0.351</w:t>
                  </w:r>
                </w:p>
              </w:tc>
              <w:tc>
                <w:tcPr>
                  <w:tcW w:w="344" w:type="pct"/>
                  <w:shd w:val="clear" w:color="auto" w:fill="auto"/>
                  <w:noWrap/>
                  <w:vAlign w:val="center"/>
                </w:tcPr>
                <w:p>
                  <w:pPr>
                    <w:pStyle w:val="24"/>
                    <w:bidi w:val="0"/>
                    <w:rPr>
                      <w:rFonts w:hint="default" w:eastAsia="宋体"/>
                      <w:color w:val="auto"/>
                      <w:lang w:val="en-US" w:eastAsia="zh-CN"/>
                    </w:rPr>
                  </w:pPr>
                  <w:r>
                    <w:rPr>
                      <w:rFonts w:hint="eastAsia"/>
                      <w:color w:val="auto"/>
                      <w:lang w:val="en-US" w:eastAsia="zh-CN"/>
                    </w:rPr>
                    <w:t>35.063</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264" w:type="pct"/>
                  <w:vMerge w:val="continue"/>
                  <w:tcBorders>
                    <w:left w:val="nil"/>
                  </w:tcBorders>
                  <w:shd w:val="clear" w:color="auto" w:fill="auto"/>
                  <w:noWrap/>
                  <w:vAlign w:val="center"/>
                </w:tcPr>
                <w:p>
                  <w:pPr>
                    <w:pStyle w:val="24"/>
                    <w:bidi w:val="0"/>
                    <w:rPr>
                      <w:rFonts w:hint="default"/>
                      <w:color w:val="auto"/>
                    </w:rPr>
                  </w:pPr>
                </w:p>
              </w:tc>
              <w:tc>
                <w:tcPr>
                  <w:tcW w:w="170" w:type="pct"/>
                  <w:vMerge w:val="continue"/>
                  <w:shd w:val="clear" w:color="auto" w:fill="auto"/>
                  <w:noWrap/>
                  <w:vAlign w:val="center"/>
                </w:tcPr>
                <w:p>
                  <w:pPr>
                    <w:pStyle w:val="24"/>
                    <w:bidi w:val="0"/>
                    <w:rPr>
                      <w:rFonts w:hint="default"/>
                      <w:color w:val="auto"/>
                    </w:rPr>
                  </w:pPr>
                </w:p>
              </w:tc>
              <w:tc>
                <w:tcPr>
                  <w:tcW w:w="340" w:type="pct"/>
                  <w:vMerge w:val="continue"/>
                  <w:shd w:val="clear" w:color="auto" w:fill="auto"/>
                  <w:noWrap/>
                  <w:vAlign w:val="center"/>
                </w:tcPr>
                <w:p>
                  <w:pPr>
                    <w:pStyle w:val="24"/>
                    <w:bidi w:val="0"/>
                    <w:rPr>
                      <w:rFonts w:hint="default"/>
                      <w:color w:val="auto"/>
                    </w:rPr>
                  </w:pPr>
                </w:p>
              </w:tc>
              <w:tc>
                <w:tcPr>
                  <w:tcW w:w="275" w:type="pct"/>
                  <w:vMerge w:val="continue"/>
                  <w:shd w:val="clear" w:color="auto" w:fill="auto"/>
                  <w:noWrap/>
                  <w:vAlign w:val="center"/>
                </w:tcPr>
                <w:p>
                  <w:pPr>
                    <w:pStyle w:val="24"/>
                    <w:bidi w:val="0"/>
                    <w:rPr>
                      <w:rFonts w:hint="default"/>
                      <w:color w:val="auto"/>
                      <w:lang w:val="en-US" w:eastAsia="zh-CN"/>
                    </w:rPr>
                  </w:pPr>
                </w:p>
              </w:tc>
              <w:tc>
                <w:tcPr>
                  <w:tcW w:w="386" w:type="pct"/>
                  <w:shd w:val="clear" w:color="auto" w:fill="auto"/>
                  <w:noWrap/>
                  <w:vAlign w:val="center"/>
                </w:tcPr>
                <w:p>
                  <w:pPr>
                    <w:pStyle w:val="24"/>
                    <w:bidi w:val="0"/>
                    <w:rPr>
                      <w:rFonts w:hint="default"/>
                      <w:color w:val="auto"/>
                    </w:rPr>
                  </w:pPr>
                  <w:r>
                    <w:rPr>
                      <w:rFonts w:hint="default"/>
                      <w:color w:val="auto"/>
                      <w:lang w:val="en-US" w:eastAsia="zh-CN"/>
                    </w:rPr>
                    <w:t>NO</w:t>
                  </w:r>
                  <w:r>
                    <w:rPr>
                      <w:rFonts w:hint="default"/>
                      <w:color w:val="auto"/>
                      <w:vertAlign w:val="subscript"/>
                      <w:lang w:val="en-US" w:eastAsia="zh-CN"/>
                    </w:rPr>
                    <w:t>x</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0.505</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0.210</w:t>
                  </w:r>
                </w:p>
              </w:tc>
              <w:tc>
                <w:tcPr>
                  <w:tcW w:w="455" w:type="pct"/>
                  <w:shd w:val="clear" w:color="auto" w:fill="auto"/>
                  <w:noWrap/>
                  <w:vAlign w:val="center"/>
                </w:tcPr>
                <w:p>
                  <w:pPr>
                    <w:pStyle w:val="24"/>
                    <w:bidi w:val="0"/>
                    <w:rPr>
                      <w:rFonts w:hint="default" w:eastAsia="宋体"/>
                      <w:color w:val="auto"/>
                      <w:lang w:val="en-US" w:eastAsia="zh-CN"/>
                    </w:rPr>
                  </w:pPr>
                  <w:r>
                    <w:rPr>
                      <w:rFonts w:hint="eastAsia"/>
                      <w:color w:val="auto"/>
                      <w:lang w:val="en-US" w:eastAsia="zh-CN"/>
                    </w:rPr>
                    <w:t>21.038</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100%</w:t>
                  </w:r>
                </w:p>
              </w:tc>
              <w:tc>
                <w:tcPr>
                  <w:tcW w:w="439" w:type="pct"/>
                  <w:vMerge w:val="continue"/>
                  <w:shd w:val="clear" w:color="auto" w:fill="auto"/>
                  <w:noWrap/>
                  <w:vAlign w:val="center"/>
                </w:tcPr>
                <w:p>
                  <w:pPr>
                    <w:pStyle w:val="24"/>
                    <w:bidi w:val="0"/>
                    <w:rPr>
                      <w:rFonts w:hint="default"/>
                      <w:color w:val="auto"/>
                    </w:rPr>
                  </w:pPr>
                </w:p>
              </w:tc>
              <w:tc>
                <w:tcPr>
                  <w:tcW w:w="298" w:type="pct"/>
                  <w:shd w:val="clear" w:color="auto" w:fill="auto"/>
                  <w:noWrap/>
                  <w:vAlign w:val="center"/>
                </w:tcPr>
                <w:p>
                  <w:pPr>
                    <w:pStyle w:val="24"/>
                    <w:bidi w:val="0"/>
                    <w:rPr>
                      <w:rFonts w:hint="default"/>
                      <w:color w:val="auto"/>
                    </w:rPr>
                  </w:pPr>
                  <w:r>
                    <w:rPr>
                      <w:rFonts w:hint="default"/>
                      <w:color w:val="auto"/>
                      <w:lang w:val="en-US" w:eastAsia="zh-CN"/>
                    </w:rPr>
                    <w:t>0</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0.505</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0.210</w:t>
                  </w:r>
                </w:p>
              </w:tc>
              <w:tc>
                <w:tcPr>
                  <w:tcW w:w="344" w:type="pct"/>
                  <w:shd w:val="clear" w:color="auto" w:fill="auto"/>
                  <w:noWrap/>
                  <w:vAlign w:val="center"/>
                </w:tcPr>
                <w:p>
                  <w:pPr>
                    <w:pStyle w:val="24"/>
                    <w:bidi w:val="0"/>
                    <w:rPr>
                      <w:rFonts w:hint="default" w:eastAsia="宋体"/>
                      <w:color w:val="auto"/>
                      <w:lang w:val="en-US" w:eastAsia="zh-CN"/>
                    </w:rPr>
                  </w:pPr>
                  <w:r>
                    <w:rPr>
                      <w:rFonts w:hint="eastAsia"/>
                      <w:color w:val="auto"/>
                      <w:lang w:val="en-US" w:eastAsia="zh-CN"/>
                    </w:rPr>
                    <w:t>21.038</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 w:hRule="atLeast"/>
              </w:trPr>
              <w:tc>
                <w:tcPr>
                  <w:tcW w:w="264" w:type="pct"/>
                  <w:tcBorders>
                    <w:left w:val="nil"/>
                  </w:tcBorders>
                  <w:shd w:val="clear" w:color="auto" w:fill="auto"/>
                  <w:noWrap/>
                  <w:vAlign w:val="center"/>
                </w:tcPr>
                <w:p>
                  <w:pPr>
                    <w:pStyle w:val="24"/>
                    <w:bidi w:val="0"/>
                    <w:rPr>
                      <w:rFonts w:hint="default"/>
                      <w:color w:val="auto"/>
                    </w:rPr>
                  </w:pPr>
                  <w:r>
                    <w:rPr>
                      <w:rFonts w:hint="default"/>
                      <w:color w:val="auto"/>
                      <w:lang w:val="en-US" w:eastAsia="zh-CN"/>
                    </w:rPr>
                    <w:t>喷粉</w:t>
                  </w:r>
                </w:p>
              </w:tc>
              <w:tc>
                <w:tcPr>
                  <w:tcW w:w="170" w:type="pct"/>
                  <w:shd w:val="clear" w:color="auto" w:fill="auto"/>
                  <w:noWrap/>
                  <w:vAlign w:val="center"/>
                </w:tcPr>
                <w:p>
                  <w:pPr>
                    <w:pStyle w:val="24"/>
                    <w:bidi w:val="0"/>
                    <w:rPr>
                      <w:rFonts w:hint="default"/>
                      <w:color w:val="auto"/>
                      <w:lang w:val="en-US" w:eastAsia="zh-CN"/>
                    </w:rPr>
                  </w:pPr>
                  <w:r>
                    <w:rPr>
                      <w:rFonts w:hint="eastAsia"/>
                      <w:color w:val="auto"/>
                      <w:lang w:val="en-US" w:eastAsia="zh-CN"/>
                    </w:rPr>
                    <w:t>无组织</w:t>
                  </w:r>
                </w:p>
              </w:tc>
              <w:tc>
                <w:tcPr>
                  <w:tcW w:w="340" w:type="pct"/>
                  <w:shd w:val="clear" w:color="auto" w:fill="auto"/>
                  <w:noWrap/>
                  <w:vAlign w:val="center"/>
                </w:tcPr>
                <w:p>
                  <w:pPr>
                    <w:pStyle w:val="24"/>
                    <w:bidi w:val="0"/>
                    <w:rPr>
                      <w:rFonts w:hint="default"/>
                      <w:color w:val="auto"/>
                    </w:rPr>
                  </w:pPr>
                  <w:r>
                    <w:rPr>
                      <w:rFonts w:hint="default"/>
                      <w:color w:val="auto"/>
                      <w:lang w:val="en-US" w:eastAsia="zh-CN"/>
                    </w:rPr>
                    <w:t>/</w:t>
                  </w:r>
                </w:p>
              </w:tc>
              <w:tc>
                <w:tcPr>
                  <w:tcW w:w="275" w:type="pct"/>
                  <w:shd w:val="clear" w:color="auto" w:fill="auto"/>
                  <w:noWrap/>
                  <w:vAlign w:val="center"/>
                </w:tcPr>
                <w:p>
                  <w:pPr>
                    <w:pStyle w:val="24"/>
                    <w:bidi w:val="0"/>
                    <w:rPr>
                      <w:rFonts w:hint="default"/>
                      <w:color w:val="auto"/>
                      <w:lang w:val="en-US" w:eastAsia="zh-CN"/>
                    </w:rPr>
                  </w:pPr>
                  <w:r>
                    <w:rPr>
                      <w:rFonts w:hint="eastAsia"/>
                      <w:color w:val="auto"/>
                      <w:lang w:val="en-US" w:eastAsia="zh-CN"/>
                    </w:rPr>
                    <w:t>/</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颗粒物</w:t>
                  </w:r>
                </w:p>
              </w:tc>
              <w:tc>
                <w:tcPr>
                  <w:tcW w:w="288" w:type="pct"/>
                  <w:shd w:val="clear" w:color="auto" w:fill="auto"/>
                  <w:noWrap/>
                  <w:vAlign w:val="center"/>
                </w:tcPr>
                <w:p>
                  <w:pPr>
                    <w:pStyle w:val="24"/>
                    <w:bidi w:val="0"/>
                    <w:rPr>
                      <w:rFonts w:hint="default"/>
                      <w:color w:val="auto"/>
                    </w:rPr>
                  </w:pPr>
                  <w:r>
                    <w:rPr>
                      <w:rFonts w:hint="default"/>
                      <w:color w:val="auto"/>
                      <w:lang w:val="en-US" w:eastAsia="zh-CN"/>
                    </w:rPr>
                    <w:t>15.00</w:t>
                  </w:r>
                </w:p>
              </w:tc>
              <w:tc>
                <w:tcPr>
                  <w:tcW w:w="386" w:type="pct"/>
                  <w:shd w:val="clear" w:color="auto" w:fill="auto"/>
                  <w:noWrap/>
                  <w:vAlign w:val="center"/>
                </w:tcPr>
                <w:p>
                  <w:pPr>
                    <w:pStyle w:val="24"/>
                    <w:bidi w:val="0"/>
                    <w:rPr>
                      <w:rFonts w:hint="default"/>
                      <w:color w:val="auto"/>
                    </w:rPr>
                  </w:pPr>
                  <w:r>
                    <w:rPr>
                      <w:rFonts w:hint="default"/>
                      <w:color w:val="auto"/>
                      <w:lang w:val="en-US" w:eastAsia="zh-CN"/>
                    </w:rPr>
                    <w:t>6.250</w:t>
                  </w:r>
                </w:p>
              </w:tc>
              <w:tc>
                <w:tcPr>
                  <w:tcW w:w="455" w:type="pct"/>
                  <w:shd w:val="clear" w:color="auto" w:fill="auto"/>
                  <w:noWrap/>
                  <w:vAlign w:val="center"/>
                </w:tcPr>
                <w:p>
                  <w:pPr>
                    <w:pStyle w:val="24"/>
                    <w:bidi w:val="0"/>
                    <w:rPr>
                      <w:rFonts w:hint="default"/>
                      <w:color w:val="auto"/>
                    </w:rPr>
                  </w:pPr>
                  <w:r>
                    <w:rPr>
                      <w:rFonts w:hint="default"/>
                      <w:color w:val="auto"/>
                      <w:lang w:val="en-US" w:eastAsia="zh-CN"/>
                    </w:rPr>
                    <w:t>/</w:t>
                  </w:r>
                </w:p>
              </w:tc>
              <w:tc>
                <w:tcPr>
                  <w:tcW w:w="304" w:type="pct"/>
                  <w:shd w:val="clear" w:color="auto" w:fill="auto"/>
                  <w:noWrap/>
                  <w:vAlign w:val="center"/>
                </w:tcPr>
                <w:p>
                  <w:pPr>
                    <w:pStyle w:val="24"/>
                    <w:bidi w:val="0"/>
                    <w:rPr>
                      <w:rFonts w:hint="default"/>
                      <w:color w:val="auto"/>
                    </w:rPr>
                  </w:pPr>
                  <w:r>
                    <w:rPr>
                      <w:rFonts w:hint="default"/>
                      <w:color w:val="auto"/>
                      <w:lang w:val="en-US" w:eastAsia="zh-CN"/>
                    </w:rPr>
                    <w:t>95%</w:t>
                  </w:r>
                </w:p>
              </w:tc>
              <w:tc>
                <w:tcPr>
                  <w:tcW w:w="439" w:type="pct"/>
                  <w:shd w:val="clear" w:color="auto" w:fill="auto"/>
                  <w:noWrap/>
                  <w:vAlign w:val="center"/>
                </w:tcPr>
                <w:p>
                  <w:pPr>
                    <w:pStyle w:val="24"/>
                    <w:bidi w:val="0"/>
                    <w:rPr>
                      <w:rFonts w:hint="default"/>
                      <w:color w:val="auto"/>
                    </w:rPr>
                  </w:pPr>
                  <w:r>
                    <w:rPr>
                      <w:rFonts w:hint="default"/>
                      <w:color w:val="auto"/>
                      <w:lang w:val="en-US" w:eastAsia="zh-CN"/>
                    </w:rPr>
                    <w:t>脉冲滤芯除尘器</w:t>
                  </w:r>
                </w:p>
              </w:tc>
              <w:tc>
                <w:tcPr>
                  <w:tcW w:w="298" w:type="pct"/>
                  <w:shd w:val="clear" w:color="auto" w:fill="auto"/>
                  <w:noWrap/>
                  <w:vAlign w:val="center"/>
                </w:tcPr>
                <w:p>
                  <w:pPr>
                    <w:pStyle w:val="24"/>
                    <w:bidi w:val="0"/>
                    <w:rPr>
                      <w:rFonts w:hint="default"/>
                      <w:color w:val="auto"/>
                    </w:rPr>
                  </w:pPr>
                  <w:r>
                    <w:rPr>
                      <w:rFonts w:hint="default"/>
                      <w:color w:val="auto"/>
                      <w:lang w:val="en-US" w:eastAsia="zh-CN"/>
                    </w:rPr>
                    <w:t>99.75%</w:t>
                  </w:r>
                </w:p>
              </w:tc>
              <w:tc>
                <w:tcPr>
                  <w:tcW w:w="291" w:type="pct"/>
                  <w:shd w:val="clear" w:color="auto" w:fill="auto"/>
                  <w:noWrap/>
                  <w:vAlign w:val="center"/>
                </w:tcPr>
                <w:p>
                  <w:pPr>
                    <w:pStyle w:val="24"/>
                    <w:bidi w:val="0"/>
                    <w:rPr>
                      <w:rFonts w:hint="default"/>
                      <w:color w:val="auto"/>
                    </w:rPr>
                  </w:pPr>
                  <w:r>
                    <w:rPr>
                      <w:rFonts w:hint="default"/>
                      <w:color w:val="auto"/>
                      <w:lang w:val="en-US" w:eastAsia="zh-CN"/>
                    </w:rPr>
                    <w:t>/</w:t>
                  </w:r>
                </w:p>
              </w:tc>
              <w:tc>
                <w:tcPr>
                  <w:tcW w:w="376" w:type="pct"/>
                  <w:shd w:val="clear" w:color="auto" w:fill="auto"/>
                  <w:noWrap/>
                  <w:vAlign w:val="center"/>
                </w:tcPr>
                <w:p>
                  <w:pPr>
                    <w:pStyle w:val="24"/>
                    <w:bidi w:val="0"/>
                    <w:rPr>
                      <w:rFonts w:hint="default"/>
                      <w:color w:val="auto"/>
                    </w:rPr>
                  </w:pPr>
                  <w:r>
                    <w:rPr>
                      <w:rFonts w:hint="default"/>
                      <w:color w:val="auto"/>
                      <w:lang w:val="en-US" w:eastAsia="zh-CN"/>
                    </w:rPr>
                    <w:t>/</w:t>
                  </w:r>
                </w:p>
              </w:tc>
              <w:tc>
                <w:tcPr>
                  <w:tcW w:w="344" w:type="pct"/>
                  <w:shd w:val="clear" w:color="auto" w:fill="auto"/>
                  <w:noWrap/>
                  <w:vAlign w:val="center"/>
                </w:tcPr>
                <w:p>
                  <w:pPr>
                    <w:pStyle w:val="24"/>
                    <w:bidi w:val="0"/>
                    <w:rPr>
                      <w:rFonts w:hint="default"/>
                      <w:color w:val="auto"/>
                    </w:rPr>
                  </w:pPr>
                  <w:r>
                    <w:rPr>
                      <w:rFonts w:hint="default"/>
                      <w:color w:val="auto"/>
                      <w:lang w:val="en-US" w:eastAsia="zh-CN"/>
                    </w:rPr>
                    <w:t>/</w:t>
                  </w:r>
                </w:p>
              </w:tc>
              <w:tc>
                <w:tcPr>
                  <w:tcW w:w="377" w:type="pct"/>
                  <w:tcBorders>
                    <w:right w:val="nil"/>
                  </w:tcBorders>
                  <w:shd w:val="clear" w:color="auto" w:fill="auto"/>
                  <w:noWrap/>
                  <w:vAlign w:val="center"/>
                </w:tcPr>
                <w:p>
                  <w:pPr>
                    <w:pStyle w:val="24"/>
                    <w:bidi w:val="0"/>
                    <w:rPr>
                      <w:rFonts w:hint="default"/>
                      <w:color w:val="auto"/>
                    </w:rPr>
                  </w:pPr>
                  <w:r>
                    <w:rPr>
                      <w:rFonts w:hint="default"/>
                      <w:color w:val="auto"/>
                      <w:lang w:val="en-US" w:eastAsia="zh-CN"/>
                    </w:rPr>
                    <w:t>0.750</w:t>
                  </w:r>
                </w:p>
              </w:tc>
            </w:tr>
          </w:tbl>
          <w:p>
            <w:pPr>
              <w:pStyle w:val="15"/>
              <w:keepLines/>
              <w:adjustRightInd w:val="0"/>
              <w:snapToGrid w:val="0"/>
              <w:spacing w:beforeAutospacing="0" w:afterAutospacing="0" w:line="240" w:lineRule="auto"/>
              <w:jc w:val="center"/>
              <w:rPr>
                <w:rFonts w:hint="eastAsia" w:cs="宋体"/>
                <w:sz w:val="21"/>
                <w:szCs w:val="21"/>
              </w:rPr>
            </w:pPr>
          </w:p>
        </w:tc>
      </w:tr>
    </w:tbl>
    <w:p>
      <w:pPr>
        <w:pStyle w:val="15"/>
        <w:keepLines/>
        <w:adjustRightInd w:val="0"/>
        <w:snapToGrid w:val="0"/>
        <w:spacing w:beforeAutospacing="0" w:afterAutospacing="0" w:line="240" w:lineRule="auto"/>
        <w:jc w:val="center"/>
        <w:rPr>
          <w:rFonts w:hint="eastAsia" w:cs="宋体"/>
          <w:sz w:val="21"/>
          <w:szCs w:val="21"/>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tbl>
      <w:tblPr>
        <w:tblStyle w:val="1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4"/>
        <w:gridCol w:w="83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79" w:hRule="atLeast"/>
          <w:jc w:val="center"/>
        </w:trPr>
        <w:tc>
          <w:tcPr>
            <w:tcW w:w="624" w:type="dxa"/>
            <w:tcMar>
              <w:left w:w="28" w:type="dxa"/>
              <w:right w:w="28" w:type="dxa"/>
            </w:tcMar>
            <w:vAlign w:val="center"/>
          </w:tcPr>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运营</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期环</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境影</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响和</w:t>
            </w:r>
          </w:p>
          <w:p>
            <w:pPr>
              <w:pStyle w:val="15"/>
              <w:keepLines/>
              <w:adjustRightInd w:val="0"/>
              <w:snapToGrid w:val="0"/>
              <w:spacing w:beforeAutospacing="0" w:afterAutospacing="0" w:line="240" w:lineRule="auto"/>
              <w:jc w:val="center"/>
              <w:rPr>
                <w:rFonts w:hint="eastAsia" w:cs="宋体"/>
                <w:szCs w:val="24"/>
              </w:rPr>
            </w:pPr>
            <w:r>
              <w:rPr>
                <w:rFonts w:hint="eastAsia" w:cs="宋体"/>
                <w:szCs w:val="24"/>
              </w:rPr>
              <w:t>保护</w:t>
            </w:r>
          </w:p>
          <w:p>
            <w:pPr>
              <w:pStyle w:val="15"/>
              <w:keepLines/>
              <w:adjustRightInd w:val="0"/>
              <w:snapToGrid w:val="0"/>
              <w:spacing w:beforeAutospacing="0" w:afterAutospacing="0" w:line="240" w:lineRule="auto"/>
              <w:jc w:val="center"/>
              <w:rPr>
                <w:rFonts w:hint="eastAsia" w:cs="宋体"/>
                <w:sz w:val="21"/>
                <w:szCs w:val="21"/>
              </w:rPr>
            </w:pPr>
            <w:r>
              <w:rPr>
                <w:rFonts w:hint="eastAsia" w:cs="宋体"/>
                <w:szCs w:val="24"/>
              </w:rPr>
              <w:t>措施</w:t>
            </w:r>
          </w:p>
        </w:tc>
        <w:tc>
          <w:tcPr>
            <w:tcW w:w="8357" w:type="dxa"/>
            <w:vAlign w:val="center"/>
          </w:tcPr>
          <w:p>
            <w:pPr>
              <w:pStyle w:val="3"/>
              <w:ind w:firstLine="482"/>
            </w:pPr>
            <w:r>
              <w:rPr>
                <w:rFonts w:hint="eastAsia"/>
              </w:rPr>
              <w:t>2）废气源强核算过程</w:t>
            </w:r>
          </w:p>
          <w:p>
            <w:pPr>
              <w:pStyle w:val="4"/>
              <w:ind w:firstLine="482"/>
              <w:rPr>
                <w:rFonts w:hint="default" w:eastAsia="宋体"/>
                <w:lang w:val="en-US" w:eastAsia="zh-CN"/>
              </w:rPr>
            </w:pPr>
            <w:r>
              <w:rPr>
                <w:rFonts w:hint="eastAsia"/>
              </w:rPr>
              <w:t>（1）</w:t>
            </w:r>
            <w:r>
              <w:rPr>
                <w:rFonts w:hint="eastAsia"/>
                <w:lang w:val="en-US" w:eastAsia="zh-CN"/>
              </w:rPr>
              <w:t>焊接废气</w:t>
            </w:r>
          </w:p>
          <w:p>
            <w:pPr>
              <w:ind w:firstLine="480"/>
            </w:pPr>
            <w:r>
              <w:rPr>
                <w:rFonts w:hint="eastAsia"/>
              </w:rPr>
              <w:t>五金加工工序包括焊接、冲孔、压型、修边等工作。项目使用焊接机</w:t>
            </w:r>
            <w:r>
              <w:rPr>
                <w:rFonts w:hint="eastAsia"/>
                <w:lang w:val="en-US" w:eastAsia="zh-CN"/>
              </w:rPr>
              <w:t>在固定点位</w:t>
            </w:r>
            <w:r>
              <w:rPr>
                <w:rFonts w:hint="eastAsia"/>
              </w:rPr>
              <w:t>对工件进行焊接，焊接过程中会产生焊接金属烟尘废气，主要为颗粒物。本项目使用实芯焊丝，用量为1.5t/a，参照《排放源统计调查产排污核算方法和系数手册》中“33-37，431-434机械行业系数手册”，焊接的颗粒物产污系数为9.19千克/吨-原料，</w:t>
            </w:r>
            <w:r>
              <w:rPr>
                <w:rFonts w:hint="eastAsia"/>
                <w:u w:val="single"/>
              </w:rPr>
              <w:t>焊接废气经集气罩收集后合并到</w:t>
            </w:r>
            <w:r>
              <w:rPr>
                <w:rFonts w:hint="eastAsia"/>
                <w:u w:val="single"/>
                <w:lang w:val="en-US" w:eastAsia="zh-CN"/>
              </w:rPr>
              <w:t>1</w:t>
            </w:r>
            <w:r>
              <w:rPr>
                <w:rFonts w:hint="eastAsia"/>
                <w:u w:val="single"/>
              </w:rPr>
              <w:t>套集中式焊烟净化器净化处理，</w:t>
            </w:r>
            <w:r>
              <w:rPr>
                <w:rFonts w:hint="eastAsia"/>
              </w:rPr>
              <w:t>之后通过2</w:t>
            </w:r>
            <w:r>
              <w:rPr>
                <w:rFonts w:hint="eastAsia"/>
                <w:lang w:val="en-US" w:eastAsia="zh-CN"/>
              </w:rPr>
              <w:t>7</w:t>
            </w:r>
            <w:r>
              <w:rPr>
                <w:rFonts w:hint="eastAsia"/>
              </w:rPr>
              <w:t>m高排气筒DA00</w:t>
            </w:r>
            <w:r>
              <w:rPr>
                <w:rFonts w:hint="eastAsia"/>
                <w:lang w:val="en-US" w:eastAsia="zh-CN"/>
              </w:rPr>
              <w:t>1</w:t>
            </w:r>
            <w:r>
              <w:rPr>
                <w:rFonts w:hint="eastAsia"/>
              </w:rPr>
              <w:t>排放。焊接烟尘净化器收集率为70%，处理效率约为80%，</w:t>
            </w:r>
            <w:r>
              <w:rPr>
                <w:rFonts w:hint="eastAsia"/>
                <w:lang w:val="en-US" w:eastAsia="zh-CN"/>
              </w:rPr>
              <w:t>风机风量为8000m</w:t>
            </w:r>
            <w:r>
              <w:rPr>
                <w:rFonts w:hint="eastAsia"/>
                <w:vertAlign w:val="superscript"/>
                <w:lang w:val="en-US" w:eastAsia="zh-CN"/>
              </w:rPr>
              <w:t>3</w:t>
            </w:r>
            <w:r>
              <w:rPr>
                <w:rFonts w:hint="eastAsia"/>
                <w:lang w:val="en-US" w:eastAsia="zh-CN"/>
              </w:rPr>
              <w:t>/h。</w:t>
            </w:r>
            <w:r>
              <w:rPr>
                <w:rFonts w:hint="eastAsia"/>
              </w:rPr>
              <w:t>项目焊接工序污染物产生情况见下表。</w:t>
            </w:r>
          </w:p>
          <w:p>
            <w:pPr>
              <w:pStyle w:val="37"/>
              <w:spacing w:before="72" w:after="120"/>
              <w:rPr>
                <w:rFonts w:hint="default"/>
              </w:rPr>
            </w:pPr>
            <w:r>
              <w:t>表4-3</w:t>
            </w:r>
            <w:r>
              <w:rPr>
                <w:rFonts w:hint="eastAsia"/>
                <w:lang w:val="en-US" w:eastAsia="zh-CN"/>
              </w:rPr>
              <w:t xml:space="preserve"> 焊接废气</w:t>
            </w:r>
            <w:r>
              <w:t>产生情况</w:t>
            </w:r>
            <w:r>
              <w:rPr>
                <w:rFonts w:hint="eastAsia"/>
                <w:lang w:val="en-US" w:eastAsia="zh-CN"/>
              </w:rPr>
              <w:t>一览</w:t>
            </w:r>
            <w:r>
              <w:t>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73"/>
              <w:gridCol w:w="822"/>
              <w:gridCol w:w="891"/>
              <w:gridCol w:w="1032"/>
              <w:gridCol w:w="897"/>
              <w:gridCol w:w="897"/>
              <w:gridCol w:w="976"/>
              <w:gridCol w:w="1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b/>
                      <w:bCs/>
                      <w:lang w:val="en-US" w:eastAsia="zh-CN"/>
                    </w:rPr>
                  </w:pPr>
                  <w:r>
                    <w:rPr>
                      <w:rFonts w:hint="eastAsia"/>
                      <w:b/>
                      <w:bCs/>
                      <w:lang w:val="en-US" w:eastAsia="zh-CN"/>
                    </w:rPr>
                    <w:t>产污环节</w:t>
                  </w:r>
                </w:p>
              </w:tc>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污染物指标</w:t>
                  </w:r>
                </w:p>
              </w:tc>
              <w:tc>
                <w:tcPr>
                  <w:tcW w:w="50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产生量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（t/a）</w:t>
                  </w:r>
                </w:p>
              </w:tc>
              <w:tc>
                <w:tcPr>
                  <w:tcW w:w="547"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b/>
                      <w:bCs/>
                    </w:rPr>
                    <w:t>产生速率(kg/h)</w:t>
                  </w:r>
                </w:p>
              </w:tc>
              <w:tc>
                <w:tcPr>
                  <w:tcW w:w="634"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b/>
                      <w:bCs/>
                    </w:rPr>
                    <w:t>产生浓度(mg/m</w:t>
                  </w:r>
                  <w:r>
                    <w:rPr>
                      <w:rFonts w:hint="eastAsia"/>
                      <w:b/>
                      <w:bCs/>
                      <w:vertAlign w:val="superscript"/>
                    </w:rPr>
                    <w:t>3</w:t>
                  </w:r>
                  <w:r>
                    <w:rPr>
                      <w:rFonts w:hint="eastAsia"/>
                      <w:b/>
                      <w:bCs/>
                    </w:rPr>
                    <w:t>)</w:t>
                  </w:r>
                </w:p>
              </w:tc>
              <w:tc>
                <w:tcPr>
                  <w:tcW w:w="1701" w:type="pct"/>
                  <w:gridSpan w:val="3"/>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有组织排放</w:t>
                  </w:r>
                </w:p>
              </w:tc>
              <w:tc>
                <w:tcPr>
                  <w:tcW w:w="66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0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47"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634"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(t/a)</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排放速率</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(kg/h)</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排放浓度</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(mg/m</w:t>
                  </w:r>
                  <w:r>
                    <w:rPr>
                      <w:rFonts w:hint="eastAsia"/>
                      <w:b/>
                      <w:bCs/>
                      <w:vertAlign w:val="superscript"/>
                    </w:rPr>
                    <w:t>3</w:t>
                  </w:r>
                  <w:r>
                    <w:rPr>
                      <w:rFonts w:hint="eastAsia"/>
                      <w:b/>
                      <w:bCs/>
                    </w:rPr>
                    <w:t>)</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b/>
                      <w:bCs/>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焊接</w:t>
                  </w: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lang w:val="en-US" w:eastAsia="zh-CN"/>
                    </w:rPr>
                    <w:t>颗粒物</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0.014</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0.006</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0.718</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0.002</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0.001</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0.101</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0.004</w:t>
                  </w:r>
                </w:p>
              </w:tc>
            </w:tr>
          </w:tbl>
          <w:p>
            <w:pPr>
              <w:pStyle w:val="24"/>
            </w:pPr>
          </w:p>
          <w:p>
            <w:pPr>
              <w:pStyle w:val="4"/>
              <w:ind w:firstLine="482"/>
              <w:rPr>
                <w:rFonts w:hint="eastAsia"/>
                <w:u w:val="single"/>
                <w:lang w:val="en-US" w:eastAsia="zh-CN"/>
              </w:rPr>
            </w:pPr>
            <w:r>
              <w:rPr>
                <w:rFonts w:hint="eastAsia"/>
                <w:u w:val="single"/>
              </w:rPr>
              <w:t>（2）</w:t>
            </w:r>
            <w:r>
              <w:rPr>
                <w:rFonts w:hint="eastAsia"/>
                <w:u w:val="single"/>
                <w:lang w:val="en-US" w:eastAsia="zh-CN"/>
              </w:rPr>
              <w:t>酸洗废气</w:t>
            </w:r>
          </w:p>
          <w:p>
            <w:pPr>
              <w:rPr>
                <w:rFonts w:hint="eastAsia"/>
                <w:u w:val="single"/>
                <w:lang w:val="en-US" w:eastAsia="zh-CN"/>
              </w:rPr>
            </w:pPr>
            <w:r>
              <w:rPr>
                <w:rFonts w:hint="eastAsia"/>
                <w:u w:val="single"/>
                <w:lang w:val="en-US" w:eastAsia="zh-CN"/>
              </w:rPr>
              <w:t>本项目酸洗槽尺寸为2.5m×1.1m×1.2m，年工作时间为2400h，盐酸酸洗的过程中将产生盐酸雾（氯化氢），根据</w:t>
            </w:r>
            <w:r>
              <w:rPr>
                <w:rFonts w:hint="eastAsia" w:hAnsi="Cambria Math"/>
                <w:i w:val="0"/>
                <w:u w:val="single"/>
                <w:lang w:val="en-US" w:eastAsia="zh-CN"/>
              </w:rPr>
              <w:t>《环境统计实用手册》，</w:t>
            </w:r>
            <w:r>
              <w:rPr>
                <w:rFonts w:hint="eastAsia"/>
                <w:u w:val="single"/>
                <w:lang w:val="en-US" w:eastAsia="zh-CN"/>
              </w:rPr>
              <w:t>酸洗过程中产生的氯化氢按以下公式计算：</w:t>
            </w:r>
          </w:p>
          <w:p>
            <w:pPr>
              <w:jc w:val="center"/>
              <w:rPr>
                <w:rFonts w:hint="default" w:hAnsi="Cambria Math"/>
                <w:i w:val="0"/>
                <w:color w:val="auto"/>
                <w:u w:val="single"/>
                <w:lang w:val="en-US" w:eastAsia="zh-CN"/>
              </w:rPr>
            </w:pPr>
            <m:oMath>
              <m:sSub>
                <m:sSubPr>
                  <m:ctrlPr>
                    <w:rPr>
                      <w:rFonts w:ascii="Cambria Math" w:hAnsi="Cambria Math"/>
                      <w:i/>
                      <w:color w:val="auto"/>
                      <w:u w:val="single"/>
                      <w:lang w:val="en-US"/>
                    </w:rPr>
                  </m:ctrlPr>
                </m:sSubPr>
                <m:e>
                  <m:r>
                    <m:rPr/>
                    <w:rPr>
                      <w:rFonts w:hint="default" w:ascii="Cambria Math" w:hAnsi="Cambria Math"/>
                      <w:color w:val="auto"/>
                      <w:u w:val="single"/>
                      <w:lang w:val="en-US" w:eastAsia="zh-CN"/>
                    </w:rPr>
                    <m:t>G</m:t>
                  </m:r>
                  <m:ctrlPr>
                    <w:rPr>
                      <w:rFonts w:ascii="Cambria Math" w:hAnsi="Cambria Math"/>
                      <w:i/>
                      <w:color w:val="auto"/>
                      <w:u w:val="single"/>
                      <w:lang w:val="en-US"/>
                    </w:rPr>
                  </m:ctrlPr>
                </m:e>
                <m:sub>
                  <m:r>
                    <m:rPr/>
                    <w:rPr>
                      <w:rFonts w:hint="default" w:ascii="Cambria Math" w:hAnsi="Cambria Math"/>
                      <w:color w:val="auto"/>
                      <w:u w:val="single"/>
                      <w:lang w:val="en-US" w:eastAsia="zh-CN"/>
                    </w:rPr>
                    <m:t>z</m:t>
                  </m:r>
                  <m:ctrlPr>
                    <w:rPr>
                      <w:rFonts w:ascii="Cambria Math" w:hAnsi="Cambria Math"/>
                      <w:i/>
                      <w:color w:val="auto"/>
                      <w:u w:val="single"/>
                      <w:lang w:val="en-US"/>
                    </w:rPr>
                  </m:ctrlPr>
                </m:sub>
              </m:sSub>
              <m:r>
                <m:rPr/>
                <w:rPr>
                  <w:rFonts w:hint="default" w:ascii="Cambria Math" w:hAnsi="Cambria Math"/>
                  <w:color w:val="auto"/>
                  <w:u w:val="single"/>
                  <w:lang w:val="en-US" w:eastAsia="zh-CN"/>
                </w:rPr>
                <m:t>=M(0.000352+0.000786v)</m:t>
              </m:r>
              <m:r>
                <m:rPr/>
                <w:rPr>
                  <w:rFonts w:hint="default" w:ascii="Cambria Math" w:hAnsi="Cambria Math" w:cs="Cambria Math"/>
                  <w:color w:val="auto"/>
                  <w:u w:val="single"/>
                  <w:lang w:val="en-US" w:eastAsia="zh-CN"/>
                </w:rPr>
                <m:t>×</m:t>
              </m:r>
              <m:r>
                <m:rPr/>
                <w:rPr>
                  <w:rFonts w:hint="default" w:ascii="Cambria Math" w:hAnsi="Cambria Math"/>
                  <w:color w:val="auto"/>
                  <w:u w:val="single"/>
                  <w:lang w:val="en-US" w:eastAsia="zh-CN"/>
                </w:rPr>
                <m:t>P</m:t>
              </m:r>
            </m:oMath>
            <w:r>
              <w:rPr>
                <w:rFonts w:hint="default" w:ascii="Arial" w:hAnsi="Arial" w:cs="Arial"/>
                <w:i/>
                <w:color w:val="auto"/>
                <w:u w:val="single"/>
                <w:lang w:val="en-US" w:eastAsia="zh-CN"/>
              </w:rPr>
              <w:t>×</w:t>
            </w:r>
            <w:r>
              <w:rPr>
                <w:rFonts w:hint="eastAsia" w:hAnsi="Cambria Math"/>
                <w:i/>
                <w:color w:val="auto"/>
                <w:u w:val="single"/>
                <w:lang w:val="en-US" w:eastAsia="zh-CN"/>
              </w:rPr>
              <w:t>F</w:t>
            </w:r>
          </w:p>
          <w:p>
            <w:pPr>
              <w:rPr>
                <w:rFonts w:hint="eastAsia" w:hAnsi="Cambria Math"/>
                <w:i w:val="0"/>
                <w:u w:val="single"/>
                <w:lang w:val="en-US" w:eastAsia="zh-CN"/>
              </w:rPr>
            </w:pPr>
            <w:r>
              <w:rPr>
                <w:rFonts w:hint="eastAsia" w:hAnsi="Cambria Math"/>
                <w:i w:val="0"/>
                <w:u w:val="single"/>
                <w:lang w:val="en-US" w:eastAsia="zh-CN"/>
              </w:rPr>
              <w:t>其中，</w:t>
            </w:r>
            <m:oMath>
              <m:sSub>
                <m:sSubPr>
                  <m:ctrlPr>
                    <w:rPr>
                      <w:rFonts w:ascii="Cambria Math" w:hAnsi="Cambria Math"/>
                      <w:i/>
                      <w:u w:val="single"/>
                      <w:lang w:val="en-US"/>
                    </w:rPr>
                  </m:ctrlPr>
                </m:sSubPr>
                <m:e>
                  <m:r>
                    <m:rPr/>
                    <w:rPr>
                      <w:rFonts w:hint="default" w:ascii="Cambria Math" w:hAnsi="Cambria Math"/>
                      <w:u w:val="single"/>
                      <w:lang w:val="en-US" w:eastAsia="zh-CN"/>
                    </w:rPr>
                    <m:t>G</m:t>
                  </m:r>
                  <m:ctrlPr>
                    <w:rPr>
                      <w:rFonts w:ascii="Cambria Math" w:hAnsi="Cambria Math"/>
                      <w:i/>
                      <w:u w:val="single"/>
                      <w:lang w:val="en-US"/>
                    </w:rPr>
                  </m:ctrlPr>
                </m:e>
                <m:sub>
                  <m:r>
                    <m:rPr/>
                    <w:rPr>
                      <w:rFonts w:hint="default" w:ascii="Cambria Math" w:hAnsi="Cambria Math"/>
                      <w:u w:val="single"/>
                      <w:lang w:val="en-US" w:eastAsia="zh-CN"/>
                    </w:rPr>
                    <m:t>z</m:t>
                  </m:r>
                  <m:ctrlPr>
                    <w:rPr>
                      <w:rFonts w:ascii="Cambria Math" w:hAnsi="Cambria Math"/>
                      <w:i/>
                      <w:u w:val="single"/>
                      <w:lang w:val="en-US"/>
                    </w:rPr>
                  </m:ctrlPr>
                </m:sub>
              </m:sSub>
            </m:oMath>
            <w:r>
              <w:rPr>
                <w:rFonts w:hint="eastAsia" w:hAnsi="Cambria Math"/>
                <w:i w:val="0"/>
                <w:u w:val="single"/>
                <w:lang w:val="en-US" w:eastAsia="zh-CN"/>
              </w:rPr>
              <w:t>——液体的蒸发量（kg/h）；</w:t>
            </w:r>
          </w:p>
          <w:p>
            <w:pPr>
              <w:rPr>
                <w:rFonts w:hint="eastAsia" w:hAnsi="Cambria Math"/>
                <w:i w:val="0"/>
                <w:u w:val="single"/>
                <w:lang w:val="en-US" w:eastAsia="zh-CN"/>
              </w:rPr>
            </w:pPr>
            <w:r>
              <w:rPr>
                <w:rFonts w:hint="eastAsia" w:hAnsi="Cambria Math"/>
                <w:i w:val="0"/>
                <w:u w:val="single"/>
                <w:lang w:val="en-US" w:eastAsia="zh-CN"/>
              </w:rPr>
              <w:t>M——液体的分子量，盐酸取36.5；</w:t>
            </w:r>
          </w:p>
          <w:p>
            <w:pPr>
              <w:rPr>
                <w:rFonts w:hint="eastAsia" w:hAnsi="Cambria Math"/>
                <w:i w:val="0"/>
                <w:u w:val="single"/>
                <w:lang w:val="en-US" w:eastAsia="zh-CN"/>
              </w:rPr>
            </w:pPr>
            <w:r>
              <w:rPr>
                <w:rFonts w:hint="eastAsia" w:hAnsi="Cambria Math"/>
                <w:i w:val="0"/>
                <w:u w:val="single"/>
                <w:lang w:val="en-US" w:eastAsia="zh-CN"/>
              </w:rPr>
              <w:t>v——蒸发液体表面上的空气流速，m/s，无条件实测时一般可取0.2~0.5，本次计算取0.4m/s；</w:t>
            </w:r>
          </w:p>
          <w:p>
            <w:pPr>
              <w:rPr>
                <w:rFonts w:hint="eastAsia" w:hAnsi="Cambria Math"/>
                <w:i w:val="0"/>
                <w:u w:val="single"/>
                <w:lang w:val="en-US" w:eastAsia="zh-CN"/>
              </w:rPr>
            </w:pPr>
            <w:r>
              <w:rPr>
                <w:rFonts w:hint="eastAsia" w:hAnsi="Cambria Math"/>
                <w:i w:val="0"/>
                <w:u w:val="single"/>
                <w:lang w:val="en-US" w:eastAsia="zh-CN"/>
              </w:rPr>
              <w:t>P——相应于液体温度下的空气中的蒸汽分压力，mmHg；v和P取值从《环境统计实用手册》中查取，P取0.148mmHg。</w:t>
            </w:r>
          </w:p>
          <w:p>
            <w:pPr>
              <w:rPr>
                <w:rFonts w:hint="eastAsia" w:hAnsi="Cambria Math"/>
                <w:i w:val="0"/>
                <w:u w:val="single"/>
                <w:lang w:val="en-US" w:eastAsia="zh-CN"/>
              </w:rPr>
            </w:pPr>
            <w:r>
              <w:rPr>
                <w:rFonts w:hint="eastAsia" w:hAnsi="Cambria Math"/>
                <w:i w:val="0"/>
                <w:u w:val="single"/>
                <w:lang w:val="en-US" w:eastAsia="zh-CN"/>
              </w:rPr>
              <w:t>F——液体蒸发的表面积，为2.75m</w:t>
            </w:r>
            <w:r>
              <w:rPr>
                <w:rFonts w:hint="eastAsia" w:hAnsi="Cambria Math"/>
                <w:i w:val="0"/>
                <w:u w:val="single"/>
                <w:vertAlign w:val="superscript"/>
                <w:lang w:val="en-US" w:eastAsia="zh-CN"/>
              </w:rPr>
              <w:t>2</w:t>
            </w:r>
            <w:r>
              <w:rPr>
                <w:rFonts w:hint="eastAsia" w:hAnsi="Cambria Math"/>
                <w:i w:val="0"/>
                <w:u w:val="single"/>
                <w:lang w:val="en-US" w:eastAsia="zh-CN"/>
              </w:rPr>
              <w:t>。</w:t>
            </w:r>
          </w:p>
          <w:p>
            <w:pPr>
              <w:ind w:firstLine="480"/>
              <w:rPr>
                <w:rFonts w:hint="eastAsia" w:hAnsi="Cambria Math" w:eastAsia="宋体"/>
                <w:i w:val="0"/>
                <w:u w:val="single"/>
                <w:lang w:val="en-US" w:eastAsia="zh-CN"/>
              </w:rPr>
            </w:pPr>
            <w:r>
              <w:rPr>
                <w:rFonts w:hint="eastAsia" w:hAnsi="Cambria Math"/>
                <w:i w:val="0"/>
                <w:u w:val="single"/>
                <w:lang w:val="en-US" w:eastAsia="zh-CN"/>
              </w:rPr>
              <w:t>酸洗产生的盐酸雾经槽边排风罩收集后送至碱液喷淋塔进行处理，由于酸洗槽的宽为1.1m，所以采用双侧抽风。计酸雾收集效率为90%，本项目设置1台碱液喷淋塔，处理效率为90%，经碱液喷淋塔处理后的气体经1根27m高的排气筒（</w:t>
            </w:r>
            <w:r>
              <w:rPr>
                <w:rFonts w:hint="eastAsia"/>
                <w:u w:val="single"/>
              </w:rPr>
              <w:t>DA00</w:t>
            </w:r>
            <w:r>
              <w:rPr>
                <w:rFonts w:hint="eastAsia"/>
                <w:u w:val="single"/>
                <w:lang w:val="en-US" w:eastAsia="zh-CN"/>
              </w:rPr>
              <w:t>2）</w:t>
            </w:r>
            <w:r>
              <w:rPr>
                <w:rFonts w:hint="eastAsia"/>
                <w:u w:val="single"/>
              </w:rPr>
              <w:t>排放</w:t>
            </w:r>
            <w:r>
              <w:rPr>
                <w:rFonts w:hint="eastAsia"/>
                <w:u w:val="single"/>
                <w:lang w:eastAsia="zh-CN"/>
              </w:rPr>
              <w:t>，</w:t>
            </w:r>
            <w:r>
              <w:rPr>
                <w:rFonts w:hint="eastAsia"/>
                <w:u w:val="single"/>
                <w:lang w:val="en-US" w:eastAsia="zh-CN"/>
              </w:rPr>
              <w:t>风机风量为9000m</w:t>
            </w:r>
            <w:r>
              <w:rPr>
                <w:rFonts w:hint="eastAsia"/>
                <w:u w:val="single"/>
                <w:vertAlign w:val="superscript"/>
                <w:lang w:val="en-US" w:eastAsia="zh-CN"/>
              </w:rPr>
              <w:t>3</w:t>
            </w:r>
            <w:r>
              <w:rPr>
                <w:rFonts w:hint="eastAsia"/>
                <w:u w:val="single"/>
                <w:lang w:val="en-US" w:eastAsia="zh-CN"/>
              </w:rPr>
              <w:t>/h。</w:t>
            </w:r>
          </w:p>
          <w:p>
            <w:pPr>
              <w:pStyle w:val="37"/>
              <w:spacing w:before="72" w:after="120"/>
              <w:rPr>
                <w:rFonts w:hint="default"/>
                <w:u w:val="single"/>
                <w:lang w:val="en-US" w:eastAsia="zh-CN"/>
              </w:rPr>
            </w:pPr>
            <w:r>
              <w:rPr>
                <w:rFonts w:hint="eastAsia"/>
                <w:u w:val="single"/>
                <w:lang w:val="en-US" w:eastAsia="zh-CN"/>
              </w:rPr>
              <w:t>表4-4 酸洗废气产生情况一览表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73"/>
              <w:gridCol w:w="822"/>
              <w:gridCol w:w="891"/>
              <w:gridCol w:w="1032"/>
              <w:gridCol w:w="897"/>
              <w:gridCol w:w="897"/>
              <w:gridCol w:w="976"/>
              <w:gridCol w:w="1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b/>
                      <w:bCs/>
                      <w:u w:val="single"/>
                      <w:lang w:val="en-US" w:eastAsia="zh-CN"/>
                    </w:rPr>
                  </w:pPr>
                  <w:r>
                    <w:rPr>
                      <w:rFonts w:hint="eastAsia"/>
                      <w:b/>
                      <w:bCs/>
                      <w:u w:val="single"/>
                      <w:lang w:val="en-US" w:eastAsia="zh-CN"/>
                    </w:rPr>
                    <w:t>产污环节</w:t>
                  </w:r>
                </w:p>
              </w:tc>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污染物指标</w:t>
                  </w:r>
                </w:p>
              </w:tc>
              <w:tc>
                <w:tcPr>
                  <w:tcW w:w="50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产生量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47"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产生速率(kg/h)</w:t>
                  </w:r>
                </w:p>
              </w:tc>
              <w:tc>
                <w:tcPr>
                  <w:tcW w:w="634"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产生浓度(mg/m</w:t>
                  </w:r>
                  <w:r>
                    <w:rPr>
                      <w:rFonts w:hint="eastAsia"/>
                      <w:b/>
                      <w:bCs/>
                      <w:u w:val="single"/>
                      <w:vertAlign w:val="superscript"/>
                    </w:rPr>
                    <w:t>3</w:t>
                  </w:r>
                  <w:r>
                    <w:rPr>
                      <w:rFonts w:hint="eastAsia"/>
                      <w:b/>
                      <w:bCs/>
                      <w:u w:val="single"/>
                    </w:rPr>
                    <w:t>)</w:t>
                  </w:r>
                </w:p>
              </w:tc>
              <w:tc>
                <w:tcPr>
                  <w:tcW w:w="1701" w:type="pct"/>
                  <w:gridSpan w:val="3"/>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有组织排放</w:t>
                  </w:r>
                </w:p>
              </w:tc>
              <w:tc>
                <w:tcPr>
                  <w:tcW w:w="66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0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47"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634"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排放速率</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(kg/h)</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排放浓度</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(mg/m</w:t>
                  </w:r>
                  <w:r>
                    <w:rPr>
                      <w:rFonts w:hint="eastAsia"/>
                      <w:b/>
                      <w:bCs/>
                      <w:u w:val="single"/>
                      <w:vertAlign w:val="superscript"/>
                    </w:rPr>
                    <w:t>3</w:t>
                  </w:r>
                  <w:r>
                    <w:rPr>
                      <w:rFonts w:hint="eastAsia"/>
                      <w:b/>
                      <w:bCs/>
                      <w:u w:val="single"/>
                    </w:rPr>
                    <w:t>)</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u w:val="single"/>
                      <w:lang w:val="en-US" w:eastAsia="zh-CN"/>
                    </w:rPr>
                  </w:pPr>
                  <w:r>
                    <w:rPr>
                      <w:rFonts w:hint="eastAsia"/>
                      <w:u w:val="single"/>
                      <w:lang w:val="en-US" w:eastAsia="zh-CN"/>
                    </w:rPr>
                    <w:t>酸洗</w:t>
                  </w: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u w:val="single"/>
                      <w:lang w:val="en-US" w:eastAsia="zh-CN"/>
                    </w:rPr>
                  </w:pPr>
                  <w:r>
                    <w:rPr>
                      <w:rFonts w:hint="eastAsia"/>
                      <w:u w:val="single"/>
                      <w:lang w:val="en-US" w:eastAsia="zh-CN"/>
                    </w:rPr>
                    <w:t>氯化氢</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0.024</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0.010</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1.100</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0.002</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0.001</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0.099</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0.002</w:t>
                  </w:r>
                </w:p>
              </w:tc>
            </w:tr>
          </w:tbl>
          <w:p>
            <w:pPr>
              <w:pStyle w:val="4"/>
              <w:ind w:firstLine="482"/>
              <w:rPr>
                <w:rFonts w:hint="eastAsia"/>
                <w:lang w:val="en-US" w:eastAsia="zh-CN"/>
              </w:rPr>
            </w:pPr>
            <w:r>
              <w:rPr>
                <w:rFonts w:hint="eastAsia"/>
                <w:lang w:val="en-US" w:eastAsia="zh-CN"/>
              </w:rPr>
              <w:t>（3）喷粉废气</w:t>
            </w:r>
          </w:p>
          <w:p>
            <w:pPr>
              <w:ind w:firstLine="480"/>
              <w:rPr>
                <w:u w:val="single"/>
              </w:rPr>
            </w:pPr>
            <w:r>
              <w:rPr>
                <w:rFonts w:hint="eastAsia"/>
                <w:u w:val="single"/>
              </w:rPr>
              <w:t>在进行喷粉加工的过程中会产生喷塑粉尘，喷粉装置配有一、二级粉末回收装置，粉末回收效率达到95%，能够高效回收粉尘，两级回收装置的粉末总回收效率为99.75%。本项目喷粉工序利用密闭的滤芯粉末回收装置对粉末进行回收，不设置排气筒，只有少量粉尘无组织排放</w:t>
            </w:r>
            <w:r>
              <w:rPr>
                <w:u w:val="single"/>
              </w:rPr>
              <w:t>。</w:t>
            </w:r>
            <w:r>
              <w:rPr>
                <w:rFonts w:hint="eastAsia"/>
                <w:u w:val="single"/>
              </w:rPr>
              <w:t>项目喷粉工序使用的粉末约为50t/a</w:t>
            </w:r>
            <w:r>
              <w:rPr>
                <w:rFonts w:hint="eastAsia"/>
                <w:u w:val="single"/>
                <w:lang w:eastAsia="zh-CN"/>
              </w:rPr>
              <w:t>，对粉末用量进行核算，根据业主提供资料，产品喷涂总面积约275000m</w:t>
            </w:r>
            <w:r>
              <w:rPr>
                <w:rFonts w:hint="eastAsia"/>
                <w:u w:val="single"/>
                <w:vertAlign w:val="superscript"/>
                <w:lang w:eastAsia="zh-CN"/>
              </w:rPr>
              <w:t>2</w:t>
            </w:r>
            <w:r>
              <w:rPr>
                <w:rFonts w:hint="eastAsia"/>
                <w:u w:val="single"/>
                <w:lang w:eastAsia="zh-CN"/>
              </w:rPr>
              <w:t>，粉末涂料喷涂厚度为60um，粉末附着率约为60%，涂料密度为1.8g/cm</w:t>
            </w:r>
            <w:r>
              <w:rPr>
                <w:rFonts w:hint="eastAsia"/>
                <w:u w:val="single"/>
                <w:vertAlign w:val="superscript"/>
                <w:lang w:eastAsia="zh-CN"/>
              </w:rPr>
              <w:t>3</w:t>
            </w:r>
            <w:r>
              <w:rPr>
                <w:rFonts w:hint="eastAsia"/>
                <w:u w:val="single"/>
                <w:lang w:eastAsia="zh-CN"/>
              </w:rPr>
              <w:t>，据计算，粉末涂料用量约49.5t/a，核算的数值与50t/a相差不大，粉末用量取50t/a计算可行。</w:t>
            </w:r>
            <w:r>
              <w:rPr>
                <w:rFonts w:hint="eastAsia"/>
                <w:u w:val="single"/>
              </w:rPr>
              <w:t>喷塑工件粉尘附着率约70%左右，按70%计算，其余未附着的粉尘经粉末回收装置收集后回用。粉末回收装置收尘效率以95%计，5%未收集粉尘通过喷粉房进出口以无组织形式排放。项目喷粉房年工作时间为2400h，喷粉房风机风量为17596m</w:t>
            </w:r>
            <w:r>
              <w:rPr>
                <w:rFonts w:hint="eastAsia"/>
                <w:u w:val="single"/>
                <w:vertAlign w:val="superscript"/>
              </w:rPr>
              <w:t>3</w:t>
            </w:r>
            <w:r>
              <w:rPr>
                <w:rFonts w:hint="eastAsia"/>
                <w:u w:val="single"/>
              </w:rPr>
              <w:t>/h。项目喷粉工序污染物排放情况见下表。</w:t>
            </w:r>
          </w:p>
          <w:p>
            <w:pPr>
              <w:pStyle w:val="37"/>
              <w:spacing w:before="72" w:after="120"/>
              <w:rPr>
                <w:rFonts w:hint="default"/>
                <w:u w:val="single"/>
              </w:rPr>
            </w:pPr>
            <w:r>
              <w:rPr>
                <w:u w:val="single"/>
              </w:rPr>
              <w:t>表4-</w:t>
            </w:r>
            <w:r>
              <w:rPr>
                <w:rFonts w:hint="eastAsia"/>
                <w:u w:val="single"/>
                <w:lang w:val="en-US" w:eastAsia="zh-CN"/>
              </w:rPr>
              <w:t>5</w:t>
            </w:r>
            <w:r>
              <w:rPr>
                <w:u w:val="single"/>
              </w:rPr>
              <w:t xml:space="preserve"> 喷塑粉尘产生情况</w:t>
            </w:r>
            <w:r>
              <w:rPr>
                <w:rFonts w:hint="eastAsia"/>
                <w:u w:val="single"/>
                <w:lang w:val="en-US" w:eastAsia="zh-CN"/>
              </w:rPr>
              <w:t>一览</w:t>
            </w:r>
            <w:r>
              <w:rPr>
                <w:u w:val="single"/>
              </w:rPr>
              <w:t>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8"/>
              <w:gridCol w:w="816"/>
              <w:gridCol w:w="912"/>
              <w:gridCol w:w="981"/>
              <w:gridCol w:w="844"/>
              <w:gridCol w:w="940"/>
              <w:gridCol w:w="1294"/>
              <w:gridCol w:w="1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8" w:type="pct"/>
                  <w:vAlign w:val="center"/>
                </w:tcPr>
                <w:p>
                  <w:pPr>
                    <w:pStyle w:val="24"/>
                    <w:kinsoku w:val="0"/>
                    <w:rPr>
                      <w:b/>
                      <w:bCs/>
                      <w:u w:val="single"/>
                    </w:rPr>
                  </w:pPr>
                  <w:r>
                    <w:rPr>
                      <w:rFonts w:hint="eastAsia"/>
                      <w:b/>
                      <w:bCs/>
                      <w:u w:val="single"/>
                    </w:rPr>
                    <w:t>原料名称</w:t>
                  </w:r>
                </w:p>
              </w:tc>
              <w:tc>
                <w:tcPr>
                  <w:tcW w:w="501" w:type="pct"/>
                  <w:vAlign w:val="center"/>
                </w:tcPr>
                <w:p>
                  <w:pPr>
                    <w:pStyle w:val="24"/>
                    <w:kinsoku w:val="0"/>
                    <w:rPr>
                      <w:b/>
                      <w:bCs/>
                      <w:u w:val="single"/>
                    </w:rPr>
                  </w:pPr>
                  <w:r>
                    <w:rPr>
                      <w:rFonts w:hint="eastAsia"/>
                      <w:b/>
                      <w:bCs/>
                      <w:u w:val="single"/>
                    </w:rPr>
                    <w:t>工艺</w:t>
                  </w:r>
                </w:p>
                <w:p>
                  <w:pPr>
                    <w:pStyle w:val="24"/>
                    <w:kinsoku w:val="0"/>
                    <w:rPr>
                      <w:b/>
                      <w:bCs/>
                      <w:u w:val="single"/>
                    </w:rPr>
                  </w:pPr>
                  <w:r>
                    <w:rPr>
                      <w:rFonts w:hint="eastAsia"/>
                      <w:b/>
                      <w:bCs/>
                      <w:u w:val="single"/>
                    </w:rPr>
                    <w:t>名称</w:t>
                  </w:r>
                </w:p>
              </w:tc>
              <w:tc>
                <w:tcPr>
                  <w:tcW w:w="560" w:type="pct"/>
                  <w:vAlign w:val="center"/>
                </w:tcPr>
                <w:p>
                  <w:pPr>
                    <w:pStyle w:val="24"/>
                    <w:kinsoku w:val="0"/>
                    <w:rPr>
                      <w:b/>
                      <w:bCs/>
                      <w:u w:val="single"/>
                    </w:rPr>
                  </w:pPr>
                  <w:r>
                    <w:rPr>
                      <w:rFonts w:hint="eastAsia"/>
                      <w:b/>
                      <w:bCs/>
                      <w:u w:val="single"/>
                    </w:rPr>
                    <w:t>污染物类别</w:t>
                  </w:r>
                </w:p>
              </w:tc>
              <w:tc>
                <w:tcPr>
                  <w:tcW w:w="602" w:type="pct"/>
                  <w:vAlign w:val="center"/>
                </w:tcPr>
                <w:p>
                  <w:pPr>
                    <w:pStyle w:val="24"/>
                    <w:kinsoku w:val="0"/>
                    <w:rPr>
                      <w:b/>
                      <w:bCs/>
                      <w:u w:val="single"/>
                    </w:rPr>
                  </w:pPr>
                  <w:r>
                    <w:rPr>
                      <w:rFonts w:hint="eastAsia"/>
                      <w:b/>
                      <w:bCs/>
                      <w:u w:val="single"/>
                    </w:rPr>
                    <w:t>污染物指标</w:t>
                  </w:r>
                </w:p>
              </w:tc>
              <w:tc>
                <w:tcPr>
                  <w:tcW w:w="518" w:type="pct"/>
                  <w:vAlign w:val="center"/>
                </w:tcPr>
                <w:p>
                  <w:pPr>
                    <w:pStyle w:val="24"/>
                    <w:kinsoku w:val="0"/>
                    <w:rPr>
                      <w:b/>
                      <w:bCs/>
                      <w:u w:val="single"/>
                    </w:rPr>
                  </w:pPr>
                  <w:r>
                    <w:rPr>
                      <w:rFonts w:hint="eastAsia"/>
                      <w:b/>
                      <w:bCs/>
                      <w:u w:val="single"/>
                    </w:rPr>
                    <w:t>原料</w:t>
                  </w:r>
                </w:p>
                <w:p>
                  <w:pPr>
                    <w:pStyle w:val="24"/>
                    <w:kinsoku w:val="0"/>
                    <w:rPr>
                      <w:b/>
                      <w:bCs/>
                      <w:u w:val="single"/>
                    </w:rPr>
                  </w:pPr>
                  <w:r>
                    <w:rPr>
                      <w:rFonts w:hint="eastAsia"/>
                      <w:b/>
                      <w:bCs/>
                      <w:u w:val="single"/>
                    </w:rPr>
                    <w:t>t/a</w:t>
                  </w:r>
                </w:p>
              </w:tc>
              <w:tc>
                <w:tcPr>
                  <w:tcW w:w="577" w:type="pct"/>
                  <w:vAlign w:val="center"/>
                </w:tcPr>
                <w:p>
                  <w:pPr>
                    <w:pStyle w:val="24"/>
                    <w:kinsoku w:val="0"/>
                    <w:rPr>
                      <w:b/>
                      <w:bCs/>
                      <w:u w:val="single"/>
                    </w:rPr>
                  </w:pPr>
                  <w:r>
                    <w:rPr>
                      <w:rFonts w:hint="eastAsia"/>
                      <w:b/>
                      <w:bCs/>
                      <w:u w:val="single"/>
                    </w:rPr>
                    <w:t>产生量</w:t>
                  </w:r>
                </w:p>
                <w:p>
                  <w:pPr>
                    <w:pStyle w:val="24"/>
                    <w:kinsoku w:val="0"/>
                    <w:rPr>
                      <w:b/>
                      <w:bCs/>
                      <w:u w:val="single"/>
                    </w:rPr>
                  </w:pPr>
                  <w:r>
                    <w:rPr>
                      <w:rFonts w:hint="eastAsia"/>
                      <w:b/>
                      <w:bCs/>
                      <w:u w:val="single"/>
                    </w:rPr>
                    <w:t>t/a</w:t>
                  </w:r>
                </w:p>
              </w:tc>
              <w:tc>
                <w:tcPr>
                  <w:tcW w:w="794" w:type="pct"/>
                  <w:shd w:val="clear" w:color="auto" w:fill="auto"/>
                  <w:vAlign w:val="center"/>
                </w:tcPr>
                <w:p>
                  <w:pPr>
                    <w:pStyle w:val="24"/>
                    <w:rPr>
                      <w:b/>
                      <w:bCs/>
                      <w:u w:val="single"/>
                    </w:rPr>
                  </w:pPr>
                  <w:r>
                    <w:rPr>
                      <w:rFonts w:hint="eastAsia"/>
                      <w:b/>
                      <w:bCs/>
                      <w:u w:val="single"/>
                    </w:rPr>
                    <w:t>产生速率</w:t>
                  </w:r>
                </w:p>
                <w:p>
                  <w:pPr>
                    <w:pStyle w:val="24"/>
                    <w:rPr>
                      <w:b/>
                      <w:bCs/>
                      <w:u w:val="single"/>
                    </w:rPr>
                  </w:pPr>
                  <w:r>
                    <w:rPr>
                      <w:rFonts w:hint="eastAsia"/>
                      <w:b/>
                      <w:bCs/>
                      <w:u w:val="single"/>
                    </w:rPr>
                    <w:t>(kg/h)</w:t>
                  </w:r>
                </w:p>
              </w:tc>
              <w:tc>
                <w:tcPr>
                  <w:tcW w:w="935" w:type="pct"/>
                  <w:shd w:val="clear" w:color="auto" w:fill="auto"/>
                  <w:vAlign w:val="center"/>
                </w:tcPr>
                <w:p>
                  <w:pPr>
                    <w:pStyle w:val="24"/>
                    <w:rPr>
                      <w:b/>
                      <w:bCs/>
                      <w:u w:val="single"/>
                    </w:rPr>
                  </w:pPr>
                  <w:r>
                    <w:rPr>
                      <w:rFonts w:hint="eastAsia"/>
                      <w:b/>
                      <w:bCs/>
                      <w:u w:val="single"/>
                    </w:rPr>
                    <w:t>无组织排放量</w:t>
                  </w:r>
                </w:p>
                <w:p>
                  <w:pPr>
                    <w:pStyle w:val="24"/>
                    <w:rPr>
                      <w:b/>
                      <w:bCs/>
                      <w:u w:val="single"/>
                    </w:rPr>
                  </w:pPr>
                  <w:r>
                    <w:rPr>
                      <w:rFonts w:hint="eastAsia"/>
                      <w:b/>
                      <w:bCs/>
                      <w:u w:val="singl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508" w:type="pct"/>
                  <w:shd w:val="clear" w:color="auto" w:fill="auto"/>
                  <w:vAlign w:val="center"/>
                </w:tcPr>
                <w:p>
                  <w:pPr>
                    <w:pStyle w:val="24"/>
                    <w:kinsoku w:val="0"/>
                    <w:rPr>
                      <w:u w:val="single"/>
                    </w:rPr>
                  </w:pPr>
                  <w:r>
                    <w:rPr>
                      <w:rFonts w:hint="eastAsia"/>
                      <w:u w:val="single"/>
                    </w:rPr>
                    <w:t>粉末涂料</w:t>
                  </w:r>
                </w:p>
              </w:tc>
              <w:tc>
                <w:tcPr>
                  <w:tcW w:w="501" w:type="pct"/>
                  <w:shd w:val="clear" w:color="auto" w:fill="auto"/>
                  <w:vAlign w:val="center"/>
                </w:tcPr>
                <w:p>
                  <w:pPr>
                    <w:pStyle w:val="24"/>
                    <w:kinsoku w:val="0"/>
                    <w:rPr>
                      <w:u w:val="single"/>
                    </w:rPr>
                  </w:pPr>
                  <w:r>
                    <w:rPr>
                      <w:rFonts w:hint="eastAsia"/>
                      <w:u w:val="single"/>
                    </w:rPr>
                    <w:t>喷塑</w:t>
                  </w:r>
                </w:p>
              </w:tc>
              <w:tc>
                <w:tcPr>
                  <w:tcW w:w="560" w:type="pct"/>
                  <w:shd w:val="clear" w:color="auto" w:fill="auto"/>
                  <w:vAlign w:val="center"/>
                </w:tcPr>
                <w:p>
                  <w:pPr>
                    <w:pStyle w:val="24"/>
                    <w:kinsoku w:val="0"/>
                    <w:rPr>
                      <w:u w:val="single"/>
                    </w:rPr>
                  </w:pPr>
                  <w:r>
                    <w:rPr>
                      <w:rFonts w:hint="eastAsia"/>
                      <w:u w:val="single"/>
                    </w:rPr>
                    <w:t>废气</w:t>
                  </w:r>
                </w:p>
              </w:tc>
              <w:tc>
                <w:tcPr>
                  <w:tcW w:w="602" w:type="pct"/>
                  <w:shd w:val="clear" w:color="auto" w:fill="auto"/>
                  <w:vAlign w:val="center"/>
                </w:tcPr>
                <w:p>
                  <w:pPr>
                    <w:pStyle w:val="24"/>
                    <w:kinsoku w:val="0"/>
                    <w:rPr>
                      <w:u w:val="single"/>
                    </w:rPr>
                  </w:pPr>
                  <w:r>
                    <w:rPr>
                      <w:rFonts w:hint="eastAsia"/>
                      <w:u w:val="single"/>
                    </w:rPr>
                    <w:t>颗粒物</w:t>
                  </w:r>
                </w:p>
              </w:tc>
              <w:tc>
                <w:tcPr>
                  <w:tcW w:w="518" w:type="pct"/>
                  <w:shd w:val="clear" w:color="auto" w:fill="auto"/>
                  <w:vAlign w:val="center"/>
                </w:tcPr>
                <w:p>
                  <w:pPr>
                    <w:pStyle w:val="24"/>
                    <w:kinsoku w:val="0"/>
                    <w:rPr>
                      <w:u w:val="single"/>
                    </w:rPr>
                  </w:pPr>
                  <w:r>
                    <w:rPr>
                      <w:rFonts w:hint="eastAsia"/>
                      <w:u w:val="single"/>
                    </w:rPr>
                    <w:t>50</w:t>
                  </w:r>
                </w:p>
              </w:tc>
              <w:tc>
                <w:tcPr>
                  <w:tcW w:w="577" w:type="pct"/>
                  <w:shd w:val="clear" w:color="auto" w:fill="auto"/>
                  <w:vAlign w:val="center"/>
                </w:tcPr>
                <w:p>
                  <w:pPr>
                    <w:pStyle w:val="24"/>
                    <w:kinsoku w:val="0"/>
                    <w:rPr>
                      <w:u w:val="single"/>
                    </w:rPr>
                  </w:pPr>
                  <w:r>
                    <w:rPr>
                      <w:rFonts w:hint="eastAsia"/>
                      <w:u w:val="single"/>
                    </w:rPr>
                    <w:t>15</w:t>
                  </w:r>
                </w:p>
              </w:tc>
              <w:tc>
                <w:tcPr>
                  <w:tcW w:w="794" w:type="pct"/>
                  <w:shd w:val="clear" w:color="auto" w:fill="auto"/>
                  <w:vAlign w:val="center"/>
                </w:tcPr>
                <w:p>
                  <w:pPr>
                    <w:pStyle w:val="24"/>
                    <w:kinsoku w:val="0"/>
                    <w:rPr>
                      <w:u w:val="single"/>
                    </w:rPr>
                  </w:pPr>
                  <w:r>
                    <w:rPr>
                      <w:rFonts w:hint="eastAsia"/>
                      <w:u w:val="single"/>
                    </w:rPr>
                    <w:t>6.25</w:t>
                  </w:r>
                </w:p>
              </w:tc>
              <w:tc>
                <w:tcPr>
                  <w:tcW w:w="935" w:type="pct"/>
                  <w:shd w:val="clear" w:color="auto" w:fill="auto"/>
                  <w:vAlign w:val="center"/>
                </w:tcPr>
                <w:p>
                  <w:pPr>
                    <w:pStyle w:val="24"/>
                    <w:kinsoku w:val="0"/>
                    <w:rPr>
                      <w:u w:val="single"/>
                    </w:rPr>
                  </w:pPr>
                  <w:r>
                    <w:rPr>
                      <w:rFonts w:hint="eastAsia"/>
                      <w:u w:val="single"/>
                    </w:rPr>
                    <w:t>0.75</w:t>
                  </w:r>
                </w:p>
              </w:tc>
            </w:tr>
          </w:tbl>
          <w:p>
            <w:pPr>
              <w:pStyle w:val="4"/>
              <w:ind w:firstLine="482"/>
              <w:rPr>
                <w:rFonts w:hint="default" w:eastAsia="宋体"/>
                <w:b/>
                <w:bCs/>
                <w:lang w:val="en-US" w:eastAsia="zh-CN"/>
              </w:rPr>
            </w:pPr>
            <w:r>
              <w:rPr>
                <w:rFonts w:hint="eastAsia"/>
              </w:rPr>
              <w:t>（</w:t>
            </w:r>
            <w:r>
              <w:rPr>
                <w:rFonts w:hint="eastAsia"/>
                <w:lang w:val="en-US" w:eastAsia="zh-CN"/>
              </w:rPr>
              <w:t>4</w:t>
            </w:r>
            <w:r>
              <w:rPr>
                <w:rFonts w:hint="eastAsia"/>
              </w:rPr>
              <w:t>）</w:t>
            </w:r>
            <w:r>
              <w:rPr>
                <w:rFonts w:hint="eastAsia"/>
                <w:b/>
                <w:bCs/>
                <w:lang w:val="en-US" w:eastAsia="zh-CN"/>
              </w:rPr>
              <w:t>固化废气</w:t>
            </w:r>
          </w:p>
          <w:p>
            <w:pPr>
              <w:ind w:firstLine="480"/>
              <w:rPr>
                <w:rFonts w:hint="eastAsia"/>
                <w:u w:val="single"/>
                <w:lang w:val="en-US" w:eastAsia="zh-CN"/>
              </w:rPr>
            </w:pPr>
            <w:r>
              <w:rPr>
                <w:u w:val="single"/>
              </w:rPr>
              <w:t>粉末喷涂后工件需要在</w:t>
            </w:r>
            <w:r>
              <w:rPr>
                <w:rFonts w:hint="eastAsia"/>
                <w:u w:val="single"/>
                <w:lang w:val="en-US" w:eastAsia="zh-CN"/>
              </w:rPr>
              <w:t>固化炉</w:t>
            </w:r>
            <w:r>
              <w:rPr>
                <w:u w:val="single"/>
              </w:rPr>
              <w:t>内进行烘烤固化，</w:t>
            </w:r>
            <w:r>
              <w:rPr>
                <w:rFonts w:hint="eastAsia"/>
                <w:u w:val="single"/>
              </w:rPr>
              <w:t>固化温度为200-220℃，</w:t>
            </w:r>
            <w:r>
              <w:rPr>
                <w:u w:val="single"/>
              </w:rPr>
              <w:t>固化过程会产生少量的有机废气，该有机废气产生量较少，成分较为复杂，</w:t>
            </w:r>
            <w:r>
              <w:rPr>
                <w:rFonts w:hint="eastAsia"/>
                <w:u w:val="single"/>
              </w:rPr>
              <w:t>以VOCs</w:t>
            </w:r>
            <w:r>
              <w:rPr>
                <w:u w:val="single"/>
              </w:rPr>
              <w:t>计。</w:t>
            </w:r>
            <w:r>
              <w:rPr>
                <w:rFonts w:hint="eastAsia"/>
                <w:u w:val="single"/>
              </w:rPr>
              <w:t>共设置1套固化炉</w:t>
            </w:r>
            <w:r>
              <w:rPr>
                <w:rFonts w:hint="eastAsia"/>
                <w:u w:val="single"/>
                <w:lang w:eastAsia="zh-CN"/>
              </w:rPr>
              <w:t>，</w:t>
            </w:r>
            <w:r>
              <w:rPr>
                <w:rFonts w:hint="eastAsia"/>
                <w:u w:val="single"/>
              </w:rPr>
              <w:t>项目使用的粉末约为50t/a，</w:t>
            </w:r>
            <w:r>
              <w:rPr>
                <w:rFonts w:hint="eastAsia"/>
                <w:u w:val="single"/>
                <w:lang w:val="en-US" w:eastAsia="zh-CN"/>
              </w:rPr>
              <w:t>固化炉</w:t>
            </w:r>
            <w:r>
              <w:rPr>
                <w:rFonts w:hint="eastAsia"/>
                <w:u w:val="single"/>
              </w:rPr>
              <w:t>年工作时间为2400h。</w:t>
            </w:r>
            <w:r>
              <w:rPr>
                <w:rFonts w:hint="eastAsia"/>
                <w:u w:val="single"/>
                <w:lang w:val="en-US" w:eastAsia="zh-CN"/>
              </w:rPr>
              <w:t>本项目固化有机废气的产生速率为0.025kg/h&lt;3kg/h，本项目不设置VOCs处理设施，固化废气的收集率为80%，风机风量为4000m</w:t>
            </w:r>
            <w:r>
              <w:rPr>
                <w:rFonts w:hint="eastAsia"/>
                <w:u w:val="single"/>
                <w:vertAlign w:val="superscript"/>
                <w:lang w:val="en-US" w:eastAsia="zh-CN"/>
              </w:rPr>
              <w:t>3</w:t>
            </w:r>
            <w:r>
              <w:rPr>
                <w:rFonts w:hint="eastAsia"/>
                <w:u w:val="single"/>
                <w:lang w:val="en-US" w:eastAsia="zh-CN"/>
              </w:rPr>
              <w:t>/h废气收集后</w:t>
            </w:r>
            <w:r>
              <w:rPr>
                <w:rFonts w:hint="eastAsia"/>
                <w:u w:val="single"/>
              </w:rPr>
              <w:t>经1根</w:t>
            </w:r>
            <w:r>
              <w:rPr>
                <w:rFonts w:hint="eastAsia"/>
                <w:u w:val="single"/>
                <w:lang w:val="en-US" w:eastAsia="zh-CN"/>
              </w:rPr>
              <w:t>27</w:t>
            </w:r>
            <w:r>
              <w:rPr>
                <w:rFonts w:hint="eastAsia"/>
                <w:u w:val="single"/>
              </w:rPr>
              <w:t>米高排气筒（DA00</w:t>
            </w:r>
            <w:r>
              <w:rPr>
                <w:rFonts w:hint="eastAsia"/>
                <w:u w:val="single"/>
                <w:lang w:val="en-US" w:eastAsia="zh-CN"/>
              </w:rPr>
              <w:t>3</w:t>
            </w:r>
            <w:r>
              <w:rPr>
                <w:rFonts w:hint="eastAsia"/>
                <w:u w:val="single"/>
              </w:rPr>
              <w:t>）排放。参照《排放源统计调查产排污核算方法和系数手册》中“33-37，431-434机械行业系数手册”</w:t>
            </w:r>
            <w:r>
              <w:rPr>
                <w:rFonts w:hint="eastAsia"/>
                <w:u w:val="single"/>
                <w:lang w:val="en-US" w:eastAsia="zh-CN"/>
              </w:rPr>
              <w:t>计算固化</w:t>
            </w:r>
            <w:r>
              <w:rPr>
                <w:rFonts w:hint="eastAsia"/>
                <w:u w:val="single"/>
              </w:rPr>
              <w:t>产生</w:t>
            </w:r>
            <w:r>
              <w:rPr>
                <w:rFonts w:hint="eastAsia"/>
                <w:u w:val="single"/>
                <w:lang w:val="en-US" w:eastAsia="zh-CN"/>
              </w:rPr>
              <w:t>的</w:t>
            </w:r>
            <w:r>
              <w:rPr>
                <w:rFonts w:hint="eastAsia"/>
                <w:u w:val="single"/>
              </w:rPr>
              <w:t>污染物</w:t>
            </w:r>
            <w:r>
              <w:rPr>
                <w:rFonts w:hint="eastAsia"/>
                <w:u w:val="single"/>
                <w:lang w:eastAsia="zh-CN"/>
              </w:rPr>
              <w:t>，</w:t>
            </w:r>
            <w:r>
              <w:rPr>
                <w:rFonts w:hint="eastAsia"/>
                <w:u w:val="single"/>
                <w:lang w:val="en-US" w:eastAsia="zh-CN"/>
              </w:rPr>
              <w:t>污染物产生情况见下表。</w:t>
            </w:r>
          </w:p>
          <w:p>
            <w:pPr>
              <w:pStyle w:val="37"/>
              <w:spacing w:before="72" w:after="120"/>
              <w:rPr>
                <w:rFonts w:hint="default"/>
                <w:u w:val="single"/>
                <w:lang w:val="en-US" w:eastAsia="zh-CN"/>
              </w:rPr>
            </w:pPr>
            <w:r>
              <w:rPr>
                <w:rFonts w:hint="eastAsia"/>
                <w:u w:val="single"/>
                <w:lang w:val="en-US" w:eastAsia="zh-CN"/>
              </w:rPr>
              <w:t>表4-6 固化废气产生情况一览表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73"/>
              <w:gridCol w:w="822"/>
              <w:gridCol w:w="891"/>
              <w:gridCol w:w="1032"/>
              <w:gridCol w:w="897"/>
              <w:gridCol w:w="897"/>
              <w:gridCol w:w="976"/>
              <w:gridCol w:w="10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b/>
                      <w:bCs/>
                      <w:u w:val="single"/>
                      <w:lang w:val="en-US" w:eastAsia="zh-CN"/>
                    </w:rPr>
                  </w:pPr>
                  <w:r>
                    <w:rPr>
                      <w:rFonts w:hint="eastAsia"/>
                      <w:b/>
                      <w:bCs/>
                      <w:u w:val="single"/>
                      <w:lang w:val="en-US" w:eastAsia="zh-CN"/>
                    </w:rPr>
                    <w:t>产污环节</w:t>
                  </w:r>
                </w:p>
              </w:tc>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污染物指标</w:t>
                  </w:r>
                </w:p>
              </w:tc>
              <w:tc>
                <w:tcPr>
                  <w:tcW w:w="50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产生量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47"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产生速率(kg/h)</w:t>
                  </w:r>
                </w:p>
              </w:tc>
              <w:tc>
                <w:tcPr>
                  <w:tcW w:w="634"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产生浓度(mg/m</w:t>
                  </w:r>
                  <w:r>
                    <w:rPr>
                      <w:rFonts w:hint="eastAsia"/>
                      <w:b/>
                      <w:bCs/>
                      <w:u w:val="single"/>
                      <w:vertAlign w:val="superscript"/>
                    </w:rPr>
                    <w:t>3</w:t>
                  </w:r>
                  <w:r>
                    <w:rPr>
                      <w:rFonts w:hint="eastAsia"/>
                      <w:b/>
                      <w:bCs/>
                      <w:u w:val="single"/>
                    </w:rPr>
                    <w:t>)</w:t>
                  </w:r>
                </w:p>
              </w:tc>
              <w:tc>
                <w:tcPr>
                  <w:tcW w:w="1701" w:type="pct"/>
                  <w:gridSpan w:val="3"/>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有组织排放</w:t>
                  </w:r>
                </w:p>
              </w:tc>
              <w:tc>
                <w:tcPr>
                  <w:tcW w:w="66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0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47"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634"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排放速率</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(kg/h)</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排放浓度</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(mg/m</w:t>
                  </w:r>
                  <w:r>
                    <w:rPr>
                      <w:rFonts w:hint="eastAsia"/>
                      <w:b/>
                      <w:bCs/>
                      <w:u w:val="single"/>
                      <w:vertAlign w:val="superscript"/>
                    </w:rPr>
                    <w:t>3</w:t>
                  </w:r>
                  <w:r>
                    <w:rPr>
                      <w:rFonts w:hint="eastAsia"/>
                      <w:b/>
                      <w:bCs/>
                      <w:u w:val="single"/>
                    </w:rPr>
                    <w:t>)</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u w:val="single"/>
                      <w:lang w:val="en-US" w:eastAsia="zh-CN"/>
                    </w:rPr>
                  </w:pPr>
                  <w:r>
                    <w:rPr>
                      <w:rFonts w:hint="eastAsia"/>
                      <w:u w:val="single"/>
                      <w:lang w:val="en-US" w:eastAsia="zh-CN"/>
                    </w:rPr>
                    <w:t>固化</w:t>
                  </w: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u w:val="single"/>
                      <w:lang w:val="en-US" w:eastAsia="zh-CN"/>
                    </w:rPr>
                  </w:pPr>
                  <w:r>
                    <w:rPr>
                      <w:rFonts w:hint="eastAsia"/>
                      <w:u w:val="single"/>
                      <w:lang w:val="en-US" w:eastAsia="zh-CN"/>
                    </w:rPr>
                    <w:t>VOCs</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0.060</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0.025</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6.250</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0.048</w:t>
                  </w:r>
                </w:p>
              </w:tc>
              <w:tc>
                <w:tcPr>
                  <w:tcW w:w="55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0.020</w:t>
                  </w:r>
                </w:p>
              </w:tc>
              <w:tc>
                <w:tcPr>
                  <w:tcW w:w="598"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5.000</w:t>
                  </w:r>
                </w:p>
              </w:tc>
              <w:tc>
                <w:tcPr>
                  <w:tcW w:w="66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0.012</w:t>
                  </w:r>
                </w:p>
              </w:tc>
            </w:tr>
          </w:tbl>
          <w:p>
            <w:pPr>
              <w:ind w:firstLine="480"/>
              <w:rPr>
                <w:rFonts w:hint="eastAsia" w:eastAsia="宋体"/>
                <w:b/>
                <w:bCs/>
                <w:lang w:val="en-US" w:eastAsia="zh-CN"/>
              </w:rPr>
            </w:pPr>
            <w:r>
              <w:rPr>
                <w:rFonts w:hint="eastAsia"/>
                <w:b/>
                <w:bCs/>
                <w:lang w:val="en-US" w:eastAsia="zh-CN"/>
              </w:rPr>
              <w:t>（5）生物质燃烧废气</w:t>
            </w:r>
          </w:p>
          <w:p>
            <w:pPr>
              <w:ind w:firstLine="480"/>
            </w:pPr>
            <w:r>
              <w:rPr>
                <w:rFonts w:hint="eastAsia"/>
              </w:rPr>
              <w:t>工件在经过前处理后进行烘干处理，本项目设置1套</w:t>
            </w:r>
            <w:r>
              <w:rPr>
                <w:rFonts w:hint="eastAsia"/>
                <w:lang w:val="en-US" w:eastAsia="zh-CN"/>
              </w:rPr>
              <w:t>烘烤炉，烘烤炉年工作时间为900h</w:t>
            </w:r>
            <w:r>
              <w:rPr>
                <w:rFonts w:hint="eastAsia"/>
              </w:rPr>
              <w:t>。</w:t>
            </w:r>
            <w:r>
              <w:rPr>
                <w:rFonts w:hint="eastAsia"/>
                <w:u w:val="single"/>
              </w:rPr>
              <w:t>烘干和固化工序进行过程中需燃烧</w:t>
            </w:r>
            <w:r>
              <w:rPr>
                <w:rFonts w:hint="eastAsia"/>
                <w:u w:val="single"/>
                <w:lang w:val="en-US" w:eastAsia="zh-CN"/>
              </w:rPr>
              <w:t>成型</w:t>
            </w:r>
            <w:r>
              <w:rPr>
                <w:rFonts w:hint="eastAsia"/>
                <w:u w:val="single"/>
              </w:rPr>
              <w:t>生物质颗粒（含硫率取0.</w:t>
            </w:r>
            <w:r>
              <w:rPr>
                <w:rFonts w:hint="eastAsia"/>
                <w:u w:val="single"/>
                <w:lang w:val="en-US" w:eastAsia="zh-CN"/>
              </w:rPr>
              <w:t>1</w:t>
            </w:r>
            <w:r>
              <w:rPr>
                <w:rFonts w:hint="eastAsia"/>
                <w:u w:val="single"/>
              </w:rPr>
              <w:t>%）作为燃料</w:t>
            </w:r>
            <w:r>
              <w:rPr>
                <w:rFonts w:hint="eastAsia"/>
              </w:rPr>
              <w:t>，根据</w:t>
            </w:r>
            <w:r>
              <w:rPr>
                <w:rFonts w:hint="eastAsia"/>
                <w:lang w:val="en-US" w:eastAsia="zh-CN"/>
              </w:rPr>
              <w:t>设备商</w:t>
            </w:r>
            <w:r>
              <w:rPr>
                <w:rFonts w:hint="eastAsia"/>
              </w:rPr>
              <w:t>提供资料，每台燃烧炉</w:t>
            </w:r>
            <w:r>
              <w:rPr>
                <w:rFonts w:hint="eastAsia"/>
                <w:lang w:val="en-US" w:eastAsia="zh-CN"/>
              </w:rPr>
              <w:t>成型</w:t>
            </w:r>
            <w:r>
              <w:rPr>
                <w:rFonts w:hint="eastAsia"/>
              </w:rPr>
              <w:t>生物质燃料消耗量为150kg/h，两台燃烧炉合计</w:t>
            </w:r>
            <w:r>
              <w:rPr>
                <w:rFonts w:hint="eastAsia"/>
                <w:lang w:val="en-US" w:eastAsia="zh-CN"/>
              </w:rPr>
              <w:t>495</w:t>
            </w:r>
            <w:r>
              <w:rPr>
                <w:rFonts w:hint="eastAsia"/>
              </w:rPr>
              <w:t>t/a</w:t>
            </w:r>
            <w:r>
              <w:rPr>
                <w:rFonts w:hint="eastAsia"/>
                <w:lang w:eastAsia="zh-CN"/>
              </w:rPr>
              <w:t>。对成型生物质颗粒用量进行核算，</w:t>
            </w:r>
            <w:r>
              <w:rPr>
                <w:rFonts w:hint="eastAsia"/>
                <w:u w:val="single"/>
                <w:lang w:eastAsia="zh-CN"/>
              </w:rPr>
              <w:t>根据设备商提供的技术参数，项目设置2台热风炉，使用的热风炉额定发热量60万kcal/h，烘干的热风炉每天工作3h，固化的热风炉每天工作8h，年运行天数为300天，本次评价按照热风炉满负荷运行产生的热量核算生物质成型颗粒的用量，则热风炉满负荷运行热量为1.98</w:t>
            </w:r>
            <w:r>
              <w:rPr>
                <w:rFonts w:hint="eastAsia"/>
                <w:u w:val="single"/>
                <w:lang w:val="en-US" w:eastAsia="zh-CN"/>
              </w:rPr>
              <w:t>×</w:t>
            </w:r>
            <w:r>
              <w:rPr>
                <w:rFonts w:hint="eastAsia"/>
                <w:u w:val="single"/>
                <w:lang w:eastAsia="zh-CN"/>
              </w:rPr>
              <w:t>10</w:t>
            </w:r>
            <w:r>
              <w:rPr>
                <w:rFonts w:hint="eastAsia"/>
                <w:u w:val="single"/>
                <w:vertAlign w:val="superscript"/>
                <w:lang w:eastAsia="zh-CN"/>
              </w:rPr>
              <w:t>9</w:t>
            </w:r>
            <w:r>
              <w:rPr>
                <w:rFonts w:hint="eastAsia"/>
                <w:u w:val="single"/>
                <w:lang w:eastAsia="zh-CN"/>
              </w:rPr>
              <w:t>kcal/a。生物质燃料发热量为5000kcal/kg，热效率≥80%，则产生同样的热值需成型生物质颗粒的量为495t/a</w:t>
            </w:r>
            <w:r>
              <w:rPr>
                <w:rFonts w:hint="eastAsia"/>
                <w:lang w:eastAsia="zh-CN"/>
              </w:rPr>
              <w:t>。</w:t>
            </w:r>
            <w:r>
              <w:rPr>
                <w:rFonts w:hint="eastAsia"/>
              </w:rPr>
              <w:t>生物质燃烧过程中会产生颗粒物、二氧化硫和氮氧化物。本次参照《排放源统计调查产排污核算方法和系数手册》中“</w:t>
            </w:r>
            <w:r>
              <w:rPr>
                <w:rFonts w:hint="eastAsia"/>
                <w:lang w:val="en-US" w:eastAsia="zh-CN"/>
              </w:rPr>
              <w:t>4430工业锅炉（热力供应）行业</w:t>
            </w:r>
            <w:r>
              <w:rPr>
                <w:rFonts w:hint="eastAsia"/>
              </w:rPr>
              <w:t>系数手册”中的产污系数</w:t>
            </w:r>
            <w:r>
              <w:rPr>
                <w:rFonts w:hint="eastAsia"/>
                <w:lang w:val="en-US" w:eastAsia="zh-CN"/>
              </w:rPr>
              <w:t>进行</w:t>
            </w:r>
            <w:r>
              <w:rPr>
                <w:rFonts w:hint="eastAsia"/>
              </w:rPr>
              <w:t>计算，项目</w:t>
            </w:r>
            <w:r>
              <w:rPr>
                <w:rFonts w:hint="eastAsia"/>
                <w:lang w:val="en-US" w:eastAsia="zh-CN"/>
              </w:rPr>
              <w:t>生物质燃烧</w:t>
            </w:r>
            <w:r>
              <w:rPr>
                <w:rFonts w:hint="eastAsia"/>
              </w:rPr>
              <w:t>污染物产生情况见下表。</w:t>
            </w:r>
          </w:p>
          <w:p>
            <w:pPr>
              <w:pStyle w:val="37"/>
              <w:spacing w:before="72" w:after="120"/>
              <w:rPr>
                <w:rFonts w:hint="default"/>
              </w:rPr>
            </w:pPr>
            <w:r>
              <w:t>表4-</w:t>
            </w:r>
            <w:r>
              <w:rPr>
                <w:rFonts w:hint="eastAsia"/>
                <w:lang w:val="en-US" w:eastAsia="zh-CN"/>
              </w:rPr>
              <w:t xml:space="preserve">7 </w:t>
            </w:r>
            <w:r>
              <w:t>烘干、固化</w:t>
            </w:r>
            <w:r>
              <w:rPr>
                <w:rFonts w:hint="eastAsia"/>
                <w:lang w:val="en-US" w:eastAsia="zh-CN"/>
              </w:rPr>
              <w:t>工序</w:t>
            </w:r>
            <w:r>
              <w:t>污染物产生情况表</w:t>
            </w:r>
          </w:p>
          <w:tbl>
            <w:tblPr>
              <w:tblStyle w:val="19"/>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886"/>
              <w:gridCol w:w="909"/>
              <w:gridCol w:w="945"/>
              <w:gridCol w:w="1512"/>
              <w:gridCol w:w="1228"/>
              <w:gridCol w:w="889"/>
              <w:gridCol w:w="10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原料名称</w:t>
                  </w:r>
                </w:p>
              </w:tc>
              <w:tc>
                <w:tcPr>
                  <w:tcW w:w="545"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工艺</w:t>
                  </w:r>
                </w:p>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名称</w:t>
                  </w:r>
                </w:p>
              </w:tc>
              <w:tc>
                <w:tcPr>
                  <w:tcW w:w="559"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污染物类别</w:t>
                  </w:r>
                </w:p>
              </w:tc>
              <w:tc>
                <w:tcPr>
                  <w:tcW w:w="581"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污染物指标</w:t>
                  </w:r>
                </w:p>
              </w:tc>
              <w:tc>
                <w:tcPr>
                  <w:tcW w:w="930"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单位</w:t>
                  </w:r>
                </w:p>
              </w:tc>
              <w:tc>
                <w:tcPr>
                  <w:tcW w:w="755"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产污系数</w:t>
                  </w:r>
                </w:p>
              </w:tc>
              <w:tc>
                <w:tcPr>
                  <w:tcW w:w="547"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原料</w:t>
                  </w:r>
                </w:p>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m</w:t>
                  </w:r>
                  <w:r>
                    <w:rPr>
                      <w:rFonts w:hint="eastAsia"/>
                      <w:b/>
                      <w:bCs/>
                      <w:vertAlign w:val="superscript"/>
                    </w:rPr>
                    <w:t>3</w:t>
                  </w:r>
                  <w:r>
                    <w:rPr>
                      <w:rFonts w:hint="eastAsia"/>
                      <w:b/>
                      <w:bCs/>
                    </w:rPr>
                    <w:t>/a</w:t>
                  </w:r>
                </w:p>
              </w:tc>
              <w:tc>
                <w:tcPr>
                  <w:tcW w:w="636" w:type="pct"/>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产生量</w:t>
                  </w:r>
                </w:p>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b/>
                      <w:bCs/>
                    </w:rPr>
                  </w:pPr>
                  <w:r>
                    <w:rPr>
                      <w:rFonts w:hint="eastAsia"/>
                      <w:b/>
                      <w:bCs/>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pct"/>
                  <w:vMerge w:val="restar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生物质</w:t>
                  </w:r>
                </w:p>
              </w:tc>
              <w:tc>
                <w:tcPr>
                  <w:tcW w:w="545" w:type="pct"/>
                  <w:vMerge w:val="restar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层燃炉</w:t>
                  </w:r>
                </w:p>
              </w:tc>
              <w:tc>
                <w:tcPr>
                  <w:tcW w:w="559" w:type="pct"/>
                  <w:vMerge w:val="restar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废气</w:t>
                  </w:r>
                </w:p>
              </w:tc>
              <w:tc>
                <w:tcPr>
                  <w:tcW w:w="581"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颗粒物</w:t>
                  </w:r>
                </w:p>
              </w:tc>
              <w:tc>
                <w:tcPr>
                  <w:tcW w:w="930"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kg/t-原料</w:t>
                  </w:r>
                </w:p>
              </w:tc>
              <w:tc>
                <w:tcPr>
                  <w:tcW w:w="755"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0.5</w:t>
                  </w:r>
                </w:p>
              </w:tc>
              <w:tc>
                <w:tcPr>
                  <w:tcW w:w="547" w:type="pct"/>
                  <w:vMerge w:val="restar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495</w:t>
                  </w:r>
                </w:p>
              </w:tc>
              <w:tc>
                <w:tcPr>
                  <w:tcW w:w="636" w:type="pct"/>
                  <w:shd w:val="clear" w:color="auto" w:fill="auto"/>
                  <w:vAlign w:val="center"/>
                </w:tcPr>
                <w:p>
                  <w:pPr>
                    <w:pStyle w:val="24"/>
                    <w:keepNext w:val="0"/>
                    <w:keepLines w:val="0"/>
                    <w:pageBreakBefore w:val="0"/>
                    <w:widowControl w:val="0"/>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0.248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45"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59"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81"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SO</w:t>
                  </w:r>
                  <w:r>
                    <w:rPr>
                      <w:rFonts w:hint="eastAsia"/>
                      <w:vertAlign w:val="subscript"/>
                    </w:rPr>
                    <w:t>2</w:t>
                  </w:r>
                </w:p>
              </w:tc>
              <w:tc>
                <w:tcPr>
                  <w:tcW w:w="930"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kg/t-原料</w:t>
                  </w:r>
                </w:p>
              </w:tc>
              <w:tc>
                <w:tcPr>
                  <w:tcW w:w="755"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17S</w:t>
                  </w:r>
                </w:p>
              </w:tc>
              <w:tc>
                <w:tcPr>
                  <w:tcW w:w="547"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636"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rFonts w:hint="default"/>
                      <w:lang w:val="en-US" w:eastAsia="zh-CN"/>
                    </w:rPr>
                  </w:pPr>
                  <w:r>
                    <w:rPr>
                      <w:rFonts w:hint="eastAsia"/>
                      <w:lang w:val="en-US" w:eastAsia="zh-CN"/>
                    </w:rPr>
                    <w:t>0.842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45"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59"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581"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NO</w:t>
                  </w:r>
                  <w:r>
                    <w:rPr>
                      <w:rFonts w:hint="eastAsia"/>
                      <w:vertAlign w:val="subscript"/>
                    </w:rPr>
                    <w:t>x</w:t>
                  </w:r>
                </w:p>
              </w:tc>
              <w:tc>
                <w:tcPr>
                  <w:tcW w:w="930"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kg/t-原料</w:t>
                  </w:r>
                </w:p>
              </w:tc>
              <w:tc>
                <w:tcPr>
                  <w:tcW w:w="755"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r>
                    <w:rPr>
                      <w:rFonts w:hint="eastAsia"/>
                    </w:rPr>
                    <w:t>1.02</w:t>
                  </w:r>
                </w:p>
              </w:tc>
              <w:tc>
                <w:tcPr>
                  <w:tcW w:w="547" w:type="pct"/>
                  <w:vMerge w:val="continue"/>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pPr>
                </w:p>
              </w:tc>
              <w:tc>
                <w:tcPr>
                  <w:tcW w:w="636" w:type="pct"/>
                  <w:shd w:val="clear" w:color="auto" w:fill="auto"/>
                  <w:vAlign w:val="center"/>
                </w:tcPr>
                <w:p>
                  <w:pPr>
                    <w:pStyle w:val="24"/>
                    <w:keepNext w:val="0"/>
                    <w:keepLines w:val="0"/>
                    <w:pageBreakBefore w:val="0"/>
                    <w:widowControl w:val="0"/>
                    <w:kinsoku w:val="0"/>
                    <w:wordWrap/>
                    <w:overflowPunct/>
                    <w:topLinePunct w:val="0"/>
                    <w:autoSpaceDE/>
                    <w:autoSpaceDN/>
                    <w:bidi w:val="0"/>
                    <w:adjustRightInd w:val="0"/>
                    <w:snapToGrid w:val="0"/>
                    <w:spacing w:line="240" w:lineRule="auto"/>
                    <w:textAlignment w:val="auto"/>
                    <w:rPr>
                      <w:rFonts w:hint="eastAsia"/>
                      <w:lang w:val="en-US" w:eastAsia="zh-CN"/>
                    </w:rPr>
                  </w:pPr>
                  <w:r>
                    <w:rPr>
                      <w:rFonts w:hint="eastAsia"/>
                      <w:lang w:val="en-US" w:eastAsia="zh-CN"/>
                    </w:rPr>
                    <w:t>0.505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shd w:val="clear" w:color="auto" w:fill="auto"/>
                  <w:vAlign w:val="center"/>
                </w:tcPr>
                <w:p>
                  <w:pPr>
                    <w:pStyle w:val="24"/>
                    <w:keepNext w:val="0"/>
                    <w:keepLines w:val="0"/>
                    <w:pageBreakBefore w:val="0"/>
                    <w:widowControl w:val="0"/>
                    <w:wordWrap/>
                    <w:overflowPunct/>
                    <w:topLinePunct w:val="0"/>
                    <w:autoSpaceDE/>
                    <w:autoSpaceDN/>
                    <w:bidi w:val="0"/>
                    <w:adjustRightInd w:val="0"/>
                    <w:snapToGrid w:val="0"/>
                    <w:spacing w:line="240" w:lineRule="auto"/>
                    <w:jc w:val="both"/>
                    <w:textAlignment w:val="auto"/>
                  </w:pPr>
                  <w:r>
                    <w:rPr>
                      <w:rFonts w:hint="eastAsia"/>
                    </w:rPr>
                    <w:t>注：</w:t>
                  </w:r>
                  <w:r>
                    <w:t>产排污系数表中二氧化硫的产排污系数是以含硫量(S)的形式表示的，其中含硫量</w:t>
                  </w:r>
                  <w:r>
                    <w:rPr>
                      <w:rFonts w:hint="eastAsia"/>
                    </w:rPr>
                    <w:t>（</w:t>
                  </w:r>
                  <w:r>
                    <w:t>S</w:t>
                  </w:r>
                  <w:r>
                    <w:rPr>
                      <w:rFonts w:hint="eastAsia"/>
                    </w:rPr>
                    <w:t>）</w:t>
                  </w:r>
                  <w:r>
                    <w:t>是指燃气硫分含量</w:t>
                  </w:r>
                  <w:r>
                    <w:rPr>
                      <w:rFonts w:hint="eastAsia"/>
                    </w:rPr>
                    <w:t>，</w:t>
                  </w:r>
                  <w:r>
                    <w:t>单位为毫克/立方米。根据《排放源统计调查产排污核算方法和系数手册</w:t>
                  </w:r>
                  <w:r>
                    <w:rPr>
                      <w:rFonts w:hint="eastAsia"/>
                    </w:rPr>
                    <w:t>：</w:t>
                  </w:r>
                  <w:r>
                    <w:t>机械行业系数手册》，S--收到基硫分(取值范围0-100，燃料为气体时取值范围&gt;=0)。本环评取S=</w:t>
                  </w:r>
                  <w:r>
                    <w:rPr>
                      <w:rFonts w:hint="eastAsia"/>
                    </w:rPr>
                    <w:t>0.</w:t>
                  </w:r>
                  <w:r>
                    <w:rPr>
                      <w:rFonts w:hint="eastAsia"/>
                      <w:lang w:val="en-US" w:eastAsia="zh-CN"/>
                    </w:rPr>
                    <w:t>1</w:t>
                  </w:r>
                  <w:r>
                    <w:t>。</w:t>
                  </w:r>
                </w:p>
              </w:tc>
            </w:tr>
          </w:tbl>
          <w:p>
            <w:pPr>
              <w:ind w:firstLine="480"/>
              <w:rPr>
                <w:rFonts w:hint="default" w:eastAsia="宋体"/>
                <w:u w:val="single"/>
                <w:lang w:val="en-US" w:eastAsia="zh-CN"/>
              </w:rPr>
            </w:pPr>
            <w:r>
              <w:rPr>
                <w:rFonts w:hint="eastAsia"/>
                <w:u w:val="single"/>
              </w:rPr>
              <w:t>本项目</w:t>
            </w:r>
            <w:r>
              <w:rPr>
                <w:rFonts w:hint="eastAsia"/>
                <w:u w:val="single"/>
                <w:lang w:val="en-US" w:eastAsia="zh-CN"/>
              </w:rPr>
              <w:t>生物质燃烧</w:t>
            </w:r>
            <w:r>
              <w:rPr>
                <w:rFonts w:hint="eastAsia"/>
                <w:u w:val="single"/>
              </w:rPr>
              <w:t>废气经</w:t>
            </w:r>
            <w:r>
              <w:rPr>
                <w:rFonts w:hint="eastAsia"/>
                <w:u w:val="single"/>
                <w:lang w:val="en-US" w:eastAsia="zh-CN"/>
              </w:rPr>
              <w:t>旋风除尘+</w:t>
            </w:r>
            <w:r>
              <w:rPr>
                <w:rFonts w:hint="eastAsia"/>
                <w:u w:val="single"/>
              </w:rPr>
              <w:t>布袋除尘处理后，经1根</w:t>
            </w:r>
            <w:r>
              <w:rPr>
                <w:rFonts w:hint="eastAsia"/>
                <w:u w:val="single"/>
                <w:lang w:val="en-US" w:eastAsia="zh-CN"/>
              </w:rPr>
              <w:t>27</w:t>
            </w:r>
            <w:r>
              <w:rPr>
                <w:rFonts w:hint="eastAsia"/>
                <w:u w:val="single"/>
              </w:rPr>
              <w:t>米高排气筒（DA00</w:t>
            </w:r>
            <w:r>
              <w:rPr>
                <w:rFonts w:hint="eastAsia"/>
                <w:u w:val="single"/>
                <w:lang w:val="en-US" w:eastAsia="zh-CN"/>
              </w:rPr>
              <w:t>4</w:t>
            </w:r>
            <w:r>
              <w:rPr>
                <w:rFonts w:hint="eastAsia"/>
                <w:u w:val="single"/>
              </w:rPr>
              <w:t>）排放。废气收集率</w:t>
            </w:r>
            <w:r>
              <w:rPr>
                <w:rFonts w:hint="eastAsia"/>
                <w:u w:val="single"/>
                <w:lang w:val="en-US" w:eastAsia="zh-CN"/>
              </w:rPr>
              <w:t>以100%计</w:t>
            </w:r>
            <w:r>
              <w:rPr>
                <w:rFonts w:hint="eastAsia"/>
                <w:u w:val="single"/>
              </w:rPr>
              <w:t>，</w:t>
            </w:r>
            <w:r>
              <w:rPr>
                <w:rFonts w:hint="eastAsia"/>
                <w:u w:val="single"/>
                <w:lang w:val="en-US" w:eastAsia="zh-CN"/>
              </w:rPr>
              <w:t>旋风除尘+</w:t>
            </w:r>
            <w:r>
              <w:rPr>
                <w:rFonts w:hint="eastAsia"/>
                <w:u w:val="single"/>
              </w:rPr>
              <w:t>布袋除尘</w:t>
            </w:r>
            <w:r>
              <w:rPr>
                <w:rFonts w:hint="eastAsia"/>
                <w:u w:val="single"/>
                <w:lang w:val="en-US" w:eastAsia="zh-CN"/>
              </w:rPr>
              <w:t>对</w:t>
            </w:r>
            <w:r>
              <w:rPr>
                <w:rFonts w:hint="eastAsia"/>
                <w:u w:val="single"/>
              </w:rPr>
              <w:t>颗粒物的处理效率以9</w:t>
            </w:r>
            <w:r>
              <w:rPr>
                <w:rFonts w:hint="eastAsia"/>
                <w:u w:val="single"/>
                <w:lang w:val="en-US" w:eastAsia="zh-CN"/>
              </w:rPr>
              <w:t>9</w:t>
            </w:r>
            <w:r>
              <w:rPr>
                <w:rFonts w:hint="eastAsia"/>
                <w:u w:val="single"/>
              </w:rPr>
              <w:t>%计</w:t>
            </w:r>
            <w:r>
              <w:rPr>
                <w:rFonts w:hint="eastAsia"/>
                <w:u w:val="single"/>
                <w:lang w:eastAsia="zh-CN"/>
              </w:rPr>
              <w:t>，</w:t>
            </w:r>
            <w:r>
              <w:rPr>
                <w:rFonts w:hint="eastAsia"/>
                <w:u w:val="single"/>
                <w:lang w:val="en-US" w:eastAsia="zh-CN"/>
              </w:rPr>
              <w:t>风机风量为10000m</w:t>
            </w:r>
            <w:r>
              <w:rPr>
                <w:rFonts w:hint="eastAsia"/>
                <w:u w:val="single"/>
                <w:vertAlign w:val="superscript"/>
                <w:lang w:val="en-US" w:eastAsia="zh-CN"/>
              </w:rPr>
              <w:t>3</w:t>
            </w:r>
            <w:r>
              <w:rPr>
                <w:rFonts w:hint="eastAsia"/>
                <w:u w:val="single"/>
                <w:lang w:val="en-US" w:eastAsia="zh-CN"/>
              </w:rPr>
              <w:t>/h</w:t>
            </w:r>
            <w:r>
              <w:rPr>
                <w:rFonts w:hint="eastAsia"/>
                <w:u w:val="single"/>
              </w:rPr>
              <w:t>。</w:t>
            </w:r>
          </w:p>
          <w:p>
            <w:pPr>
              <w:pStyle w:val="37"/>
              <w:spacing w:before="72" w:after="120"/>
              <w:rPr>
                <w:rFonts w:hint="default"/>
                <w:u w:val="single"/>
              </w:rPr>
            </w:pPr>
            <w:r>
              <w:rPr>
                <w:u w:val="single"/>
              </w:rPr>
              <w:t>表4-</w:t>
            </w:r>
            <w:r>
              <w:rPr>
                <w:rFonts w:hint="eastAsia"/>
                <w:u w:val="single"/>
                <w:lang w:val="en-US" w:eastAsia="zh-CN"/>
              </w:rPr>
              <w:t>8 生物质燃烧</w:t>
            </w:r>
            <w:r>
              <w:rPr>
                <w:u w:val="single"/>
              </w:rPr>
              <w:t>废气污染物排放情况</w:t>
            </w:r>
            <w:r>
              <w:rPr>
                <w:rFonts w:hint="eastAsia"/>
                <w:u w:val="single"/>
                <w:lang w:val="en-US" w:eastAsia="zh-CN"/>
              </w:rPr>
              <w:t>一览表</w:t>
            </w:r>
            <w:r>
              <w:rPr>
                <w:u w:val="single"/>
              </w:rPr>
              <w:t>表</w:t>
            </w:r>
          </w:p>
          <w:tbl>
            <w:tblPr>
              <w:tblStyle w:val="1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73"/>
              <w:gridCol w:w="822"/>
              <w:gridCol w:w="891"/>
              <w:gridCol w:w="1032"/>
              <w:gridCol w:w="894"/>
              <w:gridCol w:w="894"/>
              <w:gridCol w:w="980"/>
              <w:gridCol w:w="10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b/>
                      <w:bCs/>
                      <w:u w:val="single"/>
                      <w:lang w:val="en-US" w:eastAsia="zh-CN"/>
                    </w:rPr>
                  </w:pPr>
                  <w:r>
                    <w:rPr>
                      <w:rFonts w:hint="eastAsia"/>
                      <w:b/>
                      <w:bCs/>
                      <w:u w:val="single"/>
                      <w:lang w:val="en-US" w:eastAsia="zh-CN"/>
                    </w:rPr>
                    <w:t>产污环节</w:t>
                  </w:r>
                </w:p>
              </w:tc>
              <w:tc>
                <w:tcPr>
                  <w:tcW w:w="47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污染物指标</w:t>
                  </w:r>
                </w:p>
              </w:tc>
              <w:tc>
                <w:tcPr>
                  <w:tcW w:w="505"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产生量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47"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产生速率(kg/h)</w:t>
                  </w:r>
                </w:p>
              </w:tc>
              <w:tc>
                <w:tcPr>
                  <w:tcW w:w="634"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产生浓度(mg/m</w:t>
                  </w:r>
                  <w:r>
                    <w:rPr>
                      <w:rFonts w:hint="eastAsia"/>
                      <w:b/>
                      <w:bCs/>
                      <w:u w:val="single"/>
                      <w:vertAlign w:val="superscript"/>
                    </w:rPr>
                    <w:t>3</w:t>
                  </w:r>
                  <w:r>
                    <w:rPr>
                      <w:rFonts w:hint="eastAsia"/>
                      <w:b/>
                      <w:bCs/>
                      <w:u w:val="single"/>
                    </w:rPr>
                    <w:t>)</w:t>
                  </w:r>
                </w:p>
              </w:tc>
              <w:tc>
                <w:tcPr>
                  <w:tcW w:w="1700" w:type="pct"/>
                  <w:gridSpan w:val="3"/>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有组织排放</w:t>
                  </w:r>
                </w:p>
              </w:tc>
              <w:tc>
                <w:tcPr>
                  <w:tcW w:w="66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无组织排放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0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47"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634"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(t/a)</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排放速率</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(kg/h)</w:t>
                  </w:r>
                </w:p>
              </w:tc>
              <w:tc>
                <w:tcPr>
                  <w:tcW w:w="6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排放浓度</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(mg/m</w:t>
                  </w:r>
                  <w:r>
                    <w:rPr>
                      <w:rFonts w:hint="eastAsia"/>
                      <w:b/>
                      <w:bCs/>
                      <w:u w:val="single"/>
                      <w:vertAlign w:val="superscript"/>
                    </w:rPr>
                    <w:t>3</w:t>
                  </w:r>
                  <w:r>
                    <w:rPr>
                      <w:rFonts w:hint="eastAsia"/>
                      <w:b/>
                      <w:bCs/>
                      <w:u w:val="single"/>
                    </w:rPr>
                    <w:t>)</w:t>
                  </w:r>
                </w:p>
              </w:tc>
              <w:tc>
                <w:tcPr>
                  <w:tcW w:w="66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u w:val="single"/>
                    </w:rPr>
                  </w:pPr>
                  <w:r>
                    <w:rPr>
                      <w:rFonts w:hint="eastAsia"/>
                      <w:b/>
                      <w:bCs/>
                      <w:u w:val="single"/>
                    </w:rPr>
                    <w:t>排放量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b/>
                      <w:bCs/>
                      <w:u w:val="singl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u w:val="single"/>
                      <w:lang w:val="en-US" w:eastAsia="zh-CN"/>
                    </w:rPr>
                  </w:pPr>
                  <w:r>
                    <w:rPr>
                      <w:rFonts w:hint="eastAsia"/>
                      <w:u w:val="single"/>
                      <w:lang w:val="en-US" w:eastAsia="zh-CN"/>
                    </w:rPr>
                    <w:t>生物质燃烧</w:t>
                  </w: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u w:val="single"/>
                    </w:rPr>
                    <w:t>颗粒物</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0.248</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0.103</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10.313</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0.002</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0.001</w:t>
                  </w:r>
                </w:p>
              </w:tc>
              <w:tc>
                <w:tcPr>
                  <w:tcW w:w="6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0.103</w:t>
                  </w:r>
                </w:p>
              </w:tc>
              <w:tc>
                <w:tcPr>
                  <w:tcW w:w="66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rPr>
                  </w:pP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u w:val="single"/>
                    </w:rPr>
                    <w:t>SO</w:t>
                  </w:r>
                  <w:r>
                    <w:rPr>
                      <w:rFonts w:hint="eastAsia"/>
                      <w:u w:val="single"/>
                      <w:vertAlign w:val="subscript"/>
                    </w:rPr>
                    <w:t>2</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0.842</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0.351</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35.063</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0.842</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0.351</w:t>
                  </w:r>
                </w:p>
              </w:tc>
              <w:tc>
                <w:tcPr>
                  <w:tcW w:w="6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35.063</w:t>
                  </w:r>
                </w:p>
              </w:tc>
              <w:tc>
                <w:tcPr>
                  <w:tcW w:w="66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5"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rPr>
                  </w:pPr>
                </w:p>
              </w:tc>
              <w:tc>
                <w:tcPr>
                  <w:tcW w:w="47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u w:val="single"/>
                    </w:rPr>
                  </w:pPr>
                  <w:r>
                    <w:rPr>
                      <w:rFonts w:hint="eastAsia"/>
                      <w:u w:val="single"/>
                    </w:rPr>
                    <w:t>NO</w:t>
                  </w:r>
                  <w:r>
                    <w:rPr>
                      <w:rFonts w:hint="eastAsia"/>
                      <w:u w:val="single"/>
                      <w:vertAlign w:val="subscript"/>
                    </w:rPr>
                    <w:t>x</w:t>
                  </w:r>
                </w:p>
              </w:tc>
              <w:tc>
                <w:tcPr>
                  <w:tcW w:w="505"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0.505</w:t>
                  </w:r>
                </w:p>
              </w:tc>
              <w:tc>
                <w:tcPr>
                  <w:tcW w:w="54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0.210</w:t>
                  </w:r>
                </w:p>
              </w:tc>
              <w:tc>
                <w:tcPr>
                  <w:tcW w:w="63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21.038</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0.505</w:t>
                  </w:r>
                </w:p>
              </w:tc>
              <w:tc>
                <w:tcPr>
                  <w:tcW w:w="549"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u w:val="single"/>
                      <w:lang w:val="en-US" w:eastAsia="zh-CN"/>
                    </w:rPr>
                  </w:pPr>
                  <w:r>
                    <w:rPr>
                      <w:rFonts w:hint="eastAsia"/>
                      <w:u w:val="single"/>
                      <w:lang w:val="en-US" w:eastAsia="zh-CN"/>
                    </w:rPr>
                    <w:t>0.210</w:t>
                  </w:r>
                </w:p>
              </w:tc>
              <w:tc>
                <w:tcPr>
                  <w:tcW w:w="6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21.038</w:t>
                  </w:r>
                </w:p>
              </w:tc>
              <w:tc>
                <w:tcPr>
                  <w:tcW w:w="66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u w:val="single"/>
                      <w:lang w:val="en-US" w:eastAsia="zh-CN"/>
                    </w:rPr>
                  </w:pPr>
                  <w:r>
                    <w:rPr>
                      <w:rFonts w:hint="eastAsia"/>
                      <w:u w:val="single"/>
                      <w:lang w:val="en-US" w:eastAsia="zh-CN"/>
                    </w:rPr>
                    <w:t>0</w:t>
                  </w:r>
                </w:p>
              </w:tc>
            </w:tr>
          </w:tbl>
          <w:p>
            <w:pPr>
              <w:pStyle w:val="4"/>
              <w:ind w:firstLine="482"/>
            </w:pPr>
            <w:r>
              <w:rPr>
                <w:rFonts w:hint="eastAsia"/>
              </w:rPr>
              <w:t>（4）非正常工况排放情况</w:t>
            </w:r>
          </w:p>
          <w:p>
            <w:pPr>
              <w:keepNext w:val="0"/>
              <w:keepLines w:val="0"/>
              <w:pageBreakBefore w:val="0"/>
              <w:widowControl w:val="0"/>
              <w:kinsoku/>
              <w:wordWrap/>
              <w:overflowPunct/>
              <w:topLinePunct w:val="0"/>
              <w:autoSpaceDE/>
              <w:autoSpaceDN/>
              <w:bidi w:val="0"/>
              <w:adjustRightInd/>
              <w:snapToGrid/>
              <w:ind w:firstLine="480"/>
              <w:textAlignment w:val="auto"/>
            </w:pPr>
            <w:r>
              <w:rPr>
                <w:rFonts w:hint="eastAsia"/>
              </w:rPr>
              <w:t>项目非正常工况包括：废气处理设施运行不稳定、失效或者未投入正常使用。</w:t>
            </w:r>
          </w:p>
          <w:p>
            <w:pPr>
              <w:pStyle w:val="37"/>
              <w:spacing w:before="72" w:after="120"/>
              <w:rPr>
                <w:rFonts w:hint="default"/>
              </w:rPr>
            </w:pPr>
            <w:r>
              <w:t>表4-</w:t>
            </w:r>
            <w:r>
              <w:rPr>
                <w:rFonts w:hint="eastAsia"/>
                <w:lang w:val="en-US" w:eastAsia="zh-CN"/>
              </w:rPr>
              <w:t xml:space="preserve">9 </w:t>
            </w:r>
            <w:r>
              <w:t>项目废气污染源（有组织）非正常工况排放情况一览表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1116"/>
              <w:gridCol w:w="1524"/>
              <w:gridCol w:w="1348"/>
              <w:gridCol w:w="1730"/>
              <w:gridCol w:w="15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Align w:val="center"/>
                </w:tcPr>
                <w:p>
                  <w:pPr>
                    <w:pStyle w:val="24"/>
                    <w:rPr>
                      <w:b/>
                      <w:bCs/>
                    </w:rPr>
                  </w:pPr>
                  <w:r>
                    <w:rPr>
                      <w:rFonts w:hint="eastAsia"/>
                      <w:b/>
                      <w:bCs/>
                    </w:rPr>
                    <w:t>污染源</w:t>
                  </w:r>
                </w:p>
              </w:tc>
              <w:tc>
                <w:tcPr>
                  <w:tcW w:w="685" w:type="pct"/>
                  <w:vAlign w:val="center"/>
                </w:tcPr>
                <w:p>
                  <w:pPr>
                    <w:pStyle w:val="24"/>
                    <w:rPr>
                      <w:b/>
                      <w:bCs/>
                    </w:rPr>
                  </w:pPr>
                  <w:r>
                    <w:rPr>
                      <w:rFonts w:hint="eastAsia"/>
                      <w:b/>
                      <w:bCs/>
                    </w:rPr>
                    <w:t>污染因子</w:t>
                  </w:r>
                </w:p>
              </w:tc>
              <w:tc>
                <w:tcPr>
                  <w:tcW w:w="936" w:type="pct"/>
                  <w:vAlign w:val="center"/>
                </w:tcPr>
                <w:p>
                  <w:pPr>
                    <w:pStyle w:val="24"/>
                    <w:rPr>
                      <w:b/>
                      <w:bCs/>
                    </w:rPr>
                  </w:pPr>
                  <w:r>
                    <w:rPr>
                      <w:rFonts w:hint="eastAsia"/>
                      <w:b/>
                      <w:bCs/>
                    </w:rPr>
                    <w:t>单次持续时间（h）</w:t>
                  </w:r>
                </w:p>
              </w:tc>
              <w:tc>
                <w:tcPr>
                  <w:tcW w:w="828" w:type="pct"/>
                  <w:vAlign w:val="center"/>
                </w:tcPr>
                <w:p>
                  <w:pPr>
                    <w:pStyle w:val="24"/>
                    <w:rPr>
                      <w:b/>
                      <w:bCs/>
                    </w:rPr>
                  </w:pPr>
                  <w:r>
                    <w:rPr>
                      <w:rFonts w:hint="eastAsia"/>
                      <w:b/>
                      <w:bCs/>
                    </w:rPr>
                    <w:t>年发生频次（次）</w:t>
                  </w:r>
                </w:p>
              </w:tc>
              <w:tc>
                <w:tcPr>
                  <w:tcW w:w="1062" w:type="pct"/>
                  <w:vAlign w:val="center"/>
                </w:tcPr>
                <w:p>
                  <w:pPr>
                    <w:pStyle w:val="24"/>
                    <w:rPr>
                      <w:b/>
                      <w:bCs/>
                    </w:rPr>
                  </w:pPr>
                  <w:r>
                    <w:rPr>
                      <w:rFonts w:hint="eastAsia"/>
                      <w:b/>
                      <w:bCs/>
                    </w:rPr>
                    <w:t>非正常排放速率（kg/h）</w:t>
                  </w:r>
                </w:p>
              </w:tc>
              <w:tc>
                <w:tcPr>
                  <w:tcW w:w="936" w:type="pct"/>
                  <w:vAlign w:val="center"/>
                </w:tcPr>
                <w:p>
                  <w:pPr>
                    <w:pStyle w:val="24"/>
                    <w:rPr>
                      <w:b/>
                      <w:bCs/>
                    </w:rPr>
                  </w:pPr>
                  <w:r>
                    <w:rPr>
                      <w:rFonts w:hint="eastAsia"/>
                      <w:b/>
                      <w:bCs/>
                    </w:rPr>
                    <w:t>非正常排放量（kg/a）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Align w:val="center"/>
                </w:tcPr>
                <w:p>
                  <w:pPr>
                    <w:pStyle w:val="24"/>
                    <w:rPr>
                      <w:rFonts w:hint="eastAsia" w:eastAsia="宋体"/>
                      <w:lang w:val="en-US" w:eastAsia="zh-CN"/>
                    </w:rPr>
                  </w:pPr>
                  <w:r>
                    <w:rPr>
                      <w:rFonts w:hint="eastAsia"/>
                    </w:rPr>
                    <w:t>排气筒</w:t>
                  </w:r>
                  <w:r>
                    <w:t>DA00</w:t>
                  </w:r>
                  <w:r>
                    <w:rPr>
                      <w:rFonts w:hint="eastAsia"/>
                      <w:lang w:val="en-US" w:eastAsia="zh-CN"/>
                    </w:rPr>
                    <w:t>1</w:t>
                  </w:r>
                </w:p>
              </w:tc>
              <w:tc>
                <w:tcPr>
                  <w:tcW w:w="685" w:type="pct"/>
                  <w:shd w:val="clear" w:color="auto" w:fill="auto"/>
                  <w:vAlign w:val="center"/>
                </w:tcPr>
                <w:p>
                  <w:pPr>
                    <w:pStyle w:val="24"/>
                    <w:rPr>
                      <w:rFonts w:hint="eastAsia" w:eastAsia="宋体"/>
                      <w:lang w:val="en-US" w:eastAsia="zh-CN"/>
                    </w:rPr>
                  </w:pPr>
                  <w:r>
                    <w:rPr>
                      <w:rFonts w:hint="eastAsia"/>
                      <w:lang w:val="en-US" w:eastAsia="zh-CN"/>
                    </w:rPr>
                    <w:t>颗粒物</w:t>
                  </w:r>
                </w:p>
              </w:tc>
              <w:tc>
                <w:tcPr>
                  <w:tcW w:w="936" w:type="pct"/>
                  <w:shd w:val="clear" w:color="auto" w:fill="auto"/>
                  <w:vAlign w:val="center"/>
                </w:tcPr>
                <w:p>
                  <w:pPr>
                    <w:pStyle w:val="24"/>
                    <w:rPr>
                      <w:rFonts w:hint="default" w:eastAsia="宋体"/>
                      <w:lang w:val="en-US" w:eastAsia="zh-CN"/>
                    </w:rPr>
                  </w:pPr>
                  <w:r>
                    <w:rPr>
                      <w:rFonts w:hint="eastAsia"/>
                      <w:lang w:val="en-US" w:eastAsia="zh-CN"/>
                    </w:rPr>
                    <w:t>0.5</w:t>
                  </w:r>
                </w:p>
              </w:tc>
              <w:tc>
                <w:tcPr>
                  <w:tcW w:w="828" w:type="pct"/>
                  <w:vAlign w:val="center"/>
                </w:tcPr>
                <w:p>
                  <w:pPr>
                    <w:pStyle w:val="24"/>
                    <w:rPr>
                      <w:rFonts w:hint="eastAsia" w:eastAsia="宋体"/>
                      <w:lang w:val="en-US" w:eastAsia="zh-CN"/>
                    </w:rPr>
                  </w:pPr>
                  <w:r>
                    <w:rPr>
                      <w:rFonts w:hint="eastAsia"/>
                      <w:lang w:val="en-US" w:eastAsia="zh-CN"/>
                    </w:rPr>
                    <w:t>1</w:t>
                  </w:r>
                </w:p>
              </w:tc>
              <w:tc>
                <w:tcPr>
                  <w:tcW w:w="1062" w:type="pct"/>
                  <w:shd w:val="clear" w:color="auto" w:fill="auto"/>
                  <w:vAlign w:val="center"/>
                </w:tcPr>
                <w:p>
                  <w:pPr>
                    <w:pStyle w:val="24"/>
                    <w:rPr>
                      <w:rFonts w:hint="default"/>
                      <w:lang w:val="en-US" w:eastAsia="zh-CN"/>
                    </w:rPr>
                  </w:pPr>
                  <w:r>
                    <w:rPr>
                      <w:rFonts w:hint="default"/>
                      <w:lang w:val="en-US" w:eastAsia="zh-CN"/>
                    </w:rPr>
                    <w:t>0.006</w:t>
                  </w:r>
                </w:p>
              </w:tc>
              <w:tc>
                <w:tcPr>
                  <w:tcW w:w="936" w:type="pct"/>
                  <w:shd w:val="clear" w:color="auto" w:fill="auto"/>
                  <w:vAlign w:val="center"/>
                </w:tcPr>
                <w:p>
                  <w:pPr>
                    <w:pStyle w:val="24"/>
                    <w:rPr>
                      <w:rFonts w:hint="default"/>
                      <w:lang w:val="en-US" w:eastAsia="zh-CN"/>
                    </w:rPr>
                  </w:pPr>
                  <w:r>
                    <w:rPr>
                      <w:rFonts w:hint="default"/>
                      <w:lang w:val="en-US" w:eastAsia="zh-CN"/>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Align w:val="center"/>
                </w:tcPr>
                <w:p>
                  <w:pPr>
                    <w:pStyle w:val="24"/>
                    <w:rPr>
                      <w:rFonts w:hint="eastAsia" w:eastAsia="宋体"/>
                      <w:lang w:val="en-US" w:eastAsia="zh-CN"/>
                    </w:rPr>
                  </w:pPr>
                  <w:r>
                    <w:rPr>
                      <w:rFonts w:hint="eastAsia"/>
                    </w:rPr>
                    <w:t>排气筒</w:t>
                  </w:r>
                  <w:r>
                    <w:t>DA00</w:t>
                  </w:r>
                  <w:r>
                    <w:rPr>
                      <w:rFonts w:hint="eastAsia"/>
                      <w:lang w:val="en-US" w:eastAsia="zh-CN"/>
                    </w:rPr>
                    <w:t>2</w:t>
                  </w:r>
                </w:p>
              </w:tc>
              <w:tc>
                <w:tcPr>
                  <w:tcW w:w="685" w:type="pct"/>
                  <w:shd w:val="clear" w:color="auto" w:fill="auto"/>
                  <w:vAlign w:val="center"/>
                </w:tcPr>
                <w:p>
                  <w:pPr>
                    <w:pStyle w:val="24"/>
                    <w:rPr>
                      <w:rFonts w:hint="eastAsia" w:eastAsia="宋体"/>
                      <w:lang w:val="en-US" w:eastAsia="zh-CN"/>
                    </w:rPr>
                  </w:pPr>
                  <w:r>
                    <w:rPr>
                      <w:rFonts w:hint="eastAsia"/>
                      <w:lang w:val="en-US" w:eastAsia="zh-CN"/>
                    </w:rPr>
                    <w:t>氯化氢</w:t>
                  </w:r>
                </w:p>
              </w:tc>
              <w:tc>
                <w:tcPr>
                  <w:tcW w:w="936" w:type="pct"/>
                  <w:shd w:val="clear" w:color="auto" w:fill="auto"/>
                  <w:vAlign w:val="center"/>
                </w:tcPr>
                <w:p>
                  <w:pPr>
                    <w:pStyle w:val="24"/>
                    <w:rPr>
                      <w:rFonts w:hint="default" w:eastAsia="宋体"/>
                      <w:lang w:val="en-US" w:eastAsia="zh-CN"/>
                    </w:rPr>
                  </w:pPr>
                  <w:r>
                    <w:rPr>
                      <w:rFonts w:hint="eastAsia"/>
                      <w:lang w:val="en-US" w:eastAsia="zh-CN"/>
                    </w:rPr>
                    <w:t>0.5</w:t>
                  </w:r>
                </w:p>
              </w:tc>
              <w:tc>
                <w:tcPr>
                  <w:tcW w:w="828" w:type="pct"/>
                  <w:vAlign w:val="center"/>
                </w:tcPr>
                <w:p>
                  <w:pPr>
                    <w:pStyle w:val="24"/>
                    <w:rPr>
                      <w:rFonts w:hint="eastAsia" w:eastAsia="宋体"/>
                      <w:lang w:val="en-US" w:eastAsia="zh-CN"/>
                    </w:rPr>
                  </w:pPr>
                  <w:r>
                    <w:rPr>
                      <w:rFonts w:hint="eastAsia"/>
                      <w:lang w:val="en-US" w:eastAsia="zh-CN"/>
                    </w:rPr>
                    <w:t>1</w:t>
                  </w:r>
                </w:p>
              </w:tc>
              <w:tc>
                <w:tcPr>
                  <w:tcW w:w="1062" w:type="pct"/>
                  <w:shd w:val="clear" w:color="auto" w:fill="auto"/>
                  <w:vAlign w:val="center"/>
                </w:tcPr>
                <w:p>
                  <w:pPr>
                    <w:pStyle w:val="24"/>
                    <w:rPr>
                      <w:rFonts w:hint="default"/>
                      <w:lang w:val="en-US" w:eastAsia="zh-CN"/>
                    </w:rPr>
                  </w:pPr>
                  <w:r>
                    <w:rPr>
                      <w:rFonts w:hint="default"/>
                      <w:lang w:val="en-US" w:eastAsia="zh-CN"/>
                    </w:rPr>
                    <w:t>0.010</w:t>
                  </w:r>
                </w:p>
              </w:tc>
              <w:tc>
                <w:tcPr>
                  <w:tcW w:w="936" w:type="pct"/>
                  <w:shd w:val="clear" w:color="auto" w:fill="auto"/>
                  <w:vAlign w:val="center"/>
                </w:tcPr>
                <w:p>
                  <w:pPr>
                    <w:pStyle w:val="24"/>
                    <w:rPr>
                      <w:rFonts w:hint="default"/>
                      <w:lang w:val="en-US" w:eastAsia="zh-CN"/>
                    </w:rPr>
                  </w:pPr>
                  <w:r>
                    <w:rPr>
                      <w:rFonts w:hint="default"/>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排气筒</w:t>
                  </w:r>
                  <w:r>
                    <w:t>DA00</w:t>
                  </w:r>
                  <w:r>
                    <w:rPr>
                      <w:rFonts w:hint="eastAsia"/>
                      <w:lang w:val="en-US" w:eastAsia="zh-CN"/>
                    </w:rPr>
                    <w:t>3</w:t>
                  </w:r>
                </w:p>
              </w:tc>
              <w:tc>
                <w:tcPr>
                  <w:tcW w:w="685"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VOCs</w:t>
                  </w:r>
                </w:p>
              </w:tc>
              <w:tc>
                <w:tcPr>
                  <w:tcW w:w="936"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0.5</w:t>
                  </w:r>
                </w:p>
              </w:tc>
              <w:tc>
                <w:tcPr>
                  <w:tcW w:w="8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w:t>
                  </w:r>
                </w:p>
              </w:tc>
              <w:tc>
                <w:tcPr>
                  <w:tcW w:w="1062" w:type="pct"/>
                  <w:shd w:val="clear" w:color="auto" w:fill="auto"/>
                  <w:vAlign w:val="center"/>
                </w:tcPr>
                <w:p>
                  <w:pPr>
                    <w:pStyle w:val="24"/>
                    <w:rPr>
                      <w:rFonts w:hint="default"/>
                      <w:lang w:val="en-US" w:eastAsia="zh-CN"/>
                    </w:rPr>
                  </w:pPr>
                  <w:r>
                    <w:rPr>
                      <w:rFonts w:hint="default"/>
                      <w:lang w:val="en-US" w:eastAsia="zh-CN"/>
                    </w:rPr>
                    <w:t>0.025</w:t>
                  </w:r>
                </w:p>
              </w:tc>
              <w:tc>
                <w:tcPr>
                  <w:tcW w:w="936" w:type="pct"/>
                  <w:shd w:val="clear" w:color="auto" w:fill="auto"/>
                  <w:vAlign w:val="center"/>
                </w:tcPr>
                <w:p>
                  <w:pPr>
                    <w:pStyle w:val="24"/>
                    <w:rPr>
                      <w:rFonts w:hint="default"/>
                      <w:lang w:val="en-US" w:eastAsia="zh-CN"/>
                    </w:rPr>
                  </w:pPr>
                  <w:r>
                    <w:rPr>
                      <w:rFonts w:hint="default"/>
                      <w:lang w:val="en-US" w:eastAsia="zh-CN"/>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Merge w:val="restar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排气筒</w:t>
                  </w:r>
                  <w:r>
                    <w:t>DA00</w:t>
                  </w:r>
                  <w:r>
                    <w:rPr>
                      <w:rFonts w:hint="eastAsia"/>
                      <w:lang w:val="en-US" w:eastAsia="zh-CN"/>
                    </w:rPr>
                    <w:t>4</w:t>
                  </w:r>
                </w:p>
              </w:tc>
              <w:tc>
                <w:tcPr>
                  <w:tcW w:w="685"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颗粒物</w:t>
                  </w:r>
                </w:p>
              </w:tc>
              <w:tc>
                <w:tcPr>
                  <w:tcW w:w="936"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0.5</w:t>
                  </w:r>
                </w:p>
              </w:tc>
              <w:tc>
                <w:tcPr>
                  <w:tcW w:w="8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w:t>
                  </w:r>
                </w:p>
              </w:tc>
              <w:tc>
                <w:tcPr>
                  <w:tcW w:w="1062" w:type="pct"/>
                  <w:shd w:val="clear" w:color="auto" w:fill="auto"/>
                  <w:vAlign w:val="center"/>
                </w:tcPr>
                <w:p>
                  <w:pPr>
                    <w:pStyle w:val="24"/>
                    <w:rPr>
                      <w:rFonts w:hint="default"/>
                      <w:lang w:val="en-US" w:eastAsia="zh-CN"/>
                    </w:rPr>
                  </w:pPr>
                  <w:r>
                    <w:rPr>
                      <w:rFonts w:hint="default"/>
                      <w:lang w:val="en-US" w:eastAsia="zh-CN"/>
                    </w:rPr>
                    <w:t>0.103</w:t>
                  </w:r>
                </w:p>
              </w:tc>
              <w:tc>
                <w:tcPr>
                  <w:tcW w:w="936" w:type="pct"/>
                  <w:shd w:val="clear" w:color="auto" w:fill="auto"/>
                  <w:vAlign w:val="center"/>
                </w:tcPr>
                <w:p>
                  <w:pPr>
                    <w:pStyle w:val="24"/>
                    <w:rPr>
                      <w:rFonts w:hint="default"/>
                      <w:lang w:val="en-US" w:eastAsia="zh-CN"/>
                    </w:rPr>
                  </w:pPr>
                  <w:r>
                    <w:rPr>
                      <w:rFonts w:hint="default"/>
                      <w:lang w:val="en-US" w:eastAsia="zh-CN"/>
                    </w:rPr>
                    <w:t>0.052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685"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SO</w:t>
                  </w:r>
                  <w:r>
                    <w:rPr>
                      <w:rFonts w:hint="eastAsia"/>
                      <w:vertAlign w:val="subscript"/>
                    </w:rPr>
                    <w:t>2</w:t>
                  </w:r>
                </w:p>
              </w:tc>
              <w:tc>
                <w:tcPr>
                  <w:tcW w:w="936"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0.5</w:t>
                  </w:r>
                </w:p>
              </w:tc>
              <w:tc>
                <w:tcPr>
                  <w:tcW w:w="8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w:t>
                  </w:r>
                </w:p>
              </w:tc>
              <w:tc>
                <w:tcPr>
                  <w:tcW w:w="1062" w:type="pct"/>
                  <w:shd w:val="clear" w:color="auto" w:fill="auto"/>
                  <w:vAlign w:val="center"/>
                </w:tcPr>
                <w:p>
                  <w:pPr>
                    <w:pStyle w:val="24"/>
                    <w:rPr>
                      <w:rFonts w:hint="default"/>
                      <w:lang w:val="en-US" w:eastAsia="zh-CN"/>
                    </w:rPr>
                  </w:pPr>
                  <w:r>
                    <w:rPr>
                      <w:rFonts w:hint="default"/>
                      <w:lang w:val="en-US" w:eastAsia="zh-CN"/>
                    </w:rPr>
                    <w:t>0.351</w:t>
                  </w:r>
                </w:p>
              </w:tc>
              <w:tc>
                <w:tcPr>
                  <w:tcW w:w="936" w:type="pct"/>
                  <w:shd w:val="clear" w:color="auto" w:fill="auto"/>
                  <w:vAlign w:val="center"/>
                </w:tcPr>
                <w:p>
                  <w:pPr>
                    <w:pStyle w:val="24"/>
                    <w:rPr>
                      <w:rFonts w:hint="default"/>
                      <w:lang w:val="en-US" w:eastAsia="zh-CN"/>
                    </w:rPr>
                  </w:pPr>
                  <w:r>
                    <w:rPr>
                      <w:rFonts w:hint="default"/>
                      <w:lang w:val="en-US" w:eastAsia="zh-CN"/>
                    </w:rPr>
                    <w:t>0.175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0" w:type="pct"/>
                  <w:vMerge w:val="continue"/>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685"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NO</w:t>
                  </w:r>
                  <w:r>
                    <w:rPr>
                      <w:rFonts w:hint="eastAsia"/>
                      <w:vertAlign w:val="subscript"/>
                    </w:rPr>
                    <w:t>x</w:t>
                  </w:r>
                </w:p>
              </w:tc>
              <w:tc>
                <w:tcPr>
                  <w:tcW w:w="936"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0.5</w:t>
                  </w:r>
                </w:p>
              </w:tc>
              <w:tc>
                <w:tcPr>
                  <w:tcW w:w="828"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w:t>
                  </w:r>
                </w:p>
              </w:tc>
              <w:tc>
                <w:tcPr>
                  <w:tcW w:w="1062" w:type="pct"/>
                  <w:shd w:val="clear" w:color="auto" w:fill="auto"/>
                  <w:vAlign w:val="center"/>
                </w:tcPr>
                <w:p>
                  <w:pPr>
                    <w:pStyle w:val="24"/>
                    <w:rPr>
                      <w:rFonts w:hint="default"/>
                      <w:lang w:val="en-US" w:eastAsia="zh-CN"/>
                    </w:rPr>
                  </w:pPr>
                  <w:r>
                    <w:rPr>
                      <w:rFonts w:hint="default"/>
                      <w:lang w:val="en-US" w:eastAsia="zh-CN"/>
                    </w:rPr>
                    <w:t>0.210</w:t>
                  </w:r>
                </w:p>
              </w:tc>
              <w:tc>
                <w:tcPr>
                  <w:tcW w:w="936" w:type="pct"/>
                  <w:shd w:val="clear" w:color="auto" w:fill="auto"/>
                  <w:vAlign w:val="center"/>
                </w:tcPr>
                <w:p>
                  <w:pPr>
                    <w:pStyle w:val="24"/>
                    <w:rPr>
                      <w:rFonts w:hint="default"/>
                      <w:lang w:val="en-US" w:eastAsia="zh-CN"/>
                    </w:rPr>
                  </w:pPr>
                  <w:r>
                    <w:rPr>
                      <w:rFonts w:hint="default"/>
                      <w:lang w:val="en-US" w:eastAsia="zh-CN"/>
                    </w:rPr>
                    <w:t>0.105</w:t>
                  </w:r>
                </w:p>
              </w:tc>
            </w:tr>
          </w:tbl>
          <w:p>
            <w:pPr>
              <w:ind w:firstLine="480"/>
            </w:pPr>
            <w:r>
              <w:t>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pPr>
              <w:ind w:firstLine="480"/>
            </w:pPr>
            <w:r>
              <w:t>①安排专人负责环保设备的日常维护和管理，每隔固定时间检查、汇报情况，及时发现废气处理设备的隐患，确保废气处理系统正常运行；</w:t>
            </w:r>
          </w:p>
          <w:p>
            <w:pPr>
              <w:ind w:firstLine="480"/>
            </w:pPr>
            <w:r>
              <w:t>②建立健全的环保管理机构，对环保管理人员和技术人员进行岗位培训，委托具有专业资质的环境检测单位对项目排放的各类污染物进行定期检测</w:t>
            </w:r>
            <w:r>
              <w:rPr>
                <w:rFonts w:hint="eastAsia"/>
              </w:rPr>
              <w:t>。</w:t>
            </w:r>
          </w:p>
          <w:p>
            <w:pPr>
              <w:pStyle w:val="3"/>
              <w:ind w:firstLine="482"/>
            </w:pPr>
            <w:r>
              <w:rPr>
                <w:rFonts w:hint="eastAsia"/>
              </w:rPr>
              <w:t>3）大气污染物排放量核算</w:t>
            </w:r>
          </w:p>
          <w:p>
            <w:pPr>
              <w:ind w:firstLine="480"/>
            </w:pPr>
            <w:r>
              <w:rPr>
                <w:rFonts w:hint="eastAsia"/>
              </w:rPr>
              <w:t>项目有组织排放量核算见下表。</w:t>
            </w:r>
          </w:p>
          <w:p>
            <w:pPr>
              <w:pStyle w:val="37"/>
              <w:spacing w:before="72" w:after="120"/>
              <w:rPr>
                <w:rFonts w:hint="default"/>
              </w:rPr>
            </w:pPr>
            <w:r>
              <w:t>表4-</w:t>
            </w:r>
            <w:r>
              <w:rPr>
                <w:rFonts w:hint="eastAsia"/>
                <w:lang w:val="en-US" w:eastAsia="zh-CN"/>
              </w:rPr>
              <w:t>10</w:t>
            </w:r>
            <w:r>
              <w:t xml:space="preserve"> 大气污染物有组织排放量核算表</w:t>
            </w:r>
          </w:p>
          <w:tbl>
            <w:tblPr>
              <w:tblStyle w:val="19"/>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942"/>
              <w:gridCol w:w="1103"/>
              <w:gridCol w:w="930"/>
              <w:gridCol w:w="1592"/>
              <w:gridCol w:w="1552"/>
              <w:gridCol w:w="15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vAlign w:val="center"/>
                </w:tcPr>
                <w:p>
                  <w:pPr>
                    <w:pStyle w:val="24"/>
                    <w:rPr>
                      <w:b/>
                      <w:bCs/>
                    </w:rPr>
                  </w:pPr>
                  <w:r>
                    <w:rPr>
                      <w:rFonts w:hint="eastAsia"/>
                      <w:b/>
                      <w:bCs/>
                    </w:rPr>
                    <w:t>序号</w:t>
                  </w:r>
                </w:p>
              </w:tc>
              <w:tc>
                <w:tcPr>
                  <w:tcW w:w="579" w:type="pct"/>
                  <w:tcBorders>
                    <w:tl2br w:val="nil"/>
                    <w:tr2bl w:val="nil"/>
                  </w:tcBorders>
                  <w:vAlign w:val="center"/>
                </w:tcPr>
                <w:p>
                  <w:pPr>
                    <w:pStyle w:val="24"/>
                    <w:rPr>
                      <w:b/>
                      <w:bCs/>
                    </w:rPr>
                  </w:pPr>
                  <w:r>
                    <w:rPr>
                      <w:rFonts w:hint="eastAsia"/>
                      <w:b/>
                      <w:bCs/>
                    </w:rPr>
                    <w:t>排放口编号</w:t>
                  </w:r>
                </w:p>
              </w:tc>
              <w:tc>
                <w:tcPr>
                  <w:tcW w:w="678" w:type="pct"/>
                  <w:tcBorders>
                    <w:tl2br w:val="nil"/>
                    <w:tr2bl w:val="nil"/>
                  </w:tcBorders>
                  <w:vAlign w:val="center"/>
                </w:tcPr>
                <w:p>
                  <w:pPr>
                    <w:pStyle w:val="24"/>
                    <w:rPr>
                      <w:b/>
                      <w:bCs/>
                    </w:rPr>
                  </w:pPr>
                  <w:r>
                    <w:rPr>
                      <w:rFonts w:hint="eastAsia"/>
                      <w:b/>
                      <w:bCs/>
                    </w:rPr>
                    <w:t>产污环节</w:t>
                  </w:r>
                </w:p>
              </w:tc>
              <w:tc>
                <w:tcPr>
                  <w:tcW w:w="572" w:type="pct"/>
                  <w:tcBorders>
                    <w:tl2br w:val="nil"/>
                    <w:tr2bl w:val="nil"/>
                  </w:tcBorders>
                  <w:vAlign w:val="center"/>
                </w:tcPr>
                <w:p>
                  <w:pPr>
                    <w:pStyle w:val="24"/>
                    <w:rPr>
                      <w:b/>
                      <w:bCs/>
                    </w:rPr>
                  </w:pPr>
                  <w:r>
                    <w:rPr>
                      <w:rFonts w:hint="eastAsia"/>
                      <w:b/>
                      <w:bCs/>
                    </w:rPr>
                    <w:t>污染物</w:t>
                  </w:r>
                </w:p>
              </w:tc>
              <w:tc>
                <w:tcPr>
                  <w:tcW w:w="979" w:type="pct"/>
                  <w:tcBorders>
                    <w:tl2br w:val="nil"/>
                    <w:tr2bl w:val="nil"/>
                  </w:tcBorders>
                  <w:vAlign w:val="center"/>
                </w:tcPr>
                <w:p>
                  <w:pPr>
                    <w:pStyle w:val="24"/>
                    <w:rPr>
                      <w:b/>
                      <w:bCs/>
                    </w:rPr>
                  </w:pPr>
                  <w:r>
                    <w:rPr>
                      <w:rFonts w:hint="eastAsia"/>
                      <w:b/>
                      <w:bCs/>
                    </w:rPr>
                    <w:t>核算排放浓度</w:t>
                  </w:r>
                </w:p>
                <w:p>
                  <w:pPr>
                    <w:pStyle w:val="24"/>
                    <w:rPr>
                      <w:b/>
                      <w:bCs/>
                    </w:rPr>
                  </w:pPr>
                  <w:r>
                    <w:rPr>
                      <w:rFonts w:hint="eastAsia"/>
                      <w:b/>
                      <w:bCs/>
                    </w:rPr>
                    <w:t>（mg/m</w:t>
                  </w:r>
                  <w:r>
                    <w:rPr>
                      <w:b/>
                      <w:bCs/>
                      <w:vertAlign w:val="superscript"/>
                    </w:rPr>
                    <w:t>3</w:t>
                  </w:r>
                  <w:r>
                    <w:rPr>
                      <w:rFonts w:hint="eastAsia"/>
                      <w:b/>
                      <w:bCs/>
                    </w:rPr>
                    <w:t>）</w:t>
                  </w:r>
                </w:p>
              </w:tc>
              <w:tc>
                <w:tcPr>
                  <w:tcW w:w="953" w:type="pct"/>
                  <w:tcBorders>
                    <w:tl2br w:val="nil"/>
                    <w:tr2bl w:val="nil"/>
                  </w:tcBorders>
                  <w:vAlign w:val="center"/>
                </w:tcPr>
                <w:p>
                  <w:pPr>
                    <w:pStyle w:val="24"/>
                    <w:rPr>
                      <w:b/>
                      <w:bCs/>
                    </w:rPr>
                  </w:pPr>
                  <w:r>
                    <w:rPr>
                      <w:rFonts w:hint="eastAsia"/>
                      <w:b/>
                      <w:bCs/>
                    </w:rPr>
                    <w:t>核算排放速率</w:t>
                  </w:r>
                </w:p>
                <w:p>
                  <w:pPr>
                    <w:pStyle w:val="24"/>
                    <w:rPr>
                      <w:b/>
                      <w:bCs/>
                    </w:rPr>
                  </w:pPr>
                  <w:r>
                    <w:rPr>
                      <w:rFonts w:hint="eastAsia"/>
                      <w:b/>
                      <w:bCs/>
                    </w:rPr>
                    <w:t>（kg/h）</w:t>
                  </w:r>
                </w:p>
              </w:tc>
              <w:tc>
                <w:tcPr>
                  <w:tcW w:w="968" w:type="pct"/>
                  <w:tcBorders>
                    <w:tl2br w:val="nil"/>
                    <w:tr2bl w:val="nil"/>
                  </w:tcBorders>
                  <w:vAlign w:val="center"/>
                </w:tcPr>
                <w:p>
                  <w:pPr>
                    <w:pStyle w:val="24"/>
                    <w:rPr>
                      <w:b/>
                      <w:bCs/>
                    </w:rPr>
                  </w:pPr>
                  <w:r>
                    <w:rPr>
                      <w:rFonts w:hint="eastAsia"/>
                      <w:b/>
                      <w:bCs/>
                    </w:rPr>
                    <w:t>核算年排放量</w:t>
                  </w:r>
                </w:p>
                <w:p>
                  <w:pPr>
                    <w:pStyle w:val="24"/>
                    <w:rPr>
                      <w:b/>
                      <w:bCs/>
                    </w:rPr>
                  </w:pPr>
                  <w:r>
                    <w:rPr>
                      <w:rFonts w:hint="eastAsia"/>
                      <w:b/>
                      <w:bCs/>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vAlign w:val="center"/>
                </w:tcPr>
                <w:p>
                  <w:pPr>
                    <w:pStyle w:val="24"/>
                  </w:pPr>
                  <w:r>
                    <w:rPr>
                      <w:rFonts w:hint="eastAsia"/>
                    </w:rPr>
                    <w:t>一般排放口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vAlign w:val="center"/>
                </w:tcPr>
                <w:p>
                  <w:pPr>
                    <w:pStyle w:val="24"/>
                    <w:rPr>
                      <w:rFonts w:hint="eastAsia" w:eastAsia="宋体"/>
                      <w:lang w:val="en-US" w:eastAsia="zh-CN"/>
                    </w:rPr>
                  </w:pPr>
                  <w:r>
                    <w:rPr>
                      <w:rFonts w:hint="eastAsia"/>
                      <w:lang w:val="en-US" w:eastAsia="zh-CN"/>
                    </w:rPr>
                    <w:t>1</w:t>
                  </w:r>
                </w:p>
              </w:tc>
              <w:tc>
                <w:tcPr>
                  <w:tcW w:w="579" w:type="pct"/>
                  <w:tcBorders>
                    <w:tl2br w:val="nil"/>
                    <w:tr2bl w:val="nil"/>
                  </w:tcBorders>
                  <w:vAlign w:val="center"/>
                </w:tcPr>
                <w:p>
                  <w:pPr>
                    <w:pStyle w:val="24"/>
                    <w:rPr>
                      <w:rFonts w:hint="eastAsia" w:eastAsia="宋体"/>
                      <w:lang w:val="en-US" w:eastAsia="zh-CN"/>
                    </w:rPr>
                  </w:pPr>
                  <w:r>
                    <w:rPr>
                      <w:rFonts w:hint="eastAsia"/>
                    </w:rPr>
                    <w:t>DA00</w:t>
                  </w:r>
                  <w:r>
                    <w:rPr>
                      <w:rFonts w:hint="eastAsia"/>
                      <w:lang w:val="en-US" w:eastAsia="zh-CN"/>
                    </w:rPr>
                    <w:t>1</w:t>
                  </w:r>
                </w:p>
              </w:tc>
              <w:tc>
                <w:tcPr>
                  <w:tcW w:w="678" w:type="pct"/>
                  <w:tcBorders>
                    <w:tl2br w:val="nil"/>
                    <w:tr2bl w:val="nil"/>
                  </w:tcBorders>
                  <w:vAlign w:val="center"/>
                </w:tcPr>
                <w:p>
                  <w:pPr>
                    <w:pStyle w:val="24"/>
                    <w:rPr>
                      <w:rFonts w:hint="default" w:eastAsia="宋体"/>
                      <w:lang w:val="en-US" w:eastAsia="zh-CN"/>
                    </w:rPr>
                  </w:pPr>
                  <w:r>
                    <w:rPr>
                      <w:rFonts w:hint="eastAsia"/>
                      <w:lang w:val="en-US" w:eastAsia="zh-CN"/>
                    </w:rPr>
                    <w:t>焊接</w:t>
                  </w:r>
                </w:p>
              </w:tc>
              <w:tc>
                <w:tcPr>
                  <w:tcW w:w="572" w:type="pct"/>
                  <w:tcBorders>
                    <w:tl2br w:val="nil"/>
                    <w:tr2bl w:val="nil"/>
                  </w:tcBorders>
                  <w:vAlign w:val="center"/>
                </w:tcPr>
                <w:p>
                  <w:pPr>
                    <w:pStyle w:val="24"/>
                    <w:rPr>
                      <w:rFonts w:hint="eastAsia" w:eastAsia="宋体"/>
                      <w:lang w:val="en-US" w:eastAsia="zh-CN"/>
                    </w:rPr>
                  </w:pPr>
                  <w:r>
                    <w:rPr>
                      <w:rFonts w:hint="eastAsia"/>
                      <w:lang w:val="en-US" w:eastAsia="zh-CN"/>
                    </w:rPr>
                    <w:t>颗粒物</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0.101</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0.001</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vAlign w:val="center"/>
                </w:tcPr>
                <w:p>
                  <w:pPr>
                    <w:pStyle w:val="24"/>
                  </w:pPr>
                  <w:r>
                    <w:rPr>
                      <w:rFonts w:hint="eastAsia"/>
                      <w:lang w:val="en-US" w:eastAsia="zh-CN"/>
                    </w:rPr>
                    <w:t>2</w:t>
                  </w:r>
                </w:p>
              </w:tc>
              <w:tc>
                <w:tcPr>
                  <w:tcW w:w="579" w:type="pct"/>
                  <w:tcBorders>
                    <w:tl2br w:val="nil"/>
                    <w:tr2bl w:val="nil"/>
                  </w:tcBorders>
                  <w:vAlign w:val="center"/>
                </w:tcPr>
                <w:p>
                  <w:pPr>
                    <w:pStyle w:val="24"/>
                    <w:rPr>
                      <w:rFonts w:hint="eastAsia" w:eastAsia="宋体"/>
                      <w:lang w:val="en-US" w:eastAsia="zh-CN"/>
                    </w:rPr>
                  </w:pPr>
                  <w:r>
                    <w:rPr>
                      <w:rFonts w:hint="eastAsia"/>
                    </w:rPr>
                    <w:t>DA00</w:t>
                  </w:r>
                  <w:r>
                    <w:rPr>
                      <w:rFonts w:hint="eastAsia"/>
                      <w:lang w:val="en-US" w:eastAsia="zh-CN"/>
                    </w:rPr>
                    <w:t>2</w:t>
                  </w:r>
                </w:p>
              </w:tc>
              <w:tc>
                <w:tcPr>
                  <w:tcW w:w="678" w:type="pct"/>
                  <w:tcBorders>
                    <w:tl2br w:val="nil"/>
                    <w:tr2bl w:val="nil"/>
                  </w:tcBorders>
                  <w:vAlign w:val="center"/>
                </w:tcPr>
                <w:p>
                  <w:pPr>
                    <w:pStyle w:val="24"/>
                    <w:rPr>
                      <w:rFonts w:hint="eastAsia" w:eastAsia="宋体"/>
                      <w:lang w:val="en-US" w:eastAsia="zh-CN"/>
                    </w:rPr>
                  </w:pPr>
                  <w:r>
                    <w:rPr>
                      <w:rFonts w:hint="eastAsia"/>
                      <w:lang w:val="en-US" w:eastAsia="zh-CN"/>
                    </w:rPr>
                    <w:t>酸洗</w:t>
                  </w:r>
                </w:p>
              </w:tc>
              <w:tc>
                <w:tcPr>
                  <w:tcW w:w="572" w:type="pct"/>
                  <w:tcBorders>
                    <w:tl2br w:val="nil"/>
                    <w:tr2bl w:val="nil"/>
                  </w:tcBorders>
                  <w:vAlign w:val="center"/>
                </w:tcPr>
                <w:p>
                  <w:pPr>
                    <w:pStyle w:val="24"/>
                    <w:rPr>
                      <w:rFonts w:hint="eastAsia" w:eastAsia="宋体"/>
                      <w:lang w:val="en-US" w:eastAsia="zh-CN"/>
                    </w:rPr>
                  </w:pPr>
                  <w:r>
                    <w:rPr>
                      <w:rFonts w:hint="eastAsia"/>
                      <w:lang w:val="en-US" w:eastAsia="zh-CN"/>
                    </w:rPr>
                    <w:t>氯化氢</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0.099</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0.001</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vAlign w:val="center"/>
                </w:tcPr>
                <w:p>
                  <w:pPr>
                    <w:pStyle w:val="24"/>
                    <w:rPr>
                      <w:rFonts w:hint="eastAsia" w:eastAsia="宋体"/>
                      <w:lang w:val="en-US" w:eastAsia="zh-CN"/>
                    </w:rPr>
                  </w:pPr>
                  <w:r>
                    <w:rPr>
                      <w:rFonts w:hint="eastAsia"/>
                      <w:lang w:val="en-US" w:eastAsia="zh-CN"/>
                    </w:rPr>
                    <w:t>3</w:t>
                  </w:r>
                </w:p>
              </w:tc>
              <w:tc>
                <w:tcPr>
                  <w:tcW w:w="579" w:type="pct"/>
                  <w:tcBorders>
                    <w:tl2br w:val="nil"/>
                    <w:tr2bl w:val="nil"/>
                  </w:tcBorders>
                  <w:vAlign w:val="center"/>
                </w:tcPr>
                <w:p>
                  <w:pPr>
                    <w:pStyle w:val="24"/>
                    <w:rPr>
                      <w:rFonts w:hint="eastAsia" w:eastAsia="宋体"/>
                      <w:lang w:val="en-US" w:eastAsia="zh-CN"/>
                    </w:rPr>
                  </w:pPr>
                  <w:r>
                    <w:rPr>
                      <w:rFonts w:hint="eastAsia"/>
                    </w:rPr>
                    <w:t>DA00</w:t>
                  </w:r>
                  <w:r>
                    <w:rPr>
                      <w:rFonts w:hint="eastAsia"/>
                      <w:lang w:val="en-US" w:eastAsia="zh-CN"/>
                    </w:rPr>
                    <w:t>3</w:t>
                  </w:r>
                </w:p>
              </w:tc>
              <w:tc>
                <w:tcPr>
                  <w:tcW w:w="678" w:type="pct"/>
                  <w:tcBorders>
                    <w:tl2br w:val="nil"/>
                    <w:tr2bl w:val="nil"/>
                  </w:tcBorders>
                  <w:vAlign w:val="center"/>
                </w:tcPr>
                <w:p>
                  <w:pPr>
                    <w:pStyle w:val="24"/>
                    <w:rPr>
                      <w:rFonts w:hint="eastAsia" w:eastAsia="宋体"/>
                      <w:lang w:val="en-US" w:eastAsia="zh-CN"/>
                    </w:rPr>
                  </w:pPr>
                  <w:r>
                    <w:rPr>
                      <w:rFonts w:hint="eastAsia"/>
                      <w:lang w:val="en-US" w:eastAsia="zh-CN"/>
                    </w:rPr>
                    <w:t>固化</w:t>
                  </w:r>
                </w:p>
              </w:tc>
              <w:tc>
                <w:tcPr>
                  <w:tcW w:w="572" w:type="pct"/>
                  <w:tcBorders>
                    <w:tl2br w:val="nil"/>
                    <w:tr2bl w:val="nil"/>
                  </w:tcBorders>
                  <w:vAlign w:val="center"/>
                </w:tcPr>
                <w:p>
                  <w:pPr>
                    <w:pStyle w:val="24"/>
                    <w:rPr>
                      <w:rFonts w:hint="default" w:eastAsia="宋体"/>
                      <w:lang w:val="en-US" w:eastAsia="zh-CN"/>
                    </w:rPr>
                  </w:pPr>
                  <w:r>
                    <w:rPr>
                      <w:rFonts w:hint="eastAsia"/>
                      <w:lang w:val="en-US" w:eastAsia="zh-CN"/>
                    </w:rPr>
                    <w:t>VOCs</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5.000</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0.020</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Merge w:val="restart"/>
                  <w:tcBorders>
                    <w:tl2br w:val="nil"/>
                    <w:tr2bl w:val="nil"/>
                  </w:tcBorders>
                  <w:vAlign w:val="center"/>
                </w:tcPr>
                <w:p>
                  <w:pPr>
                    <w:pStyle w:val="24"/>
                    <w:rPr>
                      <w:rFonts w:hint="default" w:eastAsia="宋体"/>
                      <w:lang w:val="en-US" w:eastAsia="zh-CN"/>
                    </w:rPr>
                  </w:pPr>
                  <w:r>
                    <w:rPr>
                      <w:rFonts w:hint="eastAsia"/>
                      <w:lang w:val="en-US" w:eastAsia="zh-CN"/>
                    </w:rPr>
                    <w:t>4</w:t>
                  </w:r>
                </w:p>
              </w:tc>
              <w:tc>
                <w:tcPr>
                  <w:tcW w:w="579" w:type="pct"/>
                  <w:vMerge w:val="restar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DA00</w:t>
                  </w:r>
                  <w:r>
                    <w:rPr>
                      <w:rFonts w:hint="eastAsia"/>
                      <w:lang w:val="en-US" w:eastAsia="zh-CN"/>
                    </w:rPr>
                    <w:t>4</w:t>
                  </w:r>
                </w:p>
              </w:tc>
              <w:tc>
                <w:tcPr>
                  <w:tcW w:w="678" w:type="pct"/>
                  <w:vMerge w:val="restar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生物质燃烧</w:t>
                  </w:r>
                </w:p>
              </w:tc>
              <w:tc>
                <w:tcPr>
                  <w:tcW w:w="572"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颗粒物</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0.103</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0.001</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Merge w:val="continue"/>
                  <w:tcBorders>
                    <w:tl2br w:val="nil"/>
                    <w:tr2bl w:val="nil"/>
                  </w:tcBorders>
                  <w:vAlign w:val="center"/>
                </w:tcPr>
                <w:p>
                  <w:pPr>
                    <w:pStyle w:val="24"/>
                    <w:rPr>
                      <w:rFonts w:hint="default"/>
                      <w:lang w:val="en-US" w:eastAsia="zh-CN"/>
                    </w:rPr>
                  </w:pPr>
                </w:p>
              </w:tc>
              <w:tc>
                <w:tcPr>
                  <w:tcW w:w="579" w:type="pct"/>
                  <w:vMerge w:val="continue"/>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678" w:type="pct"/>
                  <w:vMerge w:val="continue"/>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572"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SO</w:t>
                  </w:r>
                  <w:r>
                    <w:rPr>
                      <w:rFonts w:hint="eastAsia"/>
                      <w:vertAlign w:val="subscript"/>
                    </w:rPr>
                    <w:t>2</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35.063</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0.351</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0.842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Merge w:val="continue"/>
                  <w:tcBorders>
                    <w:tl2br w:val="nil"/>
                    <w:tr2bl w:val="nil"/>
                  </w:tcBorders>
                  <w:vAlign w:val="center"/>
                </w:tcPr>
                <w:p>
                  <w:pPr>
                    <w:pStyle w:val="24"/>
                    <w:rPr>
                      <w:rFonts w:hint="eastAsia"/>
                      <w:lang w:val="en-US" w:eastAsia="zh-CN"/>
                    </w:rPr>
                  </w:pPr>
                </w:p>
              </w:tc>
              <w:tc>
                <w:tcPr>
                  <w:tcW w:w="579" w:type="pct"/>
                  <w:vMerge w:val="continue"/>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678" w:type="pct"/>
                  <w:vMerge w:val="continue"/>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p>
              </w:tc>
              <w:tc>
                <w:tcPr>
                  <w:tcW w:w="572"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NO</w:t>
                  </w:r>
                  <w:r>
                    <w:rPr>
                      <w:rFonts w:hint="eastAsia"/>
                      <w:vertAlign w:val="subscript"/>
                    </w:rPr>
                    <w:t>x</w:t>
                  </w:r>
                </w:p>
              </w:tc>
              <w:tc>
                <w:tcPr>
                  <w:tcW w:w="979" w:type="pct"/>
                  <w:tcBorders>
                    <w:tl2br w:val="nil"/>
                    <w:tr2bl w:val="nil"/>
                  </w:tcBorders>
                  <w:shd w:val="clear" w:color="auto" w:fill="auto"/>
                  <w:vAlign w:val="center"/>
                </w:tcPr>
                <w:p>
                  <w:pPr>
                    <w:pStyle w:val="24"/>
                    <w:rPr>
                      <w:rFonts w:hint="default"/>
                      <w:lang w:val="en-US" w:eastAsia="zh-CN"/>
                    </w:rPr>
                  </w:pPr>
                  <w:r>
                    <w:rPr>
                      <w:rFonts w:hint="default"/>
                      <w:lang w:val="en-US" w:eastAsia="zh-CN"/>
                    </w:rPr>
                    <w:t>21.038</w:t>
                  </w:r>
                </w:p>
              </w:tc>
              <w:tc>
                <w:tcPr>
                  <w:tcW w:w="953" w:type="pct"/>
                  <w:tcBorders>
                    <w:tl2br w:val="nil"/>
                    <w:tr2bl w:val="nil"/>
                  </w:tcBorders>
                  <w:shd w:val="clear" w:color="auto" w:fill="auto"/>
                  <w:vAlign w:val="center"/>
                </w:tcPr>
                <w:p>
                  <w:pPr>
                    <w:pStyle w:val="24"/>
                    <w:rPr>
                      <w:rFonts w:hint="default"/>
                      <w:lang w:val="en-US" w:eastAsia="zh-CN"/>
                    </w:rPr>
                  </w:pPr>
                  <w:r>
                    <w:rPr>
                      <w:rFonts w:hint="default"/>
                      <w:lang w:val="en-US" w:eastAsia="zh-CN"/>
                    </w:rPr>
                    <w:t>0.210</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tcBorders>
                    <w:tl2br w:val="nil"/>
                    <w:tr2bl w:val="nil"/>
                  </w:tcBorders>
                  <w:vAlign w:val="center"/>
                </w:tcPr>
                <w:p>
                  <w:pPr>
                    <w:pStyle w:val="24"/>
                  </w:pPr>
                  <w:r>
                    <w:rPr>
                      <w:rFonts w:hint="eastAsia"/>
                    </w:rPr>
                    <w:t>有组织排放总计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5" w:type="pct"/>
                  <w:gridSpan w:val="3"/>
                  <w:vMerge w:val="restart"/>
                  <w:tcBorders>
                    <w:tl2br w:val="nil"/>
                    <w:tr2bl w:val="nil"/>
                  </w:tcBorders>
                  <w:vAlign w:val="center"/>
                </w:tcPr>
                <w:p>
                  <w:pPr>
                    <w:pStyle w:val="24"/>
                  </w:pPr>
                  <w:r>
                    <w:rPr>
                      <w:rFonts w:hint="eastAsia"/>
                    </w:rPr>
                    <w:t>有组织排放总计</w:t>
                  </w:r>
                </w:p>
              </w:tc>
              <w:tc>
                <w:tcPr>
                  <w:tcW w:w="2505" w:type="pct"/>
                  <w:gridSpan w:val="3"/>
                  <w:tcBorders>
                    <w:tl2br w:val="nil"/>
                    <w:tr2bl w:val="nil"/>
                  </w:tcBorders>
                  <w:vAlign w:val="center"/>
                </w:tcPr>
                <w:p>
                  <w:pPr>
                    <w:pStyle w:val="24"/>
                  </w:pPr>
                  <w:r>
                    <w:rPr>
                      <w:rFonts w:hint="eastAsia"/>
                    </w:rPr>
                    <w:t>颗粒物</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0.00</w:t>
                  </w:r>
                  <w:r>
                    <w:rPr>
                      <w:rFonts w:hint="eastAsia"/>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5" w:type="pct"/>
                  <w:gridSpan w:val="3"/>
                  <w:vMerge w:val="continue"/>
                  <w:tcBorders>
                    <w:tl2br w:val="nil"/>
                    <w:tr2bl w:val="nil"/>
                  </w:tcBorders>
                  <w:vAlign w:val="center"/>
                </w:tcPr>
                <w:p>
                  <w:pPr>
                    <w:pStyle w:val="24"/>
                  </w:pPr>
                </w:p>
              </w:tc>
              <w:tc>
                <w:tcPr>
                  <w:tcW w:w="2505" w:type="pct"/>
                  <w:gridSpan w:val="3"/>
                  <w:tcBorders>
                    <w:tl2br w:val="nil"/>
                    <w:tr2bl w:val="nil"/>
                  </w:tcBorders>
                  <w:vAlign w:val="center"/>
                </w:tcPr>
                <w:p>
                  <w:pPr>
                    <w:pStyle w:val="24"/>
                  </w:pPr>
                  <w:r>
                    <w:rPr>
                      <w:rFonts w:hint="eastAsia"/>
                    </w:rPr>
                    <w:t>VOCs</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5" w:type="pct"/>
                  <w:gridSpan w:val="3"/>
                  <w:vMerge w:val="continue"/>
                  <w:tcBorders>
                    <w:tl2br w:val="nil"/>
                    <w:tr2bl w:val="nil"/>
                  </w:tcBorders>
                  <w:vAlign w:val="center"/>
                </w:tcPr>
                <w:p>
                  <w:pPr>
                    <w:pStyle w:val="24"/>
                  </w:pPr>
                </w:p>
              </w:tc>
              <w:tc>
                <w:tcPr>
                  <w:tcW w:w="2505" w:type="pct"/>
                  <w:gridSpan w:val="3"/>
                  <w:tcBorders>
                    <w:tl2br w:val="nil"/>
                    <w:tr2bl w:val="nil"/>
                  </w:tcBorders>
                  <w:shd w:val="clear" w:color="auto" w:fill="auto"/>
                  <w:vAlign w:val="center"/>
                </w:tcPr>
                <w:p>
                  <w:pPr>
                    <w:pStyle w:val="24"/>
                  </w:pPr>
                  <w:r>
                    <w:rPr>
                      <w:rFonts w:hint="eastAsia"/>
                    </w:rPr>
                    <w:t>SO</w:t>
                  </w:r>
                  <w:r>
                    <w:rPr>
                      <w:rFonts w:hint="eastAsia"/>
                      <w:vertAlign w:val="subscript"/>
                    </w:rPr>
                    <w:t>2</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0.842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5" w:type="pct"/>
                  <w:gridSpan w:val="3"/>
                  <w:vMerge w:val="continue"/>
                  <w:tcBorders>
                    <w:tl2br w:val="nil"/>
                    <w:tr2bl w:val="nil"/>
                  </w:tcBorders>
                  <w:vAlign w:val="center"/>
                </w:tcPr>
                <w:p>
                  <w:pPr>
                    <w:pStyle w:val="24"/>
                  </w:pPr>
                </w:p>
              </w:tc>
              <w:tc>
                <w:tcPr>
                  <w:tcW w:w="2505" w:type="pct"/>
                  <w:gridSpan w:val="3"/>
                  <w:tcBorders>
                    <w:tl2br w:val="nil"/>
                    <w:tr2bl w:val="nil"/>
                  </w:tcBorders>
                  <w:shd w:val="clear" w:color="auto" w:fill="auto"/>
                  <w:vAlign w:val="center"/>
                </w:tcPr>
                <w:p>
                  <w:pPr>
                    <w:pStyle w:val="24"/>
                  </w:pPr>
                  <w:r>
                    <w:rPr>
                      <w:rFonts w:hint="eastAsia"/>
                    </w:rPr>
                    <w:t>NO</w:t>
                  </w:r>
                  <w:r>
                    <w:rPr>
                      <w:rFonts w:hint="eastAsia"/>
                      <w:vertAlign w:val="subscript"/>
                    </w:rPr>
                    <w:t>x</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5" w:type="pct"/>
                  <w:gridSpan w:val="3"/>
                  <w:vMerge w:val="continue"/>
                  <w:tcBorders>
                    <w:tl2br w:val="nil"/>
                    <w:tr2bl w:val="nil"/>
                  </w:tcBorders>
                  <w:vAlign w:val="center"/>
                </w:tcPr>
                <w:p>
                  <w:pPr>
                    <w:pStyle w:val="24"/>
                  </w:pPr>
                </w:p>
              </w:tc>
              <w:tc>
                <w:tcPr>
                  <w:tcW w:w="2505" w:type="pct"/>
                  <w:gridSpan w:val="3"/>
                  <w:tcBorders>
                    <w:tl2br w:val="nil"/>
                    <w:tr2bl w:val="nil"/>
                  </w:tcBorders>
                  <w:shd w:val="clear" w:color="auto" w:fill="auto"/>
                  <w:vAlign w:val="center"/>
                </w:tcPr>
                <w:p>
                  <w:pPr>
                    <w:pStyle w:val="24"/>
                    <w:rPr>
                      <w:rFonts w:hint="eastAsia" w:eastAsia="宋体"/>
                      <w:lang w:val="en-US" w:eastAsia="zh-CN"/>
                    </w:rPr>
                  </w:pPr>
                  <w:r>
                    <w:rPr>
                      <w:rFonts w:hint="eastAsia"/>
                      <w:lang w:val="en-US" w:eastAsia="zh-CN"/>
                    </w:rPr>
                    <w:t>氯化氢</w:t>
                  </w:r>
                </w:p>
              </w:tc>
              <w:tc>
                <w:tcPr>
                  <w:tcW w:w="968" w:type="pct"/>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r>
          </w:tbl>
          <w:p>
            <w:pPr>
              <w:pStyle w:val="37"/>
              <w:spacing w:before="72" w:after="120"/>
              <w:rPr>
                <w:rFonts w:hint="default"/>
              </w:rPr>
            </w:pPr>
            <w:r>
              <w:t>表4-1</w:t>
            </w:r>
            <w:r>
              <w:rPr>
                <w:rFonts w:hint="eastAsia"/>
                <w:lang w:val="en-US" w:eastAsia="zh-CN"/>
              </w:rPr>
              <w:t>1</w:t>
            </w:r>
            <w:r>
              <w:t xml:space="preserve"> 大气污染物无组织排放量核算表</w:t>
            </w:r>
          </w:p>
          <w:tbl>
            <w:tblPr>
              <w:tblStyle w:val="19"/>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
              <w:gridCol w:w="791"/>
              <w:gridCol w:w="913"/>
              <w:gridCol w:w="3697"/>
              <w:gridCol w:w="1297"/>
              <w:gridCol w:w="9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Merge w:val="restart"/>
                  <w:tcBorders>
                    <w:tl2br w:val="nil"/>
                    <w:tr2bl w:val="nil"/>
                  </w:tcBorders>
                  <w:vAlign w:val="center"/>
                </w:tcPr>
                <w:p>
                  <w:pPr>
                    <w:pStyle w:val="24"/>
                    <w:rPr>
                      <w:b/>
                      <w:bCs/>
                    </w:rPr>
                  </w:pPr>
                  <w:r>
                    <w:rPr>
                      <w:rFonts w:hint="eastAsia"/>
                      <w:b/>
                      <w:bCs/>
                    </w:rPr>
                    <w:t>序号</w:t>
                  </w:r>
                </w:p>
              </w:tc>
              <w:tc>
                <w:tcPr>
                  <w:tcW w:w="487" w:type="pct"/>
                  <w:vMerge w:val="restart"/>
                  <w:tcBorders>
                    <w:tl2br w:val="nil"/>
                    <w:tr2bl w:val="nil"/>
                  </w:tcBorders>
                  <w:vAlign w:val="center"/>
                </w:tcPr>
                <w:p>
                  <w:pPr>
                    <w:pStyle w:val="24"/>
                    <w:rPr>
                      <w:b/>
                      <w:bCs/>
                    </w:rPr>
                  </w:pPr>
                  <w:r>
                    <w:rPr>
                      <w:rFonts w:hint="eastAsia"/>
                      <w:b/>
                      <w:bCs/>
                    </w:rPr>
                    <w:t>产污环节</w:t>
                  </w:r>
                </w:p>
              </w:tc>
              <w:tc>
                <w:tcPr>
                  <w:tcW w:w="561" w:type="pct"/>
                  <w:vMerge w:val="restart"/>
                  <w:tcBorders>
                    <w:tl2br w:val="nil"/>
                    <w:tr2bl w:val="nil"/>
                  </w:tcBorders>
                  <w:vAlign w:val="center"/>
                </w:tcPr>
                <w:p>
                  <w:pPr>
                    <w:pStyle w:val="24"/>
                    <w:rPr>
                      <w:b/>
                      <w:bCs/>
                    </w:rPr>
                  </w:pPr>
                  <w:r>
                    <w:rPr>
                      <w:rFonts w:hint="eastAsia"/>
                      <w:b/>
                      <w:bCs/>
                    </w:rPr>
                    <w:t>污染物</w:t>
                  </w:r>
                </w:p>
              </w:tc>
              <w:tc>
                <w:tcPr>
                  <w:tcW w:w="3073" w:type="pct"/>
                  <w:gridSpan w:val="2"/>
                  <w:tcBorders>
                    <w:tl2br w:val="nil"/>
                    <w:tr2bl w:val="nil"/>
                  </w:tcBorders>
                  <w:vAlign w:val="center"/>
                </w:tcPr>
                <w:p>
                  <w:pPr>
                    <w:pStyle w:val="24"/>
                    <w:rPr>
                      <w:b/>
                      <w:bCs/>
                    </w:rPr>
                  </w:pPr>
                  <w:r>
                    <w:rPr>
                      <w:rFonts w:hint="eastAsia"/>
                      <w:b/>
                      <w:bCs/>
                    </w:rPr>
                    <w:t>国家或地方污染物排放标准</w:t>
                  </w:r>
                </w:p>
              </w:tc>
              <w:tc>
                <w:tcPr>
                  <w:tcW w:w="609" w:type="pct"/>
                  <w:vMerge w:val="restart"/>
                  <w:tcBorders>
                    <w:tl2br w:val="nil"/>
                    <w:tr2bl w:val="nil"/>
                  </w:tcBorders>
                  <w:vAlign w:val="center"/>
                </w:tcPr>
                <w:p>
                  <w:pPr>
                    <w:pStyle w:val="24"/>
                    <w:rPr>
                      <w:b/>
                      <w:bCs/>
                    </w:rPr>
                  </w:pPr>
                  <w:r>
                    <w:rPr>
                      <w:rFonts w:hint="eastAsia"/>
                      <w:b/>
                      <w:bCs/>
                    </w:rPr>
                    <w:t>核算年排放量</w:t>
                  </w:r>
                </w:p>
                <w:p>
                  <w:pPr>
                    <w:pStyle w:val="24"/>
                    <w:rPr>
                      <w:b/>
                      <w:bCs/>
                    </w:rPr>
                  </w:pPr>
                  <w:r>
                    <w:rPr>
                      <w:rFonts w:hint="eastAsia"/>
                      <w:b/>
                      <w:bCs/>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vMerge w:val="continue"/>
                  <w:tcBorders>
                    <w:tl2br w:val="nil"/>
                    <w:tr2bl w:val="nil"/>
                  </w:tcBorders>
                  <w:shd w:val="clear" w:color="auto" w:fill="auto"/>
                  <w:vAlign w:val="center"/>
                </w:tcPr>
                <w:p>
                  <w:pPr>
                    <w:pStyle w:val="24"/>
                  </w:pPr>
                </w:p>
              </w:tc>
              <w:tc>
                <w:tcPr>
                  <w:tcW w:w="487" w:type="pct"/>
                  <w:vMerge w:val="continue"/>
                  <w:tcBorders>
                    <w:tl2br w:val="nil"/>
                    <w:tr2bl w:val="nil"/>
                  </w:tcBorders>
                  <w:shd w:val="clear" w:color="auto" w:fill="auto"/>
                  <w:vAlign w:val="center"/>
                </w:tcPr>
                <w:p>
                  <w:pPr>
                    <w:pStyle w:val="24"/>
                  </w:pPr>
                </w:p>
              </w:tc>
              <w:tc>
                <w:tcPr>
                  <w:tcW w:w="561" w:type="pct"/>
                  <w:vMerge w:val="continue"/>
                  <w:tcBorders>
                    <w:tl2br w:val="nil"/>
                    <w:tr2bl w:val="nil"/>
                  </w:tcBorders>
                  <w:shd w:val="clear" w:color="auto" w:fill="auto"/>
                  <w:vAlign w:val="center"/>
                </w:tcPr>
                <w:p>
                  <w:pPr>
                    <w:pStyle w:val="24"/>
                  </w:pPr>
                </w:p>
              </w:tc>
              <w:tc>
                <w:tcPr>
                  <w:tcW w:w="2275" w:type="pct"/>
                  <w:tcBorders>
                    <w:tl2br w:val="nil"/>
                    <w:tr2bl w:val="nil"/>
                  </w:tcBorders>
                  <w:shd w:val="clear" w:color="auto" w:fill="auto"/>
                  <w:vAlign w:val="center"/>
                </w:tcPr>
                <w:p>
                  <w:pPr>
                    <w:pStyle w:val="24"/>
                    <w:rPr>
                      <w:b/>
                      <w:bCs/>
                    </w:rPr>
                  </w:pPr>
                  <w:r>
                    <w:rPr>
                      <w:rFonts w:hint="eastAsia"/>
                      <w:b/>
                      <w:bCs/>
                    </w:rPr>
                    <w:t>标准名称</w:t>
                  </w:r>
                </w:p>
              </w:tc>
              <w:tc>
                <w:tcPr>
                  <w:tcW w:w="797" w:type="pct"/>
                  <w:tcBorders>
                    <w:tl2br w:val="nil"/>
                    <w:tr2bl w:val="nil"/>
                  </w:tcBorders>
                  <w:shd w:val="clear" w:color="auto" w:fill="auto"/>
                  <w:vAlign w:val="center"/>
                </w:tcPr>
                <w:p>
                  <w:pPr>
                    <w:pStyle w:val="24"/>
                    <w:rPr>
                      <w:b/>
                      <w:bCs/>
                    </w:rPr>
                  </w:pPr>
                  <w:r>
                    <w:rPr>
                      <w:rFonts w:hint="eastAsia"/>
                      <w:b/>
                      <w:bCs/>
                    </w:rPr>
                    <w:t>浓度</w:t>
                  </w:r>
                  <w:r>
                    <w:rPr>
                      <w:rFonts w:hint="eastAsia"/>
                      <w:b/>
                      <w:bCs/>
                      <w:lang w:val="en-US" w:eastAsia="zh-CN"/>
                    </w:rPr>
                    <w:t>限值</w:t>
                  </w:r>
                  <w:r>
                    <w:rPr>
                      <w:rFonts w:hint="eastAsia"/>
                      <w:b/>
                      <w:bCs/>
                    </w:rPr>
                    <w:t>（mg/m</w:t>
                  </w:r>
                  <w:r>
                    <w:rPr>
                      <w:b/>
                      <w:bCs/>
                      <w:vertAlign w:val="superscript"/>
                    </w:rPr>
                    <w:t>3</w:t>
                  </w:r>
                  <w:r>
                    <w:rPr>
                      <w:rFonts w:hint="eastAsia"/>
                      <w:b/>
                      <w:bCs/>
                    </w:rPr>
                    <w:t>）</w:t>
                  </w:r>
                </w:p>
              </w:tc>
              <w:tc>
                <w:tcPr>
                  <w:tcW w:w="609" w:type="pct"/>
                  <w:vMerge w:val="continue"/>
                  <w:tcBorders>
                    <w:tl2br w:val="nil"/>
                    <w:tr2bl w:val="nil"/>
                  </w:tcBorders>
                  <w:shd w:val="clear" w:color="auto" w:fill="auto"/>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vAlign w:val="center"/>
                </w:tcPr>
                <w:p>
                  <w:pPr>
                    <w:pStyle w:val="24"/>
                  </w:pPr>
                  <w:r>
                    <w:rPr>
                      <w:rFonts w:hint="eastAsia"/>
                    </w:rPr>
                    <w:t>1</w:t>
                  </w:r>
                </w:p>
              </w:tc>
              <w:tc>
                <w:tcPr>
                  <w:tcW w:w="487" w:type="pct"/>
                  <w:tcBorders>
                    <w:tl2br w:val="nil"/>
                    <w:tr2bl w:val="nil"/>
                  </w:tcBorders>
                  <w:shd w:val="clear" w:color="auto" w:fill="auto"/>
                  <w:vAlign w:val="center"/>
                </w:tcPr>
                <w:p>
                  <w:pPr>
                    <w:pStyle w:val="24"/>
                    <w:rPr>
                      <w:rFonts w:hint="eastAsia" w:eastAsia="宋体"/>
                      <w:lang w:eastAsia="zh-CN"/>
                    </w:rPr>
                  </w:pPr>
                  <w:r>
                    <w:rPr>
                      <w:rFonts w:hint="eastAsia"/>
                      <w:lang w:val="en-US" w:eastAsia="zh-CN"/>
                    </w:rPr>
                    <w:t>焊接、机械加工</w:t>
                  </w:r>
                </w:p>
              </w:tc>
              <w:tc>
                <w:tcPr>
                  <w:tcW w:w="561" w:type="pct"/>
                  <w:tcBorders>
                    <w:tl2br w:val="nil"/>
                    <w:tr2bl w:val="nil"/>
                  </w:tcBorders>
                  <w:shd w:val="clear" w:color="auto" w:fill="auto"/>
                  <w:vAlign w:val="center"/>
                </w:tcPr>
                <w:p>
                  <w:pPr>
                    <w:pStyle w:val="24"/>
                  </w:pPr>
                  <w:r>
                    <w:rPr>
                      <w:rFonts w:hint="eastAsia"/>
                    </w:rPr>
                    <w:t>颗粒物</w:t>
                  </w:r>
                </w:p>
              </w:tc>
              <w:tc>
                <w:tcPr>
                  <w:tcW w:w="2275" w:type="pct"/>
                  <w:vMerge w:val="restart"/>
                  <w:tcBorders>
                    <w:tl2br w:val="nil"/>
                    <w:tr2bl w:val="nil"/>
                  </w:tcBorders>
                  <w:shd w:val="clear" w:color="auto" w:fill="auto"/>
                  <w:vAlign w:val="center"/>
                </w:tcPr>
                <w:p>
                  <w:pPr>
                    <w:pStyle w:val="24"/>
                  </w:pPr>
                  <w:r>
                    <w:t>《大气污染物综合排放标准》(GB16297-1996)</w:t>
                  </w:r>
                </w:p>
              </w:tc>
              <w:tc>
                <w:tcPr>
                  <w:tcW w:w="797" w:type="pct"/>
                  <w:tcBorders>
                    <w:tl2br w:val="nil"/>
                    <w:tr2bl w:val="nil"/>
                  </w:tcBorders>
                  <w:shd w:val="clear" w:color="auto" w:fill="auto"/>
                  <w:vAlign w:val="center"/>
                </w:tcPr>
                <w:p>
                  <w:pPr>
                    <w:pStyle w:val="24"/>
                    <w:rPr>
                      <w:rFonts w:hint="default" w:eastAsia="宋体"/>
                      <w:lang w:val="en-US" w:eastAsia="zh-CN"/>
                    </w:rPr>
                  </w:pPr>
                  <w:r>
                    <w:t>1</w:t>
                  </w:r>
                  <w:r>
                    <w:rPr>
                      <w:rFonts w:hint="eastAsia"/>
                      <w:lang w:val="en-US" w:eastAsia="zh-CN"/>
                    </w:rPr>
                    <w:t>.0</w:t>
                  </w:r>
                </w:p>
              </w:tc>
              <w:tc>
                <w:tcPr>
                  <w:tcW w:w="609" w:type="pct"/>
                  <w:tcBorders>
                    <w:tl2br w:val="nil"/>
                    <w:tr2bl w:val="nil"/>
                  </w:tcBorders>
                  <w:shd w:val="clear" w:color="auto" w:fill="auto"/>
                  <w:vAlign w:val="center"/>
                </w:tcPr>
                <w:p>
                  <w:pPr>
                    <w:pStyle w:val="24"/>
                    <w:rPr>
                      <w:rFonts w:hint="default" w:eastAsia="宋体"/>
                      <w:lang w:val="en-US" w:eastAsia="zh-CN"/>
                    </w:rPr>
                  </w:pPr>
                  <w:r>
                    <w:rPr>
                      <w:rFonts w:hint="default" w:eastAsia="宋体"/>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2</w:t>
                  </w:r>
                </w:p>
              </w:tc>
              <w:tc>
                <w:tcPr>
                  <w:tcW w:w="487"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酸洗</w:t>
                  </w:r>
                </w:p>
              </w:tc>
              <w:tc>
                <w:tcPr>
                  <w:tcW w:w="561"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氯化氢</w:t>
                  </w:r>
                </w:p>
              </w:tc>
              <w:tc>
                <w:tcPr>
                  <w:tcW w:w="2275" w:type="pct"/>
                  <w:vMerge w:val="continue"/>
                  <w:tcBorders>
                    <w:tl2br w:val="nil"/>
                    <w:tr2bl w:val="nil"/>
                  </w:tcBorders>
                  <w:shd w:val="clear" w:color="auto" w:fill="auto"/>
                  <w:vAlign w:val="center"/>
                </w:tcPr>
                <w:p>
                  <w:pPr>
                    <w:pStyle w:val="24"/>
                  </w:pPr>
                </w:p>
              </w:tc>
              <w:tc>
                <w:tcPr>
                  <w:tcW w:w="797" w:type="pct"/>
                  <w:tcBorders>
                    <w:tl2br w:val="nil"/>
                    <w:tr2bl w:val="nil"/>
                  </w:tcBorders>
                  <w:shd w:val="clear" w:color="auto" w:fill="auto"/>
                  <w:vAlign w:val="center"/>
                </w:tcPr>
                <w:p>
                  <w:pPr>
                    <w:pStyle w:val="24"/>
                    <w:rPr>
                      <w:rFonts w:hint="default" w:eastAsia="宋体"/>
                      <w:lang w:val="en-US" w:eastAsia="zh-CN"/>
                    </w:rPr>
                  </w:pPr>
                  <w:r>
                    <w:rPr>
                      <w:rFonts w:hint="eastAsia"/>
                      <w:lang w:val="en-US" w:eastAsia="zh-CN"/>
                    </w:rPr>
                    <w:t>0.2</w:t>
                  </w:r>
                </w:p>
              </w:tc>
              <w:tc>
                <w:tcPr>
                  <w:tcW w:w="609" w:type="pct"/>
                  <w:tcBorders>
                    <w:tl2br w:val="nil"/>
                    <w:tr2bl w:val="nil"/>
                  </w:tcBorders>
                  <w:shd w:val="clear" w:color="auto" w:fill="auto"/>
                  <w:vAlign w:val="center"/>
                </w:tcPr>
                <w:p>
                  <w:pPr>
                    <w:pStyle w:val="24"/>
                    <w:rPr>
                      <w:rFonts w:hint="default" w:eastAsia="宋体"/>
                      <w:lang w:val="en-US" w:eastAsia="zh-CN"/>
                    </w:rPr>
                  </w:pPr>
                  <w:r>
                    <w:rPr>
                      <w:rFonts w:hint="default" w:eastAsia="宋体"/>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shd w:val="clear" w:color="auto" w:fill="auto"/>
                  <w:vAlign w:val="center"/>
                </w:tcPr>
                <w:p>
                  <w:pPr>
                    <w:pStyle w:val="24"/>
                    <w:ind w:firstLine="0" w:firstLineChars="0"/>
                    <w:rPr>
                      <w:rFonts w:ascii="Times New Roman" w:hAnsi="Times New Roman" w:eastAsia="宋体" w:cs="Times New Roman"/>
                      <w:kern w:val="0"/>
                      <w:sz w:val="21"/>
                      <w:szCs w:val="20"/>
                      <w:lang w:val="en-US" w:eastAsia="zh-CN" w:bidi="ar-SA"/>
                    </w:rPr>
                  </w:pPr>
                  <w:r>
                    <w:rPr>
                      <w:rFonts w:hint="eastAsia"/>
                    </w:rPr>
                    <w:t>3</w:t>
                  </w:r>
                </w:p>
              </w:tc>
              <w:tc>
                <w:tcPr>
                  <w:tcW w:w="487" w:type="pct"/>
                  <w:tcBorders>
                    <w:tl2br w:val="nil"/>
                    <w:tr2bl w:val="nil"/>
                  </w:tcBorders>
                  <w:shd w:val="clear" w:color="auto" w:fill="auto"/>
                  <w:vAlign w:val="center"/>
                </w:tcPr>
                <w:p>
                  <w:pPr>
                    <w:pStyle w:val="24"/>
                  </w:pPr>
                  <w:r>
                    <w:rPr>
                      <w:rFonts w:hint="eastAsia"/>
                    </w:rPr>
                    <w:t>喷粉</w:t>
                  </w:r>
                </w:p>
              </w:tc>
              <w:tc>
                <w:tcPr>
                  <w:tcW w:w="561" w:type="pct"/>
                  <w:tcBorders>
                    <w:tl2br w:val="nil"/>
                    <w:tr2bl w:val="nil"/>
                  </w:tcBorders>
                  <w:shd w:val="clear" w:color="auto" w:fill="auto"/>
                  <w:vAlign w:val="center"/>
                </w:tcPr>
                <w:p>
                  <w:pPr>
                    <w:pStyle w:val="24"/>
                  </w:pPr>
                  <w:r>
                    <w:rPr>
                      <w:rFonts w:hint="eastAsia"/>
                    </w:rPr>
                    <w:t>颗粒物</w:t>
                  </w:r>
                </w:p>
              </w:tc>
              <w:tc>
                <w:tcPr>
                  <w:tcW w:w="2275" w:type="pct"/>
                  <w:vMerge w:val="continue"/>
                  <w:tcBorders>
                    <w:tl2br w:val="nil"/>
                    <w:tr2bl w:val="nil"/>
                  </w:tcBorders>
                  <w:shd w:val="clear" w:color="auto" w:fill="auto"/>
                  <w:vAlign w:val="center"/>
                </w:tcPr>
                <w:p>
                  <w:pPr>
                    <w:pStyle w:val="24"/>
                  </w:pPr>
                </w:p>
              </w:tc>
              <w:tc>
                <w:tcPr>
                  <w:tcW w:w="797" w:type="pct"/>
                  <w:tcBorders>
                    <w:tl2br w:val="nil"/>
                    <w:tr2bl w:val="nil"/>
                  </w:tcBorders>
                  <w:shd w:val="clear" w:color="auto" w:fill="auto"/>
                  <w:vAlign w:val="center"/>
                </w:tcPr>
                <w:p>
                  <w:pPr>
                    <w:pStyle w:val="24"/>
                    <w:rPr>
                      <w:rFonts w:hint="default" w:eastAsia="宋体"/>
                      <w:lang w:val="en-US" w:eastAsia="zh-CN"/>
                    </w:rPr>
                  </w:pPr>
                  <w:r>
                    <w:t>1</w:t>
                  </w:r>
                  <w:r>
                    <w:rPr>
                      <w:rFonts w:hint="eastAsia"/>
                      <w:lang w:val="en-US" w:eastAsia="zh-CN"/>
                    </w:rPr>
                    <w:t>.0</w:t>
                  </w:r>
                </w:p>
              </w:tc>
              <w:tc>
                <w:tcPr>
                  <w:tcW w:w="609" w:type="pct"/>
                  <w:tcBorders>
                    <w:tl2br w:val="nil"/>
                    <w:tr2bl w:val="nil"/>
                  </w:tcBorders>
                  <w:shd w:val="clear" w:color="auto" w:fill="auto"/>
                  <w:vAlign w:val="center"/>
                </w:tcPr>
                <w:p>
                  <w:pPr>
                    <w:pStyle w:val="24"/>
                    <w:rPr>
                      <w:rFonts w:hint="default" w:eastAsia="宋体"/>
                      <w:lang w:val="en-US" w:eastAsia="zh-CN"/>
                    </w:rPr>
                  </w:pPr>
                  <w:r>
                    <w:rPr>
                      <w:rFonts w:hint="default" w:eastAsia="宋体"/>
                      <w:lang w:val="en-US" w:eastAsia="zh-CN"/>
                    </w:rPr>
                    <w:t>0.750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 w:type="pct"/>
                  <w:tcBorders>
                    <w:tl2br w:val="nil"/>
                    <w:tr2bl w:val="nil"/>
                  </w:tcBorders>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4</w:t>
                  </w:r>
                </w:p>
              </w:tc>
              <w:tc>
                <w:tcPr>
                  <w:tcW w:w="487" w:type="pct"/>
                  <w:tcBorders>
                    <w:tl2br w:val="nil"/>
                    <w:tr2bl w:val="nil"/>
                  </w:tcBorders>
                  <w:vAlign w:val="center"/>
                </w:tcPr>
                <w:p>
                  <w:pPr>
                    <w:pStyle w:val="24"/>
                    <w:rPr>
                      <w:rFonts w:hint="default" w:eastAsia="宋体"/>
                      <w:lang w:val="en-US" w:eastAsia="zh-CN"/>
                    </w:rPr>
                  </w:pPr>
                  <w:r>
                    <w:rPr>
                      <w:rFonts w:hint="eastAsia"/>
                      <w:lang w:val="en-US" w:eastAsia="zh-CN"/>
                    </w:rPr>
                    <w:t>固化</w:t>
                  </w:r>
                </w:p>
              </w:tc>
              <w:tc>
                <w:tcPr>
                  <w:tcW w:w="561" w:type="pct"/>
                  <w:tcBorders>
                    <w:tl2br w:val="nil"/>
                    <w:tr2bl w:val="nil"/>
                  </w:tcBorders>
                  <w:shd w:val="clear" w:color="auto" w:fill="auto"/>
                  <w:vAlign w:val="center"/>
                </w:tcPr>
                <w:p>
                  <w:pPr>
                    <w:pStyle w:val="24"/>
                  </w:pPr>
                  <w:r>
                    <w:t>VOCs</w:t>
                  </w:r>
                </w:p>
              </w:tc>
              <w:tc>
                <w:tcPr>
                  <w:tcW w:w="2275" w:type="pct"/>
                  <w:tcBorders>
                    <w:tl2br w:val="nil"/>
                    <w:tr2bl w:val="nil"/>
                  </w:tcBorders>
                  <w:shd w:val="clear" w:color="auto" w:fill="auto"/>
                  <w:vAlign w:val="center"/>
                </w:tcPr>
                <w:p>
                  <w:pPr>
                    <w:pStyle w:val="24"/>
                  </w:pPr>
                  <w:r>
                    <w:rPr>
                      <w:rFonts w:hint="eastAsia"/>
                    </w:rPr>
                    <w:t>《挥发性有机物无组织排放控制标准》（</w:t>
                  </w:r>
                  <w:r>
                    <w:t>GB37822-2019</w:t>
                  </w:r>
                  <w:r>
                    <w:rPr>
                      <w:rFonts w:hint="eastAsia"/>
                    </w:rPr>
                    <w:t>）</w:t>
                  </w:r>
                </w:p>
              </w:tc>
              <w:tc>
                <w:tcPr>
                  <w:tcW w:w="797" w:type="pct"/>
                  <w:tcBorders>
                    <w:tl2br w:val="nil"/>
                    <w:tr2bl w:val="nil"/>
                  </w:tcBorders>
                  <w:shd w:val="clear" w:color="auto" w:fill="auto"/>
                  <w:vAlign w:val="center"/>
                </w:tcPr>
                <w:p>
                  <w:pPr>
                    <w:pStyle w:val="24"/>
                  </w:pPr>
                  <w:r>
                    <w:t>10</w:t>
                  </w:r>
                </w:p>
              </w:tc>
              <w:tc>
                <w:tcPr>
                  <w:tcW w:w="609" w:type="pct"/>
                  <w:tcBorders>
                    <w:tl2br w:val="nil"/>
                    <w:tr2bl w:val="nil"/>
                  </w:tcBorders>
                  <w:shd w:val="clear" w:color="auto" w:fill="auto"/>
                  <w:vAlign w:val="center"/>
                </w:tcPr>
                <w:p>
                  <w:pPr>
                    <w:pStyle w:val="24"/>
                    <w:rPr>
                      <w:rFonts w:hint="default" w:eastAsia="宋体"/>
                      <w:lang w:val="en-US" w:eastAsia="zh-CN"/>
                    </w:rPr>
                  </w:pPr>
                  <w:r>
                    <w:rPr>
                      <w:rFonts w:hint="default" w:eastAsia="宋体"/>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tcBorders>
                    <w:tl2br w:val="nil"/>
                    <w:tr2bl w:val="nil"/>
                  </w:tcBorders>
                  <w:vAlign w:val="center"/>
                </w:tcPr>
                <w:p>
                  <w:pPr>
                    <w:pStyle w:val="24"/>
                  </w:pPr>
                  <w:r>
                    <w:rPr>
                      <w:rFonts w:hint="eastAsia"/>
                    </w:rPr>
                    <w:t>无组织排放总计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pct"/>
                  <w:gridSpan w:val="3"/>
                  <w:vMerge w:val="restart"/>
                  <w:tcBorders>
                    <w:tl2br w:val="nil"/>
                    <w:tr2bl w:val="nil"/>
                  </w:tcBorders>
                  <w:vAlign w:val="center"/>
                </w:tcPr>
                <w:p>
                  <w:pPr>
                    <w:pStyle w:val="24"/>
                  </w:pPr>
                  <w:r>
                    <w:rPr>
                      <w:rFonts w:hint="eastAsia"/>
                    </w:rPr>
                    <w:t>无组织排放总计</w:t>
                  </w:r>
                </w:p>
              </w:tc>
              <w:tc>
                <w:tcPr>
                  <w:tcW w:w="3073" w:type="pct"/>
                  <w:gridSpan w:val="2"/>
                  <w:tcBorders>
                    <w:tl2br w:val="nil"/>
                    <w:tr2bl w:val="nil"/>
                  </w:tcBorders>
                  <w:shd w:val="clear" w:color="auto" w:fill="auto"/>
                  <w:vAlign w:val="center"/>
                </w:tcPr>
                <w:p>
                  <w:pPr>
                    <w:pStyle w:val="24"/>
                  </w:pPr>
                  <w:r>
                    <w:t>颗粒物</w:t>
                  </w:r>
                </w:p>
              </w:tc>
              <w:tc>
                <w:tcPr>
                  <w:tcW w:w="609" w:type="pct"/>
                  <w:tcBorders>
                    <w:tl2br w:val="nil"/>
                    <w:tr2bl w:val="nil"/>
                  </w:tcBorders>
                  <w:shd w:val="clear" w:color="auto" w:fill="auto"/>
                  <w:vAlign w:val="center"/>
                </w:tcPr>
                <w:p>
                  <w:pPr>
                    <w:pStyle w:val="24"/>
                    <w:rPr>
                      <w:rFonts w:hint="default"/>
                      <w:lang w:val="en-US" w:eastAsia="zh-CN"/>
                    </w:rPr>
                  </w:pPr>
                  <w:r>
                    <w:rPr>
                      <w:rFonts w:hint="default"/>
                      <w:lang w:val="en-US" w:eastAsia="zh-CN"/>
                    </w:rPr>
                    <w:t>0.754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pct"/>
                  <w:gridSpan w:val="3"/>
                  <w:vMerge w:val="continue"/>
                  <w:tcBorders>
                    <w:tl2br w:val="nil"/>
                    <w:tr2bl w:val="nil"/>
                  </w:tcBorders>
                  <w:vAlign w:val="center"/>
                </w:tcPr>
                <w:p>
                  <w:pPr>
                    <w:pStyle w:val="24"/>
                  </w:pPr>
                </w:p>
              </w:tc>
              <w:tc>
                <w:tcPr>
                  <w:tcW w:w="3073" w:type="pct"/>
                  <w:gridSpan w:val="2"/>
                  <w:tcBorders>
                    <w:tl2br w:val="nil"/>
                    <w:tr2bl w:val="nil"/>
                  </w:tcBorders>
                  <w:shd w:val="clear" w:color="auto" w:fill="auto"/>
                  <w:vAlign w:val="center"/>
                </w:tcPr>
                <w:p>
                  <w:pPr>
                    <w:pStyle w:val="24"/>
                  </w:pPr>
                  <w:r>
                    <w:t>VOCs</w:t>
                  </w:r>
                </w:p>
              </w:tc>
              <w:tc>
                <w:tcPr>
                  <w:tcW w:w="609" w:type="pct"/>
                  <w:tcBorders>
                    <w:tl2br w:val="nil"/>
                    <w:tr2bl w:val="nil"/>
                  </w:tcBorders>
                  <w:shd w:val="clear" w:color="auto" w:fill="auto"/>
                  <w:vAlign w:val="center"/>
                </w:tcPr>
                <w:p>
                  <w:pPr>
                    <w:pStyle w:val="24"/>
                    <w:rPr>
                      <w:rFonts w:hint="default"/>
                      <w:lang w:val="en-US" w:eastAsia="zh-CN"/>
                    </w:rPr>
                  </w:pPr>
                  <w:r>
                    <w:rPr>
                      <w:rFonts w:hint="default"/>
                      <w:lang w:val="en-US" w:eastAsia="zh-CN"/>
                    </w:rPr>
                    <w:t>0.012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17" w:type="pct"/>
                  <w:gridSpan w:val="3"/>
                  <w:vMerge w:val="continue"/>
                  <w:tcBorders>
                    <w:tl2br w:val="nil"/>
                    <w:tr2bl w:val="nil"/>
                  </w:tcBorders>
                  <w:vAlign w:val="center"/>
                </w:tcPr>
                <w:p>
                  <w:pPr>
                    <w:pStyle w:val="24"/>
                  </w:pPr>
                </w:p>
              </w:tc>
              <w:tc>
                <w:tcPr>
                  <w:tcW w:w="3073" w:type="pct"/>
                  <w:gridSpan w:val="2"/>
                  <w:tcBorders>
                    <w:tl2br w:val="nil"/>
                    <w:tr2bl w:val="nil"/>
                  </w:tcBorders>
                  <w:shd w:val="clear" w:color="auto" w:fill="auto"/>
                  <w:vAlign w:val="center"/>
                </w:tcPr>
                <w:p>
                  <w:pPr>
                    <w:pStyle w:val="24"/>
                    <w:rPr>
                      <w:rFonts w:hint="eastAsia" w:eastAsia="宋体"/>
                      <w:lang w:val="en-US" w:eastAsia="zh-CN"/>
                    </w:rPr>
                  </w:pPr>
                  <w:r>
                    <w:rPr>
                      <w:rFonts w:hint="eastAsia"/>
                      <w:lang w:val="en-US" w:eastAsia="zh-CN"/>
                    </w:rPr>
                    <w:t>氯化氢</w:t>
                  </w:r>
                </w:p>
              </w:tc>
              <w:tc>
                <w:tcPr>
                  <w:tcW w:w="609" w:type="pct"/>
                  <w:tcBorders>
                    <w:tl2br w:val="nil"/>
                    <w:tr2bl w:val="nil"/>
                  </w:tcBorders>
                  <w:shd w:val="clear" w:color="auto" w:fill="auto"/>
                  <w:vAlign w:val="center"/>
                </w:tcPr>
                <w:p>
                  <w:pPr>
                    <w:pStyle w:val="24"/>
                    <w:rPr>
                      <w:rFonts w:hint="eastAsia"/>
                      <w:lang w:val="en-US" w:eastAsia="zh-CN"/>
                    </w:rPr>
                  </w:pPr>
                  <w:r>
                    <w:rPr>
                      <w:rFonts w:hint="eastAsia"/>
                      <w:lang w:val="en-US" w:eastAsia="zh-CN"/>
                    </w:rPr>
                    <w:t>0.002</w:t>
                  </w:r>
                </w:p>
              </w:tc>
            </w:tr>
          </w:tbl>
          <w:p>
            <w:pPr>
              <w:pStyle w:val="37"/>
              <w:spacing w:before="72" w:after="120"/>
              <w:rPr>
                <w:rFonts w:hint="default"/>
              </w:rPr>
            </w:pPr>
            <w:r>
              <w:t>表4-1</w:t>
            </w:r>
            <w:r>
              <w:rPr>
                <w:rFonts w:hint="eastAsia"/>
                <w:lang w:val="en-US" w:eastAsia="zh-CN"/>
              </w:rPr>
              <w:t>2</w:t>
            </w:r>
            <w:r>
              <w:t xml:space="preserve"> 大气污染物年排放量核算表</w:t>
            </w:r>
          </w:p>
          <w:tbl>
            <w:tblPr>
              <w:tblStyle w:val="19"/>
              <w:tblW w:w="7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354"/>
              <w:gridCol w:w="2137"/>
              <w:gridCol w:w="2161"/>
              <w:gridCol w:w="15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rPr>
                      <w:b/>
                      <w:bCs/>
                    </w:rPr>
                  </w:pPr>
                  <w:r>
                    <w:rPr>
                      <w:rFonts w:hint="eastAsia"/>
                      <w:b/>
                      <w:bCs/>
                    </w:rPr>
                    <w:t>序号</w:t>
                  </w:r>
                </w:p>
              </w:tc>
              <w:tc>
                <w:tcPr>
                  <w:tcW w:w="1354" w:type="dxa"/>
                  <w:tcBorders>
                    <w:tl2br w:val="nil"/>
                    <w:tr2bl w:val="nil"/>
                  </w:tcBorders>
                  <w:vAlign w:val="center"/>
                </w:tcPr>
                <w:p>
                  <w:pPr>
                    <w:pStyle w:val="24"/>
                    <w:rPr>
                      <w:b/>
                      <w:bCs/>
                    </w:rPr>
                  </w:pPr>
                  <w:r>
                    <w:rPr>
                      <w:rFonts w:hint="eastAsia"/>
                      <w:b/>
                      <w:bCs/>
                    </w:rPr>
                    <w:t>污染物</w:t>
                  </w:r>
                </w:p>
              </w:tc>
              <w:tc>
                <w:tcPr>
                  <w:tcW w:w="2137" w:type="dxa"/>
                  <w:tcBorders>
                    <w:tl2br w:val="nil"/>
                    <w:tr2bl w:val="nil"/>
                  </w:tcBorders>
                  <w:vAlign w:val="center"/>
                </w:tcPr>
                <w:p>
                  <w:pPr>
                    <w:pStyle w:val="24"/>
                    <w:rPr>
                      <w:b/>
                      <w:bCs/>
                    </w:rPr>
                  </w:pPr>
                  <w:r>
                    <w:rPr>
                      <w:rFonts w:hint="eastAsia"/>
                      <w:b/>
                      <w:bCs/>
                    </w:rPr>
                    <w:t>有组织年排放量（t/a）</w:t>
                  </w:r>
                </w:p>
              </w:tc>
              <w:tc>
                <w:tcPr>
                  <w:tcW w:w="2161" w:type="dxa"/>
                  <w:tcBorders>
                    <w:tl2br w:val="nil"/>
                    <w:tr2bl w:val="nil"/>
                  </w:tcBorders>
                  <w:vAlign w:val="center"/>
                </w:tcPr>
                <w:p>
                  <w:pPr>
                    <w:pStyle w:val="24"/>
                    <w:rPr>
                      <w:b/>
                      <w:bCs/>
                    </w:rPr>
                  </w:pPr>
                  <w:r>
                    <w:rPr>
                      <w:rFonts w:hint="eastAsia"/>
                      <w:b/>
                      <w:bCs/>
                    </w:rPr>
                    <w:t>无组织年排放量（t/a）</w:t>
                  </w:r>
                </w:p>
              </w:tc>
              <w:tc>
                <w:tcPr>
                  <w:tcW w:w="1590" w:type="dxa"/>
                  <w:tcBorders>
                    <w:tl2br w:val="nil"/>
                    <w:tr2bl w:val="nil"/>
                  </w:tcBorders>
                  <w:vAlign w:val="center"/>
                </w:tcPr>
                <w:p>
                  <w:pPr>
                    <w:pStyle w:val="24"/>
                    <w:rPr>
                      <w:b/>
                      <w:bCs/>
                    </w:rPr>
                  </w:pPr>
                  <w:r>
                    <w:rPr>
                      <w:rFonts w:hint="eastAsia"/>
                      <w:b/>
                      <w:bCs/>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pPr>
                  <w:r>
                    <w:rPr>
                      <w:rFonts w:hint="eastAsia"/>
                    </w:rPr>
                    <w:t>1</w:t>
                  </w:r>
                </w:p>
              </w:tc>
              <w:tc>
                <w:tcPr>
                  <w:tcW w:w="1354" w:type="dxa"/>
                  <w:tcBorders>
                    <w:tl2br w:val="nil"/>
                    <w:tr2bl w:val="nil"/>
                  </w:tcBorders>
                  <w:vAlign w:val="center"/>
                </w:tcPr>
                <w:p>
                  <w:pPr>
                    <w:pStyle w:val="24"/>
                  </w:pPr>
                  <w:r>
                    <w:rPr>
                      <w:rFonts w:hint="eastAsia"/>
                    </w:rPr>
                    <w:t>颗粒物</w:t>
                  </w:r>
                </w:p>
              </w:tc>
              <w:tc>
                <w:tcPr>
                  <w:tcW w:w="2137" w:type="dxa"/>
                  <w:tcBorders>
                    <w:tl2br w:val="nil"/>
                    <w:tr2bl w:val="nil"/>
                  </w:tcBorders>
                  <w:shd w:val="clear" w:color="auto" w:fill="auto"/>
                  <w:vAlign w:val="center"/>
                </w:tcPr>
                <w:p>
                  <w:pPr>
                    <w:pStyle w:val="24"/>
                    <w:rPr>
                      <w:rFonts w:hint="default"/>
                      <w:lang w:val="en-US" w:eastAsia="zh-CN"/>
                    </w:rPr>
                  </w:pPr>
                  <w:r>
                    <w:rPr>
                      <w:rFonts w:hint="default"/>
                      <w:lang w:val="en-US" w:eastAsia="zh-CN"/>
                    </w:rPr>
                    <w:t>0.004</w:t>
                  </w:r>
                </w:p>
              </w:tc>
              <w:tc>
                <w:tcPr>
                  <w:tcW w:w="2161" w:type="dxa"/>
                  <w:tcBorders>
                    <w:tl2br w:val="nil"/>
                    <w:tr2bl w:val="nil"/>
                  </w:tcBorders>
                  <w:shd w:val="clear" w:color="auto" w:fill="auto"/>
                  <w:vAlign w:val="center"/>
                </w:tcPr>
                <w:p>
                  <w:pPr>
                    <w:pStyle w:val="24"/>
                    <w:rPr>
                      <w:rFonts w:hint="default"/>
                      <w:lang w:val="en-US" w:eastAsia="zh-CN"/>
                    </w:rPr>
                  </w:pPr>
                  <w:r>
                    <w:rPr>
                      <w:rFonts w:hint="default"/>
                      <w:lang w:val="en-US" w:eastAsia="zh-CN"/>
                    </w:rPr>
                    <w:t>0.754</w:t>
                  </w:r>
                </w:p>
              </w:tc>
              <w:tc>
                <w:tcPr>
                  <w:tcW w:w="1590" w:type="dxa"/>
                  <w:tcBorders>
                    <w:tl2br w:val="nil"/>
                    <w:tr2bl w:val="nil"/>
                  </w:tcBorders>
                  <w:shd w:val="clear" w:color="auto" w:fill="auto"/>
                  <w:vAlign w:val="center"/>
                </w:tcPr>
                <w:p>
                  <w:pPr>
                    <w:pStyle w:val="24"/>
                    <w:rPr>
                      <w:rFonts w:hint="default"/>
                      <w:lang w:val="en-US" w:eastAsia="zh-CN"/>
                    </w:rPr>
                  </w:pPr>
                  <w:r>
                    <w:rPr>
                      <w:rFonts w:hint="default"/>
                      <w:lang w:val="en-US" w:eastAsia="zh-CN"/>
                    </w:rPr>
                    <w:t>0.759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pPr>
                  <w:r>
                    <w:rPr>
                      <w:rFonts w:hint="eastAsia"/>
                    </w:rPr>
                    <w:t>2</w:t>
                  </w:r>
                </w:p>
              </w:tc>
              <w:tc>
                <w:tcPr>
                  <w:tcW w:w="1354" w:type="dxa"/>
                  <w:tcBorders>
                    <w:tl2br w:val="nil"/>
                    <w:tr2bl w:val="nil"/>
                  </w:tcBorders>
                  <w:vAlign w:val="center"/>
                </w:tcPr>
                <w:p>
                  <w:pPr>
                    <w:pStyle w:val="24"/>
                  </w:pPr>
                  <w:r>
                    <w:rPr>
                      <w:rFonts w:hint="eastAsia"/>
                    </w:rPr>
                    <w:t>VOCs</w:t>
                  </w:r>
                </w:p>
              </w:tc>
              <w:tc>
                <w:tcPr>
                  <w:tcW w:w="2137" w:type="dxa"/>
                  <w:tcBorders>
                    <w:tl2br w:val="nil"/>
                    <w:tr2bl w:val="nil"/>
                  </w:tcBorders>
                  <w:shd w:val="clear" w:color="auto" w:fill="auto"/>
                  <w:vAlign w:val="center"/>
                </w:tcPr>
                <w:p>
                  <w:pPr>
                    <w:pStyle w:val="24"/>
                    <w:rPr>
                      <w:rFonts w:hint="default"/>
                      <w:lang w:val="en-US" w:eastAsia="zh-CN"/>
                    </w:rPr>
                  </w:pPr>
                  <w:r>
                    <w:rPr>
                      <w:rFonts w:hint="default"/>
                      <w:lang w:val="en-US" w:eastAsia="zh-CN"/>
                    </w:rPr>
                    <w:t>0.048</w:t>
                  </w:r>
                </w:p>
              </w:tc>
              <w:tc>
                <w:tcPr>
                  <w:tcW w:w="2161" w:type="dxa"/>
                  <w:tcBorders>
                    <w:tl2br w:val="nil"/>
                    <w:tr2bl w:val="nil"/>
                  </w:tcBorders>
                  <w:shd w:val="clear" w:color="auto" w:fill="auto"/>
                  <w:vAlign w:val="center"/>
                </w:tcPr>
                <w:p>
                  <w:pPr>
                    <w:pStyle w:val="24"/>
                    <w:rPr>
                      <w:rFonts w:hint="default"/>
                      <w:lang w:val="en-US" w:eastAsia="zh-CN"/>
                    </w:rPr>
                  </w:pPr>
                  <w:r>
                    <w:rPr>
                      <w:rFonts w:hint="default"/>
                      <w:lang w:val="en-US" w:eastAsia="zh-CN"/>
                    </w:rPr>
                    <w:t>0.012</w:t>
                  </w:r>
                </w:p>
              </w:tc>
              <w:tc>
                <w:tcPr>
                  <w:tcW w:w="1590" w:type="dxa"/>
                  <w:tcBorders>
                    <w:tl2br w:val="nil"/>
                    <w:tr2bl w:val="nil"/>
                  </w:tcBorders>
                  <w:shd w:val="clear" w:color="auto" w:fill="auto"/>
                  <w:vAlign w:val="center"/>
                </w:tcPr>
                <w:p>
                  <w:pPr>
                    <w:pStyle w:val="24"/>
                    <w:rPr>
                      <w:rFonts w:hint="default"/>
                      <w:lang w:val="en-US" w:eastAsia="zh-CN"/>
                    </w:rPr>
                  </w:pPr>
                  <w:r>
                    <w:rPr>
                      <w:rFonts w:hint="default"/>
                      <w:lang w:val="en-US" w:eastAsia="zh-CN"/>
                    </w:rPr>
                    <w:t>0.060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pPr>
                  <w:r>
                    <w:rPr>
                      <w:rFonts w:hint="eastAsia"/>
                    </w:rPr>
                    <w:t>3</w:t>
                  </w:r>
                </w:p>
              </w:tc>
              <w:tc>
                <w:tcPr>
                  <w:tcW w:w="1354" w:type="dxa"/>
                  <w:tcBorders>
                    <w:tl2br w:val="nil"/>
                    <w:tr2bl w:val="nil"/>
                  </w:tcBorders>
                  <w:shd w:val="clear" w:color="auto" w:fill="auto"/>
                  <w:vAlign w:val="center"/>
                </w:tcPr>
                <w:p>
                  <w:pPr>
                    <w:pStyle w:val="24"/>
                  </w:pPr>
                  <w:r>
                    <w:rPr>
                      <w:rFonts w:hint="eastAsia"/>
                    </w:rPr>
                    <w:t>SO</w:t>
                  </w:r>
                  <w:r>
                    <w:rPr>
                      <w:rFonts w:hint="eastAsia"/>
                      <w:vertAlign w:val="subscript"/>
                    </w:rPr>
                    <w:t>2</w:t>
                  </w:r>
                </w:p>
              </w:tc>
              <w:tc>
                <w:tcPr>
                  <w:tcW w:w="2137" w:type="dxa"/>
                  <w:tcBorders>
                    <w:tl2br w:val="nil"/>
                    <w:tr2bl w:val="nil"/>
                  </w:tcBorders>
                  <w:shd w:val="clear" w:color="auto" w:fill="auto"/>
                  <w:vAlign w:val="center"/>
                </w:tcPr>
                <w:p>
                  <w:pPr>
                    <w:pStyle w:val="24"/>
                    <w:rPr>
                      <w:rFonts w:hint="default"/>
                      <w:lang w:val="en-US" w:eastAsia="zh-CN"/>
                    </w:rPr>
                  </w:pPr>
                  <w:r>
                    <w:rPr>
                      <w:rFonts w:hint="default"/>
                      <w:lang w:val="en-US" w:eastAsia="zh-CN"/>
                    </w:rPr>
                    <w:t>0.842</w:t>
                  </w:r>
                </w:p>
              </w:tc>
              <w:tc>
                <w:tcPr>
                  <w:tcW w:w="2161" w:type="dxa"/>
                  <w:tcBorders>
                    <w:tl2br w:val="nil"/>
                    <w:tr2bl w:val="nil"/>
                  </w:tcBorders>
                  <w:shd w:val="clear" w:color="auto" w:fill="auto"/>
                  <w:vAlign w:val="center"/>
                </w:tcPr>
                <w:p>
                  <w:pPr>
                    <w:pStyle w:val="24"/>
                    <w:rPr>
                      <w:rFonts w:hint="default"/>
                      <w:lang w:val="en-US" w:eastAsia="zh-CN"/>
                    </w:rPr>
                  </w:pPr>
                  <w:r>
                    <w:rPr>
                      <w:rFonts w:hint="default"/>
                      <w:lang w:val="en-US" w:eastAsia="zh-CN"/>
                    </w:rPr>
                    <w:t>/</w:t>
                  </w:r>
                </w:p>
              </w:tc>
              <w:tc>
                <w:tcPr>
                  <w:tcW w:w="1590" w:type="dxa"/>
                  <w:tcBorders>
                    <w:tl2br w:val="nil"/>
                    <w:tr2bl w:val="nil"/>
                  </w:tcBorders>
                  <w:shd w:val="clear" w:color="auto" w:fill="auto"/>
                  <w:vAlign w:val="center"/>
                </w:tcPr>
                <w:p>
                  <w:pPr>
                    <w:pStyle w:val="24"/>
                    <w:rPr>
                      <w:rFonts w:hint="default"/>
                      <w:lang w:val="en-US" w:eastAsia="zh-CN"/>
                    </w:rPr>
                  </w:pPr>
                  <w:r>
                    <w:rPr>
                      <w:rFonts w:hint="default"/>
                      <w:lang w:val="en-US" w:eastAsia="zh-CN"/>
                    </w:rPr>
                    <w:t>0.842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pPr>
                  <w:r>
                    <w:rPr>
                      <w:rFonts w:hint="eastAsia"/>
                    </w:rPr>
                    <w:t>4</w:t>
                  </w:r>
                </w:p>
              </w:tc>
              <w:tc>
                <w:tcPr>
                  <w:tcW w:w="1354" w:type="dxa"/>
                  <w:tcBorders>
                    <w:tl2br w:val="nil"/>
                    <w:tr2bl w:val="nil"/>
                  </w:tcBorders>
                  <w:shd w:val="clear" w:color="auto" w:fill="auto"/>
                  <w:vAlign w:val="center"/>
                </w:tcPr>
                <w:p>
                  <w:pPr>
                    <w:pStyle w:val="24"/>
                  </w:pPr>
                  <w:r>
                    <w:rPr>
                      <w:rFonts w:hint="eastAsia"/>
                    </w:rPr>
                    <w:t>NO</w:t>
                  </w:r>
                  <w:r>
                    <w:rPr>
                      <w:rFonts w:hint="eastAsia"/>
                      <w:vertAlign w:val="subscript"/>
                    </w:rPr>
                    <w:t>x</w:t>
                  </w:r>
                </w:p>
              </w:tc>
              <w:tc>
                <w:tcPr>
                  <w:tcW w:w="2137" w:type="dxa"/>
                  <w:tcBorders>
                    <w:tl2br w:val="nil"/>
                    <w:tr2bl w:val="nil"/>
                  </w:tcBorders>
                  <w:shd w:val="clear" w:color="auto" w:fill="auto"/>
                  <w:vAlign w:val="center"/>
                </w:tcPr>
                <w:p>
                  <w:pPr>
                    <w:pStyle w:val="24"/>
                    <w:rPr>
                      <w:rFonts w:hint="default"/>
                      <w:lang w:val="en-US" w:eastAsia="zh-CN"/>
                    </w:rPr>
                  </w:pPr>
                  <w:r>
                    <w:rPr>
                      <w:rFonts w:hint="default"/>
                      <w:lang w:val="en-US" w:eastAsia="zh-CN"/>
                    </w:rPr>
                    <w:t>0.505</w:t>
                  </w:r>
                </w:p>
              </w:tc>
              <w:tc>
                <w:tcPr>
                  <w:tcW w:w="2161" w:type="dxa"/>
                  <w:tcBorders>
                    <w:tl2br w:val="nil"/>
                    <w:tr2bl w:val="nil"/>
                  </w:tcBorders>
                  <w:shd w:val="clear" w:color="auto" w:fill="auto"/>
                  <w:vAlign w:val="center"/>
                </w:tcPr>
                <w:p>
                  <w:pPr>
                    <w:pStyle w:val="24"/>
                    <w:rPr>
                      <w:rFonts w:hint="default"/>
                      <w:lang w:val="en-US" w:eastAsia="zh-CN"/>
                    </w:rPr>
                  </w:pPr>
                  <w:r>
                    <w:rPr>
                      <w:rFonts w:hint="default"/>
                      <w:lang w:val="en-US" w:eastAsia="zh-CN"/>
                    </w:rPr>
                    <w:t>/</w:t>
                  </w:r>
                </w:p>
              </w:tc>
              <w:tc>
                <w:tcPr>
                  <w:tcW w:w="1590" w:type="dxa"/>
                  <w:tcBorders>
                    <w:tl2br w:val="nil"/>
                    <w:tr2bl w:val="nil"/>
                  </w:tcBorders>
                  <w:shd w:val="clear" w:color="auto" w:fill="auto"/>
                  <w:vAlign w:val="center"/>
                </w:tcPr>
                <w:p>
                  <w:pPr>
                    <w:pStyle w:val="24"/>
                    <w:rPr>
                      <w:rFonts w:hint="default"/>
                      <w:lang w:val="en-US" w:eastAsia="zh-CN"/>
                    </w:rPr>
                  </w:pPr>
                  <w:r>
                    <w:rPr>
                      <w:rFonts w:hint="default"/>
                      <w:lang w:val="en-US" w:eastAsia="zh-CN"/>
                    </w:rPr>
                    <w:t>0.505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04" w:type="dxa"/>
                  <w:tcBorders>
                    <w:tl2br w:val="nil"/>
                    <w:tr2bl w:val="nil"/>
                  </w:tcBorders>
                  <w:vAlign w:val="center"/>
                </w:tcPr>
                <w:p>
                  <w:pPr>
                    <w:pStyle w:val="24"/>
                    <w:rPr>
                      <w:rFonts w:hint="eastAsia" w:eastAsia="宋体"/>
                      <w:lang w:val="en-US" w:eastAsia="zh-CN"/>
                    </w:rPr>
                  </w:pPr>
                  <w:r>
                    <w:rPr>
                      <w:rFonts w:hint="eastAsia"/>
                      <w:lang w:val="en-US" w:eastAsia="zh-CN"/>
                    </w:rPr>
                    <w:t>5</w:t>
                  </w:r>
                </w:p>
              </w:tc>
              <w:tc>
                <w:tcPr>
                  <w:tcW w:w="1354" w:type="dxa"/>
                  <w:tcBorders>
                    <w:tl2br w:val="nil"/>
                    <w:tr2bl w:val="nil"/>
                  </w:tcBorders>
                  <w:shd w:val="clear" w:color="auto" w:fill="auto"/>
                  <w:vAlign w:val="center"/>
                </w:tcPr>
                <w:p>
                  <w:pPr>
                    <w:pStyle w:val="24"/>
                    <w:rPr>
                      <w:rFonts w:hint="default" w:eastAsia="宋体"/>
                      <w:lang w:val="en-US" w:eastAsia="zh-CN"/>
                    </w:rPr>
                  </w:pPr>
                  <w:r>
                    <w:rPr>
                      <w:rFonts w:hint="eastAsia"/>
                      <w:lang w:val="en-US" w:eastAsia="zh-CN"/>
                    </w:rPr>
                    <w:t>氯化氢</w:t>
                  </w:r>
                </w:p>
              </w:tc>
              <w:tc>
                <w:tcPr>
                  <w:tcW w:w="2137" w:type="dxa"/>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c>
                <w:tcPr>
                  <w:tcW w:w="2161" w:type="dxa"/>
                  <w:tcBorders>
                    <w:tl2br w:val="nil"/>
                    <w:tr2bl w:val="nil"/>
                  </w:tcBorders>
                  <w:shd w:val="clear" w:color="auto" w:fill="auto"/>
                  <w:vAlign w:val="center"/>
                </w:tcPr>
                <w:p>
                  <w:pPr>
                    <w:pStyle w:val="24"/>
                    <w:rPr>
                      <w:rFonts w:hint="default"/>
                      <w:lang w:val="en-US" w:eastAsia="zh-CN"/>
                    </w:rPr>
                  </w:pPr>
                  <w:r>
                    <w:rPr>
                      <w:rFonts w:hint="default"/>
                      <w:lang w:val="en-US" w:eastAsia="zh-CN"/>
                    </w:rPr>
                    <w:t>0.002</w:t>
                  </w:r>
                </w:p>
              </w:tc>
              <w:tc>
                <w:tcPr>
                  <w:tcW w:w="1590" w:type="dxa"/>
                  <w:tcBorders>
                    <w:tl2br w:val="nil"/>
                    <w:tr2bl w:val="nil"/>
                  </w:tcBorders>
                  <w:shd w:val="clear" w:color="auto" w:fill="auto"/>
                  <w:vAlign w:val="center"/>
                </w:tcPr>
                <w:p>
                  <w:pPr>
                    <w:pStyle w:val="24"/>
                    <w:rPr>
                      <w:rFonts w:hint="default"/>
                      <w:lang w:val="en-US" w:eastAsia="zh-CN"/>
                    </w:rPr>
                  </w:pPr>
                  <w:r>
                    <w:rPr>
                      <w:rFonts w:hint="default"/>
                      <w:lang w:val="en-US" w:eastAsia="zh-CN"/>
                    </w:rPr>
                    <w:t>0.005</w:t>
                  </w:r>
                </w:p>
              </w:tc>
            </w:tr>
          </w:tbl>
          <w:p>
            <w:pPr>
              <w:pStyle w:val="3"/>
              <w:ind w:firstLine="482"/>
            </w:pPr>
            <w:r>
              <w:rPr>
                <w:rFonts w:hint="eastAsia"/>
              </w:rPr>
              <w:t>4）废气处理设施可行性分析</w:t>
            </w:r>
          </w:p>
          <w:p>
            <w:pPr>
              <w:pStyle w:val="4"/>
              <w:ind w:firstLine="482"/>
            </w:pPr>
            <w:r>
              <w:rPr>
                <w:rFonts w:hint="eastAsia"/>
              </w:rPr>
              <w:t>（1）</w:t>
            </w:r>
            <w:r>
              <w:rPr>
                <w:rFonts w:hint="eastAsia"/>
                <w:lang w:val="en-US" w:eastAsia="zh-CN"/>
              </w:rPr>
              <w:t>集中</w:t>
            </w:r>
            <w:r>
              <w:rPr>
                <w:rFonts w:hint="eastAsia"/>
              </w:rPr>
              <w:t>式焊烟净化器可行性分析</w:t>
            </w:r>
          </w:p>
          <w:p>
            <w:pPr>
              <w:pStyle w:val="24"/>
            </w:pPr>
            <w:r>
              <w:drawing>
                <wp:inline distT="0" distB="0" distL="114300" distR="114300">
                  <wp:extent cx="3920490" cy="474345"/>
                  <wp:effectExtent l="0" t="0" r="0" b="0"/>
                  <wp:docPr id="9" name="ECB019B1-382A-4266-B25C-5B523AA43C14-6" descr="C:/Users/hp/AppData/Local/Temp/wps.avMwf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B019B1-382A-4266-B25C-5B523AA43C14-6" descr="C:/Users/hp/AppData/Local/Temp/wps.avMwfEwps"/>
                          <pic:cNvPicPr>
                            <a:picLocks noChangeAspect="1"/>
                          </pic:cNvPicPr>
                        </pic:nvPicPr>
                        <pic:blipFill>
                          <a:blip r:embed="rId22"/>
                          <a:stretch>
                            <a:fillRect/>
                          </a:stretch>
                        </pic:blipFill>
                        <pic:spPr>
                          <a:xfrm>
                            <a:off x="0" y="0"/>
                            <a:ext cx="3920490" cy="474345"/>
                          </a:xfrm>
                          <a:prstGeom prst="rect">
                            <a:avLst/>
                          </a:prstGeom>
                        </pic:spPr>
                      </pic:pic>
                    </a:graphicData>
                  </a:graphic>
                </wp:inline>
              </w:drawing>
            </w:r>
          </w:p>
          <w:p>
            <w:pPr>
              <w:pStyle w:val="37"/>
              <w:spacing w:before="72" w:after="120"/>
              <w:rPr>
                <w:rFonts w:hint="default"/>
              </w:rPr>
            </w:pPr>
            <w:r>
              <w:t>图4-1 焊接废气处理工艺流程图</w:t>
            </w:r>
          </w:p>
          <w:p>
            <w:pPr>
              <w:ind w:firstLine="480"/>
              <w:rPr>
                <w:rFonts w:hint="eastAsia"/>
              </w:rPr>
            </w:pPr>
            <w:r>
              <w:rPr>
                <w:rFonts w:hint="eastAsia"/>
              </w:rPr>
              <w:t>项目焊接产生的废气利用</w:t>
            </w:r>
            <w:r>
              <w:rPr>
                <w:rFonts w:hint="eastAsia"/>
                <w:lang w:val="en-US" w:eastAsia="zh-CN"/>
              </w:rPr>
              <w:t>集中式焊烟</w:t>
            </w:r>
            <w:r>
              <w:rPr>
                <w:rFonts w:hint="eastAsia"/>
              </w:rPr>
              <w:t>净化器处理</w:t>
            </w:r>
            <w:r>
              <w:rPr>
                <w:rFonts w:hint="eastAsia"/>
                <w:lang w:eastAsia="zh-CN"/>
              </w:rPr>
              <w:t>。</w:t>
            </w:r>
            <w:r>
              <w:rPr>
                <w:rFonts w:hint="eastAsia"/>
              </w:rPr>
              <w:t>集中式焊烟净化器主要通过负压吸引的方式，将焊接过程中产生的烟尘吸入净化器内部。随后，烟尘经过多级过滤系统，包括初效过滤、中效过滤和高效过滤等</w:t>
            </w:r>
            <w:r>
              <w:rPr>
                <w:rFonts w:hint="eastAsia"/>
                <w:lang w:eastAsia="zh-CN"/>
              </w:rPr>
              <w:t>，</w:t>
            </w:r>
            <w:r>
              <w:rPr>
                <w:rFonts w:hint="eastAsia"/>
              </w:rPr>
              <w:t>被逐步分离和净化。初效过滤主要去除大颗粒物和灰尘，中效过滤进一步去除中等大小的颗粒物，而高效过滤则能够去除微小的颗粒物和有害气体，确保排放的气体达到环保标准。本项目焊接粉尘采用的</w:t>
            </w:r>
            <w:r>
              <w:rPr>
                <w:rFonts w:hint="eastAsia"/>
                <w:lang w:val="en-US" w:eastAsia="zh-CN"/>
              </w:rPr>
              <w:t>集中式焊烟</w:t>
            </w:r>
            <w:r>
              <w:rPr>
                <w:rFonts w:hint="eastAsia"/>
              </w:rPr>
              <w:t>除尘器去除颗粒物为成熟处理工艺，技术上可行。</w:t>
            </w:r>
          </w:p>
          <w:p>
            <w:pPr>
              <w:ind w:firstLine="480"/>
              <w:rPr>
                <w:rFonts w:hint="eastAsia" w:ascii="Times New Roman" w:hAnsi="Times New Roman" w:eastAsia="宋体" w:cs="Times New Roman"/>
                <w:b/>
                <w:kern w:val="2"/>
                <w:sz w:val="24"/>
                <w:szCs w:val="24"/>
                <w:lang w:val="en-US" w:eastAsia="zh-CN" w:bidi="ar-SA"/>
              </w:rPr>
            </w:pPr>
            <w:r>
              <w:rPr>
                <w:rFonts w:hint="eastAsia" w:ascii="Times New Roman" w:hAnsi="Times New Roman" w:eastAsia="宋体" w:cs="Times New Roman"/>
                <w:b/>
                <w:kern w:val="2"/>
                <w:sz w:val="24"/>
                <w:szCs w:val="24"/>
                <w:lang w:val="en-US" w:eastAsia="zh-CN" w:bidi="ar-SA"/>
              </w:rPr>
              <w:t>（</w:t>
            </w:r>
            <w:r>
              <w:rPr>
                <w:rFonts w:hint="eastAsia" w:cs="Times New Roman"/>
                <w:b/>
                <w:kern w:val="2"/>
                <w:sz w:val="24"/>
                <w:szCs w:val="24"/>
                <w:lang w:val="en-US" w:eastAsia="zh-CN" w:bidi="ar-SA"/>
              </w:rPr>
              <w:t>2</w:t>
            </w:r>
            <w:r>
              <w:rPr>
                <w:rFonts w:hint="eastAsia" w:ascii="Times New Roman" w:hAnsi="Times New Roman" w:eastAsia="宋体" w:cs="Times New Roman"/>
                <w:b/>
                <w:kern w:val="2"/>
                <w:sz w:val="24"/>
                <w:szCs w:val="24"/>
                <w:lang w:val="en-US" w:eastAsia="zh-CN" w:bidi="ar-SA"/>
              </w:rPr>
              <w:t>）</w:t>
            </w:r>
            <w:r>
              <w:rPr>
                <w:rFonts w:hint="eastAsia" w:cs="Times New Roman"/>
                <w:b/>
                <w:kern w:val="2"/>
                <w:sz w:val="24"/>
                <w:szCs w:val="24"/>
                <w:lang w:val="en-US" w:eastAsia="zh-CN" w:bidi="ar-SA"/>
              </w:rPr>
              <w:t>碱液喷淋塔</w:t>
            </w:r>
            <w:r>
              <w:rPr>
                <w:rFonts w:hint="eastAsia" w:ascii="Times New Roman" w:hAnsi="Times New Roman" w:eastAsia="宋体" w:cs="Times New Roman"/>
                <w:b/>
                <w:kern w:val="2"/>
                <w:sz w:val="24"/>
                <w:szCs w:val="24"/>
                <w:lang w:val="en-US" w:eastAsia="zh-CN" w:bidi="ar-SA"/>
              </w:rPr>
              <w:t>可行性分析</w:t>
            </w:r>
          </w:p>
          <w:p>
            <w:pPr>
              <w:pStyle w:val="24"/>
              <w:bidi w:val="0"/>
              <w:rPr>
                <w:rFonts w:hint="eastAsia"/>
                <w:lang w:val="en-US" w:eastAsia="zh-CN"/>
              </w:rPr>
            </w:pPr>
            <w:r>
              <w:rPr>
                <w:rFonts w:hint="eastAsia"/>
                <w:lang w:val="en-US" w:eastAsia="zh-CN"/>
              </w:rPr>
              <w:drawing>
                <wp:inline distT="0" distB="0" distL="114300" distR="114300">
                  <wp:extent cx="4565015" cy="626745"/>
                  <wp:effectExtent l="0" t="0" r="0" b="0"/>
                  <wp:docPr id="27" name="ECB019B1-382A-4266-B25C-5B523AA43C14-7" descr="C:/Users/Administrator/AppData/Local/Temp/wps.pOQde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CB019B1-382A-4266-B25C-5B523AA43C14-7" descr="C:/Users/Administrator/AppData/Local/Temp/wps.pOQdeXwps"/>
                          <pic:cNvPicPr>
                            <a:picLocks noChangeAspect="1"/>
                          </pic:cNvPicPr>
                        </pic:nvPicPr>
                        <pic:blipFill>
                          <a:blip r:embed="rId23"/>
                          <a:stretch>
                            <a:fillRect/>
                          </a:stretch>
                        </pic:blipFill>
                        <pic:spPr>
                          <a:xfrm>
                            <a:off x="0" y="0"/>
                            <a:ext cx="4565015" cy="626745"/>
                          </a:xfrm>
                          <a:prstGeom prst="rect">
                            <a:avLst/>
                          </a:prstGeom>
                        </pic:spPr>
                      </pic:pic>
                    </a:graphicData>
                  </a:graphic>
                </wp:inline>
              </w:drawing>
            </w:r>
          </w:p>
          <w:p>
            <w:pPr>
              <w:pStyle w:val="37"/>
              <w:spacing w:before="72" w:after="120"/>
              <w:rPr>
                <w:rFonts w:hint="eastAsia"/>
                <w:lang w:val="en-US" w:eastAsia="zh-CN"/>
              </w:rPr>
            </w:pPr>
            <w:r>
              <w:t>图4-</w:t>
            </w:r>
            <w:r>
              <w:rPr>
                <w:rFonts w:hint="eastAsia"/>
                <w:lang w:val="en-US" w:eastAsia="zh-CN"/>
              </w:rPr>
              <w:t>2</w:t>
            </w:r>
            <w:r>
              <w:t xml:space="preserve"> </w:t>
            </w:r>
            <w:r>
              <w:rPr>
                <w:rFonts w:hint="eastAsia"/>
                <w:lang w:val="en-US" w:eastAsia="zh-CN"/>
              </w:rPr>
              <w:t>酸雾</w:t>
            </w:r>
            <w:r>
              <w:t>处理工艺流程图</w:t>
            </w:r>
          </w:p>
          <w:p>
            <w:pPr>
              <w:ind w:firstLine="480"/>
              <w:rPr>
                <w:rFonts w:hint="eastAsia"/>
              </w:rPr>
            </w:pPr>
            <w:r>
              <w:rPr>
                <w:rFonts w:hint="eastAsia"/>
                <w:lang w:val="en-US" w:eastAsia="zh-CN"/>
              </w:rPr>
              <w:t>本项目产生的酸雾经收集进入碱液喷淋塔，碱液喷淋塔选用NaOH碱液作吸收液，酸雾与碱液在喷淋塔中经过气液两相充分接触吸收进行中和反应（化学反应式为：NaOH+HCl=NaCl+H</w:t>
            </w:r>
            <w:r>
              <w:rPr>
                <w:rFonts w:hint="eastAsia"/>
                <w:vertAlign w:val="subscript"/>
                <w:lang w:val="en-US" w:eastAsia="zh-CN"/>
              </w:rPr>
              <w:t>2</w:t>
            </w:r>
            <w:r>
              <w:rPr>
                <w:rFonts w:hint="eastAsia"/>
                <w:lang w:val="en-US" w:eastAsia="zh-CN"/>
              </w:rPr>
              <w:t>O）。酸雾在碱液喷淋塔内净化后再经脱水除雾由风机排入大气。碱液在塔底经水泵增压后在塔顶喷淋而下，最后回流至塔底循环利用。碱液喷淋塔对氯化氢气体的去除效率为90%，经计算分析，经碱液喷淋塔处理后的氯化氢排放浓度可以满足相对应的排放标准，本项目的酸雾处理措施可行。</w:t>
            </w:r>
          </w:p>
          <w:p>
            <w:pPr>
              <w:pStyle w:val="4"/>
              <w:ind w:firstLine="482"/>
            </w:pPr>
            <w:r>
              <w:rPr>
                <w:rFonts w:hint="eastAsia"/>
              </w:rPr>
              <w:t>（</w:t>
            </w:r>
            <w:r>
              <w:rPr>
                <w:rFonts w:hint="eastAsia"/>
                <w:lang w:val="en-US" w:eastAsia="zh-CN"/>
              </w:rPr>
              <w:t>3</w:t>
            </w:r>
            <w:r>
              <w:rPr>
                <w:rFonts w:hint="eastAsia"/>
              </w:rPr>
              <w:t>）脉冲滤芯除尘器可行性分析</w:t>
            </w:r>
          </w:p>
          <w:p>
            <w:pPr>
              <w:pStyle w:val="24"/>
            </w:pPr>
            <w:r>
              <w:rPr>
                <w:rFonts w:hint="eastAsia"/>
              </w:rPr>
              <w:drawing>
                <wp:inline distT="0" distB="0" distL="114300" distR="114300">
                  <wp:extent cx="4355465" cy="519430"/>
                  <wp:effectExtent l="0" t="0" r="0" b="0"/>
                  <wp:docPr id="66" name="ECB019B1-382A-4266-B25C-5B523AA43C14-8" descr="C:/Users/Administrator/AppData/Local/Temp/wps.rQSdf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CB019B1-382A-4266-B25C-5B523AA43C14-8" descr="C:/Users/Administrator/AppData/Local/Temp/wps.rQSdfLwps"/>
                          <pic:cNvPicPr>
                            <a:picLocks noChangeAspect="1"/>
                          </pic:cNvPicPr>
                        </pic:nvPicPr>
                        <pic:blipFill>
                          <a:blip r:embed="rId24"/>
                          <a:stretch>
                            <a:fillRect/>
                          </a:stretch>
                        </pic:blipFill>
                        <pic:spPr>
                          <a:xfrm>
                            <a:off x="0" y="0"/>
                            <a:ext cx="4355465" cy="519430"/>
                          </a:xfrm>
                          <a:prstGeom prst="rect">
                            <a:avLst/>
                          </a:prstGeom>
                        </pic:spPr>
                      </pic:pic>
                    </a:graphicData>
                  </a:graphic>
                </wp:inline>
              </w:drawing>
            </w:r>
          </w:p>
          <w:p>
            <w:pPr>
              <w:pStyle w:val="37"/>
              <w:spacing w:before="72" w:after="120"/>
              <w:rPr>
                <w:rFonts w:hint="default"/>
              </w:rPr>
            </w:pPr>
            <w:r>
              <w:t>图4-</w:t>
            </w:r>
            <w:r>
              <w:rPr>
                <w:rFonts w:hint="eastAsia"/>
                <w:lang w:val="en-US" w:eastAsia="zh-CN"/>
              </w:rPr>
              <w:t>3</w:t>
            </w:r>
            <w:r>
              <w:t xml:space="preserve"> 喷粉废气处理工艺流程图</w:t>
            </w:r>
          </w:p>
          <w:p>
            <w:pPr>
              <w:ind w:firstLine="480"/>
            </w:pPr>
            <w:r>
              <w:rPr>
                <w:rFonts w:hint="eastAsia"/>
              </w:rPr>
              <w:t>本项目喷粉工序利用密闭的滤芯粉末回收装置对粉末进行回收，不设置排气筒，只有少量粉尘无组织排放。</w:t>
            </w:r>
          </w:p>
          <w:p>
            <w:pPr>
              <w:ind w:firstLine="480"/>
              <w:rPr>
                <w:rFonts w:hint="eastAsia"/>
              </w:rPr>
            </w:pPr>
            <w:r>
              <w:rPr>
                <w:rFonts w:hint="eastAsia"/>
              </w:rPr>
              <w:t>本项目使用脉冲滤芯除尘器对喷粉工序的粉末进行回收。脉冲滤芯除尘器是一种采用脉冲反吹清灰技术进行除尘的设备。它主要由滤芯、反吹系统和控制系统组成。滤芯是一种中空圆筒形结构，内外表面都有过滤效果，通过脉冲反吹系统产生的高压气流，使滤芯内外表面的粉尘被清除。脉冲滤芯除尘器适用于小颗粒粉尘，具有较高的除尘效率和较小的体积。经过脉冲滤芯除尘器处理后的颗粒物满足《大气污染物综合排放标准》（GB 16297-1996）表2中无组织排放监控浓度限值要求，处理措施可行。</w:t>
            </w:r>
          </w:p>
          <w:p>
            <w:pPr>
              <w:pStyle w:val="4"/>
              <w:ind w:firstLine="482"/>
              <w:rPr>
                <w:rFonts w:hint="default"/>
                <w:lang w:val="en-US" w:eastAsia="zh-CN"/>
              </w:rPr>
            </w:pPr>
            <w:r>
              <w:rPr>
                <w:rFonts w:hint="eastAsia"/>
                <w:lang w:eastAsia="zh-CN"/>
              </w:rPr>
              <w:t>（</w:t>
            </w:r>
            <w:r>
              <w:rPr>
                <w:rFonts w:hint="eastAsia"/>
                <w:lang w:val="en-US" w:eastAsia="zh-CN"/>
              </w:rPr>
              <w:t>4</w:t>
            </w:r>
            <w:r>
              <w:rPr>
                <w:rFonts w:hint="eastAsia"/>
                <w:lang w:eastAsia="zh-CN"/>
              </w:rPr>
              <w:t>）</w:t>
            </w:r>
            <w:r>
              <w:rPr>
                <w:rFonts w:hint="eastAsia"/>
                <w:lang w:val="en-US" w:eastAsia="zh-CN"/>
              </w:rPr>
              <w:t>固化废气排放可行性分析</w:t>
            </w:r>
          </w:p>
          <w:p>
            <w:pPr>
              <w:ind w:firstLine="480"/>
              <w:rPr>
                <w:rFonts w:hint="eastAsia"/>
              </w:rPr>
            </w:pPr>
            <w:r>
              <w:rPr>
                <w:rFonts w:hint="eastAsia"/>
                <w:lang w:val="en-US" w:eastAsia="zh-CN"/>
              </w:rPr>
              <w:t>根据《挥发性有机物无组织排放控制标准》（GB 37822-2019），收集的废气中NMHC初始排放速率≥3kg/h时，应配置VOCs处理设施。本项目固化有机废气的产生速率为0.025kg/h&lt;3kg/h，故本项目可不设置VOCs处理设施。</w:t>
            </w:r>
            <w:r>
              <w:rPr>
                <w:rFonts w:hint="eastAsia"/>
              </w:rPr>
              <w:t>固化工序产生的有机废气</w:t>
            </w:r>
            <w:r>
              <w:rPr>
                <w:rFonts w:hint="eastAsia"/>
                <w:lang w:val="en-US" w:eastAsia="zh-CN"/>
              </w:rPr>
              <w:t>有组织</w:t>
            </w:r>
            <w:r>
              <w:rPr>
                <w:rFonts w:hint="eastAsia"/>
              </w:rPr>
              <w:t>排放浓度能够达到湖南省《表面涂装（汽车制造及维修）挥发性有机物、镍排放标准》（DB43/1356-2017）排放限值要求，处理措施可行。</w:t>
            </w:r>
          </w:p>
          <w:p>
            <w:pPr>
              <w:pStyle w:val="4"/>
              <w:ind w:firstLine="482"/>
            </w:pPr>
            <w:r>
              <w:rPr>
                <w:rFonts w:hint="eastAsia"/>
              </w:rPr>
              <w:t>（</w:t>
            </w:r>
            <w:r>
              <w:rPr>
                <w:rFonts w:hint="eastAsia"/>
                <w:lang w:val="en-US" w:eastAsia="zh-CN"/>
              </w:rPr>
              <w:t>5</w:t>
            </w:r>
            <w:r>
              <w:rPr>
                <w:rFonts w:hint="eastAsia"/>
              </w:rPr>
              <w:t>）</w:t>
            </w:r>
            <w:r>
              <w:rPr>
                <w:rFonts w:hint="eastAsia"/>
                <w:lang w:val="en-US" w:eastAsia="zh-CN"/>
              </w:rPr>
              <w:t>旋风除尘+</w:t>
            </w:r>
            <w:r>
              <w:rPr>
                <w:rFonts w:hint="eastAsia"/>
              </w:rPr>
              <w:t>布袋除尘可行性分析</w:t>
            </w:r>
          </w:p>
          <w:p>
            <w:pPr>
              <w:pStyle w:val="24"/>
            </w:pPr>
            <w:r>
              <w:drawing>
                <wp:inline distT="0" distB="0" distL="114300" distR="114300">
                  <wp:extent cx="5023485" cy="520065"/>
                  <wp:effectExtent l="0" t="0" r="0" b="0"/>
                  <wp:docPr id="1" name="ECB019B1-382A-4266-B25C-5B523AA43C14-9" descr="C:/Users/hp/AppData/Local/Temp/wps.kqWoLX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9" descr="C:/Users/hp/AppData/Local/Temp/wps.kqWoLXwps"/>
                          <pic:cNvPicPr>
                            <a:picLocks noChangeAspect="1"/>
                          </pic:cNvPicPr>
                        </pic:nvPicPr>
                        <pic:blipFill>
                          <a:blip r:embed="rId25"/>
                          <a:stretch>
                            <a:fillRect/>
                          </a:stretch>
                        </pic:blipFill>
                        <pic:spPr>
                          <a:xfrm>
                            <a:off x="0" y="0"/>
                            <a:ext cx="5023485" cy="520065"/>
                          </a:xfrm>
                          <a:prstGeom prst="rect">
                            <a:avLst/>
                          </a:prstGeom>
                        </pic:spPr>
                      </pic:pic>
                    </a:graphicData>
                  </a:graphic>
                </wp:inline>
              </w:drawing>
            </w:r>
          </w:p>
          <w:p>
            <w:pPr>
              <w:pStyle w:val="37"/>
              <w:spacing w:before="72" w:after="120"/>
              <w:rPr>
                <w:rFonts w:hint="default"/>
              </w:rPr>
            </w:pPr>
            <w:r>
              <w:t>图4-</w:t>
            </w:r>
            <w:r>
              <w:rPr>
                <w:rFonts w:hint="eastAsia"/>
                <w:lang w:val="en-US" w:eastAsia="zh-CN"/>
              </w:rPr>
              <w:t>4</w:t>
            </w:r>
            <w:r>
              <w:t xml:space="preserve"> </w:t>
            </w:r>
            <w:r>
              <w:rPr>
                <w:rFonts w:hint="eastAsia"/>
                <w:lang w:val="en-US" w:eastAsia="zh-CN"/>
              </w:rPr>
              <w:t>生物质燃烧</w:t>
            </w:r>
            <w:r>
              <w:t>废气处理工艺流程图</w:t>
            </w:r>
          </w:p>
          <w:p>
            <w:pPr>
              <w:ind w:firstLine="480"/>
              <w:rPr>
                <w:rFonts w:hint="eastAsia"/>
              </w:rPr>
            </w:pPr>
            <w:r>
              <w:rPr>
                <w:rFonts w:hint="eastAsia"/>
              </w:rPr>
              <w:t>项目</w:t>
            </w:r>
            <w:r>
              <w:rPr>
                <w:rFonts w:hint="eastAsia"/>
                <w:lang w:val="en-US" w:eastAsia="zh-CN"/>
              </w:rPr>
              <w:t>生物质燃烧</w:t>
            </w:r>
            <w:r>
              <w:rPr>
                <w:rFonts w:hint="eastAsia"/>
              </w:rPr>
              <w:t>产生的废气</w:t>
            </w:r>
            <w:r>
              <w:t>经</w:t>
            </w:r>
            <w:r>
              <w:rPr>
                <w:rFonts w:hint="eastAsia"/>
                <w:lang w:val="en-US" w:eastAsia="zh-CN"/>
              </w:rPr>
              <w:t>旋风除尘+</w:t>
            </w:r>
            <w:r>
              <w:rPr>
                <w:rFonts w:hint="eastAsia"/>
              </w:rPr>
              <w:t>布袋除尘</w:t>
            </w:r>
            <w:r>
              <w:t>处理后，经</w:t>
            </w:r>
            <w:r>
              <w:rPr>
                <w:rFonts w:hint="eastAsia"/>
              </w:rPr>
              <w:t>1</w:t>
            </w:r>
            <w:r>
              <w:t>根</w:t>
            </w:r>
            <w:r>
              <w:rPr>
                <w:rFonts w:hint="eastAsia"/>
                <w:lang w:val="en-US" w:eastAsia="zh-CN"/>
              </w:rPr>
              <w:t>27</w:t>
            </w:r>
            <w:r>
              <w:t>米高</w:t>
            </w:r>
            <w:r>
              <w:rPr>
                <w:rFonts w:hint="eastAsia"/>
              </w:rPr>
              <w:t>的</w:t>
            </w:r>
            <w:r>
              <w:t>排气筒（DA00</w:t>
            </w:r>
            <w:r>
              <w:rPr>
                <w:rFonts w:hint="eastAsia"/>
                <w:lang w:val="en-US" w:eastAsia="zh-CN"/>
              </w:rPr>
              <w:t>4</w:t>
            </w:r>
            <w:r>
              <w:t>）排放</w:t>
            </w:r>
            <w:r>
              <w:rPr>
                <w:rFonts w:hint="eastAsia"/>
              </w:rPr>
              <w:t>。</w:t>
            </w:r>
          </w:p>
          <w:p>
            <w:pPr>
              <w:ind w:firstLine="480"/>
              <w:rPr>
                <w:rFonts w:hint="default" w:eastAsia="宋体"/>
                <w:lang w:val="en-US" w:eastAsia="zh-CN"/>
              </w:rPr>
            </w:pPr>
            <w:r>
              <w:rPr>
                <w:rFonts w:hint="eastAsia"/>
                <w:lang w:val="en-US" w:eastAsia="zh-CN"/>
              </w:rPr>
              <w:t>旋风除尘器的原理是：</w:t>
            </w:r>
            <w:r>
              <w:rPr>
                <w:rFonts w:hint="eastAsia"/>
              </w:rPr>
              <w:t>含尘气体从进风口进入旋风除尘器，在筒体内产生旋转运动。由于离心力的作用，颗粒物被分离出来并沿着筒壁向下滑动，最终落入排灰口。清洁气体则从顶部排出。旋风除尘器的效率与离心力的大小有关，离心力越大，分离效果越好。</w:t>
            </w:r>
            <w:r>
              <w:rPr>
                <w:rFonts w:hint="eastAsia"/>
                <w:lang w:val="en-US" w:eastAsia="zh-CN"/>
              </w:rPr>
              <w:t>其优点包括结构简单、维护方便、处理风量大、造价低等，并且旋风除尘器可用于高温烟气的净化，适用于生物质燃烧产生的烟气的处理。</w:t>
            </w:r>
          </w:p>
          <w:p>
            <w:pPr>
              <w:ind w:firstLine="480"/>
              <w:rPr>
                <w:rFonts w:hint="eastAsia"/>
              </w:rPr>
            </w:pPr>
            <w:r>
              <w:rPr>
                <w:rFonts w:hint="eastAsia"/>
              </w:rPr>
              <w:t>布袋除尘器利用纤维织物的过滤作用对含尘气体进行过滤，当含尘气体进入布袋除尘器，颗粒大、比重大的粉尘由于重力的作用沉降下来，落入灰斗，含有较细小粉尘的气体在通过滤料时，粉尘被阻留，使气体得到净化。当布袋表面的粉尘层增厚到一定程度时，通过脉冲清灰装置将粉尘震落回灰斗。它的优点是除尘效率高，能有效去除微小颗粒；结构简单，操作方便；可处理多种性质的粉尘等。</w:t>
            </w:r>
          </w:p>
          <w:p>
            <w:pPr>
              <w:ind w:firstLine="480"/>
            </w:pPr>
            <w:r>
              <w:rPr>
                <w:rFonts w:hint="eastAsia"/>
              </w:rPr>
              <w:t>生物质燃烧产生的污染物中有颗粒物，</w:t>
            </w:r>
            <w:r>
              <w:rPr>
                <w:rFonts w:hint="eastAsia"/>
                <w:lang w:val="en-US" w:eastAsia="zh-CN"/>
              </w:rPr>
              <w:t>旋风除尘+</w:t>
            </w:r>
            <w:r>
              <w:rPr>
                <w:rFonts w:hint="eastAsia"/>
              </w:rPr>
              <w:t>布袋除尘可去除废气中大量的颗粒物，</w:t>
            </w:r>
            <w:r>
              <w:t>处理后的废气经</w:t>
            </w:r>
            <w:r>
              <w:rPr>
                <w:rFonts w:hint="eastAsia"/>
                <w:lang w:val="en-US" w:eastAsia="zh-CN"/>
              </w:rPr>
              <w:t>27</w:t>
            </w:r>
            <w:r>
              <w:t>米高排气筒达标排放，</w:t>
            </w:r>
            <w:r>
              <w:rPr>
                <w:rFonts w:hint="eastAsia"/>
              </w:rPr>
              <w:t>颗粒物排放浓度满足《工业炉窑污染物排放标准》</w:t>
            </w:r>
            <w:r>
              <w:rPr>
                <w:rFonts w:hint="eastAsia"/>
                <w:lang w:eastAsia="zh-CN"/>
              </w:rPr>
              <w:t>（</w:t>
            </w:r>
            <w:r>
              <w:rPr>
                <w:rFonts w:hint="eastAsia"/>
              </w:rPr>
              <w:t>GB9078-1996</w:t>
            </w:r>
            <w:r>
              <w:rPr>
                <w:rFonts w:hint="eastAsia"/>
                <w:lang w:eastAsia="zh-CN"/>
              </w:rPr>
              <w:t>）</w:t>
            </w:r>
            <w:r>
              <w:rPr>
                <w:rFonts w:hint="eastAsia"/>
              </w:rPr>
              <w:t>要求</w:t>
            </w:r>
            <w:r>
              <w:rPr>
                <w:rFonts w:hint="eastAsia"/>
                <w:lang w:eastAsia="zh-CN"/>
              </w:rPr>
              <w:t>，</w:t>
            </w:r>
            <w:r>
              <w:rPr>
                <w:rFonts w:hint="eastAsia"/>
              </w:rPr>
              <w:t>SO</w:t>
            </w:r>
            <w:r>
              <w:rPr>
                <w:rFonts w:hint="eastAsia"/>
                <w:vertAlign w:val="subscript"/>
              </w:rPr>
              <w:t>2</w:t>
            </w:r>
            <w:r>
              <w:rPr>
                <w:rFonts w:hint="eastAsia"/>
              </w:rPr>
              <w:t>、NO</w:t>
            </w:r>
            <w:r>
              <w:rPr>
                <w:rFonts w:hint="eastAsia"/>
                <w:vertAlign w:val="subscript"/>
              </w:rPr>
              <w:t>x</w:t>
            </w:r>
            <w:r>
              <w:rPr>
                <w:rFonts w:hint="eastAsia"/>
                <w:vertAlign w:val="baseline"/>
                <w:lang w:val="en-US" w:eastAsia="zh-CN"/>
              </w:rPr>
              <w:t>排放浓度满足《大气污染物综合排放标准》（GB16297-1996）表2中二级标准要求，</w:t>
            </w:r>
            <w:r>
              <w:rPr>
                <w:rFonts w:hint="eastAsia"/>
              </w:rPr>
              <w:t>处理措施可行。</w:t>
            </w:r>
          </w:p>
          <w:p>
            <w:pPr>
              <w:pStyle w:val="4"/>
              <w:bidi w:val="0"/>
              <w:rPr>
                <w:rFonts w:hint="eastAsia"/>
                <w:lang w:val="en-US" w:eastAsia="zh-CN"/>
              </w:rPr>
            </w:pPr>
            <w:r>
              <w:rPr>
                <w:rFonts w:hint="eastAsia"/>
                <w:lang w:eastAsia="zh-CN"/>
              </w:rPr>
              <w:t>（</w:t>
            </w:r>
            <w:r>
              <w:rPr>
                <w:rFonts w:hint="eastAsia"/>
                <w:lang w:val="en-US" w:eastAsia="zh-CN"/>
              </w:rPr>
              <w:t>6）排气筒高度可行性分析</w:t>
            </w:r>
          </w:p>
          <w:p>
            <w:pPr>
              <w:ind w:firstLine="480"/>
              <w:rPr>
                <w:rFonts w:hint="default"/>
                <w:lang w:val="en-US" w:eastAsia="zh-CN"/>
              </w:rPr>
            </w:pPr>
            <w:r>
              <w:rPr>
                <w:rFonts w:hint="eastAsia"/>
                <w:lang w:val="en-US" w:eastAsia="zh-CN"/>
              </w:rPr>
              <w:t>根据《工业炉窑污染物排放标准》（GB9078-1996），当烟囱（或排气筒）周围半径200m距离内有建筑物时，烟囱（或排气筒）应高出最高建筑物3m以上；根据《大气污染物综合排放标准》（GB16297-1996），排气筒高度除须遵守排放速率标准值外，还应高出周围200m半径范围的建筑5m以上；综合考虑，烟囱高度应高出周围200m范围的建筑5m以上，建筑高度为22m，所以烟囱高度为27m。</w:t>
            </w:r>
          </w:p>
          <w:p>
            <w:pPr>
              <w:pStyle w:val="3"/>
              <w:ind w:firstLine="482"/>
            </w:pPr>
            <w:r>
              <w:rPr>
                <w:rFonts w:hint="eastAsia"/>
              </w:rPr>
              <w:t>5）废气环境影响分析</w:t>
            </w:r>
          </w:p>
          <w:p>
            <w:pPr>
              <w:pStyle w:val="4"/>
              <w:ind w:firstLine="482"/>
            </w:pPr>
            <w:r>
              <w:rPr>
                <w:rFonts w:hint="eastAsia"/>
              </w:rPr>
              <w:t>（1）达标性分析</w:t>
            </w:r>
          </w:p>
          <w:p>
            <w:pPr>
              <w:ind w:firstLine="480"/>
            </w:pPr>
            <w:r>
              <w:rPr>
                <w:rFonts w:hint="eastAsia"/>
              </w:rPr>
              <w:t>①有组织排放</w:t>
            </w:r>
          </w:p>
          <w:p>
            <w:pPr>
              <w:keepNext w:val="0"/>
              <w:keepLines w:val="0"/>
              <w:pageBreakBefore w:val="0"/>
              <w:widowControl w:val="0"/>
              <w:kinsoku/>
              <w:wordWrap/>
              <w:overflowPunct/>
              <w:topLinePunct w:val="0"/>
              <w:autoSpaceDE/>
              <w:autoSpaceDN/>
              <w:bidi w:val="0"/>
              <w:adjustRightInd/>
              <w:snapToGrid/>
              <w:ind w:firstLine="480"/>
              <w:textAlignment w:val="auto"/>
            </w:pPr>
            <w:r>
              <w:t>项目</w:t>
            </w:r>
            <w:r>
              <w:rPr>
                <w:rFonts w:hint="eastAsia"/>
              </w:rPr>
              <w:t>有组织</w:t>
            </w:r>
            <w:r>
              <w:t>废气经处理后最终排放情况见下表。</w:t>
            </w:r>
          </w:p>
          <w:p>
            <w:pPr>
              <w:pStyle w:val="37"/>
              <w:spacing w:before="72" w:after="120"/>
              <w:rPr>
                <w:rFonts w:hint="default"/>
              </w:rPr>
            </w:pPr>
            <w:r>
              <w:rPr>
                <w:rFonts w:hint="default"/>
              </w:rPr>
              <w:t>表4-</w:t>
            </w:r>
            <w:r>
              <w:t>1</w:t>
            </w:r>
            <w:r>
              <w:rPr>
                <w:rFonts w:hint="eastAsia"/>
                <w:lang w:val="en-US" w:eastAsia="zh-CN"/>
              </w:rPr>
              <w:t>3</w:t>
            </w:r>
            <w:r>
              <w:t xml:space="preserve"> </w:t>
            </w:r>
            <w:r>
              <w:rPr>
                <w:rFonts w:hint="default"/>
              </w:rPr>
              <w:t>项目废气处理后最终排放情况及达标分析</w:t>
            </w:r>
          </w:p>
          <w:tbl>
            <w:tblPr>
              <w:tblStyle w:val="19"/>
              <w:tblW w:w="487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8"/>
              <w:gridCol w:w="887"/>
              <w:gridCol w:w="1108"/>
              <w:gridCol w:w="1104"/>
              <w:gridCol w:w="1139"/>
              <w:gridCol w:w="1122"/>
              <w:gridCol w:w="1133"/>
              <w:gridCol w:w="7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vMerge w:val="restart"/>
                  <w:vAlign w:val="center"/>
                </w:tcPr>
                <w:p>
                  <w:pPr>
                    <w:pStyle w:val="24"/>
                    <w:rPr>
                      <w:b/>
                      <w:bCs/>
                    </w:rPr>
                  </w:pPr>
                  <w:r>
                    <w:rPr>
                      <w:rFonts w:hint="eastAsia"/>
                      <w:b/>
                      <w:bCs/>
                    </w:rPr>
                    <w:t>污染工序</w:t>
                  </w:r>
                </w:p>
              </w:tc>
              <w:tc>
                <w:tcPr>
                  <w:tcW w:w="559" w:type="pct"/>
                  <w:vMerge w:val="restart"/>
                  <w:vAlign w:val="center"/>
                </w:tcPr>
                <w:p>
                  <w:pPr>
                    <w:pStyle w:val="24"/>
                    <w:rPr>
                      <w:b/>
                      <w:bCs/>
                    </w:rPr>
                  </w:pPr>
                  <w:r>
                    <w:rPr>
                      <w:rFonts w:hint="eastAsia"/>
                      <w:b/>
                      <w:bCs/>
                    </w:rPr>
                    <w:t>排气筒</w:t>
                  </w:r>
                </w:p>
              </w:tc>
              <w:tc>
                <w:tcPr>
                  <w:tcW w:w="698" w:type="pct"/>
                  <w:vMerge w:val="restart"/>
                  <w:vAlign w:val="center"/>
                </w:tcPr>
                <w:p>
                  <w:pPr>
                    <w:pStyle w:val="24"/>
                    <w:rPr>
                      <w:b/>
                      <w:bCs/>
                    </w:rPr>
                  </w:pPr>
                  <w:r>
                    <w:rPr>
                      <w:rFonts w:hint="eastAsia"/>
                      <w:b/>
                      <w:bCs/>
                    </w:rPr>
                    <w:t>污染指标</w:t>
                  </w:r>
                </w:p>
              </w:tc>
              <w:tc>
                <w:tcPr>
                  <w:tcW w:w="696" w:type="pct"/>
                  <w:vMerge w:val="restart"/>
                  <w:shd w:val="clear" w:color="auto" w:fill="auto"/>
                  <w:vAlign w:val="center"/>
                </w:tcPr>
                <w:p>
                  <w:pPr>
                    <w:pStyle w:val="24"/>
                    <w:rPr>
                      <w:b/>
                      <w:bCs/>
                    </w:rPr>
                  </w:pPr>
                  <w:r>
                    <w:rPr>
                      <w:rFonts w:hint="eastAsia"/>
                      <w:b/>
                      <w:bCs/>
                    </w:rPr>
                    <w:t>排放速率(kg/h)</w:t>
                  </w:r>
                </w:p>
              </w:tc>
              <w:tc>
                <w:tcPr>
                  <w:tcW w:w="718" w:type="pct"/>
                  <w:vMerge w:val="restart"/>
                  <w:shd w:val="clear" w:color="auto" w:fill="auto"/>
                  <w:vAlign w:val="center"/>
                </w:tcPr>
                <w:p>
                  <w:pPr>
                    <w:pStyle w:val="24"/>
                    <w:rPr>
                      <w:b/>
                      <w:bCs/>
                    </w:rPr>
                  </w:pPr>
                  <w:r>
                    <w:rPr>
                      <w:rFonts w:hint="eastAsia"/>
                      <w:b/>
                      <w:bCs/>
                    </w:rPr>
                    <w:t>排放浓度(mg/m</w:t>
                  </w:r>
                  <w:r>
                    <w:rPr>
                      <w:rFonts w:hint="eastAsia"/>
                      <w:b/>
                      <w:bCs/>
                      <w:vertAlign w:val="superscript"/>
                    </w:rPr>
                    <w:t>3</w:t>
                  </w:r>
                  <w:r>
                    <w:rPr>
                      <w:rFonts w:hint="eastAsia"/>
                      <w:b/>
                      <w:bCs/>
                    </w:rPr>
                    <w:t>)</w:t>
                  </w:r>
                </w:p>
              </w:tc>
              <w:tc>
                <w:tcPr>
                  <w:tcW w:w="1421" w:type="pct"/>
                  <w:gridSpan w:val="2"/>
                  <w:shd w:val="clear" w:color="auto" w:fill="auto"/>
                  <w:vAlign w:val="center"/>
                </w:tcPr>
                <w:p>
                  <w:pPr>
                    <w:pStyle w:val="24"/>
                    <w:rPr>
                      <w:b/>
                      <w:bCs/>
                    </w:rPr>
                  </w:pPr>
                  <w:r>
                    <w:rPr>
                      <w:rFonts w:hint="eastAsia"/>
                      <w:b/>
                      <w:bCs/>
                    </w:rPr>
                    <w:t>标准限值</w:t>
                  </w:r>
                </w:p>
              </w:tc>
              <w:tc>
                <w:tcPr>
                  <w:tcW w:w="465" w:type="pct"/>
                  <w:vMerge w:val="restart"/>
                  <w:shd w:val="clear" w:color="auto" w:fill="auto"/>
                  <w:vAlign w:val="center"/>
                </w:tcPr>
                <w:p>
                  <w:pPr>
                    <w:pStyle w:val="24"/>
                    <w:rPr>
                      <w:b/>
                      <w:bCs/>
                    </w:rPr>
                  </w:pPr>
                  <w:r>
                    <w:rPr>
                      <w:rFonts w:hint="eastAsia"/>
                      <w:b/>
                      <w:bCs/>
                    </w:rPr>
                    <w:t>达标判定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vMerge w:val="continue"/>
                  <w:shd w:val="clear" w:color="auto" w:fill="auto"/>
                  <w:vAlign w:val="center"/>
                </w:tcPr>
                <w:p>
                  <w:pPr>
                    <w:pStyle w:val="24"/>
                  </w:pPr>
                </w:p>
              </w:tc>
              <w:tc>
                <w:tcPr>
                  <w:tcW w:w="559" w:type="pct"/>
                  <w:vMerge w:val="continue"/>
                  <w:shd w:val="clear" w:color="auto" w:fill="auto"/>
                  <w:vAlign w:val="center"/>
                </w:tcPr>
                <w:p>
                  <w:pPr>
                    <w:pStyle w:val="24"/>
                  </w:pPr>
                </w:p>
              </w:tc>
              <w:tc>
                <w:tcPr>
                  <w:tcW w:w="698" w:type="pct"/>
                  <w:vMerge w:val="continue"/>
                  <w:shd w:val="clear" w:color="auto" w:fill="auto"/>
                  <w:vAlign w:val="center"/>
                </w:tcPr>
                <w:p>
                  <w:pPr>
                    <w:pStyle w:val="24"/>
                  </w:pPr>
                </w:p>
              </w:tc>
              <w:tc>
                <w:tcPr>
                  <w:tcW w:w="696" w:type="pct"/>
                  <w:vMerge w:val="continue"/>
                  <w:shd w:val="clear" w:color="auto" w:fill="auto"/>
                  <w:vAlign w:val="center"/>
                </w:tcPr>
                <w:p>
                  <w:pPr>
                    <w:pStyle w:val="24"/>
                  </w:pPr>
                </w:p>
              </w:tc>
              <w:tc>
                <w:tcPr>
                  <w:tcW w:w="718" w:type="pct"/>
                  <w:vMerge w:val="continue"/>
                  <w:shd w:val="clear" w:color="auto" w:fill="auto"/>
                  <w:vAlign w:val="center"/>
                </w:tcPr>
                <w:p>
                  <w:pPr>
                    <w:pStyle w:val="24"/>
                  </w:pPr>
                </w:p>
              </w:tc>
              <w:tc>
                <w:tcPr>
                  <w:tcW w:w="707" w:type="pct"/>
                  <w:shd w:val="clear" w:color="auto" w:fill="auto"/>
                  <w:vAlign w:val="center"/>
                </w:tcPr>
                <w:p>
                  <w:pPr>
                    <w:pStyle w:val="24"/>
                    <w:rPr>
                      <w:b/>
                      <w:bCs/>
                    </w:rPr>
                  </w:pPr>
                  <w:r>
                    <w:rPr>
                      <w:rFonts w:hint="eastAsia"/>
                      <w:b/>
                      <w:bCs/>
                    </w:rPr>
                    <w:t>排放速率(kg/h)</w:t>
                  </w:r>
                </w:p>
              </w:tc>
              <w:tc>
                <w:tcPr>
                  <w:tcW w:w="714" w:type="pct"/>
                  <w:shd w:val="clear" w:color="auto" w:fill="auto"/>
                  <w:vAlign w:val="center"/>
                </w:tcPr>
                <w:p>
                  <w:pPr>
                    <w:pStyle w:val="24"/>
                    <w:rPr>
                      <w:b/>
                      <w:bCs/>
                    </w:rPr>
                  </w:pPr>
                  <w:r>
                    <w:rPr>
                      <w:rFonts w:hint="eastAsia"/>
                      <w:b/>
                      <w:bCs/>
                    </w:rPr>
                    <w:t>排放浓度(mg/m</w:t>
                  </w:r>
                  <w:r>
                    <w:rPr>
                      <w:rFonts w:hint="eastAsia"/>
                      <w:b/>
                      <w:bCs/>
                      <w:vertAlign w:val="superscript"/>
                    </w:rPr>
                    <w:t>3</w:t>
                  </w:r>
                  <w:r>
                    <w:rPr>
                      <w:rFonts w:hint="eastAsia"/>
                      <w:b/>
                      <w:bCs/>
                    </w:rPr>
                    <w:t>)</w:t>
                  </w:r>
                </w:p>
              </w:tc>
              <w:tc>
                <w:tcPr>
                  <w:tcW w:w="465" w:type="pct"/>
                  <w:vMerge w:val="continue"/>
                  <w:shd w:val="clear" w:color="auto" w:fill="auto"/>
                  <w:vAlign w:val="center"/>
                </w:tcPr>
                <w:p>
                  <w:pPr>
                    <w:pStyle w:val="24"/>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shd w:val="clear" w:color="auto" w:fill="auto"/>
                  <w:vAlign w:val="center"/>
                </w:tcPr>
                <w:p>
                  <w:pPr>
                    <w:pStyle w:val="24"/>
                    <w:bidi w:val="0"/>
                    <w:rPr>
                      <w:rFonts w:hint="eastAsia"/>
                      <w:lang w:val="en-US" w:eastAsia="zh-CN"/>
                    </w:rPr>
                  </w:pPr>
                  <w:r>
                    <w:rPr>
                      <w:rFonts w:hint="eastAsia"/>
                      <w:lang w:val="en-US" w:eastAsia="zh-CN"/>
                    </w:rPr>
                    <w:t>焊接</w:t>
                  </w:r>
                </w:p>
              </w:tc>
              <w:tc>
                <w:tcPr>
                  <w:tcW w:w="559" w:type="pct"/>
                  <w:shd w:val="clear" w:color="auto" w:fill="auto"/>
                  <w:vAlign w:val="center"/>
                </w:tcPr>
                <w:p>
                  <w:pPr>
                    <w:pStyle w:val="24"/>
                    <w:bidi w:val="0"/>
                    <w:rPr>
                      <w:rFonts w:hint="eastAsia"/>
                      <w:lang w:val="en-US" w:eastAsia="zh-CN"/>
                    </w:rPr>
                  </w:pPr>
                  <w:r>
                    <w:rPr>
                      <w:rFonts w:hint="eastAsia"/>
                      <w:lang w:val="en-US" w:eastAsia="zh-CN"/>
                    </w:rPr>
                    <w:t>DA001</w:t>
                  </w:r>
                </w:p>
              </w:tc>
              <w:tc>
                <w:tcPr>
                  <w:tcW w:w="698" w:type="pct"/>
                  <w:shd w:val="clear" w:color="auto" w:fill="auto"/>
                  <w:vAlign w:val="center"/>
                </w:tcPr>
                <w:p>
                  <w:pPr>
                    <w:pStyle w:val="24"/>
                    <w:bidi w:val="0"/>
                    <w:rPr>
                      <w:rFonts w:hint="eastAsia"/>
                      <w:lang w:val="en-US" w:eastAsia="zh-CN"/>
                    </w:rPr>
                  </w:pPr>
                  <w:r>
                    <w:rPr>
                      <w:rFonts w:hint="eastAsia"/>
                      <w:lang w:val="en-US" w:eastAsia="zh-CN"/>
                    </w:rPr>
                    <w:t>颗粒物</w:t>
                  </w:r>
                </w:p>
              </w:tc>
              <w:tc>
                <w:tcPr>
                  <w:tcW w:w="696" w:type="pct"/>
                  <w:shd w:val="clear" w:color="auto" w:fill="auto"/>
                  <w:vAlign w:val="center"/>
                </w:tcPr>
                <w:p>
                  <w:pPr>
                    <w:pStyle w:val="24"/>
                    <w:bidi w:val="0"/>
                    <w:rPr>
                      <w:rFonts w:hint="default"/>
                      <w:lang w:val="en-US" w:eastAsia="zh-CN"/>
                    </w:rPr>
                  </w:pPr>
                  <w:r>
                    <w:rPr>
                      <w:rFonts w:hint="default"/>
                      <w:lang w:val="en-US" w:eastAsia="zh-CN"/>
                    </w:rPr>
                    <w:t>0.001</w:t>
                  </w:r>
                </w:p>
              </w:tc>
              <w:tc>
                <w:tcPr>
                  <w:tcW w:w="718" w:type="pct"/>
                  <w:shd w:val="clear" w:color="auto" w:fill="auto"/>
                  <w:vAlign w:val="center"/>
                </w:tcPr>
                <w:p>
                  <w:pPr>
                    <w:pStyle w:val="24"/>
                    <w:bidi w:val="0"/>
                    <w:rPr>
                      <w:rFonts w:hint="default"/>
                      <w:lang w:val="en-US" w:eastAsia="zh-CN"/>
                    </w:rPr>
                  </w:pPr>
                  <w:r>
                    <w:rPr>
                      <w:rFonts w:hint="default"/>
                      <w:lang w:val="en-US" w:eastAsia="zh-CN"/>
                    </w:rPr>
                    <w:t>0.101</w:t>
                  </w:r>
                </w:p>
              </w:tc>
              <w:tc>
                <w:tcPr>
                  <w:tcW w:w="707" w:type="pct"/>
                  <w:vAlign w:val="center"/>
                </w:tcPr>
                <w:p>
                  <w:pPr>
                    <w:pStyle w:val="24"/>
                    <w:bidi w:val="0"/>
                    <w:rPr>
                      <w:rFonts w:hint="default"/>
                      <w:lang w:val="en-US" w:eastAsia="zh-CN"/>
                    </w:rPr>
                  </w:pPr>
                  <w:r>
                    <w:rPr>
                      <w:rFonts w:hint="eastAsia"/>
                      <w:lang w:val="en-US" w:eastAsia="zh-CN"/>
                    </w:rPr>
                    <w:t>17.87</w:t>
                  </w:r>
                </w:p>
              </w:tc>
              <w:tc>
                <w:tcPr>
                  <w:tcW w:w="714" w:type="pct"/>
                  <w:vAlign w:val="center"/>
                </w:tcPr>
                <w:p>
                  <w:pPr>
                    <w:pStyle w:val="24"/>
                    <w:bidi w:val="0"/>
                    <w:rPr>
                      <w:rFonts w:hint="default"/>
                      <w:lang w:val="en-US" w:eastAsia="zh-CN"/>
                    </w:rPr>
                  </w:pPr>
                  <w:r>
                    <w:rPr>
                      <w:rFonts w:hint="eastAsia"/>
                      <w:lang w:val="en-US" w:eastAsia="zh-CN"/>
                    </w:rPr>
                    <w:t>120</w:t>
                  </w:r>
                </w:p>
              </w:tc>
              <w:tc>
                <w:tcPr>
                  <w:tcW w:w="465" w:type="pct"/>
                  <w:shd w:val="clear" w:color="auto" w:fill="auto"/>
                  <w:vAlign w:val="center"/>
                </w:tcPr>
                <w:p>
                  <w:pPr>
                    <w:pStyle w:val="24"/>
                    <w:bidi w:val="0"/>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shd w:val="clear" w:color="auto" w:fill="auto"/>
                  <w:vAlign w:val="center"/>
                </w:tcPr>
                <w:p>
                  <w:pPr>
                    <w:pStyle w:val="24"/>
                    <w:bidi w:val="0"/>
                    <w:rPr>
                      <w:rFonts w:hint="eastAsia"/>
                      <w:lang w:val="en-US" w:eastAsia="zh-CN"/>
                    </w:rPr>
                  </w:pPr>
                  <w:r>
                    <w:rPr>
                      <w:rFonts w:hint="eastAsia"/>
                      <w:lang w:val="en-US" w:eastAsia="zh-CN"/>
                    </w:rPr>
                    <w:t>酸洗</w:t>
                  </w:r>
                </w:p>
              </w:tc>
              <w:tc>
                <w:tcPr>
                  <w:tcW w:w="559" w:type="pct"/>
                  <w:shd w:val="clear" w:color="auto" w:fill="auto"/>
                  <w:vAlign w:val="center"/>
                </w:tcPr>
                <w:p>
                  <w:pPr>
                    <w:pStyle w:val="24"/>
                    <w:bidi w:val="0"/>
                    <w:rPr>
                      <w:rFonts w:hint="eastAsia"/>
                      <w:lang w:val="en-US" w:eastAsia="zh-CN"/>
                    </w:rPr>
                  </w:pPr>
                  <w:r>
                    <w:rPr>
                      <w:rFonts w:hint="eastAsia"/>
                      <w:lang w:val="en-US" w:eastAsia="zh-CN"/>
                    </w:rPr>
                    <w:t>DA002</w:t>
                  </w:r>
                </w:p>
              </w:tc>
              <w:tc>
                <w:tcPr>
                  <w:tcW w:w="698" w:type="pct"/>
                  <w:shd w:val="clear" w:color="auto" w:fill="auto"/>
                  <w:vAlign w:val="center"/>
                </w:tcPr>
                <w:p>
                  <w:pPr>
                    <w:pStyle w:val="24"/>
                    <w:bidi w:val="0"/>
                    <w:rPr>
                      <w:rFonts w:hint="eastAsia"/>
                      <w:lang w:val="en-US" w:eastAsia="zh-CN"/>
                    </w:rPr>
                  </w:pPr>
                  <w:r>
                    <w:rPr>
                      <w:rFonts w:hint="eastAsia"/>
                      <w:lang w:val="en-US" w:eastAsia="zh-CN"/>
                    </w:rPr>
                    <w:t>氯化氢</w:t>
                  </w:r>
                </w:p>
              </w:tc>
              <w:tc>
                <w:tcPr>
                  <w:tcW w:w="696" w:type="pct"/>
                  <w:shd w:val="clear" w:color="auto" w:fill="auto"/>
                  <w:vAlign w:val="center"/>
                </w:tcPr>
                <w:p>
                  <w:pPr>
                    <w:pStyle w:val="24"/>
                    <w:bidi w:val="0"/>
                    <w:rPr>
                      <w:rFonts w:hint="default"/>
                      <w:lang w:val="en-US" w:eastAsia="zh-CN"/>
                    </w:rPr>
                  </w:pPr>
                  <w:r>
                    <w:rPr>
                      <w:rFonts w:hint="default"/>
                      <w:lang w:val="en-US" w:eastAsia="zh-CN"/>
                    </w:rPr>
                    <w:t>0.001</w:t>
                  </w:r>
                </w:p>
              </w:tc>
              <w:tc>
                <w:tcPr>
                  <w:tcW w:w="718" w:type="pct"/>
                  <w:shd w:val="clear" w:color="auto" w:fill="auto"/>
                  <w:vAlign w:val="center"/>
                </w:tcPr>
                <w:p>
                  <w:pPr>
                    <w:pStyle w:val="24"/>
                    <w:bidi w:val="0"/>
                    <w:rPr>
                      <w:rFonts w:hint="default"/>
                      <w:lang w:val="en-US" w:eastAsia="zh-CN"/>
                    </w:rPr>
                  </w:pPr>
                  <w:r>
                    <w:rPr>
                      <w:rFonts w:hint="default"/>
                      <w:lang w:val="en-US" w:eastAsia="zh-CN"/>
                    </w:rPr>
                    <w:t>0.099</w:t>
                  </w:r>
                </w:p>
              </w:tc>
              <w:tc>
                <w:tcPr>
                  <w:tcW w:w="707" w:type="pct"/>
                  <w:vAlign w:val="center"/>
                </w:tcPr>
                <w:p>
                  <w:pPr>
                    <w:pStyle w:val="24"/>
                    <w:bidi w:val="0"/>
                    <w:rPr>
                      <w:rFonts w:hint="default"/>
                      <w:lang w:val="en-US" w:eastAsia="zh-CN"/>
                    </w:rPr>
                  </w:pPr>
                  <w:r>
                    <w:rPr>
                      <w:rFonts w:hint="eastAsia"/>
                      <w:lang w:val="en-US" w:eastAsia="zh-CN"/>
                    </w:rPr>
                    <w:t>1.11</w:t>
                  </w:r>
                </w:p>
              </w:tc>
              <w:tc>
                <w:tcPr>
                  <w:tcW w:w="714" w:type="pct"/>
                  <w:vAlign w:val="center"/>
                </w:tcPr>
                <w:p>
                  <w:pPr>
                    <w:pStyle w:val="24"/>
                    <w:bidi w:val="0"/>
                    <w:rPr>
                      <w:rFonts w:hint="default"/>
                      <w:lang w:val="en-US" w:eastAsia="zh-CN"/>
                    </w:rPr>
                  </w:pPr>
                  <w:r>
                    <w:rPr>
                      <w:rFonts w:hint="eastAsia"/>
                      <w:lang w:val="en-US" w:eastAsia="zh-CN"/>
                    </w:rPr>
                    <w:t>100</w:t>
                  </w:r>
                </w:p>
              </w:tc>
              <w:tc>
                <w:tcPr>
                  <w:tcW w:w="465" w:type="pct"/>
                  <w:shd w:val="clear" w:color="auto" w:fill="auto"/>
                  <w:vAlign w:val="center"/>
                </w:tcPr>
                <w:p>
                  <w:pPr>
                    <w:pStyle w:val="24"/>
                    <w:bidi w:val="0"/>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shd w:val="clear" w:color="auto" w:fill="auto"/>
                  <w:vAlign w:val="center"/>
                </w:tcPr>
                <w:p>
                  <w:pPr>
                    <w:pStyle w:val="24"/>
                    <w:bidi w:val="0"/>
                    <w:rPr>
                      <w:rFonts w:hint="eastAsia"/>
                      <w:lang w:val="en-US" w:eastAsia="zh-CN"/>
                    </w:rPr>
                  </w:pPr>
                  <w:r>
                    <w:rPr>
                      <w:rFonts w:hint="eastAsia"/>
                      <w:lang w:val="en-US" w:eastAsia="zh-CN"/>
                    </w:rPr>
                    <w:t>固化</w:t>
                  </w:r>
                </w:p>
              </w:tc>
              <w:tc>
                <w:tcPr>
                  <w:tcW w:w="559" w:type="pct"/>
                  <w:shd w:val="clear" w:color="auto" w:fill="auto"/>
                  <w:vAlign w:val="center"/>
                </w:tcPr>
                <w:p>
                  <w:pPr>
                    <w:pStyle w:val="24"/>
                    <w:bidi w:val="0"/>
                    <w:rPr>
                      <w:rFonts w:hint="eastAsia"/>
                      <w:lang w:val="en-US" w:eastAsia="zh-CN"/>
                    </w:rPr>
                  </w:pPr>
                  <w:r>
                    <w:rPr>
                      <w:rFonts w:hint="eastAsia"/>
                      <w:lang w:val="en-US" w:eastAsia="zh-CN"/>
                    </w:rPr>
                    <w:t>DA003</w:t>
                  </w:r>
                </w:p>
              </w:tc>
              <w:tc>
                <w:tcPr>
                  <w:tcW w:w="698" w:type="pct"/>
                  <w:shd w:val="clear" w:color="auto" w:fill="auto"/>
                  <w:vAlign w:val="center"/>
                </w:tcPr>
                <w:p>
                  <w:pPr>
                    <w:pStyle w:val="24"/>
                    <w:bidi w:val="0"/>
                    <w:rPr>
                      <w:rFonts w:hint="eastAsia"/>
                      <w:lang w:val="en-US" w:eastAsia="zh-CN"/>
                    </w:rPr>
                  </w:pPr>
                  <w:r>
                    <w:rPr>
                      <w:rFonts w:hint="eastAsia"/>
                      <w:lang w:val="en-US" w:eastAsia="zh-CN"/>
                    </w:rPr>
                    <w:t>VOCs</w:t>
                  </w:r>
                </w:p>
              </w:tc>
              <w:tc>
                <w:tcPr>
                  <w:tcW w:w="696" w:type="pct"/>
                  <w:shd w:val="clear" w:color="auto" w:fill="auto"/>
                  <w:vAlign w:val="center"/>
                </w:tcPr>
                <w:p>
                  <w:pPr>
                    <w:pStyle w:val="24"/>
                    <w:bidi w:val="0"/>
                    <w:rPr>
                      <w:rFonts w:hint="default"/>
                      <w:lang w:val="en-US" w:eastAsia="zh-CN"/>
                    </w:rPr>
                  </w:pPr>
                  <w:r>
                    <w:rPr>
                      <w:rFonts w:hint="default"/>
                      <w:lang w:val="en-US" w:eastAsia="zh-CN"/>
                    </w:rPr>
                    <w:t>0.020</w:t>
                  </w:r>
                </w:p>
              </w:tc>
              <w:tc>
                <w:tcPr>
                  <w:tcW w:w="718" w:type="pct"/>
                  <w:shd w:val="clear" w:color="auto" w:fill="auto"/>
                  <w:vAlign w:val="center"/>
                </w:tcPr>
                <w:p>
                  <w:pPr>
                    <w:pStyle w:val="24"/>
                    <w:bidi w:val="0"/>
                    <w:rPr>
                      <w:rFonts w:hint="default"/>
                      <w:lang w:val="en-US" w:eastAsia="zh-CN"/>
                    </w:rPr>
                  </w:pPr>
                  <w:r>
                    <w:rPr>
                      <w:rFonts w:hint="default"/>
                      <w:lang w:val="en-US" w:eastAsia="zh-CN"/>
                    </w:rPr>
                    <w:t>5.000</w:t>
                  </w:r>
                </w:p>
              </w:tc>
              <w:tc>
                <w:tcPr>
                  <w:tcW w:w="707" w:type="pct"/>
                  <w:vAlign w:val="center"/>
                </w:tcPr>
                <w:p>
                  <w:pPr>
                    <w:pStyle w:val="24"/>
                    <w:bidi w:val="0"/>
                    <w:rPr>
                      <w:rFonts w:hint="default"/>
                      <w:lang w:val="en-US" w:eastAsia="zh-CN"/>
                    </w:rPr>
                  </w:pPr>
                  <w:r>
                    <w:rPr>
                      <w:rFonts w:hint="eastAsia"/>
                      <w:lang w:val="en-US" w:eastAsia="zh-CN"/>
                    </w:rPr>
                    <w:t>/</w:t>
                  </w:r>
                </w:p>
              </w:tc>
              <w:tc>
                <w:tcPr>
                  <w:tcW w:w="714" w:type="pct"/>
                  <w:vAlign w:val="center"/>
                </w:tcPr>
                <w:p>
                  <w:pPr>
                    <w:pStyle w:val="24"/>
                    <w:bidi w:val="0"/>
                    <w:rPr>
                      <w:rFonts w:hint="default"/>
                      <w:lang w:val="en-US" w:eastAsia="zh-CN"/>
                    </w:rPr>
                  </w:pPr>
                  <w:r>
                    <w:rPr>
                      <w:rFonts w:hint="eastAsia"/>
                      <w:lang w:val="en-US" w:eastAsia="zh-CN"/>
                    </w:rPr>
                    <w:t>40</w:t>
                  </w:r>
                </w:p>
              </w:tc>
              <w:tc>
                <w:tcPr>
                  <w:tcW w:w="465" w:type="pct"/>
                  <w:shd w:val="clear" w:color="auto" w:fill="auto"/>
                  <w:vAlign w:val="center"/>
                </w:tcPr>
                <w:p>
                  <w:pPr>
                    <w:pStyle w:val="24"/>
                    <w:bidi w:val="0"/>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vMerge w:val="restart"/>
                  <w:shd w:val="clear" w:color="auto" w:fill="auto"/>
                  <w:vAlign w:val="center"/>
                </w:tcPr>
                <w:p>
                  <w:pPr>
                    <w:pStyle w:val="24"/>
                    <w:bidi w:val="0"/>
                    <w:rPr>
                      <w:rFonts w:hint="eastAsia"/>
                      <w:lang w:val="en-US" w:eastAsia="zh-CN"/>
                    </w:rPr>
                  </w:pPr>
                  <w:r>
                    <w:rPr>
                      <w:rFonts w:hint="eastAsia"/>
                      <w:lang w:val="en-US" w:eastAsia="zh-CN"/>
                    </w:rPr>
                    <w:t>生物质燃烧</w:t>
                  </w:r>
                </w:p>
              </w:tc>
              <w:tc>
                <w:tcPr>
                  <w:tcW w:w="559" w:type="pct"/>
                  <w:vMerge w:val="restart"/>
                  <w:shd w:val="clear" w:color="auto" w:fill="auto"/>
                  <w:vAlign w:val="center"/>
                </w:tcPr>
                <w:p>
                  <w:pPr>
                    <w:pStyle w:val="24"/>
                    <w:bidi w:val="0"/>
                    <w:rPr>
                      <w:rFonts w:hint="eastAsia"/>
                      <w:lang w:val="en-US" w:eastAsia="zh-CN"/>
                    </w:rPr>
                  </w:pPr>
                  <w:r>
                    <w:rPr>
                      <w:rFonts w:hint="eastAsia"/>
                      <w:lang w:val="en-US" w:eastAsia="zh-CN"/>
                    </w:rPr>
                    <w:t>DA004</w:t>
                  </w:r>
                </w:p>
              </w:tc>
              <w:tc>
                <w:tcPr>
                  <w:tcW w:w="698" w:type="pct"/>
                  <w:shd w:val="clear" w:color="auto" w:fill="auto"/>
                  <w:vAlign w:val="center"/>
                </w:tcPr>
                <w:p>
                  <w:pPr>
                    <w:pStyle w:val="24"/>
                    <w:bidi w:val="0"/>
                    <w:rPr>
                      <w:rFonts w:hint="eastAsia"/>
                      <w:lang w:val="en-US" w:eastAsia="zh-CN"/>
                    </w:rPr>
                  </w:pPr>
                  <w:r>
                    <w:rPr>
                      <w:rFonts w:hint="eastAsia"/>
                      <w:lang w:val="en-US" w:eastAsia="zh-CN"/>
                    </w:rPr>
                    <w:t>颗粒物</w:t>
                  </w:r>
                </w:p>
              </w:tc>
              <w:tc>
                <w:tcPr>
                  <w:tcW w:w="696" w:type="pct"/>
                  <w:shd w:val="clear" w:color="auto" w:fill="auto"/>
                  <w:vAlign w:val="center"/>
                </w:tcPr>
                <w:p>
                  <w:pPr>
                    <w:pStyle w:val="24"/>
                    <w:bidi w:val="0"/>
                    <w:rPr>
                      <w:rFonts w:hint="default"/>
                      <w:lang w:val="en-US" w:eastAsia="zh-CN"/>
                    </w:rPr>
                  </w:pPr>
                  <w:r>
                    <w:rPr>
                      <w:rFonts w:hint="default"/>
                      <w:lang w:val="en-US" w:eastAsia="zh-CN"/>
                    </w:rPr>
                    <w:t>0.002</w:t>
                  </w:r>
                </w:p>
              </w:tc>
              <w:tc>
                <w:tcPr>
                  <w:tcW w:w="718"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cs="Times New Roman"/>
                      <w:kern w:val="0"/>
                      <w:sz w:val="21"/>
                      <w:szCs w:val="20"/>
                      <w:lang w:val="en-US" w:eastAsia="zh-CN" w:bidi="ar-SA"/>
                    </w:rPr>
                    <w:t>0.206</w:t>
                  </w:r>
                </w:p>
              </w:tc>
              <w:tc>
                <w:tcPr>
                  <w:tcW w:w="707" w:type="pct"/>
                  <w:shd w:val="clear" w:color="auto" w:fill="auto"/>
                  <w:vAlign w:val="center"/>
                </w:tcPr>
                <w:p>
                  <w:pPr>
                    <w:pStyle w:val="24"/>
                    <w:bidi w:val="0"/>
                    <w:rPr>
                      <w:rFonts w:hint="default"/>
                      <w:lang w:val="en-US" w:eastAsia="zh-CN"/>
                    </w:rPr>
                  </w:pPr>
                  <w:r>
                    <w:rPr>
                      <w:rFonts w:hint="eastAsia"/>
                      <w:lang w:val="en-US" w:eastAsia="zh-CN"/>
                    </w:rPr>
                    <w:t>/</w:t>
                  </w:r>
                </w:p>
              </w:tc>
              <w:tc>
                <w:tcPr>
                  <w:tcW w:w="714" w:type="pct"/>
                  <w:shd w:val="clear" w:color="auto" w:fill="auto"/>
                  <w:vAlign w:val="center"/>
                </w:tcPr>
                <w:p>
                  <w:pPr>
                    <w:pStyle w:val="24"/>
                    <w:bidi w:val="0"/>
                    <w:rPr>
                      <w:rFonts w:hint="default"/>
                      <w:lang w:val="en-US" w:eastAsia="zh-CN"/>
                    </w:rPr>
                  </w:pPr>
                  <w:r>
                    <w:rPr>
                      <w:rFonts w:hint="eastAsia"/>
                      <w:lang w:val="en-US" w:eastAsia="zh-CN"/>
                    </w:rPr>
                    <w:t>200</w:t>
                  </w:r>
                </w:p>
              </w:tc>
              <w:tc>
                <w:tcPr>
                  <w:tcW w:w="465" w:type="pct"/>
                  <w:shd w:val="clear" w:color="auto" w:fill="auto"/>
                  <w:vAlign w:val="center"/>
                </w:tcPr>
                <w:p>
                  <w:pPr>
                    <w:pStyle w:val="24"/>
                    <w:bidi w:val="0"/>
                    <w:rPr>
                      <w:rFonts w:hint="eastAsia"/>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vMerge w:val="continue"/>
                  <w:vAlign w:val="center"/>
                </w:tcPr>
                <w:p>
                  <w:pPr>
                    <w:pStyle w:val="24"/>
                    <w:bidi w:val="0"/>
                    <w:rPr>
                      <w:rFonts w:hint="eastAsia"/>
                      <w:lang w:val="en-US" w:eastAsia="zh-CN"/>
                    </w:rPr>
                  </w:pPr>
                </w:p>
              </w:tc>
              <w:tc>
                <w:tcPr>
                  <w:tcW w:w="559" w:type="pct"/>
                  <w:vMerge w:val="continue"/>
                  <w:vAlign w:val="center"/>
                </w:tcPr>
                <w:p>
                  <w:pPr>
                    <w:pStyle w:val="24"/>
                    <w:bidi w:val="0"/>
                    <w:rPr>
                      <w:rFonts w:hint="eastAsia"/>
                      <w:lang w:val="en-US" w:eastAsia="zh-CN"/>
                    </w:rPr>
                  </w:pPr>
                </w:p>
              </w:tc>
              <w:tc>
                <w:tcPr>
                  <w:tcW w:w="698" w:type="pct"/>
                  <w:shd w:val="clear" w:color="auto" w:fill="auto"/>
                  <w:vAlign w:val="center"/>
                </w:tcPr>
                <w:p>
                  <w:pPr>
                    <w:pStyle w:val="24"/>
                    <w:bidi w:val="0"/>
                    <w:rPr>
                      <w:rFonts w:hint="eastAsia"/>
                      <w:lang w:val="en-US" w:eastAsia="zh-CN"/>
                    </w:rPr>
                  </w:pPr>
                  <w:r>
                    <w:rPr>
                      <w:rFonts w:hint="eastAsia"/>
                      <w:lang w:val="en-US" w:eastAsia="zh-CN"/>
                    </w:rPr>
                    <w:t>SO</w:t>
                  </w:r>
                  <w:r>
                    <w:rPr>
                      <w:rFonts w:hint="eastAsia"/>
                      <w:vertAlign w:val="subscript"/>
                      <w:lang w:val="en-US" w:eastAsia="zh-CN"/>
                    </w:rPr>
                    <w:t>2</w:t>
                  </w:r>
                </w:p>
              </w:tc>
              <w:tc>
                <w:tcPr>
                  <w:tcW w:w="696" w:type="pct"/>
                  <w:shd w:val="clear" w:color="auto" w:fill="auto"/>
                  <w:vAlign w:val="center"/>
                </w:tcPr>
                <w:p>
                  <w:pPr>
                    <w:pStyle w:val="24"/>
                    <w:bidi w:val="0"/>
                    <w:rPr>
                      <w:rFonts w:hint="default"/>
                      <w:lang w:val="en-US" w:eastAsia="zh-CN"/>
                    </w:rPr>
                  </w:pPr>
                  <w:r>
                    <w:rPr>
                      <w:rFonts w:hint="default"/>
                      <w:lang w:val="en-US" w:eastAsia="zh-CN"/>
                    </w:rPr>
                    <w:t>0.351</w:t>
                  </w:r>
                </w:p>
              </w:tc>
              <w:tc>
                <w:tcPr>
                  <w:tcW w:w="718"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cs="Times New Roman"/>
                      <w:kern w:val="0"/>
                      <w:sz w:val="21"/>
                      <w:szCs w:val="20"/>
                      <w:lang w:val="en-US" w:eastAsia="zh-CN" w:bidi="ar-SA"/>
                    </w:rPr>
                    <w:t>35.063</w:t>
                  </w:r>
                </w:p>
              </w:tc>
              <w:tc>
                <w:tcPr>
                  <w:tcW w:w="707" w:type="pct"/>
                  <w:shd w:val="clear" w:color="auto" w:fill="auto"/>
                  <w:vAlign w:val="center"/>
                </w:tcPr>
                <w:p>
                  <w:pPr>
                    <w:pStyle w:val="24"/>
                    <w:bidi w:val="0"/>
                    <w:rPr>
                      <w:rFonts w:hint="default"/>
                      <w:lang w:val="en-US" w:eastAsia="zh-CN"/>
                    </w:rPr>
                  </w:pPr>
                  <w:r>
                    <w:rPr>
                      <w:rFonts w:hint="eastAsia"/>
                      <w:lang w:val="en-US" w:eastAsia="zh-CN"/>
                    </w:rPr>
                    <w:t>11.79</w:t>
                  </w:r>
                </w:p>
              </w:tc>
              <w:tc>
                <w:tcPr>
                  <w:tcW w:w="714" w:type="pct"/>
                  <w:shd w:val="clear" w:color="auto" w:fill="auto"/>
                  <w:vAlign w:val="center"/>
                </w:tcPr>
                <w:p>
                  <w:pPr>
                    <w:pStyle w:val="24"/>
                    <w:bidi w:val="0"/>
                    <w:rPr>
                      <w:rFonts w:hint="default"/>
                      <w:lang w:val="en-US" w:eastAsia="zh-CN"/>
                    </w:rPr>
                  </w:pPr>
                  <w:r>
                    <w:rPr>
                      <w:rFonts w:hint="eastAsia"/>
                      <w:lang w:val="en-US" w:eastAsia="zh-CN"/>
                    </w:rPr>
                    <w:t>550</w:t>
                  </w:r>
                </w:p>
              </w:tc>
              <w:tc>
                <w:tcPr>
                  <w:tcW w:w="465" w:type="pct"/>
                  <w:shd w:val="clear" w:color="auto" w:fill="auto"/>
                  <w:vAlign w:val="center"/>
                </w:tcPr>
                <w:p>
                  <w:pPr>
                    <w:pStyle w:val="24"/>
                    <w:bidi w:val="0"/>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0" w:type="pct"/>
                  <w:vMerge w:val="continue"/>
                  <w:vAlign w:val="center"/>
                </w:tcPr>
                <w:p>
                  <w:pPr>
                    <w:pStyle w:val="24"/>
                    <w:bidi w:val="0"/>
                    <w:rPr>
                      <w:rFonts w:hint="eastAsia"/>
                      <w:lang w:val="en-US" w:eastAsia="zh-CN"/>
                    </w:rPr>
                  </w:pPr>
                </w:p>
              </w:tc>
              <w:tc>
                <w:tcPr>
                  <w:tcW w:w="559" w:type="pct"/>
                  <w:vMerge w:val="continue"/>
                  <w:vAlign w:val="center"/>
                </w:tcPr>
                <w:p>
                  <w:pPr>
                    <w:pStyle w:val="24"/>
                    <w:bidi w:val="0"/>
                    <w:rPr>
                      <w:rFonts w:hint="eastAsia"/>
                      <w:lang w:val="en-US" w:eastAsia="zh-CN"/>
                    </w:rPr>
                  </w:pPr>
                </w:p>
              </w:tc>
              <w:tc>
                <w:tcPr>
                  <w:tcW w:w="698" w:type="pct"/>
                  <w:shd w:val="clear" w:color="auto" w:fill="auto"/>
                  <w:vAlign w:val="center"/>
                </w:tcPr>
                <w:p>
                  <w:pPr>
                    <w:pStyle w:val="24"/>
                    <w:bidi w:val="0"/>
                    <w:rPr>
                      <w:rFonts w:hint="eastAsia"/>
                      <w:lang w:val="en-US" w:eastAsia="zh-CN"/>
                    </w:rPr>
                  </w:pPr>
                  <w:r>
                    <w:rPr>
                      <w:rFonts w:hint="eastAsia"/>
                      <w:lang w:val="en-US" w:eastAsia="zh-CN"/>
                    </w:rPr>
                    <w:t>NO</w:t>
                  </w:r>
                  <w:r>
                    <w:rPr>
                      <w:rFonts w:hint="eastAsia"/>
                      <w:vertAlign w:val="subscript"/>
                      <w:lang w:val="en-US" w:eastAsia="zh-CN"/>
                    </w:rPr>
                    <w:t>x</w:t>
                  </w:r>
                </w:p>
              </w:tc>
              <w:tc>
                <w:tcPr>
                  <w:tcW w:w="696" w:type="pct"/>
                  <w:shd w:val="clear" w:color="auto" w:fill="auto"/>
                  <w:vAlign w:val="center"/>
                </w:tcPr>
                <w:p>
                  <w:pPr>
                    <w:pStyle w:val="24"/>
                    <w:bidi w:val="0"/>
                    <w:rPr>
                      <w:rFonts w:hint="default"/>
                      <w:lang w:val="en-US" w:eastAsia="zh-CN"/>
                    </w:rPr>
                  </w:pPr>
                  <w:r>
                    <w:rPr>
                      <w:rFonts w:hint="default"/>
                      <w:lang w:val="en-US" w:eastAsia="zh-CN"/>
                    </w:rPr>
                    <w:t>0.210</w:t>
                  </w:r>
                </w:p>
              </w:tc>
              <w:tc>
                <w:tcPr>
                  <w:tcW w:w="718" w:type="pc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cs="Times New Roman"/>
                      <w:kern w:val="0"/>
                      <w:sz w:val="21"/>
                      <w:szCs w:val="20"/>
                      <w:lang w:val="en-US" w:eastAsia="zh-CN" w:bidi="ar-SA"/>
                    </w:rPr>
                    <w:t>21.038</w:t>
                  </w:r>
                </w:p>
              </w:tc>
              <w:tc>
                <w:tcPr>
                  <w:tcW w:w="707" w:type="pct"/>
                  <w:shd w:val="clear" w:color="auto" w:fill="auto"/>
                  <w:vAlign w:val="center"/>
                </w:tcPr>
                <w:p>
                  <w:pPr>
                    <w:pStyle w:val="24"/>
                    <w:bidi w:val="0"/>
                    <w:rPr>
                      <w:rFonts w:hint="default"/>
                      <w:lang w:val="en-US" w:eastAsia="zh-CN"/>
                    </w:rPr>
                  </w:pPr>
                  <w:r>
                    <w:rPr>
                      <w:rFonts w:hint="eastAsia"/>
                      <w:lang w:val="en-US" w:eastAsia="zh-CN"/>
                    </w:rPr>
                    <w:t>3.47</w:t>
                  </w:r>
                </w:p>
              </w:tc>
              <w:tc>
                <w:tcPr>
                  <w:tcW w:w="714" w:type="pct"/>
                  <w:shd w:val="clear" w:color="auto" w:fill="auto"/>
                  <w:vAlign w:val="center"/>
                </w:tcPr>
                <w:p>
                  <w:pPr>
                    <w:pStyle w:val="24"/>
                    <w:bidi w:val="0"/>
                    <w:rPr>
                      <w:rFonts w:hint="default"/>
                      <w:lang w:val="en-US" w:eastAsia="zh-CN"/>
                    </w:rPr>
                  </w:pPr>
                  <w:r>
                    <w:rPr>
                      <w:rFonts w:hint="eastAsia"/>
                      <w:lang w:val="en-US" w:eastAsia="zh-CN"/>
                    </w:rPr>
                    <w:t>240</w:t>
                  </w:r>
                </w:p>
              </w:tc>
              <w:tc>
                <w:tcPr>
                  <w:tcW w:w="465" w:type="pct"/>
                  <w:shd w:val="clear" w:color="auto" w:fill="auto"/>
                  <w:vAlign w:val="center"/>
                </w:tcPr>
                <w:p>
                  <w:pPr>
                    <w:pStyle w:val="24"/>
                    <w:bidi w:val="0"/>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8"/>
                  <w:vAlign w:val="center"/>
                </w:tcPr>
                <w:p>
                  <w:pPr>
                    <w:pStyle w:val="24"/>
                    <w:bidi w:val="0"/>
                    <w:jc w:val="both"/>
                    <w:rPr>
                      <w:rFonts w:hint="eastAsia"/>
                      <w:lang w:val="en-US" w:eastAsia="zh-CN"/>
                    </w:rPr>
                  </w:pPr>
                  <w:r>
                    <w:rPr>
                      <w:rFonts w:hint="eastAsia"/>
                      <w:lang w:val="en-US" w:eastAsia="zh-CN"/>
                    </w:rPr>
                    <w:t>注：焊接产生的颗粒物、生物质燃烧产生的SO</w:t>
                  </w:r>
                  <w:r>
                    <w:rPr>
                      <w:rFonts w:hint="eastAsia"/>
                      <w:vertAlign w:val="subscript"/>
                      <w:lang w:val="en-US" w:eastAsia="zh-CN"/>
                    </w:rPr>
                    <w:t>2</w:t>
                  </w:r>
                  <w:r>
                    <w:rPr>
                      <w:rFonts w:hint="eastAsia"/>
                      <w:lang w:val="en-US" w:eastAsia="zh-CN"/>
                    </w:rPr>
                    <w:t>、NO</w:t>
                  </w:r>
                  <w:r>
                    <w:rPr>
                      <w:rFonts w:hint="eastAsia"/>
                      <w:vertAlign w:val="subscript"/>
                      <w:lang w:val="en-US" w:eastAsia="zh-CN"/>
                    </w:rPr>
                    <w:t>x</w:t>
                  </w:r>
                  <w:r>
                    <w:rPr>
                      <w:rFonts w:hint="eastAsia"/>
                      <w:lang w:val="en-US" w:eastAsia="zh-CN"/>
                    </w:rPr>
                    <w:t>和酸洗产生的氯化氢有组织排放执行《大气污染物综合排放标准》(GB 16297-1996)表2中二级标准要求；固化废气VOCs有组织排放执行《表面涂装（汽车制造及维修）挥发性有机物、镍排放标准》（DB43/1356-2017）排放限值；生物质燃烧产生的颗粒物排放执行《工业炉窑污染物排放标准》（GB9078-1996）表2新污染源大气污染物排放限值二级标准。</w:t>
                  </w:r>
                </w:p>
              </w:tc>
            </w:tr>
          </w:tbl>
          <w:p>
            <w:pPr>
              <w:ind w:firstLine="480"/>
              <w:rPr>
                <w:rFonts w:hint="eastAsia"/>
              </w:rPr>
            </w:pPr>
            <w:r>
              <w:rPr>
                <w:rFonts w:hint="eastAsia"/>
              </w:rPr>
              <w:t>由上表可知，焊接产生的颗粒物、生物质燃烧产生的</w:t>
            </w:r>
            <w:r>
              <w:rPr>
                <w:rFonts w:hint="eastAsia"/>
                <w:lang w:val="en-US" w:eastAsia="zh-CN"/>
              </w:rPr>
              <w:t>SO</w:t>
            </w:r>
            <w:r>
              <w:rPr>
                <w:rFonts w:hint="eastAsia"/>
                <w:vertAlign w:val="subscript"/>
                <w:lang w:val="en-US" w:eastAsia="zh-CN"/>
              </w:rPr>
              <w:t>2</w:t>
            </w:r>
            <w:r>
              <w:rPr>
                <w:rFonts w:hint="eastAsia"/>
                <w:lang w:val="en-US" w:eastAsia="zh-CN"/>
              </w:rPr>
              <w:t>、</w:t>
            </w:r>
            <w:r>
              <w:rPr>
                <w:rFonts w:hint="eastAsia"/>
              </w:rPr>
              <w:t>NO</w:t>
            </w:r>
            <w:r>
              <w:rPr>
                <w:rFonts w:hint="eastAsia"/>
                <w:vertAlign w:val="subscript"/>
              </w:rPr>
              <w:t>x</w:t>
            </w:r>
            <w:r>
              <w:rPr>
                <w:rFonts w:hint="eastAsia"/>
              </w:rPr>
              <w:t>和酸洗产生的氯化氢有组织排放</w:t>
            </w:r>
            <w:r>
              <w:rPr>
                <w:rFonts w:hint="eastAsia"/>
                <w:lang w:val="en-US" w:eastAsia="zh-CN"/>
              </w:rPr>
              <w:t>满足</w:t>
            </w:r>
            <w:r>
              <w:rPr>
                <w:rFonts w:hint="eastAsia"/>
              </w:rPr>
              <w:t>《大气污染物综合排放标准》(GB 16297-1996)表2中二级标准要求；固化废气VOCs有组织排放</w:t>
            </w:r>
            <w:r>
              <w:rPr>
                <w:rFonts w:hint="eastAsia"/>
                <w:lang w:val="en-US" w:eastAsia="zh-CN"/>
              </w:rPr>
              <w:t>满足</w:t>
            </w:r>
            <w:r>
              <w:rPr>
                <w:rFonts w:hint="eastAsia"/>
              </w:rPr>
              <w:t>《表面涂装（汽车制造及维修）挥发性有机物、镍排放标准》（DB43/1356-2017）排放</w:t>
            </w:r>
            <w:r>
              <w:rPr>
                <w:rFonts w:hint="eastAsia"/>
                <w:lang w:val="en-US" w:eastAsia="zh-CN"/>
              </w:rPr>
              <w:t>要求</w:t>
            </w:r>
            <w:r>
              <w:rPr>
                <w:rFonts w:hint="eastAsia"/>
              </w:rPr>
              <w:t>；生物质燃烧产生的颗粒物排放</w:t>
            </w:r>
            <w:r>
              <w:rPr>
                <w:rFonts w:hint="eastAsia"/>
                <w:lang w:val="en-US" w:eastAsia="zh-CN"/>
              </w:rPr>
              <w:t>满足</w:t>
            </w:r>
            <w:r>
              <w:rPr>
                <w:rFonts w:hint="eastAsia"/>
              </w:rPr>
              <w:t>《工业炉窑污染物排放标准》（GB9078-1996）表2新污染源大气污染物排放限值二级标准。</w:t>
            </w:r>
          </w:p>
          <w:p>
            <w:pPr>
              <w:ind w:firstLine="480"/>
            </w:pPr>
            <w:r>
              <w:rPr>
                <w:rFonts w:hint="eastAsia"/>
              </w:rPr>
              <w:t>②无组织排放</w:t>
            </w:r>
          </w:p>
          <w:p>
            <w:pPr>
              <w:ind w:firstLine="480"/>
            </w:pPr>
            <w:r>
              <w:rPr>
                <w:rFonts w:hint="eastAsia"/>
              </w:rPr>
              <w:t>本项目五金加工工序、喷粉工序、烘干、固化工序部分未被收集的废气呈无组织排放，本项目无组织外排的颗粒物</w:t>
            </w:r>
            <w:r>
              <w:rPr>
                <w:rFonts w:hint="eastAsia"/>
                <w:lang w:eastAsia="zh-CN"/>
              </w:rPr>
              <w:t>、</w:t>
            </w:r>
            <w:r>
              <w:rPr>
                <w:rFonts w:hint="eastAsia"/>
                <w:lang w:val="en-US" w:eastAsia="zh-CN"/>
              </w:rPr>
              <w:t>氯化氢</w:t>
            </w:r>
            <w:r>
              <w:rPr>
                <w:rFonts w:hint="eastAsia"/>
              </w:rPr>
              <w:t>能满足《大气污染物综合排放标准》(GB 16297-1996)表2中无组织排放监控浓度限值要求，VOCs（以NMHC表征）能满足《挥发性有机物无组织排放控制标准》（GB 37822-2019）附录A限值要求。</w:t>
            </w:r>
          </w:p>
          <w:p>
            <w:pPr>
              <w:pStyle w:val="4"/>
              <w:ind w:firstLine="482"/>
            </w:pPr>
            <w:r>
              <w:rPr>
                <w:rFonts w:hint="eastAsia"/>
              </w:rPr>
              <w:t>（2）废气环境影响结论</w:t>
            </w:r>
          </w:p>
          <w:p>
            <w:pPr>
              <w:ind w:firstLine="480"/>
            </w:pPr>
            <w:r>
              <w:rPr>
                <w:rFonts w:hint="eastAsia"/>
              </w:rPr>
              <w:t>根据以上达标性分析可知，本项目废气污染物主要为VOCs、颗粒物、SO</w:t>
            </w:r>
            <w:r>
              <w:rPr>
                <w:rFonts w:hint="eastAsia"/>
                <w:vertAlign w:val="subscript"/>
              </w:rPr>
              <w:t>2</w:t>
            </w:r>
            <w:r>
              <w:rPr>
                <w:rFonts w:hint="eastAsia"/>
                <w:lang w:eastAsia="zh-CN"/>
              </w:rPr>
              <w:t>、</w:t>
            </w:r>
            <w:r>
              <w:rPr>
                <w:rFonts w:hint="eastAsia"/>
              </w:rPr>
              <w:t>NO</w:t>
            </w:r>
            <w:r>
              <w:rPr>
                <w:rFonts w:hint="eastAsia"/>
                <w:vertAlign w:val="subscript"/>
              </w:rPr>
              <w:t>x</w:t>
            </w:r>
            <w:r>
              <w:rPr>
                <w:rFonts w:hint="eastAsia"/>
                <w:vertAlign w:val="baseline"/>
                <w:lang w:val="en-US" w:eastAsia="zh-CN"/>
              </w:rPr>
              <w:t>和氯化氢</w:t>
            </w:r>
            <w:r>
              <w:rPr>
                <w:rFonts w:hint="eastAsia"/>
              </w:rPr>
              <w:t>，且采取相关措施后可达标排放，项目所在区域废气有一定的环境容量，因此项目的建设对项目所在区域大气环境影响较小。</w:t>
            </w:r>
          </w:p>
          <w:p>
            <w:pPr>
              <w:pStyle w:val="3"/>
              <w:ind w:firstLine="482"/>
            </w:pPr>
            <w:r>
              <w:rPr>
                <w:rFonts w:hint="eastAsia"/>
              </w:rPr>
              <w:t>6）废气监测要求</w:t>
            </w:r>
          </w:p>
          <w:p>
            <w:pPr>
              <w:keepNext w:val="0"/>
              <w:keepLines w:val="0"/>
              <w:pageBreakBefore w:val="0"/>
              <w:widowControl w:val="0"/>
              <w:kinsoku/>
              <w:wordWrap/>
              <w:overflowPunct/>
              <w:topLinePunct w:val="0"/>
              <w:autoSpaceDE/>
              <w:autoSpaceDN/>
              <w:bidi w:val="0"/>
              <w:adjustRightInd/>
              <w:snapToGrid/>
              <w:spacing w:after="1561" w:afterLines="500"/>
              <w:ind w:firstLine="480"/>
              <w:textAlignment w:val="auto"/>
            </w:pPr>
            <w:r>
              <w:rPr>
                <w:rFonts w:hint="eastAsia"/>
              </w:rPr>
              <w:t>根据《固定污染源排污许可分类管理名录</w:t>
            </w:r>
            <w:r>
              <w:rPr>
                <w:rFonts w:hint="eastAsia"/>
                <w:lang w:eastAsia="zh-CN"/>
              </w:rPr>
              <w:t>（</w:t>
            </w:r>
            <w:r>
              <w:rPr>
                <w:rFonts w:hint="eastAsia"/>
              </w:rPr>
              <w:t>2019年版</w:t>
            </w:r>
            <w:r>
              <w:rPr>
                <w:rFonts w:hint="eastAsia"/>
                <w:lang w:eastAsia="zh-CN"/>
              </w:rPr>
              <w:t>）</w:t>
            </w:r>
            <w:r>
              <w:rPr>
                <w:rFonts w:hint="eastAsia"/>
              </w:rPr>
              <w:t>》，本项目排污许可管理类别为“简化管理”。根据《排污单位自行监测技术指南 总则》(HJ</w:t>
            </w:r>
            <w:r>
              <w:rPr>
                <w:rFonts w:hint="eastAsia"/>
                <w:lang w:val="en-US" w:eastAsia="zh-CN"/>
              </w:rPr>
              <w:t xml:space="preserve"> </w:t>
            </w:r>
            <w:r>
              <w:rPr>
                <w:rFonts w:hint="eastAsia"/>
              </w:rPr>
              <w:t>819-2017)、《排污许可证申请与核发技术规范 总则》(HJ</w:t>
            </w:r>
            <w:r>
              <w:rPr>
                <w:rFonts w:hint="eastAsia"/>
                <w:lang w:val="en-US" w:eastAsia="zh-CN"/>
              </w:rPr>
              <w:t xml:space="preserve"> </w:t>
            </w:r>
            <w:r>
              <w:rPr>
                <w:rFonts w:hint="eastAsia"/>
              </w:rPr>
              <w:t>942-2018)、《排污单位自行监测技术指南 涂装》(HJ</w:t>
            </w:r>
            <w:r>
              <w:rPr>
                <w:rFonts w:hint="eastAsia"/>
                <w:lang w:val="en-US" w:eastAsia="zh-CN"/>
              </w:rPr>
              <w:t xml:space="preserve"> </w:t>
            </w:r>
            <w:r>
              <w:rPr>
                <w:rFonts w:hint="eastAsia"/>
              </w:rPr>
              <w:t>1086-2020)</w:t>
            </w:r>
            <w:r>
              <w:rPr>
                <w:rFonts w:hint="eastAsia"/>
                <w:lang w:val="en-US" w:eastAsia="zh-CN"/>
              </w:rPr>
              <w:t>等相关要求</w:t>
            </w:r>
            <w:r>
              <w:rPr>
                <w:rFonts w:hint="eastAsia"/>
              </w:rPr>
              <w:t>，本项目废气自行监测情况见下表。</w:t>
            </w:r>
          </w:p>
          <w:p>
            <w:pPr>
              <w:pStyle w:val="37"/>
              <w:spacing w:before="72" w:after="120"/>
              <w:rPr>
                <w:rFonts w:hint="default"/>
              </w:rPr>
            </w:pPr>
            <w:r>
              <w:t>表4-1</w:t>
            </w:r>
            <w:r>
              <w:rPr>
                <w:rFonts w:hint="eastAsia"/>
                <w:lang w:val="en-US" w:eastAsia="zh-CN"/>
              </w:rPr>
              <w:t>4</w:t>
            </w:r>
            <w:r>
              <w:t xml:space="preserve"> 项目大气污染物监测计划一览表</w:t>
            </w:r>
          </w:p>
          <w:tbl>
            <w:tblPr>
              <w:tblStyle w:val="19"/>
              <w:tblW w:w="496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587"/>
              <w:gridCol w:w="1178"/>
              <w:gridCol w:w="1151"/>
              <w:gridCol w:w="34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Align w:val="center"/>
                </w:tcPr>
                <w:p>
                  <w:pPr>
                    <w:pStyle w:val="24"/>
                    <w:rPr>
                      <w:b/>
                      <w:bCs/>
                    </w:rPr>
                  </w:pPr>
                  <w:r>
                    <w:rPr>
                      <w:rFonts w:hint="eastAsia"/>
                      <w:b/>
                      <w:bCs/>
                    </w:rPr>
                    <w:t>监测项目</w:t>
                  </w:r>
                </w:p>
              </w:tc>
              <w:tc>
                <w:tcPr>
                  <w:tcW w:w="982" w:type="pct"/>
                  <w:vAlign w:val="center"/>
                </w:tcPr>
                <w:p>
                  <w:pPr>
                    <w:pStyle w:val="24"/>
                    <w:rPr>
                      <w:b/>
                      <w:bCs/>
                    </w:rPr>
                  </w:pPr>
                  <w:r>
                    <w:rPr>
                      <w:rFonts w:hint="eastAsia"/>
                      <w:b/>
                      <w:bCs/>
                    </w:rPr>
                    <w:t>监测点位</w:t>
                  </w:r>
                </w:p>
              </w:tc>
              <w:tc>
                <w:tcPr>
                  <w:tcW w:w="729" w:type="pct"/>
                  <w:vAlign w:val="center"/>
                </w:tcPr>
                <w:p>
                  <w:pPr>
                    <w:pStyle w:val="24"/>
                    <w:rPr>
                      <w:b/>
                      <w:bCs/>
                    </w:rPr>
                  </w:pPr>
                  <w:r>
                    <w:rPr>
                      <w:rFonts w:hint="eastAsia"/>
                      <w:b/>
                      <w:bCs/>
                    </w:rPr>
                    <w:t>监测指标</w:t>
                  </w:r>
                </w:p>
              </w:tc>
              <w:tc>
                <w:tcPr>
                  <w:tcW w:w="712" w:type="pct"/>
                  <w:vAlign w:val="center"/>
                </w:tcPr>
                <w:p>
                  <w:pPr>
                    <w:pStyle w:val="24"/>
                    <w:rPr>
                      <w:b/>
                      <w:bCs/>
                    </w:rPr>
                  </w:pPr>
                  <w:r>
                    <w:rPr>
                      <w:rFonts w:hint="eastAsia"/>
                      <w:b/>
                      <w:bCs/>
                    </w:rPr>
                    <w:t>监测频次</w:t>
                  </w:r>
                </w:p>
              </w:tc>
              <w:tc>
                <w:tcPr>
                  <w:tcW w:w="2119" w:type="pct"/>
                  <w:vAlign w:val="center"/>
                </w:tcPr>
                <w:p>
                  <w:pPr>
                    <w:pStyle w:val="24"/>
                    <w:rPr>
                      <w:b/>
                      <w:bCs/>
                    </w:rPr>
                  </w:pPr>
                  <w:r>
                    <w:rPr>
                      <w:rFonts w:hint="eastAsia"/>
                      <w:b/>
                      <w:bCs/>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restart"/>
                  <w:vAlign w:val="center"/>
                </w:tcPr>
                <w:p>
                  <w:pPr>
                    <w:pStyle w:val="24"/>
                  </w:pPr>
                  <w:r>
                    <w:rPr>
                      <w:rFonts w:hint="eastAsia"/>
                    </w:rPr>
                    <w:t>有组织</w:t>
                  </w:r>
                </w:p>
              </w:tc>
              <w:tc>
                <w:tcPr>
                  <w:tcW w:w="982" w:type="pct"/>
                  <w:vAlign w:val="center"/>
                </w:tcPr>
                <w:p>
                  <w:pPr>
                    <w:pStyle w:val="24"/>
                    <w:rPr>
                      <w:rFonts w:hint="default" w:eastAsia="宋体"/>
                      <w:lang w:val="en-US" w:eastAsia="zh-CN"/>
                    </w:rPr>
                  </w:pPr>
                  <w:r>
                    <w:rPr>
                      <w:rFonts w:hint="eastAsia"/>
                      <w:lang w:val="en-US" w:eastAsia="zh-CN"/>
                    </w:rPr>
                    <w:t>焊接废气排气筒（DA001）</w:t>
                  </w:r>
                </w:p>
              </w:tc>
              <w:tc>
                <w:tcPr>
                  <w:tcW w:w="729" w:type="pct"/>
                  <w:vAlign w:val="center"/>
                </w:tcPr>
                <w:p>
                  <w:pPr>
                    <w:pStyle w:val="24"/>
                    <w:rPr>
                      <w:rFonts w:hint="eastAsia" w:eastAsia="宋体"/>
                      <w:lang w:val="en-US" w:eastAsia="zh-CN"/>
                    </w:rPr>
                  </w:pPr>
                  <w:r>
                    <w:rPr>
                      <w:rFonts w:hint="eastAsia"/>
                      <w:lang w:val="en-US" w:eastAsia="zh-CN"/>
                    </w:rPr>
                    <w:t>颗粒物</w:t>
                  </w:r>
                </w:p>
              </w:tc>
              <w:tc>
                <w:tcPr>
                  <w:tcW w:w="712"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1次/年</w:t>
                  </w:r>
                </w:p>
              </w:tc>
              <w:tc>
                <w:tcPr>
                  <w:tcW w:w="2119" w:type="pct"/>
                  <w:vMerge w:val="restart"/>
                  <w:vAlign w:val="center"/>
                </w:tcPr>
                <w:p>
                  <w:pPr>
                    <w:pStyle w:val="24"/>
                  </w:pPr>
                  <w:r>
                    <w:rPr>
                      <w:rFonts w:hint="eastAsia"/>
                    </w:rPr>
                    <w:t>《大气污染物综合排放标准》(GB 16297-1996)表2中二级标准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vAlign w:val="center"/>
                </w:tcPr>
                <w:p>
                  <w:pPr>
                    <w:pStyle w:val="24"/>
                    <w:rPr>
                      <w:rFonts w:hint="eastAsia"/>
                    </w:rPr>
                  </w:pPr>
                </w:p>
              </w:tc>
              <w:tc>
                <w:tcPr>
                  <w:tcW w:w="982" w:type="pct"/>
                  <w:vAlign w:val="center"/>
                </w:tcPr>
                <w:p>
                  <w:pPr>
                    <w:pStyle w:val="24"/>
                    <w:rPr>
                      <w:rFonts w:hint="eastAsia"/>
                      <w:lang w:val="en-US" w:eastAsia="zh-CN"/>
                    </w:rPr>
                  </w:pPr>
                  <w:r>
                    <w:rPr>
                      <w:rFonts w:hint="eastAsia"/>
                      <w:lang w:val="en-US" w:eastAsia="zh-CN"/>
                    </w:rPr>
                    <w:t>酸洗废气排气筒（DA002）</w:t>
                  </w:r>
                </w:p>
              </w:tc>
              <w:tc>
                <w:tcPr>
                  <w:tcW w:w="729" w:type="pct"/>
                  <w:vAlign w:val="center"/>
                </w:tcPr>
                <w:p>
                  <w:pPr>
                    <w:pStyle w:val="24"/>
                    <w:rPr>
                      <w:rFonts w:hint="eastAsia" w:eastAsia="宋体"/>
                      <w:lang w:val="en-US" w:eastAsia="zh-CN"/>
                    </w:rPr>
                  </w:pPr>
                  <w:r>
                    <w:rPr>
                      <w:rFonts w:hint="eastAsia"/>
                      <w:lang w:val="en-US" w:eastAsia="zh-CN"/>
                    </w:rPr>
                    <w:t>氯化氢</w:t>
                  </w:r>
                </w:p>
              </w:tc>
              <w:tc>
                <w:tcPr>
                  <w:tcW w:w="712"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1次/年</w:t>
                  </w:r>
                </w:p>
              </w:tc>
              <w:tc>
                <w:tcPr>
                  <w:tcW w:w="2119" w:type="pct"/>
                  <w:vMerge w:val="continue"/>
                  <w:vAlign w:val="center"/>
                </w:tcPr>
                <w:p>
                  <w:pPr>
                    <w:pStyle w:val="24"/>
                    <w:rPr>
                      <w:rFonts w:hint="eastAsia" w:ascii="Times New Roman" w:hAnsi="Times New Roman" w:eastAsia="宋体"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vAlign w:val="center"/>
                </w:tcPr>
                <w:p>
                  <w:pPr>
                    <w:pStyle w:val="24"/>
                    <w:rPr>
                      <w:rFonts w:hint="eastAsia"/>
                    </w:rPr>
                  </w:pPr>
                </w:p>
              </w:tc>
              <w:tc>
                <w:tcPr>
                  <w:tcW w:w="982"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lang w:val="en-US" w:eastAsia="zh-CN"/>
                    </w:rPr>
                    <w:t>固化废气排气筒</w:t>
                  </w:r>
                  <w:r>
                    <w:t>（DA00</w:t>
                  </w:r>
                  <w:r>
                    <w:rPr>
                      <w:rFonts w:hint="eastAsia"/>
                      <w:lang w:val="en-US" w:eastAsia="zh-CN"/>
                    </w:rPr>
                    <w:t>3</w:t>
                  </w:r>
                  <w:r>
                    <w:t>）</w:t>
                  </w:r>
                </w:p>
              </w:tc>
              <w:tc>
                <w:tcPr>
                  <w:tcW w:w="729"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VOCs</w:t>
                  </w:r>
                </w:p>
              </w:tc>
              <w:tc>
                <w:tcPr>
                  <w:tcW w:w="712"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1次/年</w:t>
                  </w:r>
                </w:p>
              </w:tc>
              <w:tc>
                <w:tcPr>
                  <w:tcW w:w="2119"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《表面涂装（汽车制造及维修）挥发性有机物、镍排放标准》（DB43/1356-2017）排放标准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2" w:hRule="atLeast"/>
                <w:jc w:val="center"/>
              </w:trPr>
              <w:tc>
                <w:tcPr>
                  <w:tcW w:w="456" w:type="pct"/>
                  <w:vMerge w:val="continue"/>
                  <w:vAlign w:val="center"/>
                </w:tcPr>
                <w:p>
                  <w:pPr>
                    <w:pStyle w:val="24"/>
                    <w:rPr>
                      <w:rFonts w:hint="eastAsia"/>
                    </w:rPr>
                  </w:pPr>
                </w:p>
              </w:tc>
              <w:tc>
                <w:tcPr>
                  <w:tcW w:w="982" w:type="pct"/>
                  <w:vMerge w:val="restart"/>
                  <w:shd w:val="clear" w:color="auto" w:fill="auto"/>
                  <w:vAlign w:val="center"/>
                </w:tcPr>
                <w:p>
                  <w:pPr>
                    <w:pStyle w:val="24"/>
                    <w:ind w:firstLine="0" w:firstLineChars="0"/>
                    <w:rPr>
                      <w:rFonts w:hint="default" w:ascii="Times New Roman" w:hAnsi="Times New Roman" w:eastAsia="宋体" w:cs="Times New Roman"/>
                      <w:kern w:val="0"/>
                      <w:sz w:val="21"/>
                      <w:szCs w:val="20"/>
                      <w:lang w:val="en-US" w:eastAsia="zh-CN" w:bidi="ar-SA"/>
                    </w:rPr>
                  </w:pPr>
                  <w:r>
                    <w:rPr>
                      <w:rFonts w:hint="eastAsia"/>
                      <w:lang w:val="en-US" w:eastAsia="zh-CN"/>
                    </w:rPr>
                    <w:t>生物质燃烧</w:t>
                  </w:r>
                  <w:r>
                    <w:rPr>
                      <w:rFonts w:hint="eastAsia"/>
                    </w:rPr>
                    <w:t>废气</w:t>
                  </w:r>
                  <w:r>
                    <w:rPr>
                      <w:rFonts w:hint="eastAsia"/>
                      <w:lang w:val="en-US" w:eastAsia="zh-CN"/>
                    </w:rPr>
                    <w:t>排气筒</w:t>
                  </w:r>
                  <w:r>
                    <w:t>（DA00</w:t>
                  </w:r>
                  <w:r>
                    <w:rPr>
                      <w:rFonts w:hint="eastAsia"/>
                      <w:lang w:val="en-US" w:eastAsia="zh-CN"/>
                    </w:rPr>
                    <w:t>4</w:t>
                  </w:r>
                  <w:r>
                    <w:t>）</w:t>
                  </w:r>
                </w:p>
              </w:tc>
              <w:tc>
                <w:tcPr>
                  <w:tcW w:w="729"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颗粒物</w:t>
                  </w:r>
                </w:p>
              </w:tc>
              <w:tc>
                <w:tcPr>
                  <w:tcW w:w="712"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rPr>
                    <w:t>1次/年</w:t>
                  </w:r>
                </w:p>
              </w:tc>
              <w:tc>
                <w:tcPr>
                  <w:tcW w:w="2119" w:type="pct"/>
                  <w:shd w:val="clear" w:color="auto" w:fill="auto"/>
                  <w:vAlign w:val="center"/>
                </w:tcPr>
                <w:p>
                  <w:pPr>
                    <w:pStyle w:val="24"/>
                    <w:ind w:firstLine="0" w:firstLineChars="0"/>
                    <w:rPr>
                      <w:rFonts w:hint="eastAsia" w:ascii="Times New Roman" w:hAnsi="Times New Roman" w:eastAsia="宋体" w:cs="Times New Roman"/>
                      <w:kern w:val="0"/>
                      <w:sz w:val="21"/>
                      <w:szCs w:val="20"/>
                      <w:lang w:val="en-US" w:eastAsia="zh-CN" w:bidi="ar-SA"/>
                    </w:rPr>
                  </w:pPr>
                  <w:r>
                    <w:rPr>
                      <w:rFonts w:hint="eastAsia" w:ascii="Times New Roman" w:hAnsi="Times New Roman" w:eastAsia="宋体" w:cs="Times New Roman"/>
                    </w:rPr>
                    <w:t>《工业炉窑污染物排放标准》（GB9078-1996）表2、表</w:t>
                  </w:r>
                  <w:r>
                    <w:rPr>
                      <w:rFonts w:hint="eastAsia" w:cs="Times New Roman"/>
                      <w:lang w:val="en-US" w:eastAsia="zh-CN"/>
                    </w:rPr>
                    <w:t>4</w:t>
                  </w:r>
                  <w:r>
                    <w:rPr>
                      <w:rFonts w:hint="eastAsia" w:ascii="Times New Roman" w:hAnsi="Times New Roman" w:eastAsia="宋体" w:cs="Times New Roman"/>
                    </w:rPr>
                    <w:t>新污染源大气污染物排放限值二级标准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vAlign w:val="center"/>
                </w:tcPr>
                <w:p>
                  <w:pPr>
                    <w:pStyle w:val="24"/>
                    <w:rPr>
                      <w:rFonts w:hint="eastAsia"/>
                    </w:rPr>
                  </w:pPr>
                </w:p>
              </w:tc>
              <w:tc>
                <w:tcPr>
                  <w:tcW w:w="982" w:type="pct"/>
                  <w:vMerge w:val="continue"/>
                  <w:shd w:val="clear" w:color="auto" w:fill="auto"/>
                  <w:vAlign w:val="center"/>
                </w:tcPr>
                <w:p>
                  <w:pPr>
                    <w:pStyle w:val="24"/>
                    <w:ind w:firstLine="0" w:firstLineChars="0"/>
                    <w:rPr>
                      <w:rFonts w:hint="eastAsia"/>
                      <w:lang w:val="en-US" w:eastAsia="zh-CN"/>
                    </w:rPr>
                  </w:pPr>
                </w:p>
              </w:tc>
              <w:tc>
                <w:tcPr>
                  <w:tcW w:w="729" w:type="pct"/>
                  <w:shd w:val="clear" w:color="auto" w:fill="auto"/>
                  <w:vAlign w:val="center"/>
                </w:tcPr>
                <w:p>
                  <w:pPr>
                    <w:pStyle w:val="24"/>
                    <w:ind w:firstLine="0" w:firstLineChars="0"/>
                    <w:rPr>
                      <w:rFonts w:hint="default" w:eastAsia="宋体"/>
                      <w:lang w:val="en-US" w:eastAsia="zh-CN"/>
                    </w:rPr>
                  </w:pPr>
                  <w:r>
                    <w:rPr>
                      <w:rFonts w:hint="eastAsia"/>
                    </w:rPr>
                    <w:t>NO</w:t>
                  </w:r>
                  <w:r>
                    <w:rPr>
                      <w:rFonts w:hint="eastAsia"/>
                      <w:vertAlign w:val="subscript"/>
                    </w:rPr>
                    <w:t>x</w:t>
                  </w:r>
                  <w:r>
                    <w:rPr>
                      <w:rFonts w:hint="eastAsia"/>
                    </w:rPr>
                    <w:t>、SO</w:t>
                  </w:r>
                  <w:r>
                    <w:rPr>
                      <w:rFonts w:hint="eastAsia"/>
                      <w:vertAlign w:val="subscript"/>
                    </w:rPr>
                    <w:t>2</w:t>
                  </w:r>
                  <w:r>
                    <w:rPr>
                      <w:rFonts w:hint="eastAsia"/>
                      <w:lang w:eastAsia="zh-CN"/>
                    </w:rPr>
                    <w:t>、</w:t>
                  </w:r>
                  <w:r>
                    <w:rPr>
                      <w:rFonts w:hint="eastAsia"/>
                      <w:lang w:val="en-US" w:eastAsia="zh-CN"/>
                    </w:rPr>
                    <w:t>林格曼黑度</w:t>
                  </w:r>
                </w:p>
              </w:tc>
              <w:tc>
                <w:tcPr>
                  <w:tcW w:w="712" w:type="pct"/>
                  <w:shd w:val="clear" w:color="auto" w:fill="auto"/>
                  <w:vAlign w:val="center"/>
                </w:tcPr>
                <w:p>
                  <w:pPr>
                    <w:pStyle w:val="24"/>
                    <w:ind w:firstLine="0" w:firstLineChars="0"/>
                    <w:rPr>
                      <w:rFonts w:hint="eastAsia"/>
                    </w:rPr>
                  </w:pPr>
                  <w:r>
                    <w:rPr>
                      <w:rFonts w:hint="eastAsia"/>
                    </w:rPr>
                    <w:t>1次/年</w:t>
                  </w:r>
                </w:p>
              </w:tc>
              <w:tc>
                <w:tcPr>
                  <w:tcW w:w="2119" w:type="pct"/>
                  <w:shd w:val="clear" w:color="auto" w:fill="auto"/>
                  <w:vAlign w:val="center"/>
                </w:tcPr>
                <w:p>
                  <w:pPr>
                    <w:pStyle w:val="24"/>
                    <w:ind w:firstLine="0" w:firstLineChars="0"/>
                    <w:rPr>
                      <w:rFonts w:hint="eastAsia" w:ascii="Times New Roman" w:hAnsi="Times New Roman" w:eastAsia="宋体" w:cs="Times New Roman"/>
                    </w:rPr>
                  </w:pPr>
                  <w:r>
                    <w:rPr>
                      <w:rFonts w:hint="eastAsia"/>
                    </w:rPr>
                    <w:t>《大气污染物综合排放标准》(GB 16297-1996)表2中二级标准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restart"/>
                  <w:vAlign w:val="center"/>
                </w:tcPr>
                <w:p>
                  <w:pPr>
                    <w:pStyle w:val="24"/>
                  </w:pPr>
                  <w:r>
                    <w:rPr>
                      <w:rFonts w:hint="eastAsia"/>
                    </w:rPr>
                    <w:t>无组织</w:t>
                  </w:r>
                </w:p>
              </w:tc>
              <w:tc>
                <w:tcPr>
                  <w:tcW w:w="982" w:type="pct"/>
                  <w:vAlign w:val="center"/>
                </w:tcPr>
                <w:p>
                  <w:pPr>
                    <w:pStyle w:val="24"/>
                  </w:pPr>
                  <w:r>
                    <w:rPr>
                      <w:rFonts w:hint="eastAsia"/>
                    </w:rPr>
                    <w:t>厂界外</w:t>
                  </w:r>
                </w:p>
              </w:tc>
              <w:tc>
                <w:tcPr>
                  <w:tcW w:w="729" w:type="pct"/>
                  <w:vAlign w:val="center"/>
                </w:tcPr>
                <w:p>
                  <w:pPr>
                    <w:pStyle w:val="24"/>
                    <w:rPr>
                      <w:rFonts w:hint="default" w:eastAsia="宋体"/>
                      <w:lang w:val="en-US" w:eastAsia="zh-CN"/>
                    </w:rPr>
                  </w:pPr>
                  <w:r>
                    <w:rPr>
                      <w:rFonts w:hint="eastAsia"/>
                    </w:rPr>
                    <w:t>颗粒物、非甲烷总烃</w:t>
                  </w:r>
                  <w:r>
                    <w:rPr>
                      <w:rFonts w:hint="eastAsia"/>
                      <w:lang w:eastAsia="zh-CN"/>
                    </w:rPr>
                    <w:t>、</w:t>
                  </w:r>
                  <w:r>
                    <w:rPr>
                      <w:rFonts w:hint="eastAsia"/>
                      <w:lang w:val="en-US" w:eastAsia="zh-CN"/>
                    </w:rPr>
                    <w:t>氯化氢</w:t>
                  </w:r>
                </w:p>
              </w:tc>
              <w:tc>
                <w:tcPr>
                  <w:tcW w:w="712" w:type="pct"/>
                  <w:vAlign w:val="center"/>
                </w:tcPr>
                <w:p>
                  <w:pPr>
                    <w:pStyle w:val="24"/>
                  </w:pPr>
                  <w:r>
                    <w:rPr>
                      <w:rFonts w:hint="eastAsia"/>
                    </w:rPr>
                    <w:t>1次/年</w:t>
                  </w:r>
                </w:p>
              </w:tc>
              <w:tc>
                <w:tcPr>
                  <w:tcW w:w="2119" w:type="pct"/>
                  <w:vAlign w:val="center"/>
                </w:tcPr>
                <w:p>
                  <w:pPr>
                    <w:pStyle w:val="24"/>
                    <w:rPr>
                      <w:rFonts w:hint="default" w:eastAsia="宋体"/>
                      <w:lang w:val="en-US" w:eastAsia="zh-CN"/>
                    </w:rPr>
                  </w:pPr>
                  <w:r>
                    <w:rPr>
                      <w:rFonts w:hint="eastAsia"/>
                    </w:rPr>
                    <w:t>《大气污染物综合排放标准》（</w:t>
                  </w:r>
                  <w:r>
                    <w:t>GB 16297-1996</w:t>
                  </w:r>
                  <w:r>
                    <w:rPr>
                      <w:rFonts w:hint="eastAsia"/>
                    </w:rPr>
                    <w:t>）表2中</w:t>
                  </w:r>
                  <w:r>
                    <w:rPr>
                      <w:rFonts w:hint="eastAsia"/>
                      <w:lang w:val="en-US" w:eastAsia="zh-CN"/>
                    </w:rPr>
                    <w:t>无组织排放监控浓度限值要求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6" w:type="pct"/>
                  <w:vMerge w:val="continue"/>
                  <w:vAlign w:val="center"/>
                </w:tcPr>
                <w:p>
                  <w:pPr>
                    <w:pStyle w:val="24"/>
                  </w:pPr>
                </w:p>
              </w:tc>
              <w:tc>
                <w:tcPr>
                  <w:tcW w:w="982" w:type="pct"/>
                  <w:vAlign w:val="center"/>
                </w:tcPr>
                <w:p>
                  <w:pPr>
                    <w:pStyle w:val="24"/>
                  </w:pPr>
                  <w:r>
                    <w:rPr>
                      <w:rFonts w:hint="eastAsia"/>
                    </w:rPr>
                    <w:t>厂区内</w:t>
                  </w:r>
                </w:p>
              </w:tc>
              <w:tc>
                <w:tcPr>
                  <w:tcW w:w="729" w:type="pct"/>
                  <w:vAlign w:val="center"/>
                </w:tcPr>
                <w:p>
                  <w:pPr>
                    <w:pStyle w:val="24"/>
                  </w:pPr>
                  <w:r>
                    <w:rPr>
                      <w:rFonts w:hint="eastAsia"/>
                    </w:rPr>
                    <w:t>非甲烷总烃</w:t>
                  </w:r>
                </w:p>
              </w:tc>
              <w:tc>
                <w:tcPr>
                  <w:tcW w:w="712" w:type="pct"/>
                  <w:vAlign w:val="center"/>
                </w:tcPr>
                <w:p>
                  <w:pPr>
                    <w:pStyle w:val="24"/>
                  </w:pPr>
                  <w:r>
                    <w:rPr>
                      <w:rFonts w:hint="eastAsia"/>
                    </w:rPr>
                    <w:t>1次/年</w:t>
                  </w:r>
                </w:p>
              </w:tc>
              <w:tc>
                <w:tcPr>
                  <w:tcW w:w="2119" w:type="pct"/>
                  <w:vAlign w:val="center"/>
                </w:tcPr>
                <w:p>
                  <w:pPr>
                    <w:pStyle w:val="24"/>
                  </w:pPr>
                  <w:r>
                    <w:rPr>
                      <w:rFonts w:hint="eastAsia"/>
                    </w:rPr>
                    <w:t>《挥发性有机物无组织排放控制标准》（</w:t>
                  </w:r>
                  <w:r>
                    <w:t>GB 37822-2019</w:t>
                  </w:r>
                  <w:r>
                    <w:rPr>
                      <w:rFonts w:hint="eastAsia"/>
                    </w:rPr>
                    <w:t>）</w:t>
                  </w:r>
                </w:p>
              </w:tc>
            </w:tr>
          </w:tbl>
          <w:p>
            <w:pPr>
              <w:pStyle w:val="2"/>
              <w:spacing w:before="120"/>
            </w:pPr>
            <w:bookmarkStart w:id="157" w:name="_Toc3546"/>
            <w:bookmarkStart w:id="158" w:name="_Toc3570"/>
            <w:bookmarkStart w:id="159" w:name="_Toc5769"/>
            <w:bookmarkStart w:id="160" w:name="_Toc22867"/>
            <w:r>
              <w:rPr>
                <w:rFonts w:hint="eastAsia"/>
              </w:rPr>
              <w:t>2、废水</w:t>
            </w:r>
            <w:bookmarkEnd w:id="157"/>
            <w:bookmarkEnd w:id="158"/>
            <w:bookmarkEnd w:id="159"/>
            <w:bookmarkEnd w:id="160"/>
          </w:p>
          <w:p>
            <w:pPr>
              <w:pStyle w:val="3"/>
              <w:ind w:firstLine="482"/>
            </w:pPr>
            <w:r>
              <w:rPr>
                <w:rFonts w:hint="eastAsia"/>
              </w:rPr>
              <w:t>1）废水源强核算结果</w:t>
            </w:r>
          </w:p>
          <w:p>
            <w:pPr>
              <w:keepNext w:val="0"/>
              <w:keepLines w:val="0"/>
              <w:pageBreakBefore w:val="0"/>
              <w:widowControl w:val="0"/>
              <w:kinsoku/>
              <w:wordWrap/>
              <w:overflowPunct/>
              <w:topLinePunct w:val="0"/>
              <w:autoSpaceDE/>
              <w:autoSpaceDN/>
              <w:bidi w:val="0"/>
              <w:adjustRightInd/>
              <w:snapToGrid/>
              <w:ind w:firstLine="480"/>
              <w:textAlignment w:val="auto"/>
            </w:pPr>
            <w:r>
              <w:rPr>
                <w:rFonts w:hint="eastAsia"/>
              </w:rPr>
              <w:t>项目废水污染源强核算结果及相关参数见表4-1</w:t>
            </w:r>
            <w:r>
              <w:rPr>
                <w:rFonts w:hint="eastAsia"/>
                <w:lang w:val="en-US" w:eastAsia="zh-CN"/>
              </w:rPr>
              <w:t>5</w:t>
            </w:r>
            <w:r>
              <w:rPr>
                <w:rFonts w:hint="eastAsia"/>
              </w:rPr>
              <w:t>所示。</w:t>
            </w:r>
          </w:p>
          <w:p>
            <w:pPr>
              <w:pStyle w:val="37"/>
              <w:spacing w:before="72" w:after="120"/>
              <w:rPr>
                <w:rFonts w:hint="default"/>
              </w:rPr>
            </w:pPr>
            <w:r>
              <w:t>表4-1</w:t>
            </w:r>
            <w:r>
              <w:rPr>
                <w:rFonts w:hint="eastAsia"/>
                <w:lang w:val="en-US" w:eastAsia="zh-CN"/>
              </w:rPr>
              <w:t>5</w:t>
            </w:r>
            <w:r>
              <w:t xml:space="preserve"> 废水污染源强核算结果及相关参数一览表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914"/>
              <w:gridCol w:w="803"/>
              <w:gridCol w:w="761"/>
              <w:gridCol w:w="885"/>
              <w:gridCol w:w="722"/>
              <w:gridCol w:w="696"/>
              <w:gridCol w:w="869"/>
              <w:gridCol w:w="1134"/>
              <w:gridCol w:w="7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产排污环节</w:t>
                  </w:r>
                </w:p>
              </w:tc>
              <w:tc>
                <w:tcPr>
                  <w:tcW w:w="561"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废水量(m</w:t>
                  </w:r>
                  <w:r>
                    <w:rPr>
                      <w:rFonts w:hint="eastAsia"/>
                      <w:b/>
                      <w:bCs/>
                      <w:vertAlign w:val="superscript"/>
                    </w:rPr>
                    <w:t>3</w:t>
                  </w:r>
                  <w:r>
                    <w:rPr>
                      <w:rFonts w:hint="eastAsia"/>
                      <w:b/>
                      <w:bCs/>
                    </w:rPr>
                    <w:t>/a)</w:t>
                  </w:r>
                </w:p>
              </w:tc>
              <w:tc>
                <w:tcPr>
                  <w:tcW w:w="493"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污染物</w:t>
                  </w:r>
                </w:p>
              </w:tc>
              <w:tc>
                <w:tcPr>
                  <w:tcW w:w="1010" w:type="pct"/>
                  <w:gridSpan w:val="2"/>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污染物产生</w:t>
                  </w:r>
                </w:p>
              </w:tc>
              <w:tc>
                <w:tcPr>
                  <w:tcW w:w="870" w:type="pct"/>
                  <w:gridSpan w:val="2"/>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处理措施</w:t>
                  </w:r>
                </w:p>
              </w:tc>
              <w:tc>
                <w:tcPr>
                  <w:tcW w:w="1229" w:type="pct"/>
                  <w:gridSpan w:val="2"/>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污染物排放</w:t>
                  </w:r>
                </w:p>
              </w:tc>
              <w:tc>
                <w:tcPr>
                  <w:tcW w:w="431"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b/>
                      <w:bCs/>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p>
              </w:tc>
              <w:tc>
                <w:tcPr>
                  <w:tcW w:w="49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产生量(</w:t>
                  </w:r>
                  <w:r>
                    <w:rPr>
                      <w:b/>
                      <w:bCs/>
                    </w:rPr>
                    <w:t>t/a</w:t>
                  </w:r>
                  <w:r>
                    <w:rPr>
                      <w:rFonts w:hint="eastAsia"/>
                      <w:b/>
                      <w:bCs/>
                    </w:rPr>
                    <w:t>)</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产生浓度(</w:t>
                  </w:r>
                  <w:r>
                    <w:rPr>
                      <w:b/>
                      <w:bCs/>
                    </w:rPr>
                    <w:t>mg/L</w:t>
                  </w:r>
                  <w:r>
                    <w:rPr>
                      <w:rFonts w:hint="eastAsia"/>
                      <w:b/>
                      <w:bCs/>
                    </w:rPr>
                    <w:t>)</w:t>
                  </w:r>
                </w:p>
              </w:tc>
              <w:tc>
                <w:tcPr>
                  <w:tcW w:w="4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工艺</w:t>
                  </w: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处理效率</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排放量</w:t>
                  </w:r>
                  <w:r>
                    <w:rPr>
                      <w:b/>
                      <w:bCs/>
                    </w:rPr>
                    <w:t>(t/a)</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排放浓度</w:t>
                  </w:r>
                  <w:r>
                    <w:rPr>
                      <w:b/>
                      <w:bCs/>
                    </w:rPr>
                    <w:t>(mg/L</w:t>
                  </w:r>
                  <w:r>
                    <w:rPr>
                      <w:rFonts w:hint="eastAsia"/>
                      <w:b/>
                      <w:bCs/>
                    </w:rPr>
                    <w:t>)</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生活污水</w:t>
                  </w:r>
                </w:p>
              </w:tc>
              <w:tc>
                <w:tcPr>
                  <w:tcW w:w="561"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608</w:t>
                  </w: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COD</w:t>
                  </w:r>
                  <w:r>
                    <w:rPr>
                      <w:rFonts w:hint="eastAsia"/>
                      <w:vertAlign w:val="subscript"/>
                    </w:rPr>
                    <w:t>cr</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0.173</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285</w:t>
                  </w:r>
                </w:p>
              </w:tc>
              <w:tc>
                <w:tcPr>
                  <w:tcW w:w="443"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化粪池处理</w:t>
                  </w: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0.104</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171.0</w:t>
                  </w:r>
                </w:p>
              </w:tc>
              <w:tc>
                <w:tcPr>
                  <w:tcW w:w="431"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衡阳西渡高新技术产业园区污水处理厂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BOD</w:t>
                  </w:r>
                  <w:r>
                    <w:rPr>
                      <w:rFonts w:hint="eastAsia"/>
                      <w:vertAlign w:val="subscript"/>
                    </w:rPr>
                    <w:t>5</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0.182</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300</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33%</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0.122</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201.0</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lang w:val="en-US" w:eastAsia="zh-CN"/>
                    </w:rPr>
                    <w:t>氨氮</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0.017</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28.3</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0.015</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rPr>
                    <w:t>24.</w:t>
                  </w:r>
                  <w:r>
                    <w:rPr>
                      <w:rFonts w:hint="eastAsia"/>
                      <w:lang w:val="en-US" w:eastAsia="zh-CN"/>
                    </w:rPr>
                    <w:t>1</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lang w:val="en-US" w:eastAsia="zh-CN"/>
                    </w:rPr>
                    <w:t>总氮</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0.024</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39.4</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0.014</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23.6</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lang w:val="en-US" w:eastAsia="zh-CN"/>
                    </w:rPr>
                    <w:t>总磷</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0.002</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4.1</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0.001</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rPr>
                    <w:t>2.</w:t>
                  </w:r>
                  <w:r>
                    <w:rPr>
                      <w:rFonts w:hint="eastAsia"/>
                      <w:lang w:val="en-US" w:eastAsia="zh-CN"/>
                    </w:rPr>
                    <w:t>5</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SS</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0.243</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400</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0.097</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160.0</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lang w:val="en-US" w:eastAsia="zh-CN"/>
                    </w:rPr>
                    <w:t>综合</w:t>
                  </w:r>
                  <w:r>
                    <w:rPr>
                      <w:rFonts w:hint="eastAsia"/>
                    </w:rPr>
                    <w:t>废水</w:t>
                  </w:r>
                </w:p>
              </w:tc>
              <w:tc>
                <w:tcPr>
                  <w:tcW w:w="561"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292.6</w:t>
                  </w: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pH</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4~6</w:t>
                  </w:r>
                </w:p>
              </w:tc>
              <w:tc>
                <w:tcPr>
                  <w:tcW w:w="443" w:type="pct"/>
                  <w:vMerge w:val="restar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rPr>
                    <w:t>调节池+一体化</w:t>
                  </w:r>
                  <w:r>
                    <w:rPr>
                      <w:rFonts w:hint="eastAsia"/>
                      <w:lang w:val="en-US" w:eastAsia="zh-CN"/>
                    </w:rPr>
                    <w:t>处理设施</w:t>
                  </w: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6~9</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COD</w:t>
                  </w:r>
                  <w:r>
                    <w:rPr>
                      <w:rFonts w:hint="eastAsia"/>
                      <w:vertAlign w:val="subscript"/>
                    </w:rPr>
                    <w:t>cr</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0.121</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415.0</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20%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0.097</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332.0</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BOD</w:t>
                  </w:r>
                  <w:r>
                    <w:rPr>
                      <w:rFonts w:hint="eastAsia"/>
                      <w:vertAlign w:val="subscript"/>
                    </w:rPr>
                    <w:t>5</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0.054</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185.3</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17%</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0.045</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153.8</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SS</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kern w:val="0"/>
                      <w:sz w:val="21"/>
                      <w:szCs w:val="20"/>
                      <w:lang w:val="en-US" w:eastAsia="zh-CN" w:bidi="ar-SA"/>
                    </w:rPr>
                  </w:pPr>
                  <w:r>
                    <w:rPr>
                      <w:rFonts w:hint="eastAsia"/>
                      <w:lang w:val="en-US" w:eastAsia="zh-CN"/>
                    </w:rPr>
                    <w:t>0.061</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kern w:val="0"/>
                      <w:sz w:val="21"/>
                      <w:szCs w:val="20"/>
                      <w:lang w:val="en-US" w:eastAsia="zh-CN" w:bidi="ar-SA"/>
                    </w:rPr>
                  </w:pPr>
                  <w:r>
                    <w:rPr>
                      <w:rFonts w:hint="eastAsia"/>
                      <w:lang w:val="en-US" w:eastAsia="zh-CN"/>
                    </w:rPr>
                    <w:t>207.1</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val="en-US" w:eastAsia="zh-CN"/>
                    </w:rPr>
                  </w:pPr>
                  <w:r>
                    <w:rPr>
                      <w:rFonts w:hint="eastAsia"/>
                      <w:lang w:val="en-US" w:eastAsia="zh-CN"/>
                    </w:rPr>
                    <w:t>20%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0.048</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165.7</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lang w:val="en-US" w:eastAsia="zh-CN"/>
                    </w:rPr>
                    <w:t>氨氮</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0.004</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12.6</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0.004</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12.6</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石油类</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eastAsia="宋体"/>
                      <w:lang w:val="en-US" w:eastAsia="zh-CN"/>
                    </w:rPr>
                  </w:pPr>
                  <w:r>
                    <w:rPr>
                      <w:rFonts w:hint="eastAsia"/>
                      <w:lang w:val="en-US" w:eastAsia="zh-CN"/>
                    </w:rPr>
                    <w:t>0.004</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12.5</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0.004</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12.5</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val="en-US" w:eastAsia="zh-CN"/>
                    </w:rPr>
                  </w:pPr>
                  <w:r>
                    <w:rPr>
                      <w:rFonts w:hint="eastAsia"/>
                      <w:lang w:val="en-US" w:eastAsia="zh-CN"/>
                    </w:rPr>
                    <w:t>总磷</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0.003</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lang w:val="en-US" w:eastAsia="zh-CN"/>
                    </w:rPr>
                  </w:pPr>
                  <w:r>
                    <w:rPr>
                      <w:rFonts w:hint="eastAsia"/>
                      <w:lang w:val="en-US" w:eastAsia="zh-CN"/>
                    </w:rPr>
                    <w:t>10.3</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val="en-US" w:eastAsia="zh-CN"/>
                    </w:rPr>
                  </w:pPr>
                  <w:r>
                    <w:rPr>
                      <w:rFonts w:hint="eastAsia"/>
                      <w:lang w:val="en-US" w:eastAsia="zh-CN"/>
                    </w:rPr>
                    <w:t>/</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0.003</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10.3</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2"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6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9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val="en-US" w:eastAsia="zh-CN"/>
                    </w:rPr>
                  </w:pPr>
                  <w:r>
                    <w:rPr>
                      <w:rFonts w:hint="eastAsia"/>
                      <w:lang w:val="en-US" w:eastAsia="zh-CN"/>
                    </w:rPr>
                    <w:t>总锌</w:t>
                  </w:r>
                </w:p>
              </w:tc>
              <w:tc>
                <w:tcPr>
                  <w:tcW w:w="46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0.0004</w:t>
                  </w:r>
                </w:p>
              </w:tc>
              <w:tc>
                <w:tcPr>
                  <w:tcW w:w="54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lang w:val="en-US" w:eastAsia="zh-CN"/>
                    </w:rPr>
                  </w:pPr>
                  <w:r>
                    <w:rPr>
                      <w:rFonts w:hint="eastAsia"/>
                      <w:lang w:val="en-US" w:eastAsia="zh-CN"/>
                    </w:rPr>
                    <w:t>1.4</w:t>
                  </w:r>
                </w:p>
              </w:tc>
              <w:tc>
                <w:tcPr>
                  <w:tcW w:w="443"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27"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60%</w:t>
                  </w:r>
                </w:p>
              </w:tc>
              <w:tc>
                <w:tcPr>
                  <w:tcW w:w="533"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0.0002</w:t>
                  </w:r>
                </w:p>
              </w:tc>
              <w:tc>
                <w:tcPr>
                  <w:tcW w:w="695" w:type="pct"/>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0.5</w:t>
                  </w:r>
                </w:p>
              </w:tc>
              <w:tc>
                <w:tcPr>
                  <w:tcW w:w="431" w:type="pct"/>
                  <w:vMerge w:val="continue"/>
                  <w:tcBorders>
                    <w:tl2br w:val="nil"/>
                    <w:tr2bl w:val="nil"/>
                  </w:tcBorders>
                  <w:shd w:val="clear" w:color="auto" w:fill="auto"/>
                  <w:noWrap/>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bl>
          <w:p>
            <w:pPr>
              <w:pStyle w:val="37"/>
              <w:bidi w:val="0"/>
              <w:rPr>
                <w:rFonts w:hint="eastAsia"/>
                <w:lang w:val="en-US" w:eastAsia="zh-CN"/>
              </w:rPr>
            </w:pPr>
            <w:r>
              <w:rPr>
                <w:rFonts w:hint="eastAsia"/>
                <w:lang w:val="en-US" w:eastAsia="zh-CN"/>
              </w:rPr>
              <w:t>表4-16 项目废水排放口基本情况</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968"/>
              <w:gridCol w:w="1763"/>
              <w:gridCol w:w="1133"/>
              <w:gridCol w:w="1133"/>
              <w:gridCol w:w="1229"/>
              <w:gridCol w:w="10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vAlign w:val="center"/>
                </w:tcPr>
                <w:p>
                  <w:pPr>
                    <w:pStyle w:val="24"/>
                    <w:bidi w:val="0"/>
                    <w:rPr>
                      <w:rFonts w:hint="default"/>
                      <w:vertAlign w:val="baseline"/>
                      <w:lang w:val="en-US" w:eastAsia="zh-CN"/>
                    </w:rPr>
                  </w:pPr>
                  <w:r>
                    <w:rPr>
                      <w:rFonts w:hint="eastAsia"/>
                      <w:vertAlign w:val="baseline"/>
                      <w:lang w:val="en-US" w:eastAsia="zh-CN"/>
                    </w:rPr>
                    <w:t>废水类别</w:t>
                  </w:r>
                </w:p>
              </w:tc>
              <w:tc>
                <w:tcPr>
                  <w:tcW w:w="968" w:type="dxa"/>
                  <w:vAlign w:val="center"/>
                </w:tcPr>
                <w:p>
                  <w:pPr>
                    <w:pStyle w:val="24"/>
                    <w:bidi w:val="0"/>
                    <w:rPr>
                      <w:rFonts w:hint="default"/>
                      <w:vertAlign w:val="baseline"/>
                      <w:lang w:val="en-US" w:eastAsia="zh-CN"/>
                    </w:rPr>
                  </w:pPr>
                  <w:r>
                    <w:rPr>
                      <w:rFonts w:hint="eastAsia"/>
                      <w:vertAlign w:val="baseline"/>
                      <w:lang w:val="en-US" w:eastAsia="zh-CN"/>
                    </w:rPr>
                    <w:t>排放口编号</w:t>
                  </w:r>
                </w:p>
              </w:tc>
              <w:tc>
                <w:tcPr>
                  <w:tcW w:w="1763" w:type="dxa"/>
                  <w:vAlign w:val="center"/>
                </w:tcPr>
                <w:p>
                  <w:pPr>
                    <w:pStyle w:val="24"/>
                    <w:bidi w:val="0"/>
                    <w:rPr>
                      <w:rFonts w:hint="default"/>
                      <w:vertAlign w:val="baseline"/>
                      <w:lang w:val="en-US" w:eastAsia="zh-CN"/>
                    </w:rPr>
                  </w:pPr>
                  <w:r>
                    <w:rPr>
                      <w:rFonts w:hint="eastAsia"/>
                      <w:vertAlign w:val="baseline"/>
                      <w:lang w:val="en-US" w:eastAsia="zh-CN"/>
                    </w:rPr>
                    <w:t>排放口名称</w:t>
                  </w:r>
                </w:p>
              </w:tc>
              <w:tc>
                <w:tcPr>
                  <w:tcW w:w="1133" w:type="dxa"/>
                  <w:vAlign w:val="center"/>
                </w:tcPr>
                <w:p>
                  <w:pPr>
                    <w:pStyle w:val="24"/>
                    <w:bidi w:val="0"/>
                    <w:rPr>
                      <w:rFonts w:hint="default"/>
                      <w:vertAlign w:val="baseline"/>
                      <w:lang w:val="en-US" w:eastAsia="zh-CN"/>
                    </w:rPr>
                  </w:pPr>
                  <w:r>
                    <w:rPr>
                      <w:rFonts w:hint="eastAsia"/>
                      <w:vertAlign w:val="baseline"/>
                      <w:lang w:val="en-US" w:eastAsia="zh-CN"/>
                    </w:rPr>
                    <w:t>排放去向</w:t>
                  </w:r>
                </w:p>
              </w:tc>
              <w:tc>
                <w:tcPr>
                  <w:tcW w:w="1133" w:type="dxa"/>
                  <w:vAlign w:val="center"/>
                </w:tcPr>
                <w:p>
                  <w:pPr>
                    <w:pStyle w:val="24"/>
                    <w:bidi w:val="0"/>
                    <w:rPr>
                      <w:rFonts w:hint="default"/>
                      <w:vertAlign w:val="baseline"/>
                      <w:lang w:val="en-US" w:eastAsia="zh-CN"/>
                    </w:rPr>
                  </w:pPr>
                  <w:r>
                    <w:rPr>
                      <w:rFonts w:hint="eastAsia"/>
                      <w:vertAlign w:val="baseline"/>
                      <w:lang w:val="en-US" w:eastAsia="zh-CN"/>
                    </w:rPr>
                    <w:t>排放方式</w:t>
                  </w:r>
                </w:p>
              </w:tc>
              <w:tc>
                <w:tcPr>
                  <w:tcW w:w="1229" w:type="dxa"/>
                  <w:vAlign w:val="center"/>
                </w:tcPr>
                <w:p>
                  <w:pPr>
                    <w:pStyle w:val="24"/>
                    <w:bidi w:val="0"/>
                    <w:rPr>
                      <w:rFonts w:hint="default"/>
                      <w:vertAlign w:val="baseline"/>
                      <w:lang w:val="en-US" w:eastAsia="zh-CN"/>
                    </w:rPr>
                  </w:pPr>
                  <w:r>
                    <w:rPr>
                      <w:rFonts w:hint="eastAsia"/>
                      <w:vertAlign w:val="baseline"/>
                      <w:lang w:val="en-US" w:eastAsia="zh-CN"/>
                    </w:rPr>
                    <w:t>排放规律</w:t>
                  </w:r>
                </w:p>
              </w:tc>
              <w:tc>
                <w:tcPr>
                  <w:tcW w:w="1039" w:type="dxa"/>
                  <w:vAlign w:val="center"/>
                </w:tcPr>
                <w:p>
                  <w:pPr>
                    <w:pStyle w:val="24"/>
                    <w:bidi w:val="0"/>
                    <w:rPr>
                      <w:rFonts w:hint="default"/>
                      <w:vertAlign w:val="baseline"/>
                      <w:lang w:val="en-US" w:eastAsia="zh-CN"/>
                    </w:rPr>
                  </w:pPr>
                  <w:r>
                    <w:rPr>
                      <w:rFonts w:hint="eastAsia"/>
                      <w:vertAlign w:val="baseline"/>
                      <w:lang w:val="en-US" w:eastAsia="zh-CN"/>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vAlign w:val="center"/>
                </w:tcPr>
                <w:p>
                  <w:pPr>
                    <w:pStyle w:val="24"/>
                    <w:bidi w:val="0"/>
                    <w:rPr>
                      <w:rFonts w:hint="default"/>
                      <w:vertAlign w:val="baseline"/>
                      <w:lang w:val="en-US" w:eastAsia="zh-CN"/>
                    </w:rPr>
                  </w:pPr>
                  <w:r>
                    <w:rPr>
                      <w:rFonts w:hint="eastAsia"/>
                      <w:vertAlign w:val="baseline"/>
                      <w:lang w:val="en-US" w:eastAsia="zh-CN"/>
                    </w:rPr>
                    <w:t>生活污水</w:t>
                  </w:r>
                </w:p>
              </w:tc>
              <w:tc>
                <w:tcPr>
                  <w:tcW w:w="968" w:type="dxa"/>
                  <w:vAlign w:val="center"/>
                </w:tcPr>
                <w:p>
                  <w:pPr>
                    <w:pStyle w:val="24"/>
                    <w:bidi w:val="0"/>
                    <w:rPr>
                      <w:rFonts w:hint="default"/>
                      <w:vertAlign w:val="baseline"/>
                      <w:lang w:val="en-US" w:eastAsia="zh-CN"/>
                    </w:rPr>
                  </w:pPr>
                  <w:r>
                    <w:rPr>
                      <w:rFonts w:hint="eastAsia"/>
                      <w:vertAlign w:val="baseline"/>
                      <w:lang w:val="en-US" w:eastAsia="zh-CN"/>
                    </w:rPr>
                    <w:t>DW001</w:t>
                  </w:r>
                </w:p>
              </w:tc>
              <w:tc>
                <w:tcPr>
                  <w:tcW w:w="1763" w:type="dxa"/>
                  <w:vAlign w:val="center"/>
                </w:tcPr>
                <w:p>
                  <w:pPr>
                    <w:pStyle w:val="24"/>
                    <w:bidi w:val="0"/>
                    <w:rPr>
                      <w:rFonts w:hint="default"/>
                      <w:vertAlign w:val="baseline"/>
                      <w:lang w:val="en-US" w:eastAsia="zh-CN"/>
                    </w:rPr>
                  </w:pPr>
                  <w:r>
                    <w:rPr>
                      <w:rFonts w:hint="eastAsia"/>
                    </w:rPr>
                    <w:t>双创中心化粪池</w:t>
                  </w:r>
                </w:p>
              </w:tc>
              <w:tc>
                <w:tcPr>
                  <w:tcW w:w="1133" w:type="dxa"/>
                  <w:vMerge w:val="restart"/>
                  <w:vAlign w:val="center"/>
                </w:tcPr>
                <w:p>
                  <w:pPr>
                    <w:pStyle w:val="24"/>
                    <w:bidi w:val="0"/>
                    <w:rPr>
                      <w:rFonts w:hint="default"/>
                      <w:vertAlign w:val="baseline"/>
                      <w:lang w:val="en-US" w:eastAsia="zh-CN"/>
                    </w:rPr>
                  </w:pPr>
                  <w:r>
                    <w:rPr>
                      <w:rFonts w:hint="eastAsia"/>
                    </w:rPr>
                    <w:t>衡阳西渡高新技术产业园区污水处理厂</w:t>
                  </w:r>
                </w:p>
              </w:tc>
              <w:tc>
                <w:tcPr>
                  <w:tcW w:w="1133" w:type="dxa"/>
                  <w:vAlign w:val="center"/>
                </w:tcPr>
                <w:p>
                  <w:pPr>
                    <w:pStyle w:val="24"/>
                    <w:bidi w:val="0"/>
                    <w:rPr>
                      <w:rFonts w:hint="default"/>
                      <w:vertAlign w:val="baseline"/>
                      <w:lang w:val="en-US" w:eastAsia="zh-CN"/>
                    </w:rPr>
                  </w:pPr>
                  <w:r>
                    <w:rPr>
                      <w:rFonts w:hint="eastAsia"/>
                      <w:vertAlign w:val="baseline"/>
                      <w:lang w:val="en-US" w:eastAsia="zh-CN"/>
                    </w:rPr>
                    <w:t>间接排放</w:t>
                  </w:r>
                </w:p>
              </w:tc>
              <w:tc>
                <w:tcPr>
                  <w:tcW w:w="1229" w:type="dxa"/>
                  <w:vAlign w:val="center"/>
                </w:tcPr>
                <w:p>
                  <w:pPr>
                    <w:pStyle w:val="24"/>
                    <w:bidi w:val="0"/>
                    <w:rPr>
                      <w:rFonts w:hint="default"/>
                      <w:vertAlign w:val="baseline"/>
                      <w:lang w:val="en-US" w:eastAsia="zh-CN"/>
                    </w:rPr>
                  </w:pPr>
                  <w:r>
                    <w:rPr>
                      <w:rFonts w:hint="eastAsia"/>
                      <w:vertAlign w:val="baseline"/>
                      <w:lang w:val="en-US" w:eastAsia="zh-CN"/>
                    </w:rPr>
                    <w:t>流量不稳定，无规律</w:t>
                  </w:r>
                </w:p>
              </w:tc>
              <w:tc>
                <w:tcPr>
                  <w:tcW w:w="1039" w:type="dxa"/>
                  <w:vAlign w:val="center"/>
                </w:tcPr>
                <w:p>
                  <w:pPr>
                    <w:pStyle w:val="24"/>
                    <w:bidi w:val="0"/>
                    <w:rPr>
                      <w:rFonts w:hint="default"/>
                      <w:vertAlign w:val="baseline"/>
                      <w:lang w:val="en-US" w:eastAsia="zh-CN"/>
                    </w:rPr>
                  </w:pPr>
                  <w:r>
                    <w:rPr>
                      <w:rFonts w:hint="eastAsia"/>
                      <w:vertAlign w:val="baseline"/>
                      <w:lang w:val="en-US" w:eastAsia="zh-CN"/>
                    </w:rPr>
                    <w:t>一般排口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vAlign w:val="center"/>
                </w:tcPr>
                <w:p>
                  <w:pPr>
                    <w:pStyle w:val="24"/>
                    <w:bidi w:val="0"/>
                    <w:rPr>
                      <w:rFonts w:hint="default"/>
                      <w:vertAlign w:val="baseline"/>
                      <w:lang w:val="en-US" w:eastAsia="zh-CN"/>
                    </w:rPr>
                  </w:pPr>
                  <w:r>
                    <w:rPr>
                      <w:rFonts w:hint="eastAsia"/>
                      <w:vertAlign w:val="baseline"/>
                      <w:lang w:val="en-US" w:eastAsia="zh-CN"/>
                    </w:rPr>
                    <w:t>综合废水</w:t>
                  </w:r>
                </w:p>
              </w:tc>
              <w:tc>
                <w:tcPr>
                  <w:tcW w:w="968" w:type="dxa"/>
                  <w:vAlign w:val="center"/>
                </w:tcPr>
                <w:p>
                  <w:pPr>
                    <w:pStyle w:val="24"/>
                    <w:bidi w:val="0"/>
                    <w:rPr>
                      <w:rFonts w:hint="default"/>
                      <w:vertAlign w:val="baseline"/>
                      <w:lang w:val="en-US" w:eastAsia="zh-CN"/>
                    </w:rPr>
                  </w:pPr>
                  <w:r>
                    <w:rPr>
                      <w:rFonts w:hint="eastAsia"/>
                      <w:vertAlign w:val="baseline"/>
                      <w:lang w:val="en-US" w:eastAsia="zh-CN"/>
                    </w:rPr>
                    <w:t>DW002</w:t>
                  </w:r>
                </w:p>
              </w:tc>
              <w:tc>
                <w:tcPr>
                  <w:tcW w:w="1763" w:type="dxa"/>
                  <w:vAlign w:val="center"/>
                </w:tcPr>
                <w:p>
                  <w:pPr>
                    <w:pStyle w:val="24"/>
                    <w:bidi w:val="0"/>
                    <w:rPr>
                      <w:rFonts w:hint="default"/>
                      <w:vertAlign w:val="baseline"/>
                      <w:lang w:val="en-US" w:eastAsia="zh-CN"/>
                    </w:rPr>
                  </w:pPr>
                  <w:r>
                    <w:rPr>
                      <w:rFonts w:hint="eastAsia"/>
                      <w:vertAlign w:val="baseline"/>
                      <w:lang w:val="en-US" w:eastAsia="zh-CN"/>
                    </w:rPr>
                    <w:t>自建污水处理设施出口</w:t>
                  </w:r>
                </w:p>
              </w:tc>
              <w:tc>
                <w:tcPr>
                  <w:tcW w:w="1133" w:type="dxa"/>
                  <w:vMerge w:val="continue"/>
                  <w:vAlign w:val="center"/>
                </w:tcPr>
                <w:p>
                  <w:pPr>
                    <w:pStyle w:val="24"/>
                    <w:bidi w:val="0"/>
                    <w:rPr>
                      <w:rFonts w:hint="default"/>
                      <w:vertAlign w:val="baseline"/>
                      <w:lang w:val="en-US" w:eastAsia="zh-CN"/>
                    </w:rPr>
                  </w:pPr>
                </w:p>
              </w:tc>
              <w:tc>
                <w:tcPr>
                  <w:tcW w:w="1133" w:type="dxa"/>
                  <w:vAlign w:val="center"/>
                </w:tcPr>
                <w:p>
                  <w:pPr>
                    <w:pStyle w:val="24"/>
                    <w:bidi w:val="0"/>
                    <w:rPr>
                      <w:rFonts w:hint="default"/>
                      <w:vertAlign w:val="baseline"/>
                      <w:lang w:val="en-US" w:eastAsia="zh-CN"/>
                    </w:rPr>
                  </w:pPr>
                  <w:r>
                    <w:rPr>
                      <w:rFonts w:hint="eastAsia"/>
                      <w:vertAlign w:val="baseline"/>
                      <w:lang w:val="en-US" w:eastAsia="zh-CN"/>
                    </w:rPr>
                    <w:t>间接排放</w:t>
                  </w:r>
                </w:p>
              </w:tc>
              <w:tc>
                <w:tcPr>
                  <w:tcW w:w="1229" w:type="dxa"/>
                  <w:vAlign w:val="center"/>
                </w:tcPr>
                <w:p>
                  <w:pPr>
                    <w:pStyle w:val="24"/>
                    <w:bidi w:val="0"/>
                    <w:rPr>
                      <w:rFonts w:hint="default"/>
                      <w:vertAlign w:val="baseline"/>
                      <w:lang w:val="en-US" w:eastAsia="zh-CN"/>
                    </w:rPr>
                  </w:pPr>
                  <w:r>
                    <w:rPr>
                      <w:rFonts w:hint="eastAsia"/>
                      <w:vertAlign w:val="baseline"/>
                      <w:lang w:val="en-US" w:eastAsia="zh-CN"/>
                    </w:rPr>
                    <w:t>流量不稳定，无规律</w:t>
                  </w:r>
                </w:p>
              </w:tc>
              <w:tc>
                <w:tcPr>
                  <w:tcW w:w="1039" w:type="dxa"/>
                  <w:vAlign w:val="center"/>
                </w:tcPr>
                <w:p>
                  <w:pPr>
                    <w:pStyle w:val="24"/>
                    <w:bidi w:val="0"/>
                    <w:rPr>
                      <w:rFonts w:hint="default"/>
                      <w:vertAlign w:val="baseline"/>
                      <w:lang w:val="en-US" w:eastAsia="zh-CN"/>
                    </w:rPr>
                  </w:pPr>
                  <w:r>
                    <w:rPr>
                      <w:rFonts w:hint="eastAsia"/>
                      <w:vertAlign w:val="baseline"/>
                      <w:lang w:val="en-US" w:eastAsia="zh-CN"/>
                    </w:rPr>
                    <w:t>一般排口</w:t>
                  </w:r>
                </w:p>
              </w:tc>
            </w:tr>
          </w:tbl>
          <w:p>
            <w:pPr>
              <w:pStyle w:val="24"/>
              <w:bidi w:val="0"/>
              <w:rPr>
                <w:rFonts w:hint="default"/>
                <w:lang w:val="en-US" w:eastAsia="zh-CN"/>
              </w:rPr>
            </w:pPr>
          </w:p>
          <w:p>
            <w:pPr>
              <w:pStyle w:val="3"/>
              <w:ind w:firstLine="482"/>
            </w:pPr>
            <w:r>
              <w:rPr>
                <w:rFonts w:hint="eastAsia"/>
              </w:rPr>
              <w:t>2）废水源强核算过程</w:t>
            </w:r>
          </w:p>
          <w:p>
            <w:pPr>
              <w:pStyle w:val="4"/>
              <w:ind w:firstLine="482"/>
            </w:pPr>
            <w:r>
              <w:rPr>
                <w:rFonts w:hint="eastAsia"/>
              </w:rPr>
              <w:t>（1）员工生活污水</w:t>
            </w:r>
          </w:p>
          <w:p>
            <w:pPr>
              <w:keepNext w:val="0"/>
              <w:keepLines w:val="0"/>
              <w:pageBreakBefore w:val="0"/>
              <w:widowControl w:val="0"/>
              <w:kinsoku/>
              <w:wordWrap/>
              <w:overflowPunct/>
              <w:topLinePunct w:val="0"/>
              <w:autoSpaceDE/>
              <w:autoSpaceDN/>
              <w:bidi w:val="0"/>
              <w:adjustRightInd/>
              <w:snapToGrid/>
              <w:spacing w:after="937" w:afterLines="300"/>
              <w:ind w:firstLine="480"/>
              <w:textAlignment w:val="auto"/>
            </w:pPr>
            <w:r>
              <w:rPr>
                <w:rFonts w:hint="eastAsia"/>
              </w:rPr>
              <w:t>项目有工作员工20人，均不在厂区内食宿，根据《湖南省用水定额》（DB 43/T 388-2020），项目员工生活用水量按照38m</w:t>
            </w:r>
            <w:r>
              <w:rPr>
                <w:rFonts w:hint="eastAsia"/>
                <w:vertAlign w:val="superscript"/>
              </w:rPr>
              <w:t>3</w:t>
            </w:r>
            <w:r>
              <w:rPr>
                <w:rFonts w:hint="eastAsia"/>
              </w:rPr>
              <w:t>/（人·年）计算，员工生活用水量为760m</w:t>
            </w:r>
            <w:r>
              <w:rPr>
                <w:rFonts w:hint="eastAsia"/>
                <w:vertAlign w:val="superscript"/>
              </w:rPr>
              <w:t>3</w:t>
            </w:r>
            <w:r>
              <w:rPr>
                <w:rFonts w:hint="eastAsia"/>
              </w:rPr>
              <w:t>/a，折污系数按0.8核算，则员工生活污水排放量为608m</w:t>
            </w:r>
            <w:r>
              <w:rPr>
                <w:rFonts w:hint="eastAsia"/>
                <w:vertAlign w:val="superscript"/>
              </w:rPr>
              <w:t>3</w:t>
            </w:r>
            <w:r>
              <w:rPr>
                <w:rFonts w:hint="eastAsia"/>
              </w:rPr>
              <w:t>/a。本项目生活废水依托双创中心化粪池预处理后排入市政污水管网纳入衡阳西渡高新技术产业园区污水处理厂深度处理，污水处理厂设计出水水质中污染物排放限值执行《城镇污水处理厂污染物排放标准》（GB</w:t>
            </w:r>
            <w:r>
              <w:rPr>
                <w:rFonts w:hint="eastAsia"/>
                <w:lang w:val="en-US" w:eastAsia="zh-CN"/>
              </w:rPr>
              <w:t xml:space="preserve"> </w:t>
            </w:r>
            <w:r>
              <w:rPr>
                <w:rFonts w:hint="eastAsia"/>
              </w:rPr>
              <w:t>18918-2002）一级A标准后经污水渠道排入蒸水。生活污水产排情况如下所示。</w:t>
            </w:r>
          </w:p>
          <w:p>
            <w:pPr>
              <w:pStyle w:val="37"/>
              <w:spacing w:before="72" w:after="120"/>
              <w:rPr>
                <w:rFonts w:hint="default"/>
              </w:rPr>
            </w:pPr>
            <w:r>
              <w:t>表4-1</w:t>
            </w:r>
            <w:r>
              <w:rPr>
                <w:rFonts w:hint="eastAsia"/>
                <w:lang w:val="en-US" w:eastAsia="zh-CN"/>
              </w:rPr>
              <w:t>7</w:t>
            </w:r>
            <w:r>
              <w:t xml:space="preserve"> 运营期生活污水产排情况一览表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942"/>
              <w:gridCol w:w="1147"/>
              <w:gridCol w:w="785"/>
              <w:gridCol w:w="804"/>
              <w:gridCol w:w="794"/>
              <w:gridCol w:w="821"/>
              <w:gridCol w:w="689"/>
              <w:gridCol w:w="689"/>
              <w:gridCol w:w="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4" w:type="dxa"/>
                  <w:gridSpan w:val="3"/>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项目</w:t>
                  </w:r>
                </w:p>
              </w:tc>
              <w:tc>
                <w:tcPr>
                  <w:tcW w:w="785"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废水量</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(m</w:t>
                  </w:r>
                  <w:r>
                    <w:rPr>
                      <w:rFonts w:hint="eastAsia"/>
                      <w:b/>
                      <w:bCs/>
                      <w:vertAlign w:val="superscript"/>
                    </w:rPr>
                    <w:t>3</w:t>
                  </w:r>
                  <w:r>
                    <w:rPr>
                      <w:rFonts w:hint="eastAsia"/>
                      <w:b/>
                      <w:bCs/>
                    </w:rPr>
                    <w:t>/a)</w:t>
                  </w:r>
                </w:p>
              </w:tc>
              <w:tc>
                <w:tcPr>
                  <w:tcW w:w="804"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COD</w:t>
                  </w:r>
                  <w:r>
                    <w:rPr>
                      <w:rFonts w:hint="eastAsia"/>
                      <w:b/>
                      <w:bCs/>
                      <w:vertAlign w:val="subscript"/>
                    </w:rPr>
                    <w:t>cr</w:t>
                  </w:r>
                </w:p>
              </w:tc>
              <w:tc>
                <w:tcPr>
                  <w:tcW w:w="794"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BOD</w:t>
                  </w:r>
                  <w:r>
                    <w:rPr>
                      <w:rFonts w:hint="eastAsia"/>
                      <w:b/>
                      <w:bCs/>
                      <w:vertAlign w:val="subscript"/>
                    </w:rPr>
                    <w:t>5</w:t>
                  </w:r>
                </w:p>
              </w:tc>
              <w:tc>
                <w:tcPr>
                  <w:tcW w:w="821"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b/>
                      <w:bCs/>
                      <w:lang w:eastAsia="zh-CN"/>
                    </w:rPr>
                  </w:pPr>
                  <w:r>
                    <w:rPr>
                      <w:rFonts w:hint="eastAsia"/>
                      <w:b/>
                      <w:bCs/>
                      <w:lang w:val="en-US" w:eastAsia="zh-CN"/>
                    </w:rPr>
                    <w:t>氨氮</w:t>
                  </w:r>
                </w:p>
              </w:tc>
              <w:tc>
                <w:tcPr>
                  <w:tcW w:w="689"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b/>
                      <w:bCs/>
                      <w:lang w:eastAsia="zh-CN"/>
                    </w:rPr>
                  </w:pPr>
                  <w:r>
                    <w:rPr>
                      <w:rFonts w:hint="eastAsia"/>
                      <w:b/>
                      <w:bCs/>
                      <w:lang w:val="en-US" w:eastAsia="zh-CN"/>
                    </w:rPr>
                    <w:t>总氮</w:t>
                  </w:r>
                </w:p>
              </w:tc>
              <w:tc>
                <w:tcPr>
                  <w:tcW w:w="689"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b/>
                      <w:bCs/>
                      <w:lang w:eastAsia="zh-CN"/>
                    </w:rPr>
                  </w:pPr>
                  <w:r>
                    <w:rPr>
                      <w:rFonts w:hint="eastAsia"/>
                      <w:b/>
                      <w:bCs/>
                      <w:lang w:val="en-US" w:eastAsia="zh-CN"/>
                    </w:rPr>
                    <w:t>总磷</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vMerge w:val="restart"/>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生活污水</w:t>
                  </w:r>
                </w:p>
              </w:tc>
              <w:tc>
                <w:tcPr>
                  <w:tcW w:w="2089" w:type="dxa"/>
                  <w:gridSpan w:val="2"/>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产生浓度（mg/L）</w:t>
                  </w:r>
                </w:p>
              </w:tc>
              <w:tc>
                <w:tcPr>
                  <w:tcW w:w="785" w:type="dxa"/>
                  <w:vMerge w:val="restart"/>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608</w:t>
                  </w: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285</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300</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28.3</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39.4</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4.1</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2089" w:type="dxa"/>
                  <w:gridSpan w:val="2"/>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产生量（t/a）</w:t>
                  </w:r>
                </w:p>
              </w:tc>
              <w:tc>
                <w:tcPr>
                  <w:tcW w:w="78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0.173</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0.182</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0.017</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0.024</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0.002</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2089" w:type="dxa"/>
                  <w:gridSpan w:val="2"/>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化粪池处理效率</w:t>
                  </w:r>
                </w:p>
              </w:tc>
              <w:tc>
                <w:tcPr>
                  <w:tcW w:w="78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794"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33%</w:t>
                  </w:r>
                </w:p>
              </w:tc>
              <w:tc>
                <w:tcPr>
                  <w:tcW w:w="821"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689"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942" w:type="dxa"/>
                  <w:vMerge w:val="restart"/>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经化粪池预处理后</w:t>
                  </w:r>
                </w:p>
              </w:tc>
              <w:tc>
                <w:tcPr>
                  <w:tcW w:w="1147"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排放浓度(mg/L)</w:t>
                  </w:r>
                </w:p>
              </w:tc>
              <w:tc>
                <w:tcPr>
                  <w:tcW w:w="78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171.0</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201.0</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rPr>
                    <w:t>24.</w:t>
                  </w:r>
                  <w:r>
                    <w:rPr>
                      <w:rFonts w:hint="eastAsia"/>
                      <w:lang w:val="en-US" w:eastAsia="zh-CN"/>
                    </w:rPr>
                    <w:t>1</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23.6</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eastAsia="zh-CN"/>
                    </w:rPr>
                  </w:pPr>
                  <w:r>
                    <w:rPr>
                      <w:rFonts w:hint="eastAsia"/>
                    </w:rPr>
                    <w:t>2.</w:t>
                  </w:r>
                  <w:r>
                    <w:rPr>
                      <w:rFonts w:hint="eastAsia"/>
                      <w:lang w:val="en-US" w:eastAsia="zh-CN"/>
                    </w:rPr>
                    <w:t>5</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942"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47"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排放量(t/a)</w:t>
                  </w:r>
                </w:p>
              </w:tc>
              <w:tc>
                <w:tcPr>
                  <w:tcW w:w="785" w:type="dxa"/>
                  <w:vMerge w:val="continue"/>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0.104</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0.122</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0.015</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0.014</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0.001</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0.097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4" w:type="dxa"/>
                  <w:gridSpan w:val="3"/>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衡阳西渡高新技术产业园区污水处理厂进水水质要求（mg/L）</w:t>
                  </w:r>
                </w:p>
              </w:tc>
              <w:tc>
                <w:tcPr>
                  <w:tcW w:w="785"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400</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300</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25</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30</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100</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54" w:type="dxa"/>
                  <w:gridSpan w:val="3"/>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衡阳西渡高新技术产业园区污水处理厂出水水质（mg/L）</w:t>
                  </w:r>
                </w:p>
              </w:tc>
              <w:tc>
                <w:tcPr>
                  <w:tcW w:w="785" w:type="dxa"/>
                  <w:tcBorders>
                    <w:tl2br w:val="nil"/>
                    <w:tr2bl w:val="nil"/>
                  </w:tcBorders>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80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50</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w:t>
                  </w:r>
                </w:p>
              </w:tc>
              <w:tc>
                <w:tcPr>
                  <w:tcW w:w="821"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5</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w:t>
                  </w:r>
                </w:p>
              </w:tc>
              <w:tc>
                <w:tcPr>
                  <w:tcW w:w="689"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0.5</w:t>
                  </w:r>
                </w:p>
              </w:tc>
              <w:tc>
                <w:tcPr>
                  <w:tcW w:w="794" w:type="dxa"/>
                  <w:tcBorders>
                    <w:tl2br w:val="nil"/>
                    <w:tr2bl w:val="nil"/>
                  </w:tcBorders>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w:t>
                  </w:r>
                </w:p>
              </w:tc>
            </w:tr>
          </w:tbl>
          <w:p>
            <w:pPr>
              <w:pStyle w:val="4"/>
              <w:bidi w:val="0"/>
              <w:rPr>
                <w:rFonts w:hint="eastAsia"/>
                <w:u w:val="single"/>
                <w:lang w:val="en-US" w:eastAsia="zh-CN"/>
              </w:rPr>
            </w:pPr>
            <w:r>
              <w:rPr>
                <w:rFonts w:hint="eastAsia"/>
                <w:u w:val="single"/>
              </w:rPr>
              <w:t>（2）</w:t>
            </w:r>
            <w:r>
              <w:rPr>
                <w:rFonts w:hint="eastAsia"/>
                <w:u w:val="single"/>
                <w:lang w:val="en-US" w:eastAsia="zh-CN"/>
              </w:rPr>
              <w:t>车间地面保洁用水</w:t>
            </w:r>
          </w:p>
          <w:p>
            <w:pPr>
              <w:rPr>
                <w:rFonts w:hint="eastAsia"/>
                <w:u w:val="single"/>
              </w:rPr>
            </w:pPr>
            <w:r>
              <w:rPr>
                <w:rFonts w:hint="eastAsia"/>
                <w:u w:val="single"/>
                <w:lang w:val="en-US" w:eastAsia="zh-CN"/>
              </w:rPr>
              <w:t>企业生产过程中需要对车间地面进行定期保洁，根据建设单位的情况，生产车间清洁主要以干打扫+拖布拖湿的方式进行，每周拖洗1次，则年拖洗40次。车间地面保洁用水约2L/m</w:t>
            </w:r>
            <w:r>
              <w:rPr>
                <w:rFonts w:hint="eastAsia"/>
                <w:u w:val="single"/>
                <w:vertAlign w:val="superscript"/>
                <w:lang w:val="en-US" w:eastAsia="zh-CN"/>
              </w:rPr>
              <w:t>2</w:t>
            </w:r>
            <w:r>
              <w:rPr>
                <w:rFonts w:hint="eastAsia"/>
                <w:u w:val="single"/>
                <w:lang w:val="en-US" w:eastAsia="zh-CN"/>
              </w:rPr>
              <w:t>-次，需要进行保洁的生产车间总面积约1900m</w:t>
            </w:r>
            <w:r>
              <w:rPr>
                <w:rFonts w:hint="eastAsia"/>
                <w:u w:val="single"/>
                <w:vertAlign w:val="superscript"/>
                <w:lang w:val="en-US" w:eastAsia="zh-CN"/>
              </w:rPr>
              <w:t>2</w:t>
            </w:r>
            <w:r>
              <w:rPr>
                <w:rFonts w:hint="eastAsia"/>
                <w:u w:val="single"/>
                <w:lang w:val="en-US" w:eastAsia="zh-CN"/>
              </w:rPr>
              <w:t>，保洁年用水量约为152m</w:t>
            </w:r>
            <w:r>
              <w:rPr>
                <w:rFonts w:hint="eastAsia"/>
                <w:u w:val="single"/>
                <w:vertAlign w:val="superscript"/>
                <w:lang w:val="en-US" w:eastAsia="zh-CN"/>
              </w:rPr>
              <w:t>3</w:t>
            </w:r>
            <w:r>
              <w:rPr>
                <w:rFonts w:hint="eastAsia"/>
                <w:u w:val="single"/>
                <w:lang w:val="en-US" w:eastAsia="zh-CN"/>
              </w:rPr>
              <w:t>，折污系数取0.8，则每年保洁废水产生量为121.6m</w:t>
            </w:r>
            <w:r>
              <w:rPr>
                <w:rFonts w:hint="eastAsia"/>
                <w:u w:val="single"/>
                <w:vertAlign w:val="superscript"/>
                <w:lang w:val="en-US" w:eastAsia="zh-CN"/>
              </w:rPr>
              <w:t>3</w:t>
            </w:r>
            <w:r>
              <w:rPr>
                <w:rFonts w:hint="eastAsia"/>
                <w:u w:val="single"/>
                <w:lang w:val="en-US" w:eastAsia="zh-CN"/>
              </w:rPr>
              <w:t>。车间保洁废水的水质为COD</w:t>
            </w:r>
            <w:r>
              <w:rPr>
                <w:rFonts w:hint="eastAsia"/>
                <w:u w:val="single"/>
                <w:vertAlign w:val="subscript"/>
                <w:lang w:val="en-US" w:eastAsia="zh-CN"/>
              </w:rPr>
              <w:t>cr</w:t>
            </w:r>
            <w:r>
              <w:rPr>
                <w:rFonts w:hint="eastAsia"/>
                <w:u w:val="single"/>
                <w:lang w:val="en-US" w:eastAsia="zh-CN"/>
              </w:rPr>
              <w:t>：550mg/L，SS：300mg/L，氨氮：30mg/L，总氮：45mg/L，总磷：10mg/L，BOD</w:t>
            </w:r>
            <w:r>
              <w:rPr>
                <w:rFonts w:hint="eastAsia"/>
                <w:u w:val="single"/>
                <w:vertAlign w:val="subscript"/>
                <w:lang w:val="en-US" w:eastAsia="zh-CN"/>
              </w:rPr>
              <w:t>5</w:t>
            </w:r>
            <w:r>
              <w:rPr>
                <w:rFonts w:hint="eastAsia"/>
                <w:u w:val="single"/>
                <w:lang w:val="en-US" w:eastAsia="zh-CN"/>
              </w:rPr>
              <w:t>：300mg/L，石油类：10mg/L，车间保洁废水与前处理清洗废水、碱液喷淋塔废水一起先在厂内的污水处理站进行预处理，预处理后再排入市政管网进入</w:t>
            </w:r>
            <w:r>
              <w:rPr>
                <w:rFonts w:hint="eastAsia"/>
                <w:u w:val="single"/>
              </w:rPr>
              <w:t>衡阳西渡高新区污水处理厂</w:t>
            </w:r>
            <w:r>
              <w:rPr>
                <w:rFonts w:hint="eastAsia"/>
                <w:u w:val="single"/>
                <w:lang w:val="en-US" w:eastAsia="zh-CN"/>
              </w:rPr>
              <w:t>进一步处理。</w:t>
            </w:r>
          </w:p>
          <w:p>
            <w:pPr>
              <w:pStyle w:val="4"/>
              <w:ind w:firstLine="482"/>
              <w:rPr>
                <w:rFonts w:hint="eastAsia"/>
                <w:lang w:val="en-US" w:eastAsia="zh-CN"/>
              </w:rPr>
            </w:pPr>
            <w:r>
              <w:rPr>
                <w:rFonts w:hint="eastAsia"/>
                <w:lang w:val="en-US" w:eastAsia="zh-CN"/>
              </w:rPr>
              <w:t>（3）生产废水</w:t>
            </w:r>
          </w:p>
          <w:p>
            <w:pPr>
              <w:rPr>
                <w:rFonts w:hint="default"/>
                <w:lang w:val="en-US" w:eastAsia="zh-CN"/>
              </w:rPr>
            </w:pPr>
            <w:r>
              <w:rPr>
                <w:rFonts w:hint="eastAsia"/>
                <w:lang w:val="en-US" w:eastAsia="zh-CN"/>
              </w:rPr>
              <w:t>①本项目设置1套碱液喷淋塔对盐酸酸雾进行中和处理，碱液喷淋塔蓄水量约为1m</w:t>
            </w:r>
            <w:r>
              <w:rPr>
                <w:rFonts w:hint="eastAsia"/>
                <w:vertAlign w:val="superscript"/>
                <w:lang w:val="en-US" w:eastAsia="zh-CN"/>
              </w:rPr>
              <w:t>3</w:t>
            </w:r>
            <w:r>
              <w:rPr>
                <w:rFonts w:hint="eastAsia"/>
                <w:lang w:val="en-US" w:eastAsia="zh-CN"/>
              </w:rPr>
              <w:t>，半个月更换一次，年用水量约为20m</w:t>
            </w:r>
            <w:r>
              <w:rPr>
                <w:rFonts w:hint="eastAsia"/>
                <w:vertAlign w:val="superscript"/>
                <w:lang w:val="en-US" w:eastAsia="zh-CN"/>
              </w:rPr>
              <w:t>3</w:t>
            </w:r>
            <w:r>
              <w:rPr>
                <w:rFonts w:hint="eastAsia"/>
                <w:lang w:val="en-US" w:eastAsia="zh-CN"/>
              </w:rPr>
              <w:t>，损耗量以15%计，废水产生量为17m</w:t>
            </w:r>
            <w:r>
              <w:rPr>
                <w:rFonts w:hint="eastAsia"/>
                <w:vertAlign w:val="superscript"/>
                <w:lang w:val="en-US" w:eastAsia="zh-CN"/>
              </w:rPr>
              <w:t>3</w:t>
            </w:r>
            <w:r>
              <w:rPr>
                <w:rFonts w:hint="eastAsia"/>
                <w:lang w:val="en-US" w:eastAsia="zh-CN"/>
              </w:rPr>
              <w:t>。该部分废水先在厂内进行预处理，预处理后再排入市政管网进入</w:t>
            </w:r>
            <w:r>
              <w:rPr>
                <w:rFonts w:hint="eastAsia"/>
              </w:rPr>
              <w:t>衡阳西渡高新区污水处理厂</w:t>
            </w:r>
            <w:r>
              <w:rPr>
                <w:rFonts w:hint="eastAsia"/>
                <w:lang w:val="en-US" w:eastAsia="zh-CN"/>
              </w:rPr>
              <w:t>进一步处理。该部分废水水质为：pH：7~8，COD</w:t>
            </w:r>
            <w:r>
              <w:rPr>
                <w:rFonts w:hint="eastAsia"/>
                <w:vertAlign w:val="subscript"/>
                <w:lang w:val="en-US" w:eastAsia="zh-CN"/>
              </w:rPr>
              <w:t>cr</w:t>
            </w:r>
            <w:r>
              <w:rPr>
                <w:rFonts w:hint="eastAsia"/>
                <w:lang w:val="en-US" w:eastAsia="zh-CN"/>
              </w:rPr>
              <w:t>：200mg/L，BOD</w:t>
            </w:r>
            <w:r>
              <w:rPr>
                <w:rFonts w:hint="eastAsia"/>
                <w:vertAlign w:val="subscript"/>
                <w:lang w:val="en-US" w:eastAsia="zh-CN"/>
              </w:rPr>
              <w:t>5</w:t>
            </w:r>
            <w:r>
              <w:rPr>
                <w:rFonts w:hint="eastAsia"/>
                <w:lang w:val="en-US" w:eastAsia="zh-CN"/>
              </w:rPr>
              <w:t>：80mg/L，SS：150mg/L，Cl</w:t>
            </w:r>
            <w:r>
              <w:rPr>
                <w:rFonts w:hint="eastAsia"/>
                <w:vertAlign w:val="superscript"/>
                <w:lang w:val="en-US" w:eastAsia="zh-CN"/>
              </w:rPr>
              <w:t>-</w:t>
            </w:r>
            <w:r>
              <w:rPr>
                <w:rFonts w:hint="eastAsia"/>
                <w:lang w:val="en-US" w:eastAsia="zh-CN"/>
              </w:rPr>
              <w:t>：200mg/L。</w:t>
            </w:r>
          </w:p>
          <w:p>
            <w:pPr>
              <w:ind w:firstLine="480"/>
              <w:rPr>
                <w:rFonts w:hint="eastAsia"/>
                <w:lang w:val="en-US" w:eastAsia="zh-CN"/>
              </w:rPr>
            </w:pPr>
            <w:r>
              <w:rPr>
                <w:rFonts w:hint="eastAsia"/>
                <w:lang w:val="en-US" w:eastAsia="zh-CN"/>
              </w:rPr>
              <w:t>②</w:t>
            </w:r>
            <w:r>
              <w:rPr>
                <w:rFonts w:hint="eastAsia"/>
              </w:rPr>
              <w:t>碱性除油池、</w:t>
            </w:r>
            <w:r>
              <w:rPr>
                <w:rFonts w:hint="eastAsia"/>
                <w:lang w:val="en-US" w:eastAsia="zh-CN"/>
              </w:rPr>
              <w:t>酸洗池、</w:t>
            </w:r>
            <w:r>
              <w:rPr>
                <w:rFonts w:hint="eastAsia"/>
              </w:rPr>
              <w:t>表调池、磷化池处理液循环使用，不外排，且以添加新鲜水和表面处理药剂的方式补充损耗，以定期清渣和定期更换槽液的方式保障表面处理效果</w:t>
            </w:r>
            <w:r>
              <w:rPr>
                <w:rFonts w:hint="eastAsia"/>
                <w:lang w:eastAsia="zh-CN"/>
              </w:rPr>
              <w:t>，</w:t>
            </w:r>
            <w:r>
              <w:rPr>
                <w:rFonts w:hint="eastAsia"/>
                <w:lang w:val="en-US" w:eastAsia="zh-CN"/>
              </w:rPr>
              <w:t>更换的槽液作危废处置</w:t>
            </w:r>
            <w:r>
              <w:rPr>
                <w:rFonts w:hint="eastAsia"/>
              </w:rPr>
              <w:t>。</w:t>
            </w:r>
          </w:p>
          <w:p>
            <w:pPr>
              <w:ind w:firstLine="480"/>
              <w:rPr>
                <w:rFonts w:hint="eastAsia"/>
                <w:color w:val="auto"/>
                <w:u w:val="single"/>
                <w:lang w:eastAsia="zh-CN"/>
              </w:rPr>
            </w:pPr>
            <w:r>
              <w:rPr>
                <w:rFonts w:hint="eastAsia"/>
                <w:color w:val="auto"/>
                <w:u w:val="single"/>
                <w:lang w:val="en-US" w:eastAsia="zh-CN"/>
              </w:rPr>
              <w:t>③</w:t>
            </w:r>
            <w:r>
              <w:rPr>
                <w:rFonts w:hint="eastAsia"/>
                <w:color w:val="auto"/>
                <w:u w:val="single"/>
              </w:rPr>
              <w:t>清水池每天向池内补充新鲜水，定期更换槽液，</w:t>
            </w:r>
            <w:r>
              <w:rPr>
                <w:rFonts w:hint="eastAsia"/>
                <w:color w:val="auto"/>
                <w:u w:val="single"/>
                <w:lang w:val="en-US" w:eastAsia="zh-CN"/>
              </w:rPr>
              <w:t>除油清洗废水先经隔油池除油，再与酸洗</w:t>
            </w:r>
            <w:r>
              <w:rPr>
                <w:rFonts w:hint="eastAsia"/>
                <w:color w:val="auto"/>
                <w:u w:val="single"/>
              </w:rPr>
              <w:t>清洗废水</w:t>
            </w:r>
            <w:r>
              <w:rPr>
                <w:rFonts w:hint="eastAsia"/>
                <w:color w:val="auto"/>
                <w:u w:val="single"/>
                <w:lang w:eastAsia="zh-CN"/>
              </w:rPr>
              <w:t>、</w:t>
            </w:r>
            <w:r>
              <w:rPr>
                <w:rFonts w:hint="eastAsia"/>
                <w:color w:val="auto"/>
                <w:u w:val="single"/>
                <w:lang w:val="en-US" w:eastAsia="zh-CN"/>
              </w:rPr>
              <w:t>磷化清洗废水、保洁废水和碱液喷淋塔废水一起</w:t>
            </w:r>
            <w:r>
              <w:rPr>
                <w:rFonts w:hint="eastAsia"/>
                <w:color w:val="auto"/>
                <w:u w:val="single"/>
              </w:rPr>
              <w:t>经“</w:t>
            </w:r>
            <w:r>
              <w:rPr>
                <w:rFonts w:hint="eastAsia"/>
                <w:color w:val="auto"/>
                <w:u w:val="single"/>
                <w:lang w:val="en-US" w:eastAsia="zh-CN"/>
              </w:rPr>
              <w:t>调节池+一体化处理设施</w:t>
            </w:r>
            <w:r>
              <w:rPr>
                <w:rFonts w:hint="eastAsia"/>
                <w:color w:val="auto"/>
                <w:u w:val="single"/>
              </w:rPr>
              <w:t>”预处理达综排3级标准与接管标准中较严者后，进入市政污水管网</w:t>
            </w:r>
            <w:r>
              <w:rPr>
                <w:rFonts w:hint="eastAsia"/>
                <w:color w:val="auto"/>
                <w:u w:val="single"/>
                <w:lang w:eastAsia="zh-CN"/>
              </w:rPr>
              <w:t>，</w:t>
            </w:r>
            <w:r>
              <w:rPr>
                <w:rFonts w:hint="eastAsia"/>
                <w:color w:val="auto"/>
                <w:u w:val="single"/>
              </w:rPr>
              <w:t>排至衡阳西渡高新区污水处理厂进行深度处理。</w:t>
            </w:r>
            <w:r>
              <w:rPr>
                <w:rFonts w:hint="eastAsia"/>
                <w:color w:val="auto"/>
                <w:u w:val="single"/>
                <w:lang w:val="en-US" w:eastAsia="zh-CN"/>
              </w:rPr>
              <w:t>一体化处理设施的废水处理工艺为“pH调节+混凝沉淀+二沉池（斜管沉淀）”，处理后的上清液排入市政管网进入</w:t>
            </w:r>
            <w:r>
              <w:rPr>
                <w:rFonts w:hint="eastAsia"/>
                <w:color w:val="auto"/>
                <w:u w:val="single"/>
              </w:rPr>
              <w:t>衡阳西渡高新区污水处理厂</w:t>
            </w:r>
            <w:r>
              <w:rPr>
                <w:rFonts w:hint="eastAsia"/>
                <w:color w:val="auto"/>
                <w:u w:val="single"/>
                <w:lang w:val="en-US" w:eastAsia="zh-CN"/>
              </w:rPr>
              <w:t>进一步处理。厂内污水预处理产生的污泥作危废处理。</w:t>
            </w:r>
            <w:r>
              <w:rPr>
                <w:rFonts w:hint="eastAsia"/>
                <w:color w:val="auto"/>
                <w:u w:val="single"/>
              </w:rPr>
              <w:t>项目清洗产生的生产废水约为</w:t>
            </w:r>
            <w:r>
              <w:rPr>
                <w:rFonts w:hint="eastAsia"/>
                <w:color w:val="auto"/>
                <w:u w:val="single"/>
                <w:lang w:val="en-US" w:eastAsia="zh-CN"/>
              </w:rPr>
              <w:t>154</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w:t>
            </w:r>
          </w:p>
          <w:p>
            <w:pPr>
              <w:keepNext w:val="0"/>
              <w:keepLines w:val="0"/>
              <w:pageBreakBefore w:val="0"/>
              <w:widowControl w:val="0"/>
              <w:kinsoku/>
              <w:wordWrap/>
              <w:overflowPunct/>
              <w:topLinePunct w:val="0"/>
              <w:autoSpaceDE/>
              <w:autoSpaceDN/>
              <w:bidi w:val="0"/>
              <w:adjustRightInd/>
              <w:snapToGrid/>
              <w:ind w:firstLine="480"/>
              <w:textAlignment w:val="auto"/>
              <w:rPr>
                <w:rFonts w:hint="eastAsia"/>
                <w:color w:val="auto"/>
                <w:u w:val="single"/>
                <w:lang w:val="en-US" w:eastAsia="zh-CN"/>
              </w:rPr>
            </w:pPr>
            <w:r>
              <w:rPr>
                <w:rFonts w:hint="eastAsia"/>
                <w:color w:val="auto"/>
                <w:u w:val="single"/>
                <w:lang w:val="en-US" w:eastAsia="zh-CN"/>
              </w:rPr>
              <w:t>项目前处理清洗废水水质参照《东莞市竣祺五金有限公司废水水质检测报告》（报告编号：PTC-HX-05170600201CN）》，其前处理工艺由脱脂、除锈、中和、表调、磷化工艺组成，与本项目前处理工艺相似，其污染物浓度取值如下表所示。</w:t>
            </w:r>
          </w:p>
          <w:p>
            <w:pPr>
              <w:pStyle w:val="37"/>
              <w:bidi w:val="0"/>
              <w:rPr>
                <w:rFonts w:hint="eastAsia"/>
                <w:u w:val="single"/>
                <w:lang w:val="en-US" w:eastAsia="zh-CN"/>
              </w:rPr>
            </w:pPr>
            <w:r>
              <w:rPr>
                <w:rFonts w:hint="eastAsia"/>
                <w:u w:val="single"/>
                <w:lang w:val="en-US" w:eastAsia="zh-CN"/>
              </w:rPr>
              <w:t>表4-18 项目前处理废水产生浓度取值表</w:t>
            </w:r>
          </w:p>
          <w:tbl>
            <w:tblPr>
              <w:tblStyle w:val="19"/>
              <w:tblW w:w="8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1"/>
              <w:gridCol w:w="2002"/>
              <w:gridCol w:w="2002"/>
              <w:gridCol w:w="2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tcBorders>
                    <w:tl2br w:val="single" w:color="auto" w:sz="4" w:space="0"/>
                  </w:tcBorders>
                </w:tcPr>
                <w:p>
                  <w:pPr>
                    <w:pStyle w:val="24"/>
                    <w:bidi w:val="0"/>
                    <w:rPr>
                      <w:rFonts w:hint="eastAsia"/>
                      <w:b/>
                      <w:bCs/>
                      <w:u w:val="single"/>
                    </w:rPr>
                  </w:pPr>
                  <w:r>
                    <w:rPr>
                      <w:rFonts w:hint="eastAsia"/>
                      <w:b/>
                      <w:bCs/>
                      <w:u w:val="single"/>
                      <w:lang w:val="en-US" w:eastAsia="zh-CN"/>
                    </w:rPr>
                    <w:t xml:space="preserve">      浓度 </w:t>
                  </w:r>
                  <w:r>
                    <w:rPr>
                      <w:rFonts w:hint="eastAsia"/>
                      <w:b/>
                      <w:bCs/>
                      <w:u w:val="single"/>
                    </w:rPr>
                    <w:t>(</w:t>
                  </w:r>
                  <w:r>
                    <w:rPr>
                      <w:b/>
                      <w:bCs/>
                      <w:u w:val="single"/>
                    </w:rPr>
                    <w:t>mg/L</w:t>
                  </w:r>
                  <w:r>
                    <w:rPr>
                      <w:rFonts w:hint="eastAsia"/>
                      <w:b/>
                      <w:bCs/>
                      <w:u w:val="single"/>
                    </w:rPr>
                    <w:t>)</w:t>
                  </w:r>
                </w:p>
                <w:p>
                  <w:pPr>
                    <w:pStyle w:val="24"/>
                    <w:bidi w:val="0"/>
                    <w:jc w:val="both"/>
                    <w:rPr>
                      <w:rFonts w:hint="default"/>
                      <w:b/>
                      <w:bCs/>
                      <w:u w:val="single"/>
                      <w:lang w:val="en-US" w:eastAsia="zh-CN"/>
                    </w:rPr>
                  </w:pPr>
                  <w:r>
                    <w:rPr>
                      <w:rFonts w:hint="eastAsia"/>
                      <w:b/>
                      <w:bCs/>
                      <w:u w:val="single"/>
                      <w:lang w:val="en-US" w:eastAsia="zh-CN"/>
                    </w:rPr>
                    <w:t xml:space="preserve">污染物                                                                                                    </w:t>
                  </w:r>
                </w:p>
              </w:tc>
              <w:tc>
                <w:tcPr>
                  <w:tcW w:w="2002" w:type="dxa"/>
                  <w:vAlign w:val="center"/>
                </w:tcPr>
                <w:p>
                  <w:pPr>
                    <w:pStyle w:val="24"/>
                    <w:bidi w:val="0"/>
                    <w:rPr>
                      <w:rFonts w:hint="default"/>
                      <w:b/>
                      <w:bCs/>
                      <w:u w:val="single"/>
                      <w:lang w:val="en-US" w:eastAsia="zh-CN"/>
                    </w:rPr>
                  </w:pPr>
                  <w:r>
                    <w:rPr>
                      <w:rFonts w:hint="eastAsia"/>
                      <w:b/>
                      <w:bCs/>
                      <w:u w:val="single"/>
                      <w:lang w:val="en-US" w:eastAsia="zh-CN"/>
                    </w:rPr>
                    <w:t>除油清洗废水</w:t>
                  </w:r>
                </w:p>
              </w:tc>
              <w:tc>
                <w:tcPr>
                  <w:tcW w:w="2002" w:type="dxa"/>
                  <w:vAlign w:val="center"/>
                </w:tcPr>
                <w:p>
                  <w:pPr>
                    <w:pStyle w:val="24"/>
                    <w:bidi w:val="0"/>
                    <w:rPr>
                      <w:rFonts w:hint="default"/>
                      <w:b/>
                      <w:bCs/>
                      <w:u w:val="single"/>
                      <w:lang w:val="en-US" w:eastAsia="zh-CN"/>
                    </w:rPr>
                  </w:pPr>
                  <w:r>
                    <w:rPr>
                      <w:rFonts w:hint="eastAsia"/>
                      <w:b/>
                      <w:bCs/>
                      <w:u w:val="single"/>
                      <w:lang w:val="en-US" w:eastAsia="zh-CN"/>
                    </w:rPr>
                    <w:t>酸洗清洗废水</w:t>
                  </w:r>
                </w:p>
              </w:tc>
              <w:tc>
                <w:tcPr>
                  <w:tcW w:w="2002" w:type="dxa"/>
                  <w:vAlign w:val="center"/>
                </w:tcPr>
                <w:p>
                  <w:pPr>
                    <w:pStyle w:val="24"/>
                    <w:bidi w:val="0"/>
                    <w:rPr>
                      <w:rFonts w:hint="default"/>
                      <w:b/>
                      <w:bCs/>
                      <w:u w:val="single"/>
                      <w:lang w:val="en-US" w:eastAsia="zh-CN"/>
                    </w:rPr>
                  </w:pPr>
                  <w:r>
                    <w:rPr>
                      <w:rFonts w:hint="eastAsia"/>
                      <w:b/>
                      <w:bCs/>
                      <w:u w:val="single"/>
                      <w:lang w:val="en-US" w:eastAsia="zh-CN"/>
                    </w:rPr>
                    <w:t>磷化清洗废水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pH</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12.1</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3.8</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COD</w:t>
                  </w:r>
                  <w:r>
                    <w:rPr>
                      <w:rFonts w:hint="eastAsia"/>
                      <w:u w:val="single"/>
                      <w:vertAlign w:val="subscript"/>
                      <w:lang w:val="en-US" w:eastAsia="zh-CN"/>
                    </w:rPr>
                    <w:t>cr</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527</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254</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BOD</w:t>
                  </w:r>
                  <w:r>
                    <w:rPr>
                      <w:rFonts w:hint="eastAsia"/>
                      <w:u w:val="single"/>
                      <w:vertAlign w:val="subscript"/>
                      <w:lang w:val="en-US" w:eastAsia="zh-CN"/>
                    </w:rPr>
                    <w:t>5</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153</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93.5</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SS</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278</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54.3</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氨氮</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石油类</w:t>
                  </w:r>
                </w:p>
              </w:tc>
              <w:tc>
                <w:tcPr>
                  <w:tcW w:w="2002" w:type="dxa"/>
                  <w:vAlign w:val="center"/>
                </w:tcPr>
                <w:p>
                  <w:pPr>
                    <w:pStyle w:val="24"/>
                    <w:bidi w:val="0"/>
                    <w:rPr>
                      <w:rFonts w:hint="default"/>
                      <w:u w:val="single"/>
                      <w:lang w:val="en-US" w:eastAsia="zh-CN"/>
                    </w:rPr>
                  </w:pPr>
                  <w:r>
                    <w:rPr>
                      <w:rFonts w:hint="eastAsia"/>
                      <w:u w:val="single"/>
                      <w:lang w:val="en-US" w:eastAsia="zh-CN"/>
                    </w:rPr>
                    <w:t>52.1</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总磷</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01" w:type="dxa"/>
                  <w:shd w:val="clear" w:color="auto" w:fill="auto"/>
                  <w:vAlign w:val="center"/>
                </w:tcPr>
                <w:p>
                  <w:pPr>
                    <w:pStyle w:val="24"/>
                    <w:bidi w:val="0"/>
                    <w:rPr>
                      <w:rFonts w:hint="default"/>
                      <w:u w:val="single"/>
                      <w:lang w:val="en-US" w:eastAsia="zh-CN"/>
                    </w:rPr>
                  </w:pPr>
                  <w:r>
                    <w:rPr>
                      <w:rFonts w:hint="eastAsia"/>
                      <w:u w:val="single"/>
                      <w:lang w:val="en-US" w:eastAsia="zh-CN"/>
                    </w:rPr>
                    <w:t>总锌</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vAlign w:val="center"/>
                </w:tcPr>
                <w:p>
                  <w:pPr>
                    <w:pStyle w:val="24"/>
                    <w:bidi w:val="0"/>
                    <w:rPr>
                      <w:rFonts w:hint="default"/>
                      <w:u w:val="single"/>
                      <w:lang w:val="en-US" w:eastAsia="zh-CN"/>
                    </w:rPr>
                  </w:pPr>
                  <w:r>
                    <w:rPr>
                      <w:rFonts w:hint="eastAsia"/>
                      <w:u w:val="single"/>
                      <w:lang w:val="en-US" w:eastAsia="zh-CN"/>
                    </w:rPr>
                    <w:t>/</w:t>
                  </w:r>
                </w:p>
              </w:tc>
              <w:tc>
                <w:tcPr>
                  <w:tcW w:w="2002" w:type="dxa"/>
                  <w:shd w:val="clear" w:color="auto" w:fill="auto"/>
                  <w:vAlign w:val="center"/>
                </w:tcPr>
                <w:p>
                  <w:pPr>
                    <w:pStyle w:val="24"/>
                    <w:bidi w:val="0"/>
                    <w:rPr>
                      <w:rFonts w:hint="default"/>
                      <w:u w:val="single"/>
                      <w:lang w:val="en-US" w:eastAsia="zh-CN"/>
                    </w:rPr>
                  </w:pPr>
                  <w:r>
                    <w:rPr>
                      <w:rFonts w:hint="eastAsia"/>
                      <w:u w:val="single"/>
                      <w:lang w:val="en-US" w:eastAsia="zh-CN"/>
                    </w:rPr>
                    <w:t>12</w:t>
                  </w:r>
                </w:p>
              </w:tc>
            </w:tr>
          </w:tbl>
          <w:p>
            <w:pPr>
              <w:keepNext w:val="0"/>
              <w:keepLines w:val="0"/>
              <w:pageBreakBefore w:val="0"/>
              <w:widowControl w:val="0"/>
              <w:kinsoku/>
              <w:wordWrap/>
              <w:overflowPunct/>
              <w:topLinePunct w:val="0"/>
              <w:autoSpaceDE/>
              <w:autoSpaceDN/>
              <w:bidi w:val="0"/>
              <w:adjustRightInd/>
              <w:snapToGrid/>
              <w:ind w:firstLine="480"/>
              <w:textAlignment w:val="auto"/>
              <w:rPr>
                <w:rFonts w:hint="default"/>
                <w:u w:val="single"/>
                <w:lang w:val="en-US" w:eastAsia="zh-CN"/>
              </w:rPr>
            </w:pPr>
            <w:r>
              <w:rPr>
                <w:rFonts w:hint="eastAsia"/>
                <w:u w:val="single"/>
                <w:lang w:val="en-US" w:eastAsia="zh-CN"/>
              </w:rPr>
              <w:t>项目综合废水（清洗废水+保洁废水+碱液喷淋塔废水）产排情况如下表所示。</w:t>
            </w:r>
          </w:p>
          <w:p>
            <w:pPr>
              <w:pStyle w:val="37"/>
              <w:spacing w:before="72" w:after="120"/>
              <w:rPr>
                <w:rFonts w:hint="default"/>
                <w:u w:val="single"/>
              </w:rPr>
            </w:pPr>
            <w:r>
              <w:rPr>
                <w:u w:val="single"/>
              </w:rPr>
              <w:t>表4-1</w:t>
            </w:r>
            <w:r>
              <w:rPr>
                <w:rFonts w:hint="eastAsia"/>
                <w:u w:val="single"/>
                <w:lang w:val="en-US" w:eastAsia="zh-CN"/>
              </w:rPr>
              <w:t>9</w:t>
            </w:r>
            <w:r>
              <w:rPr>
                <w:u w:val="single"/>
              </w:rPr>
              <w:t xml:space="preserve"> </w:t>
            </w:r>
            <w:r>
              <w:rPr>
                <w:rFonts w:hint="eastAsia"/>
                <w:u w:val="single"/>
                <w:lang w:val="en-US" w:eastAsia="zh-CN"/>
              </w:rPr>
              <w:t>项目</w:t>
            </w:r>
            <w:r>
              <w:rPr>
                <w:u w:val="single"/>
              </w:rPr>
              <w:t>废水产排情况一览表</w:t>
            </w:r>
          </w:p>
          <w:tbl>
            <w:tblPr>
              <w:tblStyle w:val="19"/>
              <w:tblW w:w="496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3"/>
              <w:gridCol w:w="704"/>
              <w:gridCol w:w="851"/>
              <w:gridCol w:w="743"/>
              <w:gridCol w:w="851"/>
              <w:gridCol w:w="806"/>
              <w:gridCol w:w="720"/>
              <w:gridCol w:w="746"/>
              <w:gridCol w:w="817"/>
              <w:gridCol w:w="687"/>
              <w:gridCol w:w="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1293" w:type="pct"/>
                  <w:gridSpan w:val="3"/>
                  <w:shd w:val="clear" w:color="auto" w:fill="auto"/>
                  <w:vAlign w:val="center"/>
                </w:tcPr>
                <w:p>
                  <w:pPr>
                    <w:pStyle w:val="24"/>
                    <w:rPr>
                      <w:b/>
                      <w:bCs/>
                      <w:u w:val="single"/>
                    </w:rPr>
                  </w:pPr>
                  <w:r>
                    <w:rPr>
                      <w:rFonts w:hint="eastAsia"/>
                      <w:b/>
                      <w:bCs/>
                      <w:u w:val="single"/>
                    </w:rPr>
                    <w:t>项目</w:t>
                  </w:r>
                </w:p>
              </w:tc>
              <w:tc>
                <w:tcPr>
                  <w:tcW w:w="460" w:type="pct"/>
                  <w:shd w:val="clear" w:color="auto" w:fill="auto"/>
                  <w:vAlign w:val="center"/>
                </w:tcPr>
                <w:p>
                  <w:pPr>
                    <w:pStyle w:val="24"/>
                    <w:rPr>
                      <w:b/>
                      <w:bCs/>
                      <w:u w:val="single"/>
                    </w:rPr>
                  </w:pPr>
                  <w:r>
                    <w:rPr>
                      <w:rFonts w:hint="eastAsia"/>
                      <w:b/>
                      <w:bCs/>
                      <w:u w:val="single"/>
                    </w:rPr>
                    <w:t>废水量</w:t>
                  </w:r>
                </w:p>
                <w:p>
                  <w:pPr>
                    <w:pStyle w:val="24"/>
                    <w:rPr>
                      <w:b/>
                      <w:bCs/>
                      <w:u w:val="single"/>
                    </w:rPr>
                  </w:pPr>
                  <w:r>
                    <w:rPr>
                      <w:rFonts w:hint="eastAsia"/>
                      <w:b/>
                      <w:bCs/>
                      <w:u w:val="single"/>
                    </w:rPr>
                    <w:t>m</w:t>
                  </w:r>
                  <w:r>
                    <w:rPr>
                      <w:rFonts w:hint="eastAsia"/>
                      <w:b/>
                      <w:bCs/>
                      <w:u w:val="single"/>
                      <w:vertAlign w:val="superscript"/>
                    </w:rPr>
                    <w:t>3</w:t>
                  </w:r>
                  <w:r>
                    <w:rPr>
                      <w:rFonts w:hint="eastAsia"/>
                      <w:b/>
                      <w:bCs/>
                      <w:u w:val="single"/>
                    </w:rPr>
                    <w:t>/a</w:t>
                  </w:r>
                </w:p>
              </w:tc>
              <w:tc>
                <w:tcPr>
                  <w:tcW w:w="527" w:type="pct"/>
                  <w:shd w:val="clear" w:color="auto" w:fill="auto"/>
                  <w:vAlign w:val="center"/>
                </w:tcPr>
                <w:p>
                  <w:pPr>
                    <w:pStyle w:val="24"/>
                    <w:ind w:firstLine="0" w:firstLineChars="0"/>
                    <w:rPr>
                      <w:rFonts w:ascii="Times New Roman" w:hAnsi="Times New Roman" w:eastAsia="宋体" w:cs="Times New Roman"/>
                      <w:b/>
                      <w:bCs/>
                      <w:kern w:val="0"/>
                      <w:sz w:val="21"/>
                      <w:szCs w:val="20"/>
                      <w:u w:val="single"/>
                      <w:lang w:val="en-US" w:eastAsia="zh-CN" w:bidi="ar-SA"/>
                    </w:rPr>
                  </w:pPr>
                  <w:r>
                    <w:rPr>
                      <w:b/>
                      <w:bCs/>
                      <w:u w:val="single"/>
                    </w:rPr>
                    <w:t>COD</w:t>
                  </w:r>
                  <w:r>
                    <w:rPr>
                      <w:b/>
                      <w:bCs/>
                      <w:u w:val="single"/>
                      <w:vertAlign w:val="subscript"/>
                    </w:rPr>
                    <w:t>cr</w:t>
                  </w:r>
                </w:p>
              </w:tc>
              <w:tc>
                <w:tcPr>
                  <w:tcW w:w="499" w:type="pct"/>
                  <w:shd w:val="clear" w:color="auto" w:fill="auto"/>
                  <w:vAlign w:val="center"/>
                </w:tcPr>
                <w:p>
                  <w:pPr>
                    <w:pStyle w:val="24"/>
                    <w:ind w:firstLine="0" w:firstLineChars="0"/>
                    <w:rPr>
                      <w:rFonts w:ascii="Times New Roman" w:hAnsi="Times New Roman" w:eastAsia="宋体" w:cs="Times New Roman"/>
                      <w:b/>
                      <w:bCs/>
                      <w:kern w:val="0"/>
                      <w:sz w:val="21"/>
                      <w:szCs w:val="20"/>
                      <w:u w:val="single"/>
                      <w:lang w:val="en-US" w:eastAsia="zh-CN" w:bidi="ar-SA"/>
                    </w:rPr>
                  </w:pPr>
                  <w:r>
                    <w:rPr>
                      <w:b/>
                      <w:bCs/>
                      <w:u w:val="single"/>
                    </w:rPr>
                    <w:t>BOD</w:t>
                  </w:r>
                  <w:r>
                    <w:rPr>
                      <w:b/>
                      <w:bCs/>
                      <w:u w:val="single"/>
                      <w:vertAlign w:val="subscript"/>
                    </w:rPr>
                    <w:t>5</w:t>
                  </w:r>
                </w:p>
              </w:tc>
              <w:tc>
                <w:tcPr>
                  <w:tcW w:w="446" w:type="pct"/>
                  <w:shd w:val="clear" w:color="auto" w:fill="auto"/>
                  <w:vAlign w:val="center"/>
                </w:tcPr>
                <w:p>
                  <w:pPr>
                    <w:pStyle w:val="24"/>
                    <w:ind w:firstLine="0" w:firstLineChars="0"/>
                    <w:rPr>
                      <w:rFonts w:ascii="Times New Roman" w:hAnsi="Times New Roman" w:eastAsia="宋体" w:cs="Times New Roman"/>
                      <w:b/>
                      <w:bCs/>
                      <w:kern w:val="0"/>
                      <w:sz w:val="21"/>
                      <w:szCs w:val="20"/>
                      <w:u w:val="single"/>
                      <w:lang w:val="en-US" w:eastAsia="zh-CN" w:bidi="ar-SA"/>
                    </w:rPr>
                  </w:pPr>
                  <w:r>
                    <w:rPr>
                      <w:b/>
                      <w:bCs/>
                      <w:u w:val="single"/>
                    </w:rPr>
                    <w:t>SS</w:t>
                  </w:r>
                </w:p>
              </w:tc>
              <w:tc>
                <w:tcPr>
                  <w:tcW w:w="462" w:type="pct"/>
                  <w:shd w:val="clear" w:color="auto" w:fill="auto"/>
                  <w:vAlign w:val="center"/>
                </w:tcPr>
                <w:p>
                  <w:pPr>
                    <w:pStyle w:val="24"/>
                    <w:ind w:firstLine="0" w:firstLineChars="0"/>
                    <w:rPr>
                      <w:rFonts w:hint="eastAsia" w:ascii="Times New Roman" w:hAnsi="Times New Roman" w:eastAsia="宋体" w:cs="Times New Roman"/>
                      <w:b/>
                      <w:bCs/>
                      <w:kern w:val="0"/>
                      <w:sz w:val="21"/>
                      <w:szCs w:val="20"/>
                      <w:u w:val="single"/>
                      <w:lang w:val="en-US" w:eastAsia="zh-CN" w:bidi="ar-SA"/>
                    </w:rPr>
                  </w:pPr>
                  <w:r>
                    <w:rPr>
                      <w:rFonts w:hint="eastAsia"/>
                      <w:b/>
                      <w:bCs/>
                      <w:u w:val="single"/>
                      <w:lang w:val="en-US" w:eastAsia="zh-CN"/>
                    </w:rPr>
                    <w:t>氨氮</w:t>
                  </w:r>
                </w:p>
              </w:tc>
              <w:tc>
                <w:tcPr>
                  <w:tcW w:w="506" w:type="pct"/>
                  <w:shd w:val="clear" w:color="auto" w:fill="auto"/>
                  <w:vAlign w:val="center"/>
                </w:tcPr>
                <w:p>
                  <w:pPr>
                    <w:pStyle w:val="24"/>
                    <w:ind w:firstLine="0" w:firstLineChars="0"/>
                    <w:rPr>
                      <w:rFonts w:ascii="Times New Roman" w:hAnsi="Times New Roman" w:eastAsia="宋体" w:cs="Times New Roman"/>
                      <w:b/>
                      <w:bCs/>
                      <w:kern w:val="0"/>
                      <w:sz w:val="21"/>
                      <w:szCs w:val="20"/>
                      <w:u w:val="single"/>
                      <w:lang w:val="en-US" w:eastAsia="zh-CN" w:bidi="ar-SA"/>
                    </w:rPr>
                  </w:pPr>
                  <w:r>
                    <w:rPr>
                      <w:b/>
                      <w:bCs/>
                      <w:u w:val="single"/>
                    </w:rPr>
                    <w:t>石油类</w:t>
                  </w:r>
                </w:p>
              </w:tc>
              <w:tc>
                <w:tcPr>
                  <w:tcW w:w="425" w:type="pct"/>
                  <w:shd w:val="clear" w:color="auto" w:fill="auto"/>
                  <w:vAlign w:val="center"/>
                </w:tcPr>
                <w:p>
                  <w:pPr>
                    <w:pStyle w:val="24"/>
                    <w:rPr>
                      <w:rFonts w:hint="default" w:eastAsia="宋体"/>
                      <w:b/>
                      <w:bCs/>
                      <w:u w:val="single"/>
                      <w:lang w:val="en-US" w:eastAsia="zh-CN"/>
                    </w:rPr>
                  </w:pPr>
                  <w:r>
                    <w:rPr>
                      <w:rFonts w:hint="eastAsia"/>
                      <w:b/>
                      <w:bCs/>
                      <w:u w:val="single"/>
                      <w:lang w:val="en-US" w:eastAsia="zh-CN"/>
                    </w:rPr>
                    <w:t>总磷</w:t>
                  </w:r>
                </w:p>
              </w:tc>
              <w:tc>
                <w:tcPr>
                  <w:tcW w:w="378" w:type="pct"/>
                  <w:shd w:val="clear" w:color="auto" w:fill="auto"/>
                  <w:vAlign w:val="center"/>
                </w:tcPr>
                <w:p>
                  <w:pPr>
                    <w:pStyle w:val="24"/>
                    <w:rPr>
                      <w:rFonts w:hint="eastAsia" w:eastAsia="宋体"/>
                      <w:b/>
                      <w:bCs/>
                      <w:u w:val="single"/>
                      <w:lang w:val="en-US" w:eastAsia="zh-CN"/>
                    </w:rPr>
                  </w:pPr>
                  <w:r>
                    <w:rPr>
                      <w:rFonts w:hint="eastAsia"/>
                      <w:b/>
                      <w:bCs/>
                      <w:u w:val="single"/>
                      <w:lang w:val="en-US" w:eastAsia="zh-CN"/>
                    </w:rPr>
                    <w:t>总锌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restart"/>
                  <w:shd w:val="clear" w:color="auto" w:fill="auto"/>
                  <w:vAlign w:val="center"/>
                </w:tcPr>
                <w:p>
                  <w:pPr>
                    <w:pStyle w:val="24"/>
                    <w:rPr>
                      <w:rFonts w:hint="default" w:eastAsia="宋体"/>
                      <w:b/>
                      <w:bCs/>
                      <w:u w:val="single"/>
                      <w:lang w:val="en-US" w:eastAsia="zh-CN"/>
                    </w:rPr>
                  </w:pPr>
                  <w:r>
                    <w:rPr>
                      <w:rFonts w:hint="eastAsia"/>
                      <w:u w:val="single"/>
                      <w:lang w:val="en-US" w:eastAsia="zh-CN"/>
                    </w:rPr>
                    <w:t>除油清洗废水</w:t>
                  </w:r>
                </w:p>
              </w:tc>
              <w:tc>
                <w:tcPr>
                  <w:tcW w:w="963" w:type="pct"/>
                  <w:gridSpan w:val="2"/>
                  <w:shd w:val="clear" w:color="auto" w:fill="auto"/>
                  <w:vAlign w:val="center"/>
                </w:tcPr>
                <w:p>
                  <w:pPr>
                    <w:pStyle w:val="24"/>
                    <w:ind w:firstLine="0" w:firstLineChars="0"/>
                    <w:rPr>
                      <w:rFonts w:hint="eastAsia" w:ascii="Times New Roman" w:hAnsi="Times New Roman" w:eastAsia="宋体" w:cs="Times New Roman"/>
                      <w:b/>
                      <w:bCs/>
                      <w:kern w:val="0"/>
                      <w:sz w:val="21"/>
                      <w:szCs w:val="20"/>
                      <w:u w:val="single"/>
                      <w:lang w:val="en-US" w:eastAsia="zh-CN" w:bidi="ar-SA"/>
                    </w:rPr>
                  </w:pPr>
                  <w:r>
                    <w:rPr>
                      <w:rFonts w:hint="eastAsia"/>
                      <w:u w:val="single"/>
                    </w:rPr>
                    <w:t>产生浓度(</w:t>
                  </w:r>
                  <w:r>
                    <w:rPr>
                      <w:u w:val="single"/>
                    </w:rPr>
                    <w:t>mg/L</w:t>
                  </w:r>
                  <w:r>
                    <w:rPr>
                      <w:rFonts w:hint="eastAsia"/>
                      <w:u w:val="single"/>
                    </w:rPr>
                    <w:t>)</w:t>
                  </w:r>
                </w:p>
              </w:tc>
              <w:tc>
                <w:tcPr>
                  <w:tcW w:w="460" w:type="pct"/>
                  <w:vMerge w:val="restart"/>
                  <w:shd w:val="clear" w:color="auto" w:fill="auto"/>
                  <w:vAlign w:val="center"/>
                </w:tcPr>
                <w:p>
                  <w:pPr>
                    <w:pStyle w:val="24"/>
                    <w:rPr>
                      <w:rFonts w:hint="default"/>
                      <w:u w:val="single"/>
                      <w:lang w:val="en-US" w:eastAsia="zh-CN"/>
                    </w:rPr>
                  </w:pPr>
                  <w:r>
                    <w:rPr>
                      <w:rFonts w:hint="eastAsia"/>
                      <w:u w:val="single"/>
                      <w:lang w:val="en-US" w:eastAsia="zh-CN"/>
                    </w:rPr>
                    <w:t>60.5</w:t>
                  </w:r>
                </w:p>
              </w:tc>
              <w:tc>
                <w:tcPr>
                  <w:tcW w:w="527" w:type="pct"/>
                  <w:shd w:val="clear" w:color="auto" w:fill="auto"/>
                  <w:vAlign w:val="center"/>
                </w:tcPr>
                <w:p>
                  <w:pPr>
                    <w:pStyle w:val="24"/>
                    <w:rPr>
                      <w:rFonts w:hint="default"/>
                      <w:u w:val="single"/>
                      <w:lang w:val="en-US" w:eastAsia="zh-CN"/>
                    </w:rPr>
                  </w:pPr>
                  <w:r>
                    <w:rPr>
                      <w:rFonts w:hint="eastAsia"/>
                      <w:u w:val="single"/>
                      <w:lang w:val="en-US" w:eastAsia="zh-CN"/>
                    </w:rPr>
                    <w:t>527</w:t>
                  </w:r>
                </w:p>
              </w:tc>
              <w:tc>
                <w:tcPr>
                  <w:tcW w:w="499" w:type="pct"/>
                  <w:shd w:val="clear" w:color="auto" w:fill="auto"/>
                  <w:vAlign w:val="center"/>
                </w:tcPr>
                <w:p>
                  <w:pPr>
                    <w:pStyle w:val="24"/>
                    <w:rPr>
                      <w:rFonts w:hint="default"/>
                      <w:u w:val="single"/>
                      <w:lang w:val="en-US" w:eastAsia="zh-CN"/>
                    </w:rPr>
                  </w:pPr>
                  <w:r>
                    <w:rPr>
                      <w:rFonts w:hint="eastAsia"/>
                      <w:u w:val="single"/>
                      <w:lang w:val="en-US" w:eastAsia="zh-CN"/>
                    </w:rPr>
                    <w:t>153</w:t>
                  </w:r>
                </w:p>
              </w:tc>
              <w:tc>
                <w:tcPr>
                  <w:tcW w:w="446" w:type="pct"/>
                  <w:shd w:val="clear" w:color="auto" w:fill="auto"/>
                  <w:vAlign w:val="center"/>
                </w:tcPr>
                <w:p>
                  <w:pPr>
                    <w:pStyle w:val="24"/>
                    <w:rPr>
                      <w:rFonts w:hint="default"/>
                      <w:u w:val="single"/>
                      <w:lang w:val="en-US" w:eastAsia="zh-CN"/>
                    </w:rPr>
                  </w:pPr>
                  <w:r>
                    <w:rPr>
                      <w:rFonts w:hint="eastAsia"/>
                      <w:u w:val="single"/>
                      <w:lang w:val="en-US" w:eastAsia="zh-CN"/>
                    </w:rPr>
                    <w:t>278</w:t>
                  </w:r>
                </w:p>
              </w:tc>
              <w:tc>
                <w:tcPr>
                  <w:tcW w:w="462"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506" w:type="pct"/>
                  <w:shd w:val="clear" w:color="auto" w:fill="auto"/>
                  <w:vAlign w:val="center"/>
                </w:tcPr>
                <w:p>
                  <w:pPr>
                    <w:pStyle w:val="24"/>
                    <w:rPr>
                      <w:rFonts w:hint="default"/>
                      <w:u w:val="single"/>
                      <w:lang w:val="en-US" w:eastAsia="zh-CN"/>
                    </w:rPr>
                  </w:pPr>
                  <w:r>
                    <w:rPr>
                      <w:rFonts w:hint="eastAsia"/>
                      <w:u w:val="single"/>
                      <w:lang w:val="en-US" w:eastAsia="zh-CN"/>
                    </w:rPr>
                    <w:t>52.1</w:t>
                  </w:r>
                </w:p>
              </w:tc>
              <w:tc>
                <w:tcPr>
                  <w:tcW w:w="425"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378" w:type="pct"/>
                  <w:shd w:val="clear" w:color="auto" w:fill="auto"/>
                  <w:vAlign w:val="center"/>
                </w:tcPr>
                <w:p>
                  <w:pPr>
                    <w:pStyle w:val="24"/>
                    <w:rPr>
                      <w:rFonts w:hint="default"/>
                      <w:u w:val="single"/>
                      <w:lang w:val="en-US" w:eastAsia="zh-CN"/>
                    </w:rPr>
                  </w:pPr>
                  <w:r>
                    <w:rPr>
                      <w:rFonts w:hint="eastAsia"/>
                      <w:u w:val="singl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rFonts w:hint="eastAsia"/>
                      <w:b/>
                      <w:bCs/>
                      <w:u w:val="single"/>
                    </w:rPr>
                  </w:pPr>
                </w:p>
              </w:tc>
              <w:tc>
                <w:tcPr>
                  <w:tcW w:w="436" w:type="pct"/>
                  <w:vMerge w:val="restart"/>
                  <w:shd w:val="clear" w:color="auto" w:fill="auto"/>
                  <w:vAlign w:val="center"/>
                </w:tcPr>
                <w:p>
                  <w:pPr>
                    <w:pStyle w:val="24"/>
                    <w:ind w:firstLine="0" w:firstLineChars="0"/>
                    <w:rPr>
                      <w:rFonts w:hint="eastAsia"/>
                      <w:u w:val="single"/>
                      <w:lang w:val="en-US" w:eastAsia="zh-CN"/>
                    </w:rPr>
                  </w:pPr>
                  <w:r>
                    <w:rPr>
                      <w:rFonts w:hint="eastAsia"/>
                      <w:u w:val="single"/>
                      <w:lang w:val="en-US" w:eastAsia="zh-CN"/>
                    </w:rPr>
                    <w:t>隔油池</w:t>
                  </w:r>
                </w:p>
              </w:tc>
              <w:tc>
                <w:tcPr>
                  <w:tcW w:w="526" w:type="pct"/>
                  <w:shd w:val="clear" w:color="auto" w:fill="auto"/>
                  <w:vAlign w:val="center"/>
                </w:tcPr>
                <w:p>
                  <w:pPr>
                    <w:pStyle w:val="24"/>
                    <w:ind w:firstLine="0" w:firstLineChars="0"/>
                    <w:rPr>
                      <w:rFonts w:hint="eastAsia" w:ascii="Times New Roman" w:hAnsi="Times New Roman" w:eastAsia="宋体" w:cs="Times New Roman"/>
                      <w:b/>
                      <w:bCs/>
                      <w:kern w:val="0"/>
                      <w:sz w:val="21"/>
                      <w:szCs w:val="20"/>
                      <w:u w:val="single"/>
                      <w:lang w:val="en-US" w:eastAsia="zh-CN" w:bidi="ar-SA"/>
                    </w:rPr>
                  </w:pPr>
                  <w:r>
                    <w:rPr>
                      <w:rFonts w:hint="eastAsia"/>
                      <w:u w:val="single"/>
                      <w:lang w:val="en-US" w:eastAsia="zh-CN"/>
                    </w:rPr>
                    <w:t>去除率</w:t>
                  </w:r>
                </w:p>
              </w:tc>
              <w:tc>
                <w:tcPr>
                  <w:tcW w:w="460" w:type="pct"/>
                  <w:vMerge w:val="continue"/>
                  <w:shd w:val="clear" w:color="auto" w:fill="auto"/>
                  <w:vAlign w:val="center"/>
                </w:tcPr>
                <w:p>
                  <w:pPr>
                    <w:pStyle w:val="24"/>
                    <w:rPr>
                      <w:rFonts w:hint="eastAsia"/>
                      <w:u w:val="single"/>
                      <w:lang w:val="en-US" w:eastAsia="zh-CN"/>
                    </w:rPr>
                  </w:pPr>
                </w:p>
              </w:tc>
              <w:tc>
                <w:tcPr>
                  <w:tcW w:w="527"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499"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446"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462"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506" w:type="pct"/>
                  <w:shd w:val="clear" w:color="auto" w:fill="auto"/>
                  <w:vAlign w:val="center"/>
                </w:tcPr>
                <w:p>
                  <w:pPr>
                    <w:pStyle w:val="24"/>
                    <w:rPr>
                      <w:rFonts w:hint="default"/>
                      <w:u w:val="single"/>
                      <w:lang w:val="en-US" w:eastAsia="zh-CN"/>
                    </w:rPr>
                  </w:pPr>
                  <w:r>
                    <w:rPr>
                      <w:rFonts w:hint="eastAsia"/>
                      <w:u w:val="single"/>
                      <w:lang w:val="en-US" w:eastAsia="zh-CN"/>
                    </w:rPr>
                    <w:t>30%</w:t>
                  </w:r>
                </w:p>
              </w:tc>
              <w:tc>
                <w:tcPr>
                  <w:tcW w:w="425" w:type="pct"/>
                  <w:shd w:val="clear" w:color="auto" w:fill="auto"/>
                  <w:vAlign w:val="center"/>
                </w:tcPr>
                <w:p>
                  <w:pPr>
                    <w:pStyle w:val="24"/>
                    <w:rPr>
                      <w:rFonts w:hint="default"/>
                      <w:u w:val="single"/>
                      <w:lang w:val="en-US" w:eastAsia="zh-CN"/>
                    </w:rPr>
                  </w:pPr>
                  <w:r>
                    <w:rPr>
                      <w:rFonts w:hint="eastAsia"/>
                      <w:u w:val="single"/>
                      <w:lang w:val="en-US" w:eastAsia="zh-CN"/>
                    </w:rPr>
                    <w:t>/</w:t>
                  </w:r>
                </w:p>
              </w:tc>
              <w:tc>
                <w:tcPr>
                  <w:tcW w:w="378" w:type="pct"/>
                  <w:shd w:val="clear" w:color="auto" w:fill="auto"/>
                  <w:vAlign w:val="center"/>
                </w:tcPr>
                <w:p>
                  <w:pPr>
                    <w:pStyle w:val="24"/>
                    <w:rPr>
                      <w:rFonts w:hint="default"/>
                      <w:u w:val="single"/>
                      <w:lang w:val="en-US" w:eastAsia="zh-CN"/>
                    </w:rPr>
                  </w:pPr>
                  <w:r>
                    <w:rPr>
                      <w:rFonts w:hint="eastAsia"/>
                      <w:u w:val="singl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rFonts w:hint="eastAsia"/>
                      <w:b/>
                      <w:bCs/>
                      <w:u w:val="single"/>
                    </w:rPr>
                  </w:pPr>
                </w:p>
              </w:tc>
              <w:tc>
                <w:tcPr>
                  <w:tcW w:w="436" w:type="pct"/>
                  <w:vMerge w:val="continue"/>
                  <w:shd w:val="clear" w:color="auto" w:fill="auto"/>
                  <w:vAlign w:val="center"/>
                </w:tcPr>
                <w:p>
                  <w:pPr>
                    <w:pStyle w:val="24"/>
                    <w:ind w:firstLine="0" w:firstLineChars="0"/>
                    <w:rPr>
                      <w:rFonts w:hint="eastAsia"/>
                      <w:u w:val="single"/>
                    </w:rPr>
                  </w:pPr>
                </w:p>
              </w:tc>
              <w:tc>
                <w:tcPr>
                  <w:tcW w:w="526" w:type="pct"/>
                  <w:shd w:val="clear" w:color="auto" w:fill="auto"/>
                  <w:vAlign w:val="center"/>
                </w:tcPr>
                <w:p>
                  <w:pPr>
                    <w:pStyle w:val="24"/>
                    <w:ind w:firstLine="0" w:firstLineChars="0"/>
                    <w:rPr>
                      <w:rFonts w:hint="eastAsia" w:ascii="Times New Roman" w:hAnsi="Times New Roman" w:eastAsia="宋体" w:cs="Times New Roman"/>
                      <w:b/>
                      <w:bCs/>
                      <w:kern w:val="0"/>
                      <w:sz w:val="21"/>
                      <w:szCs w:val="20"/>
                      <w:u w:val="single"/>
                      <w:lang w:val="en-US" w:eastAsia="zh-CN" w:bidi="ar-SA"/>
                    </w:rPr>
                  </w:pPr>
                  <w:r>
                    <w:rPr>
                      <w:rFonts w:hint="eastAsia"/>
                      <w:u w:val="single"/>
                    </w:rPr>
                    <w:t>排放浓度(</w:t>
                  </w:r>
                  <w:r>
                    <w:rPr>
                      <w:u w:val="single"/>
                    </w:rPr>
                    <w:t>mg/L</w:t>
                  </w:r>
                  <w:r>
                    <w:rPr>
                      <w:rFonts w:hint="eastAsia"/>
                      <w:u w:val="single"/>
                    </w:rPr>
                    <w:t>)</w:t>
                  </w:r>
                </w:p>
              </w:tc>
              <w:tc>
                <w:tcPr>
                  <w:tcW w:w="460" w:type="pct"/>
                  <w:vMerge w:val="continue"/>
                  <w:shd w:val="clear" w:color="auto" w:fill="auto"/>
                  <w:vAlign w:val="center"/>
                </w:tcPr>
                <w:p>
                  <w:pPr>
                    <w:pStyle w:val="24"/>
                    <w:rPr>
                      <w:rFonts w:hint="eastAsia"/>
                      <w:u w:val="single"/>
                      <w:lang w:val="en-US" w:eastAsia="zh-CN"/>
                    </w:rPr>
                  </w:pPr>
                </w:p>
              </w:tc>
              <w:tc>
                <w:tcPr>
                  <w:tcW w:w="527"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527</w:t>
                  </w:r>
                </w:p>
              </w:tc>
              <w:tc>
                <w:tcPr>
                  <w:tcW w:w="499"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153</w:t>
                  </w:r>
                </w:p>
              </w:tc>
              <w:tc>
                <w:tcPr>
                  <w:tcW w:w="446"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278</w:t>
                  </w:r>
                </w:p>
              </w:tc>
              <w:tc>
                <w:tcPr>
                  <w:tcW w:w="462"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w:t>
                  </w:r>
                </w:p>
              </w:tc>
              <w:tc>
                <w:tcPr>
                  <w:tcW w:w="506" w:type="pct"/>
                  <w:shd w:val="clear" w:color="auto" w:fill="auto"/>
                  <w:vAlign w:val="center"/>
                </w:tcPr>
                <w:p>
                  <w:pPr>
                    <w:pStyle w:val="24"/>
                    <w:ind w:firstLine="0" w:firstLineChars="0"/>
                    <w:rPr>
                      <w:rFonts w:hint="default" w:ascii="Times New Roman" w:hAnsi="Times New Roman" w:eastAsia="宋体" w:cs="Times New Roman"/>
                      <w:kern w:val="0"/>
                      <w:sz w:val="21"/>
                      <w:szCs w:val="20"/>
                      <w:u w:val="single"/>
                      <w:lang w:val="en-US" w:eastAsia="zh-CN" w:bidi="ar-SA"/>
                    </w:rPr>
                  </w:pPr>
                  <w:r>
                    <w:rPr>
                      <w:rFonts w:hint="eastAsia" w:cs="Times New Roman"/>
                      <w:kern w:val="0"/>
                      <w:sz w:val="21"/>
                      <w:szCs w:val="20"/>
                      <w:u w:val="single"/>
                      <w:lang w:val="en-US" w:eastAsia="zh-CN" w:bidi="ar-SA"/>
                    </w:rPr>
                    <w:t>36.5</w:t>
                  </w:r>
                </w:p>
              </w:tc>
              <w:tc>
                <w:tcPr>
                  <w:tcW w:w="425"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w:t>
                  </w:r>
                </w:p>
              </w:tc>
              <w:tc>
                <w:tcPr>
                  <w:tcW w:w="378" w:type="pct"/>
                  <w:shd w:val="clear" w:color="auto" w:fill="auto"/>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restart"/>
                  <w:shd w:val="clear" w:color="auto" w:fill="auto"/>
                  <w:vAlign w:val="center"/>
                </w:tcPr>
                <w:p>
                  <w:pPr>
                    <w:pStyle w:val="24"/>
                    <w:jc w:val="both"/>
                    <w:rPr>
                      <w:rFonts w:hint="default" w:eastAsia="宋体"/>
                      <w:u w:val="single"/>
                      <w:lang w:val="en-US" w:eastAsia="zh-CN"/>
                    </w:rPr>
                  </w:pPr>
                  <w:r>
                    <w:rPr>
                      <w:rFonts w:hint="eastAsia"/>
                      <w:u w:val="single"/>
                      <w:lang w:val="en-US" w:eastAsia="zh-CN"/>
                    </w:rPr>
                    <w:t>综合</w:t>
                  </w:r>
                  <w:r>
                    <w:rPr>
                      <w:rFonts w:hint="eastAsia"/>
                      <w:u w:val="single"/>
                    </w:rPr>
                    <w:t>废水</w:t>
                  </w:r>
                </w:p>
              </w:tc>
              <w:tc>
                <w:tcPr>
                  <w:tcW w:w="963" w:type="pct"/>
                  <w:gridSpan w:val="2"/>
                  <w:shd w:val="clear" w:color="auto" w:fill="auto"/>
                  <w:vAlign w:val="center"/>
                </w:tcPr>
                <w:p>
                  <w:pPr>
                    <w:pStyle w:val="24"/>
                    <w:rPr>
                      <w:u w:val="single"/>
                    </w:rPr>
                  </w:pPr>
                  <w:r>
                    <w:rPr>
                      <w:rFonts w:hint="eastAsia"/>
                      <w:u w:val="single"/>
                    </w:rPr>
                    <w:t>产生浓度(</w:t>
                  </w:r>
                  <w:r>
                    <w:rPr>
                      <w:u w:val="single"/>
                    </w:rPr>
                    <w:t>mg/L</w:t>
                  </w:r>
                  <w:r>
                    <w:rPr>
                      <w:rFonts w:hint="eastAsia"/>
                      <w:u w:val="single"/>
                    </w:rPr>
                    <w:t>)</w:t>
                  </w:r>
                </w:p>
              </w:tc>
              <w:tc>
                <w:tcPr>
                  <w:tcW w:w="460" w:type="pct"/>
                  <w:vMerge w:val="restart"/>
                  <w:shd w:val="clear" w:color="auto" w:fill="auto"/>
                  <w:vAlign w:val="center"/>
                </w:tcPr>
                <w:p>
                  <w:pPr>
                    <w:pStyle w:val="24"/>
                    <w:rPr>
                      <w:rFonts w:hint="default"/>
                      <w:u w:val="single"/>
                      <w:lang w:val="en-US" w:eastAsia="zh-CN"/>
                    </w:rPr>
                  </w:pPr>
                  <w:r>
                    <w:rPr>
                      <w:rFonts w:hint="eastAsia"/>
                      <w:u w:val="single"/>
                      <w:lang w:val="en-US" w:eastAsia="zh-CN"/>
                    </w:rPr>
                    <w:t>292.6</w:t>
                  </w:r>
                </w:p>
              </w:tc>
              <w:tc>
                <w:tcPr>
                  <w:tcW w:w="527" w:type="pct"/>
                  <w:shd w:val="clear" w:color="auto" w:fill="auto"/>
                  <w:vAlign w:val="center"/>
                </w:tcPr>
                <w:p>
                  <w:pPr>
                    <w:pStyle w:val="24"/>
                    <w:rPr>
                      <w:rFonts w:hint="default"/>
                      <w:u w:val="single"/>
                      <w:lang w:val="en-US" w:eastAsia="zh-CN"/>
                    </w:rPr>
                  </w:pPr>
                  <w:r>
                    <w:rPr>
                      <w:rFonts w:hint="eastAsia"/>
                      <w:u w:val="single"/>
                      <w:lang w:val="en-US" w:eastAsia="zh-CN"/>
                    </w:rPr>
                    <w:t>415.0</w:t>
                  </w:r>
                </w:p>
              </w:tc>
              <w:tc>
                <w:tcPr>
                  <w:tcW w:w="499" w:type="pct"/>
                  <w:shd w:val="clear" w:color="auto" w:fill="auto"/>
                  <w:vAlign w:val="center"/>
                </w:tcPr>
                <w:p>
                  <w:pPr>
                    <w:pStyle w:val="24"/>
                    <w:rPr>
                      <w:rFonts w:hint="eastAsia"/>
                      <w:u w:val="single"/>
                      <w:lang w:val="en-US" w:eastAsia="zh-CN"/>
                    </w:rPr>
                  </w:pPr>
                  <w:r>
                    <w:rPr>
                      <w:rFonts w:hint="eastAsia"/>
                      <w:u w:val="single"/>
                      <w:lang w:val="en-US" w:eastAsia="zh-CN"/>
                    </w:rPr>
                    <w:t>185.3</w:t>
                  </w:r>
                </w:p>
              </w:tc>
              <w:tc>
                <w:tcPr>
                  <w:tcW w:w="446" w:type="pct"/>
                  <w:shd w:val="clear" w:color="auto" w:fill="auto"/>
                  <w:vAlign w:val="center"/>
                </w:tcPr>
                <w:p>
                  <w:pPr>
                    <w:pStyle w:val="24"/>
                    <w:rPr>
                      <w:rFonts w:hint="eastAsia"/>
                      <w:u w:val="single"/>
                      <w:lang w:val="en-US" w:eastAsia="zh-CN"/>
                    </w:rPr>
                  </w:pPr>
                  <w:r>
                    <w:rPr>
                      <w:rFonts w:hint="eastAsia"/>
                      <w:u w:val="single"/>
                      <w:lang w:val="en-US" w:eastAsia="zh-CN"/>
                    </w:rPr>
                    <w:t>207.1</w:t>
                  </w:r>
                </w:p>
              </w:tc>
              <w:tc>
                <w:tcPr>
                  <w:tcW w:w="462" w:type="pct"/>
                  <w:shd w:val="clear" w:color="auto" w:fill="auto"/>
                  <w:vAlign w:val="center"/>
                </w:tcPr>
                <w:p>
                  <w:pPr>
                    <w:pStyle w:val="24"/>
                    <w:rPr>
                      <w:rFonts w:hint="eastAsia"/>
                      <w:u w:val="single"/>
                      <w:lang w:val="en-US" w:eastAsia="zh-CN"/>
                    </w:rPr>
                  </w:pPr>
                  <w:r>
                    <w:rPr>
                      <w:rFonts w:hint="eastAsia"/>
                      <w:u w:val="single"/>
                      <w:lang w:val="en-US" w:eastAsia="zh-CN"/>
                    </w:rPr>
                    <w:t>12.6</w:t>
                  </w:r>
                </w:p>
              </w:tc>
              <w:tc>
                <w:tcPr>
                  <w:tcW w:w="506" w:type="pct"/>
                  <w:shd w:val="clear" w:color="auto" w:fill="auto"/>
                  <w:vAlign w:val="center"/>
                </w:tcPr>
                <w:p>
                  <w:pPr>
                    <w:pStyle w:val="24"/>
                    <w:rPr>
                      <w:rFonts w:hint="eastAsia"/>
                      <w:u w:val="single"/>
                      <w:lang w:val="en-US" w:eastAsia="zh-CN"/>
                    </w:rPr>
                  </w:pPr>
                  <w:r>
                    <w:rPr>
                      <w:rFonts w:hint="eastAsia"/>
                      <w:u w:val="single"/>
                      <w:lang w:val="en-US" w:eastAsia="zh-CN"/>
                    </w:rPr>
                    <w:t>12.5</w:t>
                  </w:r>
                </w:p>
              </w:tc>
              <w:tc>
                <w:tcPr>
                  <w:tcW w:w="425" w:type="pct"/>
                  <w:shd w:val="clear" w:color="auto" w:fill="auto"/>
                  <w:vAlign w:val="center"/>
                </w:tcPr>
                <w:p>
                  <w:pPr>
                    <w:pStyle w:val="24"/>
                    <w:rPr>
                      <w:rFonts w:hint="eastAsia"/>
                      <w:u w:val="single"/>
                      <w:lang w:val="en-US" w:eastAsia="zh-CN"/>
                    </w:rPr>
                  </w:pPr>
                  <w:r>
                    <w:rPr>
                      <w:rFonts w:hint="eastAsia"/>
                      <w:u w:val="single"/>
                      <w:lang w:val="en-US" w:eastAsia="zh-CN"/>
                    </w:rPr>
                    <w:t>10.3</w:t>
                  </w:r>
                </w:p>
              </w:tc>
              <w:tc>
                <w:tcPr>
                  <w:tcW w:w="378" w:type="pct"/>
                  <w:shd w:val="clear" w:color="auto" w:fill="auto"/>
                  <w:vAlign w:val="center"/>
                </w:tcPr>
                <w:p>
                  <w:pPr>
                    <w:pStyle w:val="24"/>
                    <w:rPr>
                      <w:rFonts w:hint="eastAsia"/>
                      <w:u w:val="single"/>
                      <w:lang w:val="en-US" w:eastAsia="zh-CN"/>
                    </w:rPr>
                  </w:pPr>
                  <w:r>
                    <w:rPr>
                      <w:rFonts w:hint="eastAsia"/>
                      <w:u w:val="single"/>
                      <w:lang w:val="en-US" w:eastAsia="zh-CN"/>
                    </w:rPr>
                    <w:t>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u w:val="single"/>
                    </w:rPr>
                  </w:pPr>
                </w:p>
              </w:tc>
              <w:tc>
                <w:tcPr>
                  <w:tcW w:w="963" w:type="pct"/>
                  <w:gridSpan w:val="2"/>
                  <w:shd w:val="clear" w:color="auto" w:fill="auto"/>
                  <w:vAlign w:val="center"/>
                </w:tcPr>
                <w:p>
                  <w:pPr>
                    <w:pStyle w:val="24"/>
                    <w:rPr>
                      <w:u w:val="single"/>
                    </w:rPr>
                  </w:pPr>
                  <w:r>
                    <w:rPr>
                      <w:rFonts w:hint="eastAsia"/>
                      <w:u w:val="single"/>
                    </w:rPr>
                    <w:t>产生量（t/a）</w:t>
                  </w:r>
                </w:p>
              </w:tc>
              <w:tc>
                <w:tcPr>
                  <w:tcW w:w="460" w:type="pct"/>
                  <w:vMerge w:val="continue"/>
                  <w:shd w:val="clear" w:color="auto" w:fill="auto"/>
                  <w:vAlign w:val="center"/>
                </w:tcPr>
                <w:p>
                  <w:pPr>
                    <w:pStyle w:val="24"/>
                    <w:rPr>
                      <w:u w:val="single"/>
                    </w:rPr>
                  </w:pPr>
                </w:p>
              </w:tc>
              <w:tc>
                <w:tcPr>
                  <w:tcW w:w="527" w:type="pct"/>
                  <w:shd w:val="clear" w:color="auto" w:fill="auto"/>
                  <w:vAlign w:val="center"/>
                </w:tcPr>
                <w:p>
                  <w:pPr>
                    <w:pStyle w:val="24"/>
                    <w:rPr>
                      <w:rFonts w:hint="eastAsia"/>
                      <w:u w:val="single"/>
                      <w:lang w:val="en-US" w:eastAsia="zh-CN"/>
                    </w:rPr>
                  </w:pPr>
                  <w:r>
                    <w:rPr>
                      <w:rFonts w:hint="eastAsia"/>
                      <w:u w:val="single"/>
                      <w:lang w:val="en-US" w:eastAsia="zh-CN"/>
                    </w:rPr>
                    <w:t>0.121</w:t>
                  </w:r>
                </w:p>
              </w:tc>
              <w:tc>
                <w:tcPr>
                  <w:tcW w:w="499" w:type="pct"/>
                  <w:shd w:val="clear" w:color="auto" w:fill="auto"/>
                  <w:vAlign w:val="center"/>
                </w:tcPr>
                <w:p>
                  <w:pPr>
                    <w:pStyle w:val="24"/>
                    <w:rPr>
                      <w:rFonts w:hint="eastAsia"/>
                      <w:u w:val="single"/>
                      <w:lang w:val="en-US" w:eastAsia="zh-CN"/>
                    </w:rPr>
                  </w:pPr>
                  <w:r>
                    <w:rPr>
                      <w:rFonts w:hint="eastAsia"/>
                      <w:u w:val="single"/>
                      <w:lang w:val="en-US" w:eastAsia="zh-CN"/>
                    </w:rPr>
                    <w:t>0.054</w:t>
                  </w:r>
                </w:p>
              </w:tc>
              <w:tc>
                <w:tcPr>
                  <w:tcW w:w="446" w:type="pct"/>
                  <w:shd w:val="clear" w:color="auto" w:fill="auto"/>
                  <w:vAlign w:val="center"/>
                </w:tcPr>
                <w:p>
                  <w:pPr>
                    <w:pStyle w:val="24"/>
                    <w:rPr>
                      <w:rFonts w:hint="eastAsia"/>
                      <w:u w:val="single"/>
                      <w:lang w:val="en-US" w:eastAsia="zh-CN"/>
                    </w:rPr>
                  </w:pPr>
                  <w:r>
                    <w:rPr>
                      <w:rFonts w:hint="eastAsia"/>
                      <w:u w:val="single"/>
                      <w:lang w:val="en-US" w:eastAsia="zh-CN"/>
                    </w:rPr>
                    <w:t>0.061</w:t>
                  </w:r>
                </w:p>
              </w:tc>
              <w:tc>
                <w:tcPr>
                  <w:tcW w:w="462" w:type="pct"/>
                  <w:shd w:val="clear" w:color="auto" w:fill="auto"/>
                  <w:vAlign w:val="center"/>
                </w:tcPr>
                <w:p>
                  <w:pPr>
                    <w:pStyle w:val="24"/>
                    <w:rPr>
                      <w:rFonts w:hint="eastAsia"/>
                      <w:u w:val="single"/>
                      <w:lang w:val="en-US" w:eastAsia="zh-CN"/>
                    </w:rPr>
                  </w:pPr>
                  <w:r>
                    <w:rPr>
                      <w:rFonts w:hint="eastAsia"/>
                      <w:u w:val="single"/>
                      <w:lang w:val="en-US" w:eastAsia="zh-CN"/>
                    </w:rPr>
                    <w:t>0.004</w:t>
                  </w:r>
                </w:p>
              </w:tc>
              <w:tc>
                <w:tcPr>
                  <w:tcW w:w="506" w:type="pct"/>
                  <w:shd w:val="clear" w:color="auto" w:fill="auto"/>
                  <w:vAlign w:val="center"/>
                </w:tcPr>
                <w:p>
                  <w:pPr>
                    <w:pStyle w:val="24"/>
                    <w:rPr>
                      <w:rFonts w:hint="eastAsia"/>
                      <w:u w:val="single"/>
                      <w:lang w:val="en-US" w:eastAsia="zh-CN"/>
                    </w:rPr>
                  </w:pPr>
                  <w:r>
                    <w:rPr>
                      <w:rFonts w:hint="eastAsia"/>
                      <w:u w:val="single"/>
                      <w:lang w:val="en-US" w:eastAsia="zh-CN"/>
                    </w:rPr>
                    <w:t>0.004</w:t>
                  </w:r>
                </w:p>
              </w:tc>
              <w:tc>
                <w:tcPr>
                  <w:tcW w:w="425" w:type="pct"/>
                  <w:shd w:val="clear" w:color="auto" w:fill="auto"/>
                  <w:vAlign w:val="center"/>
                </w:tcPr>
                <w:p>
                  <w:pPr>
                    <w:pStyle w:val="24"/>
                    <w:rPr>
                      <w:rFonts w:hint="eastAsia"/>
                      <w:u w:val="single"/>
                      <w:lang w:val="en-US" w:eastAsia="zh-CN"/>
                    </w:rPr>
                  </w:pPr>
                  <w:r>
                    <w:rPr>
                      <w:rFonts w:hint="eastAsia"/>
                      <w:u w:val="single"/>
                      <w:lang w:val="en-US" w:eastAsia="zh-CN"/>
                    </w:rPr>
                    <w:t>0.003</w:t>
                  </w:r>
                </w:p>
              </w:tc>
              <w:tc>
                <w:tcPr>
                  <w:tcW w:w="378" w:type="pct"/>
                  <w:shd w:val="clear" w:color="auto" w:fill="auto"/>
                  <w:vAlign w:val="center"/>
                </w:tcPr>
                <w:p>
                  <w:pPr>
                    <w:pStyle w:val="24"/>
                    <w:rPr>
                      <w:rFonts w:hint="eastAsia"/>
                      <w:u w:val="single"/>
                      <w:lang w:val="en-US" w:eastAsia="zh-CN"/>
                    </w:rPr>
                  </w:pPr>
                  <w:r>
                    <w:rPr>
                      <w:rFonts w:hint="eastAsia"/>
                      <w:u w:val="single"/>
                      <w:lang w:val="en-US" w:eastAsia="zh-CN"/>
                    </w:rPr>
                    <w:t>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u w:val="single"/>
                    </w:rPr>
                  </w:pPr>
                </w:p>
              </w:tc>
              <w:tc>
                <w:tcPr>
                  <w:tcW w:w="436" w:type="pct"/>
                  <w:vMerge w:val="restart"/>
                  <w:shd w:val="clear" w:color="auto" w:fill="auto"/>
                  <w:vAlign w:val="center"/>
                </w:tcPr>
                <w:p>
                  <w:pPr>
                    <w:pStyle w:val="24"/>
                    <w:rPr>
                      <w:rFonts w:hint="default" w:eastAsia="宋体"/>
                      <w:u w:val="single"/>
                      <w:lang w:val="en-US" w:eastAsia="zh-CN"/>
                    </w:rPr>
                  </w:pPr>
                  <w:r>
                    <w:rPr>
                      <w:rFonts w:hint="eastAsia"/>
                      <w:u w:val="single"/>
                      <w:lang w:val="en-US" w:eastAsia="zh-CN"/>
                    </w:rPr>
                    <w:t>调节池+一体化处理设施</w:t>
                  </w:r>
                </w:p>
              </w:tc>
              <w:tc>
                <w:tcPr>
                  <w:tcW w:w="526" w:type="pct"/>
                  <w:shd w:val="clear" w:color="auto" w:fill="auto"/>
                  <w:vAlign w:val="center"/>
                </w:tcPr>
                <w:p>
                  <w:pPr>
                    <w:pStyle w:val="24"/>
                    <w:rPr>
                      <w:rFonts w:hint="eastAsia"/>
                      <w:u w:val="single"/>
                      <w:lang w:val="en-US" w:eastAsia="zh-CN"/>
                    </w:rPr>
                  </w:pPr>
                  <w:r>
                    <w:rPr>
                      <w:rFonts w:hint="eastAsia"/>
                      <w:u w:val="single"/>
                      <w:lang w:val="en-US" w:eastAsia="zh-CN"/>
                    </w:rPr>
                    <w:t>去除率</w:t>
                  </w:r>
                </w:p>
              </w:tc>
              <w:tc>
                <w:tcPr>
                  <w:tcW w:w="460" w:type="pct"/>
                  <w:vMerge w:val="continue"/>
                  <w:shd w:val="clear" w:color="auto" w:fill="auto"/>
                  <w:vAlign w:val="center"/>
                </w:tcPr>
                <w:p>
                  <w:pPr>
                    <w:pStyle w:val="24"/>
                    <w:rPr>
                      <w:u w:val="single"/>
                    </w:rPr>
                  </w:pPr>
                </w:p>
              </w:tc>
              <w:tc>
                <w:tcPr>
                  <w:tcW w:w="527" w:type="pct"/>
                  <w:shd w:val="clear" w:color="auto" w:fill="auto"/>
                  <w:vAlign w:val="center"/>
                </w:tcPr>
                <w:p>
                  <w:pPr>
                    <w:pStyle w:val="24"/>
                    <w:rPr>
                      <w:rFonts w:hint="eastAsia"/>
                      <w:u w:val="single"/>
                      <w:lang w:val="en-US" w:eastAsia="zh-CN"/>
                    </w:rPr>
                  </w:pPr>
                  <w:r>
                    <w:rPr>
                      <w:rFonts w:hint="eastAsia"/>
                      <w:u w:val="single"/>
                      <w:lang w:val="en-US" w:eastAsia="zh-CN"/>
                    </w:rPr>
                    <w:t>20%</w:t>
                  </w:r>
                </w:p>
              </w:tc>
              <w:tc>
                <w:tcPr>
                  <w:tcW w:w="499" w:type="pct"/>
                  <w:shd w:val="clear" w:color="auto" w:fill="auto"/>
                  <w:vAlign w:val="center"/>
                </w:tcPr>
                <w:p>
                  <w:pPr>
                    <w:pStyle w:val="24"/>
                    <w:rPr>
                      <w:rFonts w:hint="eastAsia"/>
                      <w:u w:val="single"/>
                      <w:lang w:val="en-US" w:eastAsia="zh-CN"/>
                    </w:rPr>
                  </w:pPr>
                  <w:r>
                    <w:rPr>
                      <w:rFonts w:hint="eastAsia"/>
                      <w:u w:val="single"/>
                      <w:lang w:val="en-US" w:eastAsia="zh-CN"/>
                    </w:rPr>
                    <w:t>17%</w:t>
                  </w:r>
                </w:p>
              </w:tc>
              <w:tc>
                <w:tcPr>
                  <w:tcW w:w="446" w:type="pct"/>
                  <w:shd w:val="clear" w:color="auto" w:fill="auto"/>
                  <w:vAlign w:val="center"/>
                </w:tcPr>
                <w:p>
                  <w:pPr>
                    <w:pStyle w:val="24"/>
                    <w:rPr>
                      <w:rFonts w:hint="eastAsia"/>
                      <w:u w:val="single"/>
                      <w:lang w:val="en-US" w:eastAsia="zh-CN"/>
                    </w:rPr>
                  </w:pPr>
                  <w:r>
                    <w:rPr>
                      <w:rFonts w:hint="eastAsia"/>
                      <w:u w:val="single"/>
                      <w:lang w:val="en-US" w:eastAsia="zh-CN"/>
                    </w:rPr>
                    <w:t>20%</w:t>
                  </w:r>
                </w:p>
              </w:tc>
              <w:tc>
                <w:tcPr>
                  <w:tcW w:w="462" w:type="pct"/>
                  <w:shd w:val="clear" w:color="auto" w:fill="auto"/>
                  <w:vAlign w:val="center"/>
                </w:tcPr>
                <w:p>
                  <w:pPr>
                    <w:pStyle w:val="24"/>
                    <w:rPr>
                      <w:rFonts w:hint="eastAsia"/>
                      <w:u w:val="single"/>
                      <w:lang w:val="en-US" w:eastAsia="zh-CN"/>
                    </w:rPr>
                  </w:pPr>
                  <w:r>
                    <w:rPr>
                      <w:rFonts w:hint="eastAsia"/>
                      <w:u w:val="single"/>
                      <w:lang w:val="en-US" w:eastAsia="zh-CN"/>
                    </w:rPr>
                    <w:t>/</w:t>
                  </w:r>
                </w:p>
              </w:tc>
              <w:tc>
                <w:tcPr>
                  <w:tcW w:w="506" w:type="pct"/>
                  <w:shd w:val="clear" w:color="auto" w:fill="auto"/>
                  <w:vAlign w:val="center"/>
                </w:tcPr>
                <w:p>
                  <w:pPr>
                    <w:pStyle w:val="24"/>
                    <w:rPr>
                      <w:rFonts w:hint="eastAsia"/>
                      <w:u w:val="single"/>
                      <w:lang w:val="en-US" w:eastAsia="zh-CN"/>
                    </w:rPr>
                  </w:pPr>
                  <w:r>
                    <w:rPr>
                      <w:rFonts w:hint="eastAsia"/>
                      <w:u w:val="single"/>
                      <w:lang w:val="en-US" w:eastAsia="zh-CN"/>
                    </w:rPr>
                    <w:t>/</w:t>
                  </w:r>
                </w:p>
              </w:tc>
              <w:tc>
                <w:tcPr>
                  <w:tcW w:w="425" w:type="pct"/>
                  <w:shd w:val="clear" w:color="auto" w:fill="auto"/>
                  <w:vAlign w:val="center"/>
                </w:tcPr>
                <w:p>
                  <w:pPr>
                    <w:pStyle w:val="24"/>
                    <w:rPr>
                      <w:rFonts w:hint="eastAsia"/>
                      <w:u w:val="single"/>
                      <w:lang w:val="en-US" w:eastAsia="zh-CN"/>
                    </w:rPr>
                  </w:pPr>
                  <w:r>
                    <w:rPr>
                      <w:rFonts w:hint="eastAsia"/>
                      <w:u w:val="single"/>
                      <w:lang w:val="en-US" w:eastAsia="zh-CN"/>
                    </w:rPr>
                    <w:t>/</w:t>
                  </w:r>
                </w:p>
              </w:tc>
              <w:tc>
                <w:tcPr>
                  <w:tcW w:w="378" w:type="pct"/>
                  <w:shd w:val="clear" w:color="auto" w:fill="auto"/>
                  <w:vAlign w:val="center"/>
                </w:tcPr>
                <w:p>
                  <w:pPr>
                    <w:pStyle w:val="24"/>
                    <w:rPr>
                      <w:rFonts w:hint="default"/>
                      <w:u w:val="single"/>
                      <w:lang w:val="en-US" w:eastAsia="zh-CN"/>
                    </w:rPr>
                  </w:pPr>
                  <w:r>
                    <w:rPr>
                      <w:rFonts w:hint="eastAsia"/>
                      <w:u w:val="singl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u w:val="single"/>
                    </w:rPr>
                  </w:pPr>
                </w:p>
              </w:tc>
              <w:tc>
                <w:tcPr>
                  <w:tcW w:w="436" w:type="pct"/>
                  <w:vMerge w:val="continue"/>
                  <w:shd w:val="clear" w:color="auto" w:fill="auto"/>
                  <w:vAlign w:val="center"/>
                </w:tcPr>
                <w:p>
                  <w:pPr>
                    <w:pStyle w:val="24"/>
                    <w:rPr>
                      <w:rFonts w:hint="default" w:eastAsia="宋体"/>
                      <w:u w:val="single"/>
                      <w:lang w:val="en-US" w:eastAsia="zh-CN"/>
                    </w:rPr>
                  </w:pPr>
                </w:p>
              </w:tc>
              <w:tc>
                <w:tcPr>
                  <w:tcW w:w="526" w:type="pct"/>
                  <w:shd w:val="clear" w:color="auto" w:fill="auto"/>
                  <w:vAlign w:val="center"/>
                </w:tcPr>
                <w:p>
                  <w:pPr>
                    <w:pStyle w:val="24"/>
                    <w:rPr>
                      <w:u w:val="single"/>
                    </w:rPr>
                  </w:pPr>
                  <w:r>
                    <w:rPr>
                      <w:rFonts w:hint="eastAsia"/>
                      <w:u w:val="single"/>
                    </w:rPr>
                    <w:t>排放浓度(</w:t>
                  </w:r>
                  <w:r>
                    <w:rPr>
                      <w:u w:val="single"/>
                    </w:rPr>
                    <w:t>mg/L</w:t>
                  </w:r>
                  <w:r>
                    <w:rPr>
                      <w:rFonts w:hint="eastAsia"/>
                      <w:u w:val="single"/>
                    </w:rPr>
                    <w:t>)</w:t>
                  </w:r>
                </w:p>
              </w:tc>
              <w:tc>
                <w:tcPr>
                  <w:tcW w:w="460" w:type="pct"/>
                  <w:vMerge w:val="continue"/>
                  <w:shd w:val="clear" w:color="auto" w:fill="auto"/>
                  <w:vAlign w:val="center"/>
                </w:tcPr>
                <w:p>
                  <w:pPr>
                    <w:pStyle w:val="24"/>
                    <w:rPr>
                      <w:u w:val="single"/>
                    </w:rPr>
                  </w:pPr>
                </w:p>
              </w:tc>
              <w:tc>
                <w:tcPr>
                  <w:tcW w:w="527" w:type="pct"/>
                  <w:shd w:val="clear" w:color="auto" w:fill="auto"/>
                  <w:vAlign w:val="center"/>
                </w:tcPr>
                <w:p>
                  <w:pPr>
                    <w:pStyle w:val="24"/>
                    <w:rPr>
                      <w:rFonts w:hint="default"/>
                      <w:u w:val="single"/>
                      <w:lang w:val="en-US" w:eastAsia="zh-CN"/>
                    </w:rPr>
                  </w:pPr>
                  <w:r>
                    <w:rPr>
                      <w:rFonts w:hint="eastAsia"/>
                      <w:u w:val="single"/>
                      <w:lang w:val="en-US" w:eastAsia="zh-CN"/>
                    </w:rPr>
                    <w:t>332.0</w:t>
                  </w:r>
                </w:p>
              </w:tc>
              <w:tc>
                <w:tcPr>
                  <w:tcW w:w="499" w:type="pct"/>
                  <w:shd w:val="clear" w:color="auto" w:fill="auto"/>
                  <w:vAlign w:val="center"/>
                </w:tcPr>
                <w:p>
                  <w:pPr>
                    <w:pStyle w:val="24"/>
                    <w:rPr>
                      <w:rFonts w:hint="eastAsia"/>
                      <w:u w:val="single"/>
                      <w:lang w:val="en-US" w:eastAsia="zh-CN"/>
                    </w:rPr>
                  </w:pPr>
                  <w:r>
                    <w:rPr>
                      <w:rFonts w:hint="eastAsia"/>
                      <w:u w:val="single"/>
                      <w:lang w:val="en-US" w:eastAsia="zh-CN"/>
                    </w:rPr>
                    <w:t>153.8</w:t>
                  </w:r>
                </w:p>
              </w:tc>
              <w:tc>
                <w:tcPr>
                  <w:tcW w:w="446" w:type="pct"/>
                  <w:shd w:val="clear" w:color="auto" w:fill="auto"/>
                  <w:vAlign w:val="center"/>
                </w:tcPr>
                <w:p>
                  <w:pPr>
                    <w:pStyle w:val="24"/>
                    <w:rPr>
                      <w:rFonts w:hint="eastAsia"/>
                      <w:u w:val="single"/>
                      <w:lang w:val="en-US" w:eastAsia="zh-CN"/>
                    </w:rPr>
                  </w:pPr>
                  <w:r>
                    <w:rPr>
                      <w:rFonts w:hint="eastAsia"/>
                      <w:u w:val="single"/>
                      <w:lang w:val="en-US" w:eastAsia="zh-CN"/>
                    </w:rPr>
                    <w:t>165.7</w:t>
                  </w:r>
                </w:p>
              </w:tc>
              <w:tc>
                <w:tcPr>
                  <w:tcW w:w="462" w:type="pct"/>
                  <w:shd w:val="clear" w:color="auto" w:fill="auto"/>
                  <w:vAlign w:val="center"/>
                </w:tcPr>
                <w:p>
                  <w:pPr>
                    <w:pStyle w:val="24"/>
                    <w:rPr>
                      <w:rFonts w:hint="eastAsia"/>
                      <w:u w:val="single"/>
                      <w:lang w:val="en-US" w:eastAsia="zh-CN"/>
                    </w:rPr>
                  </w:pPr>
                  <w:r>
                    <w:rPr>
                      <w:rFonts w:hint="eastAsia"/>
                      <w:u w:val="single"/>
                      <w:lang w:val="en-US" w:eastAsia="zh-CN"/>
                    </w:rPr>
                    <w:t>12.6</w:t>
                  </w:r>
                </w:p>
              </w:tc>
              <w:tc>
                <w:tcPr>
                  <w:tcW w:w="506" w:type="pct"/>
                  <w:shd w:val="clear" w:color="auto" w:fill="auto"/>
                  <w:vAlign w:val="center"/>
                </w:tcPr>
                <w:p>
                  <w:pPr>
                    <w:pStyle w:val="24"/>
                    <w:rPr>
                      <w:rFonts w:hint="eastAsia"/>
                      <w:u w:val="single"/>
                      <w:lang w:val="en-US" w:eastAsia="zh-CN"/>
                    </w:rPr>
                  </w:pPr>
                  <w:r>
                    <w:rPr>
                      <w:rFonts w:hint="eastAsia"/>
                      <w:u w:val="single"/>
                      <w:lang w:val="en-US" w:eastAsia="zh-CN"/>
                    </w:rPr>
                    <w:t>12.5</w:t>
                  </w:r>
                </w:p>
              </w:tc>
              <w:tc>
                <w:tcPr>
                  <w:tcW w:w="425" w:type="pct"/>
                  <w:shd w:val="clear" w:color="auto" w:fill="auto"/>
                  <w:vAlign w:val="center"/>
                </w:tcPr>
                <w:p>
                  <w:pPr>
                    <w:pStyle w:val="24"/>
                    <w:rPr>
                      <w:rFonts w:hint="eastAsia"/>
                      <w:u w:val="single"/>
                      <w:lang w:val="en-US" w:eastAsia="zh-CN"/>
                    </w:rPr>
                  </w:pPr>
                  <w:r>
                    <w:rPr>
                      <w:rFonts w:hint="eastAsia"/>
                      <w:u w:val="single"/>
                      <w:lang w:val="en-US" w:eastAsia="zh-CN"/>
                    </w:rPr>
                    <w:t>10.3</w:t>
                  </w:r>
                </w:p>
              </w:tc>
              <w:tc>
                <w:tcPr>
                  <w:tcW w:w="378" w:type="pct"/>
                  <w:shd w:val="clear" w:color="auto" w:fill="auto"/>
                  <w:vAlign w:val="center"/>
                </w:tcPr>
                <w:p>
                  <w:pPr>
                    <w:pStyle w:val="24"/>
                    <w:rPr>
                      <w:rFonts w:hint="eastAsia"/>
                      <w:u w:val="single"/>
                      <w:lang w:val="en-US" w:eastAsia="zh-CN"/>
                    </w:rPr>
                  </w:pPr>
                  <w:r>
                    <w:rPr>
                      <w:rFonts w:hint="eastAsia"/>
                      <w:u w:val="singl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0" w:type="pct"/>
                  <w:vMerge w:val="continue"/>
                  <w:shd w:val="clear" w:color="auto" w:fill="auto"/>
                  <w:vAlign w:val="center"/>
                </w:tcPr>
                <w:p>
                  <w:pPr>
                    <w:pStyle w:val="24"/>
                    <w:rPr>
                      <w:u w:val="single"/>
                    </w:rPr>
                  </w:pPr>
                </w:p>
              </w:tc>
              <w:tc>
                <w:tcPr>
                  <w:tcW w:w="436" w:type="pct"/>
                  <w:vMerge w:val="continue"/>
                  <w:shd w:val="clear" w:color="auto" w:fill="auto"/>
                  <w:vAlign w:val="center"/>
                </w:tcPr>
                <w:p>
                  <w:pPr>
                    <w:pStyle w:val="24"/>
                    <w:rPr>
                      <w:u w:val="single"/>
                    </w:rPr>
                  </w:pPr>
                </w:p>
              </w:tc>
              <w:tc>
                <w:tcPr>
                  <w:tcW w:w="526" w:type="pct"/>
                  <w:shd w:val="clear" w:color="auto" w:fill="auto"/>
                  <w:vAlign w:val="center"/>
                </w:tcPr>
                <w:p>
                  <w:pPr>
                    <w:pStyle w:val="24"/>
                    <w:rPr>
                      <w:u w:val="single"/>
                    </w:rPr>
                  </w:pPr>
                  <w:r>
                    <w:rPr>
                      <w:rFonts w:hint="eastAsia"/>
                      <w:u w:val="single"/>
                    </w:rPr>
                    <w:t>排放量(t/a)</w:t>
                  </w:r>
                </w:p>
              </w:tc>
              <w:tc>
                <w:tcPr>
                  <w:tcW w:w="460" w:type="pct"/>
                  <w:vMerge w:val="continue"/>
                  <w:shd w:val="clear" w:color="auto" w:fill="auto"/>
                  <w:vAlign w:val="center"/>
                </w:tcPr>
                <w:p>
                  <w:pPr>
                    <w:pStyle w:val="24"/>
                    <w:rPr>
                      <w:u w:val="single"/>
                    </w:rPr>
                  </w:pPr>
                </w:p>
              </w:tc>
              <w:tc>
                <w:tcPr>
                  <w:tcW w:w="527" w:type="pct"/>
                  <w:shd w:val="clear" w:color="auto" w:fill="auto"/>
                  <w:vAlign w:val="center"/>
                </w:tcPr>
                <w:p>
                  <w:pPr>
                    <w:pStyle w:val="24"/>
                    <w:rPr>
                      <w:rFonts w:hint="default"/>
                      <w:u w:val="single"/>
                      <w:lang w:val="en-US" w:eastAsia="zh-CN"/>
                    </w:rPr>
                  </w:pPr>
                  <w:r>
                    <w:rPr>
                      <w:rFonts w:hint="eastAsia"/>
                      <w:u w:val="single"/>
                      <w:lang w:val="en-US" w:eastAsia="zh-CN"/>
                    </w:rPr>
                    <w:t>0.097</w:t>
                  </w:r>
                </w:p>
              </w:tc>
              <w:tc>
                <w:tcPr>
                  <w:tcW w:w="499" w:type="pct"/>
                  <w:shd w:val="clear" w:color="auto" w:fill="auto"/>
                  <w:vAlign w:val="center"/>
                </w:tcPr>
                <w:p>
                  <w:pPr>
                    <w:pStyle w:val="24"/>
                    <w:rPr>
                      <w:rFonts w:hint="eastAsia"/>
                      <w:u w:val="single"/>
                      <w:lang w:val="en-US" w:eastAsia="zh-CN"/>
                    </w:rPr>
                  </w:pPr>
                  <w:r>
                    <w:rPr>
                      <w:rFonts w:hint="eastAsia"/>
                      <w:u w:val="single"/>
                      <w:lang w:val="en-US" w:eastAsia="zh-CN"/>
                    </w:rPr>
                    <w:t>0.045</w:t>
                  </w:r>
                </w:p>
              </w:tc>
              <w:tc>
                <w:tcPr>
                  <w:tcW w:w="446" w:type="pct"/>
                  <w:shd w:val="clear" w:color="auto" w:fill="auto"/>
                  <w:vAlign w:val="center"/>
                </w:tcPr>
                <w:p>
                  <w:pPr>
                    <w:pStyle w:val="24"/>
                    <w:rPr>
                      <w:rFonts w:hint="eastAsia"/>
                      <w:u w:val="single"/>
                      <w:lang w:val="en-US" w:eastAsia="zh-CN"/>
                    </w:rPr>
                  </w:pPr>
                  <w:r>
                    <w:rPr>
                      <w:rFonts w:hint="eastAsia"/>
                      <w:u w:val="single"/>
                      <w:lang w:val="en-US" w:eastAsia="zh-CN"/>
                    </w:rPr>
                    <w:t>0.048</w:t>
                  </w:r>
                </w:p>
              </w:tc>
              <w:tc>
                <w:tcPr>
                  <w:tcW w:w="462" w:type="pct"/>
                  <w:shd w:val="clear" w:color="auto" w:fill="auto"/>
                  <w:vAlign w:val="center"/>
                </w:tcPr>
                <w:p>
                  <w:pPr>
                    <w:pStyle w:val="24"/>
                    <w:rPr>
                      <w:rFonts w:hint="eastAsia"/>
                      <w:u w:val="single"/>
                      <w:lang w:val="en-US" w:eastAsia="zh-CN"/>
                    </w:rPr>
                  </w:pPr>
                  <w:r>
                    <w:rPr>
                      <w:rFonts w:hint="eastAsia"/>
                      <w:u w:val="single"/>
                      <w:lang w:val="en-US" w:eastAsia="zh-CN"/>
                    </w:rPr>
                    <w:t>0.004</w:t>
                  </w:r>
                </w:p>
              </w:tc>
              <w:tc>
                <w:tcPr>
                  <w:tcW w:w="506" w:type="pct"/>
                  <w:shd w:val="clear" w:color="auto" w:fill="auto"/>
                  <w:vAlign w:val="center"/>
                </w:tcPr>
                <w:p>
                  <w:pPr>
                    <w:pStyle w:val="24"/>
                    <w:rPr>
                      <w:rFonts w:hint="eastAsia"/>
                      <w:u w:val="single"/>
                      <w:lang w:val="en-US" w:eastAsia="zh-CN"/>
                    </w:rPr>
                  </w:pPr>
                  <w:r>
                    <w:rPr>
                      <w:rFonts w:hint="eastAsia"/>
                      <w:u w:val="single"/>
                      <w:lang w:val="en-US" w:eastAsia="zh-CN"/>
                    </w:rPr>
                    <w:t>0.004</w:t>
                  </w:r>
                </w:p>
              </w:tc>
              <w:tc>
                <w:tcPr>
                  <w:tcW w:w="425" w:type="pct"/>
                  <w:shd w:val="clear" w:color="auto" w:fill="auto"/>
                  <w:vAlign w:val="center"/>
                </w:tcPr>
                <w:p>
                  <w:pPr>
                    <w:pStyle w:val="24"/>
                    <w:rPr>
                      <w:rFonts w:hint="eastAsia"/>
                      <w:u w:val="single"/>
                      <w:lang w:val="en-US" w:eastAsia="zh-CN"/>
                    </w:rPr>
                  </w:pPr>
                  <w:r>
                    <w:rPr>
                      <w:rFonts w:hint="eastAsia"/>
                      <w:u w:val="single"/>
                      <w:lang w:val="en-US" w:eastAsia="zh-CN"/>
                    </w:rPr>
                    <w:t>0.003</w:t>
                  </w:r>
                </w:p>
              </w:tc>
              <w:tc>
                <w:tcPr>
                  <w:tcW w:w="378" w:type="pct"/>
                  <w:shd w:val="clear" w:color="auto" w:fill="auto"/>
                  <w:vAlign w:val="center"/>
                </w:tcPr>
                <w:p>
                  <w:pPr>
                    <w:pStyle w:val="24"/>
                    <w:rPr>
                      <w:rFonts w:hint="eastAsia"/>
                      <w:u w:val="single"/>
                      <w:lang w:val="en-US" w:eastAsia="zh-CN"/>
                    </w:rPr>
                  </w:pPr>
                  <w:r>
                    <w:rPr>
                      <w:rFonts w:hint="eastAsia"/>
                      <w:u w:val="single"/>
                      <w:lang w:val="en-US" w:eastAsia="zh-CN"/>
                    </w:rPr>
                    <w:t>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3" w:type="pct"/>
                  <w:gridSpan w:val="3"/>
                  <w:shd w:val="clear" w:color="auto" w:fill="auto"/>
                  <w:vAlign w:val="center"/>
                </w:tcPr>
                <w:p>
                  <w:pPr>
                    <w:pStyle w:val="24"/>
                    <w:rPr>
                      <w:u w:val="single"/>
                    </w:rPr>
                  </w:pPr>
                  <w:r>
                    <w:rPr>
                      <w:rFonts w:hint="eastAsia"/>
                      <w:u w:val="single"/>
                    </w:rPr>
                    <w:t>衡阳西渡高新技术产业园区污水处理厂进水水质要求(mg/L)</w:t>
                  </w:r>
                </w:p>
              </w:tc>
              <w:tc>
                <w:tcPr>
                  <w:tcW w:w="460" w:type="pct"/>
                  <w:shd w:val="clear" w:color="auto" w:fill="auto"/>
                  <w:vAlign w:val="center"/>
                </w:tcPr>
                <w:p>
                  <w:pPr>
                    <w:pStyle w:val="24"/>
                    <w:rPr>
                      <w:u w:val="single"/>
                    </w:rPr>
                  </w:pPr>
                  <w:r>
                    <w:rPr>
                      <w:rFonts w:hint="eastAsia"/>
                      <w:u w:val="single"/>
                    </w:rPr>
                    <w:t>/</w:t>
                  </w:r>
                </w:p>
              </w:tc>
              <w:tc>
                <w:tcPr>
                  <w:tcW w:w="527" w:type="pct"/>
                  <w:shd w:val="clear" w:color="auto" w:fill="auto"/>
                  <w:vAlign w:val="center"/>
                </w:tcPr>
                <w:p>
                  <w:pPr>
                    <w:pStyle w:val="24"/>
                    <w:bidi w:val="0"/>
                    <w:rPr>
                      <w:u w:val="single"/>
                      <w:lang w:val="en-US" w:eastAsia="zh-CN"/>
                    </w:rPr>
                  </w:pPr>
                  <w:r>
                    <w:rPr>
                      <w:rFonts w:hint="eastAsia"/>
                      <w:u w:val="single"/>
                      <w:lang w:val="en-US" w:eastAsia="zh-CN"/>
                    </w:rPr>
                    <w:t>400</w:t>
                  </w:r>
                </w:p>
              </w:tc>
              <w:tc>
                <w:tcPr>
                  <w:tcW w:w="499" w:type="pct"/>
                  <w:shd w:val="clear" w:color="auto" w:fill="auto"/>
                  <w:vAlign w:val="center"/>
                </w:tcPr>
                <w:p>
                  <w:pPr>
                    <w:pStyle w:val="24"/>
                    <w:bidi w:val="0"/>
                    <w:rPr>
                      <w:rFonts w:hint="eastAsia"/>
                      <w:u w:val="single"/>
                      <w:lang w:val="en-US" w:eastAsia="zh-CN"/>
                    </w:rPr>
                  </w:pPr>
                  <w:r>
                    <w:rPr>
                      <w:rFonts w:hint="eastAsia"/>
                      <w:u w:val="single"/>
                      <w:lang w:val="en-US" w:eastAsia="zh-CN"/>
                    </w:rPr>
                    <w:t>300</w:t>
                  </w:r>
                </w:p>
              </w:tc>
              <w:tc>
                <w:tcPr>
                  <w:tcW w:w="446" w:type="pct"/>
                  <w:shd w:val="clear" w:color="auto" w:fill="auto"/>
                  <w:vAlign w:val="center"/>
                </w:tcPr>
                <w:p>
                  <w:pPr>
                    <w:pStyle w:val="24"/>
                    <w:bidi w:val="0"/>
                    <w:rPr>
                      <w:rFonts w:hint="eastAsia"/>
                      <w:u w:val="single"/>
                      <w:lang w:val="en-US" w:eastAsia="zh-CN"/>
                    </w:rPr>
                  </w:pPr>
                  <w:r>
                    <w:rPr>
                      <w:rFonts w:hint="eastAsia"/>
                      <w:u w:val="single"/>
                      <w:lang w:val="en-US" w:eastAsia="zh-CN"/>
                    </w:rPr>
                    <w:t>400</w:t>
                  </w:r>
                </w:p>
              </w:tc>
              <w:tc>
                <w:tcPr>
                  <w:tcW w:w="462" w:type="pct"/>
                  <w:shd w:val="clear" w:color="auto" w:fill="auto"/>
                  <w:vAlign w:val="center"/>
                </w:tcPr>
                <w:p>
                  <w:pPr>
                    <w:pStyle w:val="24"/>
                    <w:bidi w:val="0"/>
                    <w:rPr>
                      <w:rFonts w:hint="eastAsia"/>
                      <w:u w:val="single"/>
                      <w:lang w:val="en-US" w:eastAsia="zh-CN"/>
                    </w:rPr>
                  </w:pPr>
                  <w:r>
                    <w:rPr>
                      <w:rFonts w:hint="eastAsia"/>
                      <w:u w:val="single"/>
                      <w:lang w:val="en-US" w:eastAsia="zh-CN"/>
                    </w:rPr>
                    <w:t>25</w:t>
                  </w:r>
                </w:p>
              </w:tc>
              <w:tc>
                <w:tcPr>
                  <w:tcW w:w="506" w:type="pct"/>
                  <w:shd w:val="clear" w:color="auto" w:fill="auto"/>
                  <w:vAlign w:val="center"/>
                </w:tcPr>
                <w:p>
                  <w:pPr>
                    <w:pStyle w:val="24"/>
                    <w:bidi w:val="0"/>
                    <w:rPr>
                      <w:rFonts w:hint="eastAsia"/>
                      <w:u w:val="single"/>
                      <w:lang w:val="en-US" w:eastAsia="zh-CN"/>
                    </w:rPr>
                  </w:pPr>
                  <w:r>
                    <w:rPr>
                      <w:rFonts w:hint="eastAsia"/>
                      <w:u w:val="single"/>
                      <w:lang w:val="en-US" w:eastAsia="zh-CN"/>
                    </w:rPr>
                    <w:t>15</w:t>
                  </w:r>
                </w:p>
              </w:tc>
              <w:tc>
                <w:tcPr>
                  <w:tcW w:w="425" w:type="pct"/>
                  <w:shd w:val="clear" w:color="auto" w:fill="auto"/>
                  <w:vAlign w:val="center"/>
                </w:tcPr>
                <w:p>
                  <w:pPr>
                    <w:pStyle w:val="24"/>
                    <w:bidi w:val="0"/>
                    <w:rPr>
                      <w:rFonts w:hint="default"/>
                      <w:u w:val="single"/>
                      <w:lang w:val="en-US" w:eastAsia="zh-CN"/>
                    </w:rPr>
                  </w:pPr>
                  <w:r>
                    <w:rPr>
                      <w:rFonts w:hint="eastAsia"/>
                      <w:u w:val="single"/>
                      <w:lang w:val="en-US" w:eastAsia="zh-CN"/>
                    </w:rPr>
                    <w:t>100</w:t>
                  </w:r>
                </w:p>
              </w:tc>
              <w:tc>
                <w:tcPr>
                  <w:tcW w:w="378" w:type="pct"/>
                  <w:shd w:val="clear" w:color="auto" w:fill="auto"/>
                  <w:vAlign w:val="center"/>
                </w:tcPr>
                <w:p>
                  <w:pPr>
                    <w:pStyle w:val="24"/>
                    <w:bidi w:val="0"/>
                    <w:rPr>
                      <w:rFonts w:hint="default"/>
                      <w:u w:val="single"/>
                      <w:lang w:val="en-US" w:eastAsia="zh-CN"/>
                    </w:rPr>
                  </w:pPr>
                  <w:r>
                    <w:rPr>
                      <w:rFonts w:hint="eastAsia"/>
                      <w:u w:val="singl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3" w:type="pct"/>
                  <w:gridSpan w:val="3"/>
                  <w:shd w:val="clear" w:color="auto" w:fill="auto"/>
                  <w:vAlign w:val="center"/>
                </w:tcPr>
                <w:p>
                  <w:pPr>
                    <w:pStyle w:val="24"/>
                    <w:rPr>
                      <w:u w:val="single"/>
                    </w:rPr>
                  </w:pPr>
                  <w:r>
                    <w:rPr>
                      <w:rFonts w:hint="eastAsia"/>
                      <w:u w:val="single"/>
                    </w:rPr>
                    <w:t>衡阳西渡高新技术产业园区污水处理厂出水水质(mg/L)</w:t>
                  </w:r>
                </w:p>
              </w:tc>
              <w:tc>
                <w:tcPr>
                  <w:tcW w:w="460" w:type="pct"/>
                  <w:shd w:val="clear" w:color="auto" w:fill="auto"/>
                  <w:vAlign w:val="center"/>
                </w:tcPr>
                <w:p>
                  <w:pPr>
                    <w:pStyle w:val="24"/>
                    <w:rPr>
                      <w:u w:val="single"/>
                    </w:rPr>
                  </w:pPr>
                  <w:r>
                    <w:rPr>
                      <w:rFonts w:hint="eastAsia"/>
                      <w:u w:val="single"/>
                    </w:rPr>
                    <w:t>/</w:t>
                  </w:r>
                </w:p>
              </w:tc>
              <w:tc>
                <w:tcPr>
                  <w:tcW w:w="527" w:type="pct"/>
                  <w:shd w:val="clear" w:color="auto" w:fill="auto"/>
                  <w:vAlign w:val="center"/>
                </w:tcPr>
                <w:p>
                  <w:pPr>
                    <w:pStyle w:val="24"/>
                    <w:bidi w:val="0"/>
                    <w:rPr>
                      <w:rFonts w:hint="eastAsia"/>
                      <w:u w:val="single"/>
                      <w:lang w:val="en-US" w:eastAsia="zh-CN"/>
                    </w:rPr>
                  </w:pPr>
                  <w:r>
                    <w:rPr>
                      <w:rFonts w:hint="eastAsia"/>
                      <w:u w:val="single"/>
                      <w:lang w:val="en-US" w:eastAsia="zh-CN"/>
                    </w:rPr>
                    <w:t>50</w:t>
                  </w:r>
                </w:p>
              </w:tc>
              <w:tc>
                <w:tcPr>
                  <w:tcW w:w="499" w:type="pct"/>
                  <w:shd w:val="clear" w:color="auto" w:fill="auto"/>
                  <w:vAlign w:val="center"/>
                </w:tcPr>
                <w:p>
                  <w:pPr>
                    <w:pStyle w:val="24"/>
                    <w:bidi w:val="0"/>
                    <w:rPr>
                      <w:rFonts w:hint="eastAsia"/>
                      <w:u w:val="single"/>
                      <w:lang w:val="en-US" w:eastAsia="zh-CN"/>
                    </w:rPr>
                  </w:pPr>
                  <w:r>
                    <w:rPr>
                      <w:rFonts w:hint="eastAsia"/>
                      <w:u w:val="single"/>
                      <w:lang w:val="en-US" w:eastAsia="zh-CN"/>
                    </w:rPr>
                    <w:t>10</w:t>
                  </w:r>
                </w:p>
              </w:tc>
              <w:tc>
                <w:tcPr>
                  <w:tcW w:w="446" w:type="pct"/>
                  <w:shd w:val="clear" w:color="auto" w:fill="auto"/>
                  <w:vAlign w:val="center"/>
                </w:tcPr>
                <w:p>
                  <w:pPr>
                    <w:pStyle w:val="24"/>
                    <w:bidi w:val="0"/>
                    <w:rPr>
                      <w:rFonts w:hint="eastAsia"/>
                      <w:u w:val="single"/>
                      <w:lang w:val="en-US" w:eastAsia="zh-CN"/>
                    </w:rPr>
                  </w:pPr>
                  <w:r>
                    <w:rPr>
                      <w:rFonts w:hint="eastAsia"/>
                      <w:u w:val="single"/>
                      <w:lang w:val="en-US" w:eastAsia="zh-CN"/>
                    </w:rPr>
                    <w:t>10</w:t>
                  </w:r>
                </w:p>
              </w:tc>
              <w:tc>
                <w:tcPr>
                  <w:tcW w:w="462" w:type="pct"/>
                  <w:shd w:val="clear" w:color="auto" w:fill="auto"/>
                  <w:vAlign w:val="center"/>
                </w:tcPr>
                <w:p>
                  <w:pPr>
                    <w:pStyle w:val="24"/>
                    <w:bidi w:val="0"/>
                    <w:rPr>
                      <w:rFonts w:hint="eastAsia"/>
                      <w:u w:val="single"/>
                      <w:lang w:val="en-US" w:eastAsia="zh-CN"/>
                    </w:rPr>
                  </w:pPr>
                  <w:r>
                    <w:rPr>
                      <w:rFonts w:hint="eastAsia"/>
                      <w:u w:val="single"/>
                      <w:lang w:val="en-US" w:eastAsia="zh-CN"/>
                    </w:rPr>
                    <w:t>5</w:t>
                  </w:r>
                </w:p>
              </w:tc>
              <w:tc>
                <w:tcPr>
                  <w:tcW w:w="506" w:type="pct"/>
                  <w:shd w:val="clear" w:color="auto" w:fill="auto"/>
                  <w:vAlign w:val="center"/>
                </w:tcPr>
                <w:p>
                  <w:pPr>
                    <w:pStyle w:val="24"/>
                    <w:bidi w:val="0"/>
                    <w:rPr>
                      <w:rFonts w:hint="eastAsia"/>
                      <w:u w:val="single"/>
                      <w:lang w:val="en-US" w:eastAsia="zh-CN"/>
                    </w:rPr>
                  </w:pPr>
                  <w:r>
                    <w:rPr>
                      <w:rFonts w:hint="eastAsia"/>
                      <w:u w:val="single"/>
                      <w:lang w:val="en-US" w:eastAsia="zh-CN"/>
                    </w:rPr>
                    <w:t>1</w:t>
                  </w:r>
                </w:p>
              </w:tc>
              <w:tc>
                <w:tcPr>
                  <w:tcW w:w="425" w:type="pct"/>
                  <w:shd w:val="clear" w:color="auto" w:fill="auto"/>
                  <w:vAlign w:val="center"/>
                </w:tcPr>
                <w:p>
                  <w:pPr>
                    <w:pStyle w:val="24"/>
                    <w:bidi w:val="0"/>
                    <w:rPr>
                      <w:rFonts w:hint="default"/>
                      <w:u w:val="single"/>
                      <w:lang w:val="en-US" w:eastAsia="zh-CN"/>
                    </w:rPr>
                  </w:pPr>
                  <w:r>
                    <w:rPr>
                      <w:rFonts w:hint="eastAsia"/>
                      <w:u w:val="single"/>
                      <w:lang w:val="en-US" w:eastAsia="zh-CN"/>
                    </w:rPr>
                    <w:t>0.5</w:t>
                  </w:r>
                </w:p>
              </w:tc>
              <w:tc>
                <w:tcPr>
                  <w:tcW w:w="378" w:type="pct"/>
                  <w:shd w:val="clear" w:color="auto" w:fill="auto"/>
                  <w:vAlign w:val="center"/>
                </w:tcPr>
                <w:p>
                  <w:pPr>
                    <w:pStyle w:val="24"/>
                    <w:bidi w:val="0"/>
                    <w:rPr>
                      <w:rFonts w:hint="eastAsia"/>
                      <w:u w:val="single"/>
                      <w:lang w:val="en-US" w:eastAsia="zh-CN"/>
                    </w:rPr>
                  </w:pPr>
                  <w:r>
                    <w:rPr>
                      <w:rFonts w:hint="eastAsia"/>
                      <w:u w:val="single"/>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11"/>
                  <w:shd w:val="clear" w:color="auto" w:fill="auto"/>
                  <w:vAlign w:val="center"/>
                </w:tcPr>
                <w:p>
                  <w:pPr>
                    <w:pStyle w:val="24"/>
                    <w:bidi w:val="0"/>
                    <w:jc w:val="both"/>
                    <w:rPr>
                      <w:rFonts w:hint="eastAsia"/>
                      <w:u w:val="single"/>
                      <w:lang w:val="en-US" w:eastAsia="zh-CN"/>
                    </w:rPr>
                  </w:pPr>
                  <w:r>
                    <w:rPr>
                      <w:rFonts w:hint="eastAsia"/>
                      <w:u w:val="single"/>
                      <w:lang w:val="en-US" w:eastAsia="zh-CN"/>
                    </w:rPr>
                    <w:t>注：①综合废水包括除油清洗废水、酸洗清洗废水、磷化清洗废水、保洁废水、碱液喷淋塔废水；</w:t>
                  </w:r>
                </w:p>
                <w:p>
                  <w:pPr>
                    <w:pStyle w:val="24"/>
                    <w:bidi w:val="0"/>
                    <w:jc w:val="both"/>
                    <w:rPr>
                      <w:rFonts w:hint="eastAsia"/>
                      <w:u w:val="single"/>
                      <w:lang w:val="en-US" w:eastAsia="zh-CN"/>
                    </w:rPr>
                  </w:pPr>
                  <w:r>
                    <w:rPr>
                      <w:rFonts w:hint="eastAsia"/>
                      <w:u w:val="single"/>
                      <w:lang w:val="en-US" w:eastAsia="zh-CN"/>
                    </w:rPr>
                    <w:t>②因除油清洗废水先经隔油池预处理后再排至调节池与其他生产废水一同处理，故综合废水水质计算时除油清洗废水浓度按隔油池处理后的排放浓度计算；</w:t>
                  </w:r>
                </w:p>
                <w:p>
                  <w:pPr>
                    <w:pStyle w:val="24"/>
                    <w:bidi w:val="0"/>
                    <w:jc w:val="both"/>
                    <w:rPr>
                      <w:rFonts w:hint="default"/>
                      <w:u w:val="single"/>
                      <w:lang w:val="en-US" w:eastAsia="zh-CN"/>
                    </w:rPr>
                  </w:pPr>
                  <w:r>
                    <w:rPr>
                      <w:rFonts w:hint="eastAsia"/>
                      <w:u w:val="single"/>
                      <w:lang w:val="en-US" w:eastAsia="zh-CN"/>
                    </w:rPr>
                    <w:t>③项目除油清洗废水、酸洗清洗废水、磷化清洗废水、保洁废水、碱液喷淋塔废水混合后的最终产生浓度计算方式为：CODcr混合后的最终产生浓度=（除油清洗废水总量×除油清洗废水CODcr产生浓度+酸洗清洗废水总量×酸洗清洗废水CODcr产生浓度+磷化清洗废水总量×磷化清洗废水CODcr产生浓度+保洁废水总量×保洁废水CODcr产生浓度+碱液喷淋塔废水总量×碱液喷淋塔废水CODcr产生浓度）/综合废水（除油清洗废水总量+酸洗清洗废水总量+磷化清洗废水总量+保洁废水总量+碱液喷淋塔废水总量），其余污染物浓度计算方式均一致。</w:t>
                  </w:r>
                </w:p>
              </w:tc>
            </w:tr>
          </w:tbl>
          <w:p>
            <w:pPr>
              <w:pStyle w:val="3"/>
              <w:ind w:firstLine="482"/>
            </w:pPr>
            <w:r>
              <w:rPr>
                <w:rFonts w:hint="eastAsia"/>
              </w:rPr>
              <w:t>3）废水环保措施可行性分析</w:t>
            </w:r>
          </w:p>
          <w:p>
            <w:pPr>
              <w:pStyle w:val="4"/>
              <w:ind w:firstLine="482"/>
            </w:pPr>
            <w:r>
              <w:rPr>
                <w:rFonts w:hint="eastAsia"/>
              </w:rPr>
              <w:t>（1）生活废水化粪池预处理可行性分析</w:t>
            </w:r>
          </w:p>
          <w:p>
            <w:pPr>
              <w:ind w:firstLine="480"/>
            </w:pPr>
            <w:r>
              <w:t>本项目生活污水预处理措施为化粪池，化粪池是一种利用沉淀和厌氧发酵的原理，去除生活污水中悬浮性有机物的处理设施，属于初级的过渡性生活处理构筑物。生活污水中含有大量粪便、纸屑、病原虫、悬浮物固体浓度为100~350mg/L，有机物浓度COD在100~400mg/L之间，其中悬浮性的有机物浓度BOD</w:t>
            </w:r>
            <w:r>
              <w:rPr>
                <w:vertAlign w:val="subscript"/>
              </w:rPr>
              <w:t>5</w:t>
            </w:r>
            <w:r>
              <w:t>为50~200 mg/L。污水进入化粪池经过12~24h的沉淀，可去除大部分悬浮物。沉淀下来的污泥经过3个月以上的厌氧发酵分解，使污泥中的有机物分解成稳定的无机物，易腐败的生污泥转化为稳定的熟污泥，改变了污泥的结构，降低了污泥的含水率。化粪池作为生活污水的预处理设施，技术成熟可靠，在只有生活废水的情况下，其处理效率可靠、运行稳定，处理可达到《污水综合排放标准》（GB8978-1996）表4中的三级标准。</w:t>
            </w:r>
          </w:p>
          <w:p>
            <w:pPr>
              <w:ind w:firstLine="480"/>
            </w:pPr>
            <w:r>
              <w:rPr>
                <w:rFonts w:hint="eastAsia"/>
              </w:rPr>
              <w:t>由表4-1</w:t>
            </w:r>
            <w:r>
              <w:rPr>
                <w:rFonts w:hint="eastAsia"/>
                <w:lang w:val="en-US" w:eastAsia="zh-CN"/>
              </w:rPr>
              <w:t>7</w:t>
            </w:r>
            <w:r>
              <w:rPr>
                <w:rFonts w:hint="eastAsia"/>
              </w:rPr>
              <w:t>可知，项目生活污水经双创中心化粪池预处理后的水质满足衡阳西渡高新技术产业园区污水处理厂进水水质要求，在衡阳西渡高新技术产业园区污水处理厂进行深度处理达到《城镇污水处理厂污染物排放标准》（GB18918-2002）一级A标准后经污水渠道排入蒸水。</w:t>
            </w:r>
          </w:p>
          <w:p>
            <w:pPr>
              <w:pStyle w:val="4"/>
              <w:ind w:firstLine="482"/>
            </w:pPr>
            <w:r>
              <w:rPr>
                <w:rFonts w:hint="eastAsia"/>
              </w:rPr>
              <w:t>（2）</w:t>
            </w:r>
            <w:r>
              <w:rPr>
                <w:rFonts w:hint="eastAsia"/>
                <w:lang w:val="en-US" w:eastAsia="zh-CN"/>
              </w:rPr>
              <w:t>综合</w:t>
            </w:r>
            <w:r>
              <w:rPr>
                <w:rFonts w:hint="eastAsia"/>
              </w:rPr>
              <w:t>废水厂内预处理可行性分析</w:t>
            </w:r>
          </w:p>
          <w:p>
            <w:pPr>
              <w:ind w:firstLine="480"/>
              <w:rPr>
                <w:u w:val="single"/>
              </w:rPr>
            </w:pPr>
            <w:r>
              <w:rPr>
                <w:rFonts w:hint="eastAsia"/>
                <w:u w:val="single"/>
              </w:rPr>
              <w:t>项目</w:t>
            </w:r>
            <w:r>
              <w:rPr>
                <w:rFonts w:hint="eastAsia"/>
                <w:u w:val="single"/>
                <w:lang w:val="en-US" w:eastAsia="zh-CN"/>
              </w:rPr>
              <w:t>综合</w:t>
            </w:r>
            <w:r>
              <w:rPr>
                <w:rFonts w:hint="eastAsia"/>
                <w:u w:val="single"/>
              </w:rPr>
              <w:t>废水中主要污染物有COD</w:t>
            </w:r>
            <w:r>
              <w:rPr>
                <w:rFonts w:hint="eastAsia"/>
                <w:u w:val="single"/>
                <w:vertAlign w:val="subscript"/>
              </w:rPr>
              <w:t>cr</w:t>
            </w:r>
            <w:r>
              <w:rPr>
                <w:rFonts w:hint="eastAsia"/>
                <w:u w:val="single"/>
              </w:rPr>
              <w:t>、BOD</w:t>
            </w:r>
            <w:r>
              <w:rPr>
                <w:rFonts w:hint="eastAsia"/>
                <w:u w:val="single"/>
                <w:vertAlign w:val="subscript"/>
              </w:rPr>
              <w:t>5</w:t>
            </w:r>
            <w:r>
              <w:rPr>
                <w:rFonts w:hint="eastAsia"/>
                <w:u w:val="single"/>
              </w:rPr>
              <w:t>、SS、</w:t>
            </w:r>
            <w:r>
              <w:rPr>
                <w:rFonts w:hint="eastAsia"/>
                <w:u w:val="single"/>
                <w:lang w:val="en-US" w:eastAsia="zh-CN"/>
              </w:rPr>
              <w:t>氨氮</w:t>
            </w:r>
            <w:r>
              <w:rPr>
                <w:rFonts w:hint="eastAsia"/>
                <w:u w:val="single"/>
              </w:rPr>
              <w:t>和石油类等，建设单位拟在厂内自建废水预处理站，</w:t>
            </w:r>
            <w:r>
              <w:rPr>
                <w:rFonts w:hint="eastAsia"/>
                <w:u w:val="single"/>
                <w:lang w:val="en-US" w:eastAsia="zh-CN"/>
              </w:rPr>
              <w:t>综合</w:t>
            </w:r>
            <w:r>
              <w:rPr>
                <w:rFonts w:hint="eastAsia"/>
                <w:u w:val="single"/>
              </w:rPr>
              <w:t>废水在厂内</w:t>
            </w:r>
            <w:r>
              <w:rPr>
                <w:rFonts w:hint="eastAsia"/>
                <w:u w:val="single"/>
                <w:lang w:val="en-US" w:eastAsia="zh-CN"/>
              </w:rPr>
              <w:t>进行预</w:t>
            </w:r>
            <w:r>
              <w:rPr>
                <w:rFonts w:hint="eastAsia"/>
                <w:u w:val="single"/>
              </w:rPr>
              <w:t>处理后再排入衡阳西渡高新技术产业园区污水处理厂。项目的</w:t>
            </w:r>
            <w:r>
              <w:rPr>
                <w:rFonts w:hint="eastAsia"/>
                <w:u w:val="single"/>
                <w:lang w:val="en-US" w:eastAsia="zh-CN"/>
              </w:rPr>
              <w:t>综合</w:t>
            </w:r>
            <w:r>
              <w:rPr>
                <w:rFonts w:hint="eastAsia"/>
                <w:u w:val="single"/>
              </w:rPr>
              <w:t>废水预处理系统由“</w:t>
            </w:r>
            <w:r>
              <w:rPr>
                <w:rFonts w:hint="eastAsia"/>
                <w:u w:val="single"/>
                <w:lang w:val="en-US" w:eastAsia="zh-CN"/>
              </w:rPr>
              <w:t>隔油池+调节池+一体化处理设施</w:t>
            </w:r>
            <w:r>
              <w:rPr>
                <w:rFonts w:hint="eastAsia"/>
                <w:u w:val="single"/>
              </w:rPr>
              <w:t>”组成。</w:t>
            </w:r>
            <w:r>
              <w:rPr>
                <w:rFonts w:hint="eastAsia"/>
                <w:u w:val="single"/>
                <w:lang w:val="en-US" w:eastAsia="zh-CN"/>
              </w:rPr>
              <w:t>项目综合废水产生量为292.6m</w:t>
            </w:r>
            <w:r>
              <w:rPr>
                <w:rFonts w:hint="eastAsia"/>
                <w:u w:val="single"/>
                <w:vertAlign w:val="superscript"/>
                <w:lang w:val="en-US" w:eastAsia="zh-CN"/>
              </w:rPr>
              <w:t>3</w:t>
            </w:r>
            <w:r>
              <w:rPr>
                <w:rFonts w:hint="eastAsia"/>
                <w:u w:val="single"/>
                <w:lang w:val="en-US" w:eastAsia="zh-CN"/>
              </w:rPr>
              <w:t>/a（0.98m</w:t>
            </w:r>
            <w:r>
              <w:rPr>
                <w:rFonts w:hint="eastAsia"/>
                <w:u w:val="single"/>
                <w:vertAlign w:val="superscript"/>
                <w:lang w:val="en-US" w:eastAsia="zh-CN"/>
              </w:rPr>
              <w:t>3</w:t>
            </w:r>
            <w:r>
              <w:rPr>
                <w:rFonts w:hint="eastAsia"/>
                <w:u w:val="single"/>
                <w:lang w:val="en-US" w:eastAsia="zh-CN"/>
              </w:rPr>
              <w:t>/d），日最大废水产生量为19.29m</w:t>
            </w:r>
            <w:r>
              <w:rPr>
                <w:rFonts w:hint="eastAsia"/>
                <w:u w:val="single"/>
                <w:vertAlign w:val="superscript"/>
                <w:lang w:val="en-US" w:eastAsia="zh-CN"/>
              </w:rPr>
              <w:t>3</w:t>
            </w:r>
            <w:r>
              <w:rPr>
                <w:rFonts w:hint="eastAsia"/>
                <w:u w:val="single"/>
                <w:lang w:val="en-US" w:eastAsia="zh-CN"/>
              </w:rPr>
              <w:t>/d，设计一个容积为24m</w:t>
            </w:r>
            <w:r>
              <w:rPr>
                <w:rFonts w:hint="eastAsia"/>
                <w:u w:val="single"/>
                <w:vertAlign w:val="superscript"/>
                <w:lang w:val="en-US" w:eastAsia="zh-CN"/>
              </w:rPr>
              <w:t>3</w:t>
            </w:r>
            <w:r>
              <w:rPr>
                <w:rFonts w:hint="eastAsia"/>
                <w:u w:val="single"/>
                <w:vertAlign w:val="baseline"/>
                <w:lang w:val="en-US" w:eastAsia="zh-CN"/>
              </w:rPr>
              <w:t>的污水调节池，</w:t>
            </w:r>
            <w:r>
              <w:rPr>
                <w:rFonts w:hint="eastAsia"/>
                <w:u w:val="single"/>
                <w:lang w:val="en-US" w:eastAsia="zh-CN"/>
              </w:rPr>
              <w:t>调节池内的综合废水每日定量输送至一体化污水处理设施进行处理，设计一套5m</w:t>
            </w:r>
            <w:r>
              <w:rPr>
                <w:rFonts w:hint="eastAsia"/>
                <w:u w:val="single"/>
                <w:vertAlign w:val="superscript"/>
                <w:lang w:val="en-US" w:eastAsia="zh-CN"/>
              </w:rPr>
              <w:t>3</w:t>
            </w:r>
            <w:r>
              <w:rPr>
                <w:rFonts w:hint="eastAsia"/>
                <w:u w:val="single"/>
                <w:lang w:val="en-US" w:eastAsia="zh-CN"/>
              </w:rPr>
              <w:t>/d的一体化污水处理设施。本项目经隔油池除油后的除油清洗废水与酸洗清洗废水、磷化清洗废水、保洁废水和碱液喷淋塔废水一起，经“调节池+一体化处理设施（pH调节+混凝沉淀+二沉池（斜管沉淀））”预处理达综排3级标准与接管标准中较严者后，进入市政污水管网，排至衡阳西渡高新区污水处理厂进行深度处理</w:t>
            </w:r>
            <w:r>
              <w:rPr>
                <w:rFonts w:hint="eastAsia"/>
                <w:u w:val="single"/>
              </w:rPr>
              <w:t>。项目</w:t>
            </w:r>
            <w:r>
              <w:rPr>
                <w:rFonts w:hint="eastAsia"/>
                <w:u w:val="single"/>
                <w:lang w:val="en-US" w:eastAsia="zh-CN"/>
              </w:rPr>
              <w:t>厂内</w:t>
            </w:r>
            <w:r>
              <w:rPr>
                <w:rFonts w:hint="eastAsia"/>
                <w:u w:val="single"/>
              </w:rPr>
              <w:t>废水</w:t>
            </w:r>
            <w:r>
              <w:rPr>
                <w:rFonts w:hint="eastAsia"/>
                <w:u w:val="single"/>
                <w:lang w:val="en-US" w:eastAsia="zh-CN"/>
              </w:rPr>
              <w:t>预处理后的上清液排入市政管网进入</w:t>
            </w:r>
            <w:r>
              <w:rPr>
                <w:rFonts w:hint="eastAsia"/>
                <w:u w:val="single"/>
              </w:rPr>
              <w:t>衡阳西渡高新区污水处理厂</w:t>
            </w:r>
            <w:r>
              <w:rPr>
                <w:rFonts w:hint="eastAsia"/>
                <w:u w:val="single"/>
                <w:lang w:val="en-US" w:eastAsia="zh-CN"/>
              </w:rPr>
              <w:t>进一步处理，产生的污泥作危废处理。</w:t>
            </w:r>
            <w:r>
              <w:rPr>
                <w:rFonts w:hint="eastAsia"/>
                <w:u w:val="single"/>
              </w:rPr>
              <w:t>项目</w:t>
            </w:r>
            <w:r>
              <w:rPr>
                <w:rFonts w:hint="eastAsia"/>
                <w:u w:val="single"/>
                <w:lang w:val="en-US" w:eastAsia="zh-CN"/>
              </w:rPr>
              <w:t>厂内</w:t>
            </w:r>
            <w:r>
              <w:rPr>
                <w:rFonts w:hint="eastAsia"/>
                <w:u w:val="single"/>
              </w:rPr>
              <w:t>废水</w:t>
            </w:r>
            <w:r>
              <w:rPr>
                <w:rFonts w:hint="eastAsia"/>
                <w:u w:val="single"/>
                <w:lang w:val="en-US" w:eastAsia="zh-CN"/>
              </w:rPr>
              <w:t>预</w:t>
            </w:r>
            <w:r>
              <w:rPr>
                <w:rFonts w:hint="eastAsia"/>
                <w:u w:val="single"/>
              </w:rPr>
              <w:t>处理系统工艺流程图如下图所示。</w:t>
            </w:r>
          </w:p>
          <w:p>
            <w:pPr>
              <w:pStyle w:val="24"/>
            </w:pPr>
            <w:r>
              <w:drawing>
                <wp:inline distT="0" distB="0" distL="114300" distR="114300">
                  <wp:extent cx="3366135" cy="3044825"/>
                  <wp:effectExtent l="0" t="0" r="5715" b="3175"/>
                  <wp:docPr id="8" name="ECB019B1-382A-4266-B25C-5B523AA43C14-10" descr="C:/Users/Administrator/AppData/Local/Temp/wps.CTJVT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B019B1-382A-4266-B25C-5B523AA43C14-10" descr="C:/Users/Administrator/AppData/Local/Temp/wps.CTJVTtwps"/>
                          <pic:cNvPicPr>
                            <a:picLocks noChangeAspect="1"/>
                          </pic:cNvPicPr>
                        </pic:nvPicPr>
                        <pic:blipFill>
                          <a:blip r:embed="rId26"/>
                          <a:srcRect t="4305" r="2136" b="3795"/>
                          <a:stretch>
                            <a:fillRect/>
                          </a:stretch>
                        </pic:blipFill>
                        <pic:spPr>
                          <a:xfrm>
                            <a:off x="0" y="0"/>
                            <a:ext cx="3366135" cy="3044825"/>
                          </a:xfrm>
                          <a:prstGeom prst="rect">
                            <a:avLst/>
                          </a:prstGeom>
                        </pic:spPr>
                      </pic:pic>
                    </a:graphicData>
                  </a:graphic>
                </wp:inline>
              </w:drawing>
            </w:r>
          </w:p>
          <w:p>
            <w:pPr>
              <w:pStyle w:val="37"/>
              <w:spacing w:before="72" w:after="120"/>
              <w:rPr>
                <w:rFonts w:hint="default"/>
              </w:rPr>
            </w:pPr>
            <w:r>
              <w:t>图4-</w:t>
            </w:r>
            <w:r>
              <w:rPr>
                <w:rFonts w:hint="eastAsia"/>
                <w:lang w:val="en-US" w:eastAsia="zh-CN"/>
              </w:rPr>
              <w:t>5</w:t>
            </w:r>
            <w:r>
              <w:t xml:space="preserve"> 拟建项目废水预处理工艺流程图</w:t>
            </w:r>
          </w:p>
          <w:p>
            <w:pPr>
              <w:ind w:firstLine="482"/>
              <w:rPr>
                <w:b/>
                <w:bCs/>
              </w:rPr>
            </w:pPr>
            <w:r>
              <w:rPr>
                <w:rFonts w:hint="eastAsia"/>
                <w:b/>
                <w:bCs/>
              </w:rPr>
              <w:t>工艺流程说明：</w:t>
            </w:r>
          </w:p>
          <w:p>
            <w:pPr>
              <w:ind w:firstLine="480"/>
              <w:rPr>
                <w:rFonts w:hint="eastAsia"/>
                <w:lang w:val="en-US" w:eastAsia="zh-CN"/>
              </w:rPr>
            </w:pPr>
            <w:r>
              <w:rPr>
                <w:rFonts w:hint="eastAsia"/>
              </w:rPr>
              <w:t>①</w:t>
            </w:r>
            <w:r>
              <w:rPr>
                <w:rFonts w:hint="eastAsia"/>
                <w:lang w:val="en-US" w:eastAsia="zh-CN"/>
              </w:rPr>
              <w:t>隔油池</w:t>
            </w:r>
          </w:p>
          <w:p>
            <w:pPr>
              <w:ind w:firstLine="480"/>
            </w:pPr>
            <w:r>
              <w:rPr>
                <w:rFonts w:hint="eastAsia"/>
              </w:rPr>
              <w:t>隔油池利用油滴与水的密度差产生上浮作用来去除含油废水中可浮性油类物质。本次利用隔油池</w:t>
            </w:r>
            <w:r>
              <w:t>去除废水中石油类</w:t>
            </w:r>
            <w:r>
              <w:rPr>
                <w:rFonts w:hint="eastAsia"/>
              </w:rPr>
              <w:t>。</w:t>
            </w:r>
          </w:p>
          <w:p>
            <w:pPr>
              <w:ind w:firstLine="480"/>
              <w:rPr>
                <w:rFonts w:hint="eastAsia" w:eastAsia="宋体"/>
                <w:lang w:eastAsia="zh-CN"/>
              </w:rPr>
            </w:pPr>
            <w:r>
              <w:rPr>
                <w:rFonts w:hint="eastAsia"/>
              </w:rPr>
              <w:t>②</w:t>
            </w:r>
            <w:r>
              <w:rPr>
                <w:rFonts w:hint="eastAsia"/>
                <w:lang w:val="en-US" w:eastAsia="zh-CN"/>
              </w:rPr>
              <w:t>调节池</w:t>
            </w:r>
          </w:p>
          <w:p>
            <w:pPr>
              <w:ind w:firstLine="480"/>
              <w:rPr>
                <w:rFonts w:hint="default" w:eastAsia="宋体"/>
                <w:lang w:val="en-US" w:eastAsia="zh-CN"/>
              </w:rPr>
            </w:pPr>
            <w:r>
              <w:rPr>
                <w:rFonts w:hint="eastAsia"/>
              </w:rPr>
              <w:t>调节池主要有调节水量、均衡水质和预处理三大作用。</w:t>
            </w:r>
            <w:r>
              <w:rPr>
                <w:rFonts w:hint="eastAsia"/>
                <w:lang w:val="en-US" w:eastAsia="zh-CN"/>
              </w:rPr>
              <w:t>调节池能够平衡进水流量的波动，可以通过混合不同时间或来源的污水，促进水质的均一化，减少浓度波动对后续处理单元的冲击，为后续处理创造良好的条件。</w:t>
            </w:r>
          </w:p>
          <w:p>
            <w:pPr>
              <w:ind w:firstLine="480"/>
            </w:pPr>
            <w:r>
              <w:rPr>
                <w:rFonts w:hint="eastAsia"/>
              </w:rPr>
              <w:t>③pH调节池</w:t>
            </w:r>
          </w:p>
          <w:p>
            <w:pPr>
              <w:ind w:firstLine="480"/>
            </w:pPr>
            <w:r>
              <w:rPr>
                <w:rFonts w:hint="eastAsia"/>
              </w:rPr>
              <w:t>废水进入pH调节池，通过加入试剂控制pH，使废水中的酸碱中和，达到污水处理厂的进水要求。</w:t>
            </w:r>
          </w:p>
          <w:p>
            <w:pPr>
              <w:ind w:firstLine="480"/>
            </w:pPr>
            <w:r>
              <w:rPr>
                <w:rFonts w:hint="eastAsia"/>
                <w:lang w:val="en-US" w:eastAsia="zh-CN"/>
              </w:rPr>
              <w:t>④</w:t>
            </w:r>
            <w:r>
              <w:rPr>
                <w:rFonts w:hint="eastAsia"/>
              </w:rPr>
              <w:t>混凝沉淀池</w:t>
            </w:r>
          </w:p>
          <w:p>
            <w:pPr>
              <w:ind w:firstLine="480"/>
            </w:pPr>
            <w:r>
              <w:rPr>
                <w:rFonts w:hint="eastAsia"/>
              </w:rPr>
              <w:t>在废水中会有大量的细小悬浮物与胶体微粒，由于受布朗运动的影响，它们无法进行重力沉降，通过向水中投加混凝剂PAC（聚合氯化铝），使得它们能互相吸附结合而成较大颗粒。通过投加絮凝剂PAM（聚丙烯酰胺），使得微小的絮体结合为一个更大的絮体。絮凝体通过吸附，体积增大而下沉。</w:t>
            </w:r>
            <w:r>
              <w:t>加药反应完毕后的废水进行固液分离，从而使絮凝体从废水中去除。沉淀下来的污泥物送到污泥池，对污泥进行脱水处理</w:t>
            </w:r>
            <w:r>
              <w:rPr>
                <w:rFonts w:hint="eastAsia"/>
              </w:rPr>
              <w:t>，</w:t>
            </w:r>
            <w:r>
              <w:t>脱水后形成的泥饼外运。</w:t>
            </w:r>
          </w:p>
          <w:p>
            <w:pPr>
              <w:ind w:firstLine="480"/>
              <w:rPr>
                <w:rFonts w:hint="eastAsia"/>
                <w:lang w:val="en-US" w:eastAsia="zh-CN"/>
              </w:rPr>
            </w:pPr>
            <w:r>
              <w:rPr>
                <w:rFonts w:hint="eastAsia"/>
                <w:lang w:val="en-US" w:eastAsia="zh-CN"/>
              </w:rPr>
              <w:t>⑤二沉池</w:t>
            </w:r>
          </w:p>
          <w:p>
            <w:pPr>
              <w:ind w:firstLine="480"/>
              <w:rPr>
                <w:rFonts w:hint="default"/>
                <w:lang w:val="en-US" w:eastAsia="zh-CN"/>
              </w:rPr>
            </w:pPr>
            <w:r>
              <w:rPr>
                <w:rFonts w:hint="eastAsia"/>
                <w:lang w:val="en-US" w:eastAsia="zh-CN"/>
              </w:rPr>
              <w:t>本项目废水预处理一体化处理设施的二沉池是斜管沉淀池，斜管沉淀池是一种集沉淀、脱水于一体的设备，通过斜管的存在，污水中的悬浮颗粒受到重力作用，开始逐渐沉降下来。同时，污水在流动过程中也会与管道表面发生摩擦，使得部分颗粒附着在管道表面。通过沉降和附着的双重作用，斜管沉淀池使污水中的固体颗粒逐渐形成较大的沉淀物，大量聚集后更容易清除。</w:t>
            </w:r>
          </w:p>
          <w:p>
            <w:pPr>
              <w:ind w:firstLine="482"/>
              <w:rPr>
                <w:b/>
                <w:bCs/>
              </w:rPr>
            </w:pPr>
            <w:r>
              <w:rPr>
                <w:rFonts w:hint="eastAsia"/>
                <w:b/>
                <w:bCs/>
              </w:rPr>
              <w:t>废水处理措施技术可行性分析</w:t>
            </w:r>
          </w:p>
          <w:p>
            <w:r>
              <w:rPr>
                <w:rFonts w:hint="eastAsia"/>
              </w:rPr>
              <w:t>本次</w:t>
            </w:r>
            <w:r>
              <w:rPr>
                <w:rFonts w:hint="eastAsia"/>
                <w:lang w:val="en-US" w:eastAsia="zh-CN"/>
              </w:rPr>
              <w:t>综合废水</w:t>
            </w:r>
            <w:r>
              <w:rPr>
                <w:rFonts w:hint="eastAsia"/>
              </w:rPr>
              <w:t>处理情况见表4-1</w:t>
            </w:r>
            <w:r>
              <w:rPr>
                <w:rFonts w:hint="eastAsia"/>
                <w:lang w:val="en-US" w:eastAsia="zh-CN"/>
              </w:rPr>
              <w:t>9</w:t>
            </w:r>
            <w:r>
              <w:rPr>
                <w:rFonts w:hint="eastAsia"/>
              </w:rPr>
              <w:t>。由表4-1</w:t>
            </w:r>
            <w:r>
              <w:rPr>
                <w:rFonts w:hint="eastAsia"/>
                <w:lang w:val="en-US" w:eastAsia="zh-CN"/>
              </w:rPr>
              <w:t>9</w:t>
            </w:r>
            <w:r>
              <w:rPr>
                <w:rFonts w:hint="eastAsia"/>
              </w:rPr>
              <w:t>可知，本项目</w:t>
            </w:r>
            <w:r>
              <w:rPr>
                <w:rFonts w:hint="eastAsia"/>
                <w:lang w:val="en-US" w:eastAsia="zh-CN"/>
              </w:rPr>
              <w:t>的综合废水</w:t>
            </w:r>
            <w:r>
              <w:rPr>
                <w:rFonts w:hint="eastAsia"/>
              </w:rPr>
              <w:t>经自建的</w:t>
            </w:r>
            <w:r>
              <w:rPr>
                <w:rFonts w:hint="eastAsia"/>
                <w:lang w:val="en-US" w:eastAsia="zh-CN"/>
              </w:rPr>
              <w:t>废水</w:t>
            </w:r>
            <w:r>
              <w:rPr>
                <w:rFonts w:hint="eastAsia"/>
              </w:rPr>
              <w:t>预处理站处理后能够达</w:t>
            </w:r>
            <w:r>
              <w:rPr>
                <w:rFonts w:hint="eastAsia"/>
                <w:lang w:val="en-US" w:eastAsia="zh-CN"/>
              </w:rPr>
              <w:t>到</w:t>
            </w:r>
            <w:r>
              <w:rPr>
                <w:rFonts w:hint="eastAsia"/>
              </w:rPr>
              <w:t>综排3级标准与接管标准中较严者，进入市政污水管网，该废水处理措施技术可行。</w:t>
            </w:r>
          </w:p>
          <w:p>
            <w:pPr>
              <w:pStyle w:val="4"/>
              <w:ind w:firstLine="482"/>
            </w:pPr>
            <w:r>
              <w:rPr>
                <w:rFonts w:hint="eastAsia"/>
              </w:rPr>
              <w:t>（3）废水依托污水处理厂可行性分析</w:t>
            </w:r>
          </w:p>
          <w:p>
            <w:pPr>
              <w:ind w:firstLine="480"/>
            </w:pPr>
            <w:r>
              <w:rPr>
                <w:rFonts w:hint="eastAsia"/>
              </w:rPr>
              <w:t>①污水处理厂概况</w:t>
            </w:r>
          </w:p>
          <w:p>
            <w:pPr>
              <w:ind w:firstLine="480"/>
            </w:pPr>
            <w:r>
              <w:t>衡阳西渡高新区污水处理厂位于衡阳县西渡镇江山村S315线以南，豆陂村与八一村交界处</w:t>
            </w:r>
            <w:r>
              <w:rPr>
                <w:rFonts w:hint="eastAsia"/>
              </w:rPr>
              <w:t>，</w:t>
            </w:r>
            <w:r>
              <w:t>衡阳县污水处理厂主要收集衡阳县西渡高新技术产业园片区企业的工业污水及生活污水。总用地面积为61亩，现阶段建设规模为</w:t>
            </w:r>
            <w:r>
              <w:rPr>
                <w:rFonts w:hint="eastAsia"/>
              </w:rPr>
              <w:t>：</w:t>
            </w:r>
            <w:r>
              <w:t>2.0万</w:t>
            </w:r>
            <w:r>
              <w:rPr>
                <w:rFonts w:hint="eastAsia"/>
              </w:rPr>
              <w:t>m</w:t>
            </w:r>
            <w:r>
              <w:rPr>
                <w:rFonts w:hint="eastAsia"/>
                <w:vertAlign w:val="superscript"/>
              </w:rPr>
              <w:t>2</w:t>
            </w:r>
            <w:r>
              <w:t>/d，远期建设规模将达到4万</w:t>
            </w:r>
            <w:r>
              <w:rPr>
                <w:rFonts w:hint="eastAsia"/>
              </w:rPr>
              <w:t>m</w:t>
            </w:r>
            <w:r>
              <w:rPr>
                <w:rFonts w:hint="eastAsia"/>
                <w:vertAlign w:val="superscript"/>
              </w:rPr>
              <w:t>2</w:t>
            </w:r>
            <w:r>
              <w:t>/d。污水处理厂设计出水水质中污染物均执行《城镇污水处理厂污染物排放标准》（GB18918-2002）一级</w:t>
            </w:r>
            <w:r>
              <w:rPr>
                <w:rFonts w:hint="eastAsia"/>
              </w:rPr>
              <w:t>A</w:t>
            </w:r>
            <w:r>
              <w:t>标准后经污水渠道排入蒸水</w:t>
            </w:r>
            <w:r>
              <w:rPr>
                <w:rFonts w:hint="eastAsia"/>
              </w:rPr>
              <w:t>。污水处理采用预处理+A</w:t>
            </w:r>
            <w:r>
              <w:rPr>
                <w:rFonts w:hint="eastAsia"/>
                <w:vertAlign w:val="superscript"/>
              </w:rPr>
              <w:t>2</w:t>
            </w:r>
            <w:r>
              <w:rPr>
                <w:rFonts w:hint="eastAsia"/>
              </w:rPr>
              <w:t>/O生物池+高效沉淀+过滤+UV消毒处理工艺，污泥采用“污泥重力浓缩+调理+厢式压滤”工艺处理，含水率降至60%以下，外运至衡阳县利达垃圾填埋场填埋处置。</w:t>
            </w:r>
          </w:p>
          <w:p>
            <w:pPr>
              <w:ind w:firstLine="480"/>
            </w:pPr>
            <w:r>
              <w:rPr>
                <w:rFonts w:hint="eastAsia"/>
              </w:rPr>
              <w:t>②依托可行性分析</w:t>
            </w:r>
          </w:p>
          <w:p>
            <w:pPr>
              <w:ind w:firstLine="480"/>
            </w:pPr>
            <w:r>
              <w:rPr>
                <w:rFonts w:hint="eastAsia"/>
              </w:rPr>
              <w:t>a.水质可行性分析</w:t>
            </w:r>
          </w:p>
          <w:p>
            <w:pPr>
              <w:ind w:firstLine="480"/>
            </w:pPr>
            <w:r>
              <w:rPr>
                <w:rFonts w:hint="eastAsia"/>
              </w:rPr>
              <w:t>本项目排放的废水因子主要为pH值、化学需氧量、</w:t>
            </w:r>
            <w:r>
              <w:rPr>
                <w:rFonts w:hint="eastAsia"/>
                <w:lang w:val="en-US" w:eastAsia="zh-CN"/>
              </w:rPr>
              <w:t>氨氮</w:t>
            </w:r>
            <w:r>
              <w:rPr>
                <w:rFonts w:hint="eastAsia"/>
              </w:rPr>
              <w:t>、总磷、总氮、悬浮物、石油类。根据对生产废水预处理的分析可知，生产废水经预处理后各污染物浓度能够满足</w:t>
            </w:r>
            <w:r>
              <w:t>衡阳西渡高新区污水处理厂</w:t>
            </w:r>
            <w:r>
              <w:rPr>
                <w:rFonts w:hint="eastAsia"/>
              </w:rPr>
              <w:t>的进水水质要求。</w:t>
            </w:r>
          </w:p>
          <w:p>
            <w:pPr>
              <w:ind w:firstLine="480"/>
            </w:pPr>
            <w:r>
              <w:rPr>
                <w:rFonts w:hint="eastAsia"/>
              </w:rPr>
              <w:t>b.水量可行性分析</w:t>
            </w:r>
          </w:p>
          <w:p>
            <w:pPr>
              <w:ind w:firstLine="480"/>
            </w:pPr>
            <w:r>
              <w:rPr>
                <w:rFonts w:hint="eastAsia"/>
              </w:rPr>
              <w:t>本项目运营期外排废水总量为</w:t>
            </w:r>
            <w:r>
              <w:rPr>
                <w:rFonts w:hint="eastAsia"/>
                <w:lang w:val="en-US" w:eastAsia="zh-CN"/>
              </w:rPr>
              <w:t>900.6</w:t>
            </w:r>
            <w:r>
              <w:rPr>
                <w:rFonts w:hint="eastAsia"/>
              </w:rPr>
              <w:t>m</w:t>
            </w:r>
            <w:r>
              <w:rPr>
                <w:rFonts w:hint="eastAsia"/>
                <w:vertAlign w:val="superscript"/>
              </w:rPr>
              <w:t>3</w:t>
            </w:r>
            <w:r>
              <w:rPr>
                <w:rFonts w:hint="eastAsia"/>
              </w:rPr>
              <w:t>/</w:t>
            </w:r>
            <w:r>
              <w:rPr>
                <w:rFonts w:hint="eastAsia"/>
                <w:lang w:val="en-US" w:eastAsia="zh-CN"/>
              </w:rPr>
              <w:t>a</w:t>
            </w:r>
            <w:r>
              <w:rPr>
                <w:rFonts w:hint="eastAsia"/>
              </w:rPr>
              <w:t>，废水</w:t>
            </w:r>
            <w:r>
              <w:rPr>
                <w:rFonts w:hint="eastAsia"/>
                <w:lang w:val="en-US" w:eastAsia="zh-CN"/>
              </w:rPr>
              <w:t>日</w:t>
            </w:r>
            <w:r>
              <w:rPr>
                <w:rFonts w:hint="eastAsia"/>
              </w:rPr>
              <w:t>排放量为</w:t>
            </w:r>
            <w:r>
              <w:rPr>
                <w:rFonts w:hint="eastAsia"/>
                <w:lang w:val="en-US" w:eastAsia="zh-CN"/>
              </w:rPr>
              <w:t>3.002</w:t>
            </w:r>
            <w:r>
              <w:rPr>
                <w:rFonts w:hint="eastAsia"/>
              </w:rPr>
              <w:t>m</w:t>
            </w:r>
            <w:r>
              <w:rPr>
                <w:rFonts w:hint="eastAsia"/>
                <w:vertAlign w:val="superscript"/>
              </w:rPr>
              <w:t>3</w:t>
            </w:r>
            <w:r>
              <w:rPr>
                <w:rFonts w:hint="eastAsia"/>
              </w:rPr>
              <w:t>/d，仅占衡阳西渡高新区污水处理厂日处理能力的</w:t>
            </w:r>
            <w:r>
              <w:rPr>
                <w:rFonts w:hint="eastAsia"/>
                <w:lang w:val="en-US" w:eastAsia="zh-CN"/>
              </w:rPr>
              <w:t>0.015</w:t>
            </w:r>
            <w:r>
              <w:rPr>
                <w:rFonts w:hint="eastAsia"/>
              </w:rPr>
              <w:t>%，未超出衡阳西渡高新区污水处理厂纳污处理能力，远小于园区污水处理厂日处理水量规模，对园区污水处理厂的处理负荷带来的冲击较小。</w:t>
            </w:r>
          </w:p>
          <w:p>
            <w:pPr>
              <w:ind w:firstLine="480"/>
            </w:pPr>
            <w:r>
              <w:rPr>
                <w:rFonts w:hint="eastAsia"/>
              </w:rPr>
              <w:t>c.接管可行性分析</w:t>
            </w:r>
          </w:p>
          <w:p>
            <w:pPr>
              <w:ind w:firstLine="480"/>
            </w:pPr>
            <w:r>
              <w:rPr>
                <w:rFonts w:hint="eastAsia"/>
              </w:rPr>
              <w:t>项目所在地属于衡阳西渡高新区污水处理厂的纳污范围，目前项目所在地周边管网已完善，项目污水可进入衡阳西渡高新区污水处理厂处理。</w:t>
            </w:r>
          </w:p>
          <w:p>
            <w:pPr>
              <w:ind w:firstLine="480"/>
            </w:pPr>
            <w:r>
              <w:rPr>
                <w:rFonts w:hint="eastAsia"/>
              </w:rPr>
              <w:t>综上所述，项目外排废水对园区污水处理厂的水质、水量不会造成较大的冲击和影响，本项目排放的废水纳入园区污水处理厂进一步处理是可行的。</w:t>
            </w:r>
          </w:p>
          <w:p>
            <w:pPr>
              <w:pStyle w:val="4"/>
              <w:ind w:firstLine="482"/>
            </w:pPr>
            <w:r>
              <w:rPr>
                <w:rFonts w:hint="eastAsia"/>
              </w:rPr>
              <w:t>（4）废水监测要求</w:t>
            </w:r>
          </w:p>
          <w:p>
            <w:pPr>
              <w:ind w:firstLine="480"/>
              <w:rPr>
                <w:rFonts w:hint="eastAsia"/>
              </w:rPr>
            </w:pPr>
            <w:r>
              <w:rPr>
                <w:rFonts w:hint="eastAsia"/>
              </w:rPr>
              <w:t>本项目运营阶段的水污染源监测计划如下表。</w:t>
            </w:r>
          </w:p>
          <w:p>
            <w:pPr>
              <w:pStyle w:val="37"/>
              <w:spacing w:before="72" w:after="120"/>
              <w:rPr>
                <w:rFonts w:hint="eastAsia"/>
              </w:rPr>
            </w:pPr>
            <w:r>
              <w:t>表4-</w:t>
            </w:r>
            <w:r>
              <w:rPr>
                <w:rFonts w:hint="eastAsia"/>
                <w:lang w:val="en-US" w:eastAsia="zh-CN"/>
              </w:rPr>
              <w:t>20</w:t>
            </w:r>
            <w:r>
              <w:t xml:space="preserve"> 本项目水污染源监测计划</w:t>
            </w:r>
          </w:p>
          <w:tbl>
            <w:tblPr>
              <w:tblStyle w:val="19"/>
              <w:tblW w:w="4998" w:type="pct"/>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55"/>
              <w:gridCol w:w="3639"/>
              <w:gridCol w:w="1944"/>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569" w:type="pct"/>
                  <w:tcBorders>
                    <w:bottom w:val="single" w:color="auto" w:sz="4" w:space="0"/>
                    <w:right w:val="single" w:color="auto" w:sz="4" w:space="0"/>
                  </w:tcBorders>
                  <w:vAlign w:val="center"/>
                </w:tcPr>
                <w:p>
                  <w:pPr>
                    <w:pStyle w:val="24"/>
                    <w:rPr>
                      <w:b/>
                      <w:bCs/>
                    </w:rPr>
                  </w:pPr>
                  <w:r>
                    <w:rPr>
                      <w:rFonts w:hint="eastAsia"/>
                      <w:b/>
                      <w:bCs/>
                    </w:rPr>
                    <w:t>监测点位</w:t>
                  </w:r>
                </w:p>
              </w:tc>
              <w:tc>
                <w:tcPr>
                  <w:tcW w:w="2235" w:type="pct"/>
                  <w:tcBorders>
                    <w:left w:val="single" w:color="auto" w:sz="4" w:space="0"/>
                    <w:bottom w:val="single" w:color="auto" w:sz="4" w:space="0"/>
                    <w:right w:val="single" w:color="auto" w:sz="4" w:space="0"/>
                  </w:tcBorders>
                  <w:vAlign w:val="center"/>
                </w:tcPr>
                <w:p>
                  <w:pPr>
                    <w:pStyle w:val="24"/>
                    <w:rPr>
                      <w:b/>
                      <w:bCs/>
                    </w:rPr>
                  </w:pPr>
                  <w:r>
                    <w:rPr>
                      <w:rFonts w:hint="eastAsia"/>
                      <w:b/>
                      <w:bCs/>
                    </w:rPr>
                    <w:t>监测因子</w:t>
                  </w:r>
                </w:p>
              </w:tc>
              <w:tc>
                <w:tcPr>
                  <w:tcW w:w="1194" w:type="pct"/>
                  <w:tcBorders>
                    <w:left w:val="single" w:color="auto" w:sz="4" w:space="0"/>
                    <w:bottom w:val="single" w:color="auto" w:sz="4" w:space="0"/>
                  </w:tcBorders>
                  <w:vAlign w:val="center"/>
                </w:tcPr>
                <w:p>
                  <w:pPr>
                    <w:pStyle w:val="24"/>
                    <w:rPr>
                      <w:b/>
                      <w:bCs/>
                    </w:rPr>
                  </w:pPr>
                  <w:r>
                    <w:rPr>
                      <w:rFonts w:hint="eastAsia"/>
                      <w:b/>
                      <w:bCs/>
                    </w:rPr>
                    <w:t>监测频次</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569" w:type="pct"/>
                  <w:tcBorders>
                    <w:top w:val="single" w:color="auto" w:sz="4" w:space="0"/>
                    <w:right w:val="single" w:color="auto" w:sz="4" w:space="0"/>
                  </w:tcBorders>
                  <w:vAlign w:val="center"/>
                </w:tcPr>
                <w:p>
                  <w:pPr>
                    <w:pStyle w:val="24"/>
                  </w:pPr>
                  <w:r>
                    <w:rPr>
                      <w:rFonts w:hint="eastAsia"/>
                    </w:rPr>
                    <w:t>厂区</w:t>
                  </w:r>
                  <w:r>
                    <w:rPr>
                      <w:rFonts w:hint="eastAsia"/>
                      <w:lang w:val="en-US" w:eastAsia="zh-CN"/>
                    </w:rPr>
                    <w:t>综合</w:t>
                  </w:r>
                  <w:r>
                    <w:rPr>
                      <w:rFonts w:hint="eastAsia"/>
                    </w:rPr>
                    <w:t>废水排放总口</w:t>
                  </w:r>
                </w:p>
              </w:tc>
              <w:tc>
                <w:tcPr>
                  <w:tcW w:w="2235" w:type="pct"/>
                  <w:tcBorders>
                    <w:top w:val="single" w:color="auto" w:sz="4" w:space="0"/>
                    <w:left w:val="single" w:color="auto" w:sz="4" w:space="0"/>
                    <w:right w:val="single" w:color="auto" w:sz="4" w:space="0"/>
                  </w:tcBorders>
                  <w:vAlign w:val="center"/>
                </w:tcPr>
                <w:p>
                  <w:pPr>
                    <w:pStyle w:val="24"/>
                    <w:rPr>
                      <w:rFonts w:hint="default" w:eastAsia="宋体"/>
                      <w:lang w:val="en-US" w:eastAsia="zh-CN"/>
                    </w:rPr>
                  </w:pPr>
                  <w:r>
                    <w:rPr>
                      <w:rFonts w:hint="eastAsia"/>
                    </w:rPr>
                    <w:t>流量、pH值、化学需氧量、</w:t>
                  </w:r>
                  <w:r>
                    <w:rPr>
                      <w:rFonts w:hint="eastAsia"/>
                      <w:lang w:val="en-US" w:eastAsia="zh-CN"/>
                    </w:rPr>
                    <w:t>氨氮</w:t>
                  </w:r>
                  <w:r>
                    <w:rPr>
                      <w:rFonts w:hint="eastAsia"/>
                    </w:rPr>
                    <w:t>、总磷、总氮、悬浮物</w:t>
                  </w:r>
                </w:p>
              </w:tc>
              <w:tc>
                <w:tcPr>
                  <w:tcW w:w="1194" w:type="pct"/>
                  <w:tcBorders>
                    <w:top w:val="single" w:color="auto" w:sz="4" w:space="0"/>
                    <w:left w:val="single" w:color="auto" w:sz="4" w:space="0"/>
                  </w:tcBorders>
                  <w:vAlign w:val="center"/>
                </w:tcPr>
                <w:p>
                  <w:pPr>
                    <w:pStyle w:val="24"/>
                  </w:pPr>
                  <w:r>
                    <w:rPr>
                      <w:rFonts w:hint="eastAsia"/>
                      <w:lang w:val="en-US" w:eastAsia="zh-CN"/>
                    </w:rPr>
                    <w:t>1</w:t>
                  </w:r>
                  <w:r>
                    <w:rPr>
                      <w:rFonts w:hint="eastAsia"/>
                    </w:rPr>
                    <w:t>次/</w:t>
                  </w:r>
                  <w:r>
                    <w:rPr>
                      <w:rFonts w:hint="eastAsia"/>
                      <w:lang w:val="en-US" w:eastAsia="zh-CN"/>
                    </w:rPr>
                    <w:t>半</w:t>
                  </w:r>
                  <w:r>
                    <w:rPr>
                      <w:rFonts w:hint="eastAsia"/>
                    </w:rPr>
                    <w:t>年</w:t>
                  </w:r>
                </w:p>
              </w:tc>
            </w:tr>
          </w:tbl>
          <w:p>
            <w:pPr>
              <w:pStyle w:val="2"/>
              <w:spacing w:before="120"/>
            </w:pPr>
            <w:bookmarkStart w:id="161" w:name="_Toc6505"/>
            <w:bookmarkStart w:id="162" w:name="_Toc5142"/>
            <w:bookmarkStart w:id="163" w:name="_Toc11075"/>
            <w:bookmarkStart w:id="164" w:name="_Toc11387"/>
            <w:r>
              <w:rPr>
                <w:rFonts w:hint="eastAsia"/>
              </w:rPr>
              <w:t>3、噪声</w:t>
            </w:r>
            <w:bookmarkEnd w:id="161"/>
            <w:bookmarkEnd w:id="162"/>
            <w:bookmarkEnd w:id="163"/>
            <w:bookmarkEnd w:id="164"/>
          </w:p>
          <w:p>
            <w:pPr>
              <w:pStyle w:val="4"/>
              <w:ind w:firstLine="482"/>
            </w:pPr>
            <w:r>
              <w:rPr>
                <w:rFonts w:hint="eastAsia"/>
              </w:rPr>
              <w:t>（1）噪声源强及降噪措施</w:t>
            </w:r>
          </w:p>
          <w:p>
            <w:pPr>
              <w:keepNext/>
              <w:keepLines/>
              <w:widowControl/>
              <w:ind w:firstLine="480"/>
            </w:pPr>
            <w:r>
              <w:rPr>
                <w:rFonts w:hint="eastAsia"/>
              </w:rPr>
              <w:t>项目营运期主要噪声源为生产设备等设备运行时的噪声，噪声为65~85dB（A），项目噪声采取相关减振措施、建筑物隔声、距离衰减等措施。噪声主要集中在车间内部，夜间不进行工作，各噪声源强见</w:t>
            </w:r>
            <w:r>
              <w:rPr>
                <w:rFonts w:hint="eastAsia"/>
                <w:lang w:val="en-US" w:eastAsia="zh-CN"/>
              </w:rPr>
              <w:t>下表</w:t>
            </w:r>
            <w:r>
              <w:rPr>
                <w:rFonts w:hint="eastAsia"/>
              </w:rPr>
              <w:t>。</w:t>
            </w:r>
          </w:p>
          <w:p>
            <w:pPr>
              <w:keepNext/>
              <w:keepLines/>
              <w:widowControl/>
              <w:ind w:firstLine="422"/>
              <w:jc w:val="center"/>
              <w:rPr>
                <w:b/>
                <w:bCs/>
                <w:sz w:val="21"/>
                <w:szCs w:val="21"/>
              </w:rPr>
            </w:pPr>
            <w:r>
              <w:rPr>
                <w:rFonts w:hint="eastAsia"/>
                <w:b/>
                <w:bCs/>
                <w:sz w:val="21"/>
                <w:szCs w:val="21"/>
              </w:rPr>
              <w:t>表4-</w:t>
            </w:r>
            <w:r>
              <w:rPr>
                <w:rFonts w:hint="eastAsia"/>
                <w:b/>
                <w:bCs/>
                <w:sz w:val="21"/>
                <w:szCs w:val="21"/>
                <w:lang w:val="en-US" w:eastAsia="zh-CN"/>
              </w:rPr>
              <w:t>21</w:t>
            </w:r>
            <w:r>
              <w:rPr>
                <w:rFonts w:hint="eastAsia"/>
                <w:b/>
                <w:bCs/>
                <w:sz w:val="21"/>
                <w:szCs w:val="21"/>
              </w:rPr>
              <w:t xml:space="preserve"> 项目噪声室内声源源强一览表  单位：dB（A）</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3"/>
              <w:gridCol w:w="673"/>
              <w:gridCol w:w="1793"/>
              <w:gridCol w:w="1091"/>
              <w:gridCol w:w="910"/>
              <w:gridCol w:w="769"/>
              <w:gridCol w:w="808"/>
              <w:gridCol w:w="466"/>
              <w:gridCol w:w="11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序号</w:t>
                  </w:r>
                </w:p>
              </w:tc>
              <w:tc>
                <w:tcPr>
                  <w:tcW w:w="413"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建筑物名称</w:t>
                  </w:r>
                </w:p>
              </w:tc>
              <w:tc>
                <w:tcPr>
                  <w:tcW w:w="1101"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声源名称</w:t>
                  </w:r>
                </w:p>
              </w:tc>
              <w:tc>
                <w:tcPr>
                  <w:tcW w:w="670"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b/>
                      <w:bCs/>
                    </w:rPr>
                    <w:t>声功率级/dB(A)</w:t>
                  </w:r>
                </w:p>
              </w:tc>
              <w:tc>
                <w:tcPr>
                  <w:tcW w:w="559"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b/>
                      <w:bCs/>
                    </w:rPr>
                    <w:t>声源控制措施</w:t>
                  </w:r>
                </w:p>
              </w:tc>
              <w:tc>
                <w:tcPr>
                  <w:tcW w:w="1254" w:type="pct"/>
                  <w:gridSpan w:val="3"/>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b/>
                      <w:bCs/>
                    </w:rPr>
                    <w:t>空间相对位置/m</w:t>
                  </w:r>
                </w:p>
              </w:tc>
              <w:tc>
                <w:tcPr>
                  <w:tcW w:w="697"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b/>
                      <w:bCs/>
                    </w:rPr>
                    <w:t>建筑物插入损失/dB(A)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670"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X</w:t>
                  </w:r>
                </w:p>
              </w:tc>
              <w:tc>
                <w:tcPr>
                  <w:tcW w:w="496"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Y</w:t>
                  </w:r>
                </w:p>
              </w:tc>
              <w:tc>
                <w:tcPr>
                  <w:tcW w:w="28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b/>
                      <w:bCs/>
                    </w:rPr>
                  </w:pPr>
                  <w:r>
                    <w:rPr>
                      <w:rFonts w:hint="eastAsia"/>
                      <w:b/>
                      <w:bCs/>
                    </w:rPr>
                    <w:t>Z</w:t>
                  </w:r>
                </w:p>
              </w:tc>
              <w:tc>
                <w:tcPr>
                  <w:tcW w:w="697"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413" w:type="pct"/>
                  <w:vMerge w:val="restar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五金加工车间</w:t>
                  </w: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插网机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65</w:t>
                  </w:r>
                </w:p>
              </w:tc>
              <w:tc>
                <w:tcPr>
                  <w:tcW w:w="559" w:type="pct"/>
                  <w:vMerge w:val="restar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隔声、减震措施</w:t>
                  </w: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8.27</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15.87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补网机、点焊机1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9.45</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15.18</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补网机、点焊机2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10.69</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14.62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4</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单伺服普通打圈机（冲孔）</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7.74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14.65</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5</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20千瓦对焊机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8.96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14.09</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外环扁线冲孔机，偏心压机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10.08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13.47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鸟笼单点机（绒面大环上面）</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11.83</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14.39</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鸟笼焊机外环机（顶圈）</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11.59</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13.97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鸟笼单点机（绒面中环里面）</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11.36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13.52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鸟笼焊机外环机（中圈）</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11.11</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12.97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打圈对焊一体机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12.38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13.19</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工业网单点机（绿色网罩空心单点机）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13.14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13.68</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单点机自动内环机1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13.97</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13.31</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单点机自动内环机2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13.75</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12.9</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单点机自动内环机3</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13.46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12.41</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单点机自动内环机4</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13.21</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11.92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电动送料架1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15.12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12.83</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18</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电动送料架2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14.9</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12.31</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19</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电动送料架3</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14.7</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11.87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电动送料架4</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14.48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11.36</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21</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油压机机械手1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12.07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22</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油压机机械手2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15.46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11.24</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23</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油压机1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16.68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11.63</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24</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油压机2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16.34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10.82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25</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单中环机</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中环点焊机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17.61</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11.21</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26</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双中环机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17.29</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10.5</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27</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外环机1</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18.54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10.8</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28</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外环机2</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18.2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10.04</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29</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修边机</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边缘修整机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17.22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7.45</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30</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修边机</w:t>
                  </w:r>
                </w:p>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自动边缘修整机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16.07</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7.87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31</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上扣机 铆接机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12.09</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9.33</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32</w:t>
                  </w:r>
                </w:p>
              </w:tc>
              <w:tc>
                <w:tcPr>
                  <w:tcW w:w="413" w:type="pct"/>
                  <w:vMerge w:val="continue"/>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闪光焊</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11.48</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9.63</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33</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扁铁圈（绿色扁带专机两侧冲孔）</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10.82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9.94</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34</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提手点焊机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9.86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10.46</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35</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2D弯线机（提手成型）</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8.84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10.82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36</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自动绕线机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6.64</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11.99</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37</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自动排焊机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7.35</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11.6</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38</w:t>
                  </w:r>
                </w:p>
              </w:tc>
              <w:tc>
                <w:tcPr>
                  <w:tcW w:w="413" w:type="pct"/>
                  <w:vMerge w:val="restart"/>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lang w:val="en-US" w:eastAsia="zh-CN"/>
                    </w:rPr>
                    <w:t>喷粉</w:t>
                  </w:r>
                  <w:r>
                    <w:rPr>
                      <w:rFonts w:hint="eastAsia"/>
                    </w:rPr>
                    <w:t>车间</w:t>
                  </w: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喷粉房1</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5.16</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1.18</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39</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喷粉房2</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7.7</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0.18</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40</w:t>
                  </w:r>
                </w:p>
              </w:tc>
              <w:tc>
                <w:tcPr>
                  <w:tcW w:w="413" w:type="pct"/>
                  <w:vMerge w:val="continue"/>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烘烤炉</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10.65</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-0.47</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41</w:t>
                  </w: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固化炉</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11.12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0.71</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42</w:t>
                  </w: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前处理线</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75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43</w:t>
                  </w: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自动输送线</w:t>
                  </w:r>
                </w:p>
              </w:tc>
              <w:tc>
                <w:tcPr>
                  <w:tcW w:w="670"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65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kern w:val="0"/>
                      <w:sz w:val="21"/>
                      <w:szCs w:val="20"/>
                      <w:lang w:val="en-US" w:eastAsia="zh-CN" w:bidi="ar-SA"/>
                    </w:rPr>
                  </w:pPr>
                  <w:r>
                    <w:rPr>
                      <w:rFonts w:hint="eastAsia"/>
                    </w:rPr>
                    <w:t>44</w:t>
                  </w: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脉冲滤芯除尘器</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80</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10.12</w:t>
                  </w:r>
                </w:p>
              </w:tc>
              <w:tc>
                <w:tcPr>
                  <w:tcW w:w="496"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-5.2</w:t>
                  </w:r>
                </w:p>
              </w:tc>
              <w:tc>
                <w:tcPr>
                  <w:tcW w:w="284"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1</w:t>
                  </w:r>
                </w:p>
              </w:tc>
              <w:tc>
                <w:tcPr>
                  <w:tcW w:w="697"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r>
                    <w:rPr>
                      <w:rFonts w:hint="eastAsia"/>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303"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lang w:val="en-US" w:eastAsia="zh-CN"/>
                    </w:rPr>
                  </w:pPr>
                  <w:r>
                    <w:rPr>
                      <w:rFonts w:hint="eastAsia"/>
                      <w:lang w:val="en-US" w:eastAsia="zh-CN"/>
                    </w:rPr>
                    <w:t>45</w:t>
                  </w:r>
                </w:p>
              </w:tc>
              <w:tc>
                <w:tcPr>
                  <w:tcW w:w="413"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1101" w:type="pct"/>
                  <w:shd w:val="clear" w:color="auto" w:fill="FFFFFF"/>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lang w:val="en-US" w:eastAsia="zh-CN"/>
                    </w:rPr>
                  </w:pPr>
                  <w:r>
                    <w:rPr>
                      <w:rFonts w:hint="eastAsia"/>
                      <w:lang w:val="en-US" w:eastAsia="zh-CN"/>
                    </w:rPr>
                    <w:t>风机</w:t>
                  </w:r>
                </w:p>
              </w:tc>
              <w:tc>
                <w:tcPr>
                  <w:tcW w:w="670" w:type="pct"/>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lang w:val="en-US" w:eastAsia="zh-CN"/>
                    </w:rPr>
                  </w:pPr>
                  <w:r>
                    <w:rPr>
                      <w:rFonts w:hint="eastAsia"/>
                      <w:lang w:val="en-US" w:eastAsia="zh-CN"/>
                    </w:rPr>
                    <w:t>85</w:t>
                  </w:r>
                </w:p>
              </w:tc>
              <w:tc>
                <w:tcPr>
                  <w:tcW w:w="559" w:type="pct"/>
                  <w:vMerge w:val="continue"/>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pPr>
                </w:p>
              </w:tc>
              <w:tc>
                <w:tcPr>
                  <w:tcW w:w="472"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lang w:val="en-US" w:eastAsia="zh-CN" w:bidi="ar-SA"/>
                    </w:rPr>
                  </w:pPr>
                  <w:r>
                    <w:rPr>
                      <w:rFonts w:hint="eastAsia"/>
                    </w:rPr>
                    <w:t>10.83</w:t>
                  </w:r>
                </w:p>
              </w:tc>
              <w:tc>
                <w:tcPr>
                  <w:tcW w:w="496"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lang w:val="en-US" w:eastAsia="zh-CN" w:bidi="ar-SA"/>
                    </w:rPr>
                  </w:pPr>
                  <w:r>
                    <w:rPr>
                      <w:rFonts w:hint="eastAsia"/>
                    </w:rPr>
                    <w:t>-5.9</w:t>
                  </w:r>
                </w:p>
              </w:tc>
              <w:tc>
                <w:tcPr>
                  <w:tcW w:w="284"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lang w:val="en-US" w:eastAsia="zh-CN" w:bidi="ar-SA"/>
                    </w:rPr>
                  </w:pPr>
                  <w:r>
                    <w:rPr>
                      <w:rFonts w:hint="eastAsia"/>
                    </w:rPr>
                    <w:t>15</w:t>
                  </w:r>
                </w:p>
              </w:tc>
              <w:tc>
                <w:tcPr>
                  <w:tcW w:w="697" w:type="pct"/>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kern w:val="0"/>
                      <w:sz w:val="21"/>
                      <w:szCs w:val="20"/>
                      <w:lang w:val="en-US" w:eastAsia="zh-CN" w:bidi="ar-SA"/>
                    </w:rPr>
                  </w:pPr>
                  <w:r>
                    <w:rPr>
                      <w:rFonts w:hint="eastAsia"/>
                    </w:rPr>
                    <w:t>20</w:t>
                  </w:r>
                </w:p>
              </w:tc>
            </w:tr>
          </w:tbl>
          <w:p>
            <w:pPr>
              <w:pStyle w:val="4"/>
              <w:ind w:firstLine="482"/>
            </w:pPr>
            <w:r>
              <w:rPr>
                <w:rFonts w:hint="eastAsia"/>
              </w:rPr>
              <w:t>（2）噪声影响达标分析</w:t>
            </w:r>
          </w:p>
          <w:p>
            <w:pPr>
              <w:ind w:firstLine="480"/>
            </w:pPr>
            <w:r>
              <w:t>运营期噪声源主要为机械设备噪声，机械噪声声源较集中，相对呈点声源。根据项目建设内容及《环境影响评价技术导则 声环境》（HJ2.4-2021）的要求，项目环评采用的模型为《环境影响评价技术导则 声环境》（HJ2.4-2021）附录A（规范性附录）户外声传播的衰减和附录B（规范性附录）中</w:t>
            </w:r>
            <w:r>
              <w:rPr>
                <w:rFonts w:hint="eastAsia"/>
              </w:rPr>
              <w:t>“</w:t>
            </w:r>
            <w:r>
              <w:t>B.1工业噪声预测计算模型</w:t>
            </w:r>
            <w:r>
              <w:rPr>
                <w:rFonts w:hint="eastAsia"/>
              </w:rPr>
              <w:t>”</w:t>
            </w:r>
            <w:r>
              <w:t>。</w:t>
            </w:r>
          </w:p>
          <w:p>
            <w:pPr>
              <w:keepNext/>
              <w:keepLines/>
              <w:widowControl/>
              <w:ind w:firstLine="480"/>
            </w:pPr>
            <w:r>
              <w:t>①</w:t>
            </w:r>
            <w:r>
              <w:rPr>
                <w:rFonts w:hint="eastAsia"/>
              </w:rPr>
              <w:t>几何发散衰减</w:t>
            </w:r>
          </w:p>
          <w:p>
            <w:pPr>
              <w:keepNext/>
              <w:keepLines/>
              <w:widowControl/>
              <w:ind w:firstLine="0" w:firstLineChars="0"/>
              <w:jc w:val="center"/>
            </w:pPr>
            <w:r>
              <w:rPr>
                <w:b/>
                <w:bCs/>
                <w:position w:val="-14"/>
              </w:rPr>
              <w:object>
                <v:shape id="_x0000_i1025" o:spt="75" type="#_x0000_t75" style="height:25.8pt;width:180pt;" o:ole="t" filled="f" o:preferrelative="t" stroked="f" coordsize="21600,21600">
                  <v:path/>
                  <v:fill on="f" focussize="0,0"/>
                  <v:stroke on="f" joinstyle="miter"/>
                  <v:imagedata r:id="rId28" o:title=""/>
                  <o:lock v:ext="edit" aspectratio="t"/>
                  <w10:wrap type="none"/>
                  <w10:anchorlock/>
                </v:shape>
                <o:OLEObject Type="Embed" ProgID="Equation.KSEE3" ShapeID="_x0000_i1025" DrawAspect="Content" ObjectID="_1468075725" r:id="rId27">
                  <o:LockedField>false</o:LockedField>
                </o:OLEObject>
              </w:object>
            </w:r>
          </w:p>
          <w:p>
            <w:pPr>
              <w:ind w:firstLine="0" w:firstLineChars="0"/>
            </w:pPr>
            <w:r>
              <w:rPr>
                <w:rFonts w:hint="eastAsia"/>
              </w:rPr>
              <w:t>式中：Lp(r)—预测点处声压级，dB；</w:t>
            </w:r>
          </w:p>
          <w:p>
            <w:pPr>
              <w:ind w:firstLine="480"/>
            </w:pPr>
            <w:r>
              <w:rPr>
                <w:rFonts w:hint="eastAsia"/>
              </w:rPr>
              <w:t>Lp(r</w:t>
            </w:r>
            <w:r>
              <w:rPr>
                <w:rFonts w:hint="eastAsia"/>
                <w:vertAlign w:val="subscript"/>
              </w:rPr>
              <w:t>0</w:t>
            </w:r>
            <w:r>
              <w:rPr>
                <w:rFonts w:hint="eastAsia"/>
              </w:rPr>
              <w:t>)—参考位置r</w:t>
            </w:r>
            <w:r>
              <w:rPr>
                <w:rFonts w:hint="eastAsia"/>
                <w:vertAlign w:val="subscript"/>
              </w:rPr>
              <w:t>0</w:t>
            </w:r>
            <w:r>
              <w:rPr>
                <w:rFonts w:hint="eastAsia"/>
              </w:rPr>
              <w:t>处的声压级，dB；</w:t>
            </w:r>
          </w:p>
          <w:p>
            <w:pPr>
              <w:widowControl/>
              <w:ind w:firstLine="480"/>
              <w:jc w:val="left"/>
            </w:pPr>
            <w:r>
              <w:rPr>
                <w:rFonts w:hint="eastAsia" w:ascii="宋体" w:hAnsi="宋体" w:cs="宋体"/>
                <w:color w:val="000000"/>
                <w:kern w:val="0"/>
                <w:lang w:bidi="ar"/>
              </w:rPr>
              <w:t>r—预测点距声源的距离；</w:t>
            </w:r>
          </w:p>
          <w:p>
            <w:pPr>
              <w:ind w:firstLine="480"/>
            </w:pPr>
            <w:r>
              <w:rPr>
                <w:rFonts w:hint="eastAsia"/>
              </w:rPr>
              <w:t>r</w:t>
            </w:r>
            <w:r>
              <w:rPr>
                <w:rFonts w:hint="eastAsia"/>
                <w:vertAlign w:val="subscript"/>
              </w:rPr>
              <w:t>0</w:t>
            </w:r>
            <w:r>
              <w:rPr>
                <w:rFonts w:hint="eastAsia"/>
              </w:rPr>
              <w:t>—参考位置距声源的距离。</w:t>
            </w:r>
          </w:p>
          <w:p>
            <w:pPr>
              <w:keepNext/>
              <w:keepLines/>
              <w:widowControl/>
              <w:ind w:firstLine="480"/>
            </w:pPr>
            <w:r>
              <w:t>②室内声源等效室外声源声功率级计算</w:t>
            </w:r>
          </w:p>
          <w:p>
            <w:pPr>
              <w:ind w:firstLine="480"/>
              <w:jc w:val="center"/>
            </w:pPr>
            <w:r>
              <w:rPr>
                <w:position w:val="-24"/>
              </w:rPr>
              <w:object>
                <v:shape id="_x0000_i1026" o:spt="75" type="#_x0000_t75" style="height:31.2pt;width:133.2pt;" o:ole="t" filled="f" o:preferrelative="t" stroked="f" coordsize="21600,21600">
                  <v:path/>
                  <v:fill on="f" focussize="0,0"/>
                  <v:stroke on="f" joinstyle="miter"/>
                  <v:imagedata r:id="rId30" o:title=""/>
                  <o:lock v:ext="edit" aspectratio="t"/>
                  <w10:wrap type="none"/>
                  <w10:anchorlock/>
                </v:shape>
                <o:OLEObject Type="Embed" ProgID="Equation.KSEE3" ShapeID="_x0000_i1026" DrawAspect="Content" ObjectID="_1468075726" r:id="rId29">
                  <o:LockedField>false</o:LockedField>
                </o:OLEObject>
              </w:object>
            </w:r>
          </w:p>
          <w:p>
            <w:pPr>
              <w:keepNext/>
              <w:keepLines/>
              <w:widowControl/>
              <w:ind w:firstLine="0" w:firstLineChars="0"/>
            </w:pPr>
            <w:r>
              <w:rPr>
                <w:rFonts w:hint="eastAsia"/>
              </w:rPr>
              <w:t>式中：Lp—靠近开口处（或窗户）室内某倍频带的声压级或A声级，dB(A)；</w:t>
            </w:r>
          </w:p>
          <w:p>
            <w:pPr>
              <w:keepNext/>
              <w:keepLines/>
              <w:widowControl/>
              <w:ind w:firstLine="480"/>
            </w:pPr>
            <w:r>
              <w:rPr>
                <w:rFonts w:hint="eastAsia"/>
              </w:rPr>
              <w:t>Lw—点声源声功率级（A计权倍频带），dB(A)；</w:t>
            </w:r>
          </w:p>
          <w:p>
            <w:pPr>
              <w:keepNext/>
              <w:keepLines/>
              <w:widowControl/>
              <w:ind w:firstLine="480"/>
            </w:pPr>
            <w:r>
              <w:rPr>
                <w:rFonts w:hint="eastAsia"/>
              </w:rPr>
              <w:t>Q—指向性因数；通常对无指向性声源，当声源放在房间中心时，Q=1；当放在一面墙的中心时，Q=2；当放在两面墙夹角处时，Q=4；当放在三面墙夹角处时，Q=8；</w:t>
            </w:r>
          </w:p>
          <w:p>
            <w:pPr>
              <w:keepNext/>
              <w:keepLines/>
              <w:widowControl/>
              <w:ind w:firstLine="480"/>
            </w:pPr>
            <w:r>
              <w:rPr>
                <w:rFonts w:hint="eastAsia"/>
              </w:rPr>
              <w:t>R—房间常数：R=Sa/(1-a)，S为房间内表面面积，m</w:t>
            </w:r>
            <w:r>
              <w:rPr>
                <w:rFonts w:hint="eastAsia"/>
                <w:vertAlign w:val="superscript"/>
              </w:rPr>
              <w:t>2</w:t>
            </w:r>
            <w:r>
              <w:rPr>
                <w:rFonts w:hint="eastAsia"/>
              </w:rPr>
              <w:t>；a为平均吸声系数；</w:t>
            </w:r>
          </w:p>
          <w:p>
            <w:pPr>
              <w:keepNext/>
              <w:keepLines/>
              <w:widowControl/>
              <w:ind w:firstLine="480"/>
            </w:pPr>
            <w:r>
              <w:rPr>
                <w:rFonts w:hint="eastAsia"/>
              </w:rPr>
              <w:t>r—声源到靠近围护结构某点处的距离，m。</w:t>
            </w:r>
          </w:p>
          <w:p>
            <w:pPr>
              <w:keepNext/>
              <w:keepLines/>
              <w:widowControl/>
              <w:ind w:firstLine="480"/>
            </w:pPr>
            <w:r>
              <w:t>③建设项目声源在预测点产生的等效声级贡献值</w:t>
            </w:r>
          </w:p>
          <w:p>
            <w:pPr>
              <w:keepNext/>
              <w:keepLines/>
              <w:widowControl/>
              <w:ind w:firstLine="0" w:firstLineChars="0"/>
              <w:jc w:val="center"/>
            </w:pPr>
            <w:r>
              <w:rPr>
                <w:position w:val="-28"/>
              </w:rPr>
              <w:object>
                <v:shape id="_x0000_i1027" o:spt="75" type="#_x0000_t75" style="height:34.2pt;width:132pt;" o:ole="t" filled="f" o:preferrelative="t" stroked="f" coordsize="21600,21600">
                  <v:path/>
                  <v:fill on="f" focussize="0,0"/>
                  <v:stroke on="f" joinstyle="miter"/>
                  <v:imagedata r:id="rId32" o:title=""/>
                  <o:lock v:ext="edit" aspectratio="t"/>
                  <w10:wrap type="none"/>
                  <w10:anchorlock/>
                </v:shape>
                <o:OLEObject Type="Embed" ProgID="Equation.KSEE3" ShapeID="_x0000_i1027" DrawAspect="Content" ObjectID="_1468075727" r:id="rId31">
                  <o:LockedField>false</o:LockedField>
                </o:OLEObject>
              </w:object>
            </w:r>
          </w:p>
          <w:p>
            <w:pPr>
              <w:keepNext/>
              <w:keepLines/>
              <w:widowControl/>
              <w:ind w:firstLine="0" w:firstLineChars="0"/>
            </w:pPr>
            <w:r>
              <w:rPr>
                <w:rFonts w:hint="eastAsia"/>
              </w:rPr>
              <w:t>式中：Leqg—建设项目声源在预测点的等效声级贡献值，dB(A)；</w:t>
            </w:r>
          </w:p>
          <w:p>
            <w:pPr>
              <w:keepNext/>
              <w:keepLines/>
              <w:widowControl/>
              <w:ind w:firstLine="480"/>
            </w:pPr>
            <w:r>
              <w:rPr>
                <w:rFonts w:hint="eastAsia"/>
              </w:rPr>
              <w:t>L</w:t>
            </w:r>
            <w:r>
              <w:rPr>
                <w:rFonts w:hint="eastAsia"/>
                <w:vertAlign w:val="subscript"/>
              </w:rPr>
              <w:t>A</w:t>
            </w:r>
            <w:r>
              <w:rPr>
                <w:rFonts w:hint="eastAsia"/>
              </w:rPr>
              <w:t>—声源在预测点产生的A声级，dB(A)；</w:t>
            </w:r>
          </w:p>
          <w:p>
            <w:pPr>
              <w:keepNext/>
              <w:keepLines/>
              <w:widowControl/>
              <w:ind w:firstLine="480"/>
            </w:pPr>
            <w:r>
              <w:rPr>
                <w:rFonts w:hint="eastAsia"/>
              </w:rPr>
              <w:t>T—预测计算的时间段，s；</w:t>
            </w:r>
          </w:p>
          <w:p>
            <w:pPr>
              <w:keepNext/>
              <w:keepLines/>
              <w:widowControl/>
              <w:ind w:firstLine="480"/>
            </w:pPr>
            <w:r>
              <w:rPr>
                <w:rFonts w:hint="eastAsia"/>
              </w:rPr>
              <w:t>t</w:t>
            </w:r>
            <w:r>
              <w:rPr>
                <w:rFonts w:hint="eastAsia"/>
                <w:vertAlign w:val="subscript"/>
              </w:rPr>
              <w:t>i</w:t>
            </w:r>
            <w:r>
              <w:rPr>
                <w:rFonts w:hint="eastAsia"/>
              </w:rPr>
              <w:t>—i声源在T时段内的运行时间。</w:t>
            </w:r>
          </w:p>
          <w:p>
            <w:pPr>
              <w:keepNext/>
              <w:keepLines/>
              <w:widowControl/>
              <w:ind w:firstLine="480"/>
            </w:pPr>
            <w:r>
              <w:t>④</w:t>
            </w:r>
            <w:r>
              <w:rPr>
                <w:rFonts w:hint="eastAsia"/>
              </w:rPr>
              <w:t>噪声预测分析</w:t>
            </w:r>
          </w:p>
          <w:p>
            <w:pPr>
              <w:keepNext/>
              <w:keepLines/>
              <w:widowControl/>
              <w:ind w:firstLine="480"/>
            </w:pPr>
            <w:r>
              <w:t>根据《环境影响评价技术导则 声环境》（HJ 2.4-2021），本项目预测点位为厂界外1米，厂界噪声预测结果如</w:t>
            </w:r>
            <w:r>
              <w:rPr>
                <w:rFonts w:hint="eastAsia"/>
              </w:rPr>
              <w:t>表4-</w:t>
            </w:r>
            <w:r>
              <w:rPr>
                <w:rFonts w:hint="eastAsia"/>
                <w:lang w:val="en-US" w:eastAsia="zh-CN"/>
              </w:rPr>
              <w:t>22</w:t>
            </w:r>
            <w:r>
              <w:rPr>
                <w:rFonts w:hint="eastAsia"/>
              </w:rPr>
              <w:t>和图4-</w:t>
            </w:r>
            <w:r>
              <w:rPr>
                <w:rFonts w:hint="eastAsia"/>
                <w:lang w:val="en-US" w:eastAsia="zh-CN"/>
              </w:rPr>
              <w:t>6</w:t>
            </w:r>
            <w:r>
              <w:t>所示。</w:t>
            </w:r>
          </w:p>
          <w:p>
            <w:pPr>
              <w:keepNext/>
              <w:keepLines/>
              <w:pageBreakBefore w:val="0"/>
              <w:widowControl/>
              <w:kinsoku/>
              <w:wordWrap/>
              <w:overflowPunct/>
              <w:topLinePunct w:val="0"/>
              <w:autoSpaceDE/>
              <w:autoSpaceDN/>
              <w:bidi w:val="0"/>
              <w:adjustRightInd/>
              <w:snapToGrid/>
              <w:spacing w:line="300" w:lineRule="auto"/>
              <w:ind w:firstLine="0" w:firstLineChars="0"/>
              <w:jc w:val="center"/>
              <w:textAlignment w:val="auto"/>
              <w:rPr>
                <w:b/>
                <w:bCs/>
                <w:sz w:val="21"/>
                <w:szCs w:val="21"/>
              </w:rPr>
            </w:pPr>
            <w:r>
              <w:rPr>
                <w:rFonts w:hint="eastAsia"/>
                <w:b/>
                <w:bCs/>
                <w:sz w:val="21"/>
                <w:szCs w:val="21"/>
              </w:rPr>
              <w:t>表4-</w:t>
            </w:r>
            <w:r>
              <w:rPr>
                <w:rFonts w:hint="eastAsia"/>
                <w:b/>
                <w:bCs/>
                <w:sz w:val="21"/>
                <w:szCs w:val="21"/>
                <w:lang w:val="en-US" w:eastAsia="zh-CN"/>
              </w:rPr>
              <w:t>22</w:t>
            </w:r>
            <w:r>
              <w:rPr>
                <w:rFonts w:hint="eastAsia"/>
                <w:b/>
                <w:bCs/>
                <w:sz w:val="21"/>
                <w:szCs w:val="21"/>
              </w:rPr>
              <w:t xml:space="preserve"> 厂界噪声预测结果一览表</w:t>
            </w:r>
          </w:p>
          <w:tbl>
            <w:tblPr>
              <w:tblStyle w:val="19"/>
              <w:tblW w:w="49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734"/>
              <w:gridCol w:w="752"/>
              <w:gridCol w:w="581"/>
              <w:gridCol w:w="666"/>
              <w:gridCol w:w="1617"/>
              <w:gridCol w:w="1797"/>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vMerge w:val="restart"/>
                  <w:tcBorders>
                    <w:top w:val="single" w:color="000000" w:sz="12" w:space="0"/>
                    <w:left w:val="nil"/>
                    <w:bottom w:val="single" w:color="auto" w:sz="4" w:space="0"/>
                    <w:right w:val="single" w:color="auto" w:sz="4" w:space="0"/>
                    <w:tl2br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预测点</w:t>
                  </w:r>
                </w:p>
              </w:tc>
              <w:tc>
                <w:tcPr>
                  <w:tcW w:w="1278" w:type="pct"/>
                  <w:gridSpan w:val="3"/>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空间相对位置/m</w:t>
                  </w:r>
                </w:p>
              </w:tc>
              <w:tc>
                <w:tcPr>
                  <w:tcW w:w="412" w:type="pct"/>
                  <w:vMerge w:val="restart"/>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时段</w:t>
                  </w:r>
                </w:p>
              </w:tc>
              <w:tc>
                <w:tcPr>
                  <w:tcW w:w="1000" w:type="pct"/>
                  <w:vMerge w:val="restart"/>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贡献值 dB(A)</w:t>
                  </w:r>
                </w:p>
              </w:tc>
              <w:tc>
                <w:tcPr>
                  <w:tcW w:w="1111" w:type="pct"/>
                  <w:vMerge w:val="restart"/>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标准限值 dB(A)</w:t>
                  </w:r>
                </w:p>
              </w:tc>
              <w:tc>
                <w:tcPr>
                  <w:tcW w:w="690" w:type="pct"/>
                  <w:vMerge w:val="restart"/>
                  <w:tcBorders>
                    <w:top w:val="single" w:color="000000" w:sz="12"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vMerge w:val="continue"/>
                  <w:tcBorders>
                    <w:top w:val="single" w:color="auto" w:sz="4" w:space="0"/>
                    <w:left w:val="nil"/>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p>
              </w:tc>
              <w:tc>
                <w:tcPr>
                  <w:tcW w:w="454"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X</w:t>
                  </w:r>
                </w:p>
              </w:tc>
              <w:tc>
                <w:tcPr>
                  <w:tcW w:w="465"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Y</w:t>
                  </w:r>
                </w:p>
              </w:tc>
              <w:tc>
                <w:tcPr>
                  <w:tcW w:w="359"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bCs/>
                      <w:color w:val="000000"/>
                      <w:sz w:val="21"/>
                    </w:rPr>
                  </w:pPr>
                  <w:r>
                    <w:rPr>
                      <w:rFonts w:hint="eastAsia"/>
                      <w:b/>
                      <w:bCs/>
                      <w:color w:val="000000"/>
                      <w:sz w:val="21"/>
                    </w:rPr>
                    <w:t>Z</w:t>
                  </w:r>
                </w:p>
              </w:tc>
              <w:tc>
                <w:tcPr>
                  <w:tcW w:w="412"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p>
              </w:tc>
              <w:tc>
                <w:tcPr>
                  <w:tcW w:w="1000"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p>
              </w:tc>
              <w:tc>
                <w:tcPr>
                  <w:tcW w:w="1111" w:type="pct"/>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p>
              </w:tc>
              <w:tc>
                <w:tcPr>
                  <w:tcW w:w="690" w:type="pct"/>
                  <w:vMerge w:val="continue"/>
                  <w:tcBorders>
                    <w:top w:val="single" w:color="auto" w:sz="4"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tcBorders>
                    <w:top w:val="single" w:color="auto" w:sz="4" w:space="0"/>
                    <w:left w:val="nil"/>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东侧</w:t>
                  </w:r>
                </w:p>
              </w:tc>
              <w:tc>
                <w:tcPr>
                  <w:tcW w:w="454"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6.53</w:t>
                  </w:r>
                </w:p>
              </w:tc>
              <w:tc>
                <w:tcPr>
                  <w:tcW w:w="465"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19.81</w:t>
                  </w:r>
                </w:p>
              </w:tc>
              <w:tc>
                <w:tcPr>
                  <w:tcW w:w="359"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cs="Arial"/>
                      <w:color w:val="000000"/>
                      <w:sz w:val="21"/>
                    </w:rPr>
                    <w:t>1.2</w:t>
                  </w:r>
                </w:p>
              </w:tc>
              <w:tc>
                <w:tcPr>
                  <w:tcW w:w="4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昼</w:t>
                  </w:r>
                </w:p>
              </w:tc>
              <w:tc>
                <w:tcPr>
                  <w:tcW w:w="1000"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63.95</w:t>
                  </w:r>
                </w:p>
              </w:tc>
              <w:tc>
                <w:tcPr>
                  <w:tcW w:w="111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65</w:t>
                  </w:r>
                </w:p>
              </w:tc>
              <w:tc>
                <w:tcPr>
                  <w:tcW w:w="690" w:type="pct"/>
                  <w:tcBorders>
                    <w:top w:val="single" w:color="auto" w:sz="4"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tcBorders>
                    <w:top w:val="single" w:color="auto" w:sz="4" w:space="0"/>
                    <w:left w:val="nil"/>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西侧</w:t>
                  </w:r>
                </w:p>
              </w:tc>
              <w:tc>
                <w:tcPr>
                  <w:tcW w:w="454"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22.91</w:t>
                  </w:r>
                </w:p>
              </w:tc>
              <w:tc>
                <w:tcPr>
                  <w:tcW w:w="465"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11.81</w:t>
                  </w:r>
                </w:p>
              </w:tc>
              <w:tc>
                <w:tcPr>
                  <w:tcW w:w="359"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cs="Arial"/>
                      <w:color w:val="000000"/>
                      <w:sz w:val="21"/>
                    </w:rPr>
                    <w:t>1.2</w:t>
                  </w:r>
                </w:p>
              </w:tc>
              <w:tc>
                <w:tcPr>
                  <w:tcW w:w="4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昼</w:t>
                  </w:r>
                </w:p>
              </w:tc>
              <w:tc>
                <w:tcPr>
                  <w:tcW w:w="1000"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s="Arial"/>
                      <w:color w:val="000000"/>
                      <w:sz w:val="21"/>
                    </w:rPr>
                    <w:t>64.19</w:t>
                  </w:r>
                </w:p>
              </w:tc>
              <w:tc>
                <w:tcPr>
                  <w:tcW w:w="111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65</w:t>
                  </w:r>
                </w:p>
              </w:tc>
              <w:tc>
                <w:tcPr>
                  <w:tcW w:w="690" w:type="pct"/>
                  <w:tcBorders>
                    <w:top w:val="single" w:color="auto" w:sz="4"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tcBorders>
                    <w:top w:val="single" w:color="auto" w:sz="4" w:space="0"/>
                    <w:left w:val="nil"/>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南侧</w:t>
                  </w:r>
                </w:p>
              </w:tc>
              <w:tc>
                <w:tcPr>
                  <w:tcW w:w="454"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12.44</w:t>
                  </w:r>
                </w:p>
              </w:tc>
              <w:tc>
                <w:tcPr>
                  <w:tcW w:w="465"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-9.15</w:t>
                  </w:r>
                </w:p>
              </w:tc>
              <w:tc>
                <w:tcPr>
                  <w:tcW w:w="359"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cs="Arial"/>
                      <w:color w:val="000000"/>
                      <w:sz w:val="21"/>
                    </w:rPr>
                    <w:t>1.2</w:t>
                  </w:r>
                </w:p>
              </w:tc>
              <w:tc>
                <w:tcPr>
                  <w:tcW w:w="412"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昼</w:t>
                  </w:r>
                </w:p>
              </w:tc>
              <w:tc>
                <w:tcPr>
                  <w:tcW w:w="1000" w:type="pct"/>
                  <w:tcBorders>
                    <w:top w:val="single" w:color="auto" w:sz="4" w:space="0"/>
                    <w:left w:val="single" w:color="auto" w:sz="4" w:space="0"/>
                    <w:bottom w:val="single" w:color="auto" w:sz="4"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58.64</w:t>
                  </w:r>
                </w:p>
              </w:tc>
              <w:tc>
                <w:tcPr>
                  <w:tcW w:w="1111" w:type="pct"/>
                  <w:tcBorders>
                    <w:top w:val="single" w:color="auto" w:sz="4"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65</w:t>
                  </w:r>
                </w:p>
              </w:tc>
              <w:tc>
                <w:tcPr>
                  <w:tcW w:w="690" w:type="pct"/>
                  <w:tcBorders>
                    <w:top w:val="single" w:color="auto" w:sz="4"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6" w:type="pct"/>
                  <w:tcBorders>
                    <w:top w:val="single" w:color="auto" w:sz="4" w:space="0"/>
                    <w:left w:val="nil"/>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北侧</w:t>
                  </w:r>
                </w:p>
              </w:tc>
              <w:tc>
                <w:tcPr>
                  <w:tcW w:w="454" w:type="pct"/>
                  <w:tcBorders>
                    <w:top w:val="single" w:color="auto" w:sz="4" w:space="0"/>
                    <w:left w:val="single" w:color="auto" w:sz="4" w:space="0"/>
                    <w:bottom w:val="single" w:color="000000" w:sz="12"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-3.53</w:t>
                  </w:r>
                </w:p>
              </w:tc>
              <w:tc>
                <w:tcPr>
                  <w:tcW w:w="465" w:type="pct"/>
                  <w:tcBorders>
                    <w:top w:val="single" w:color="auto" w:sz="4" w:space="0"/>
                    <w:left w:val="single" w:color="auto" w:sz="4" w:space="0"/>
                    <w:bottom w:val="single" w:color="000000" w:sz="12"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hint="eastAsia" w:cs="Arial"/>
                      <w:color w:val="000000"/>
                      <w:sz w:val="21"/>
                    </w:rPr>
                    <w:t>-1.2</w:t>
                  </w:r>
                </w:p>
              </w:tc>
              <w:tc>
                <w:tcPr>
                  <w:tcW w:w="359" w:type="pct"/>
                  <w:tcBorders>
                    <w:top w:val="single" w:color="auto" w:sz="4" w:space="0"/>
                    <w:left w:val="single" w:color="auto" w:sz="4" w:space="0"/>
                    <w:bottom w:val="single" w:color="000000" w:sz="12" w:space="0"/>
                    <w:right w:val="single" w:color="auto" w:sz="4" w:space="0"/>
                  </w:tcBorders>
                  <w:shd w:val="clear" w:color="auto" w:fill="FFFFFF"/>
                  <w:vAlign w:val="center"/>
                </w:tcPr>
                <w:p>
                  <w:pPr>
                    <w:pageBreakBefore w:val="0"/>
                    <w:kinsoku/>
                    <w:wordWrap/>
                    <w:overflowPunct/>
                    <w:topLinePunct w:val="0"/>
                    <w:autoSpaceDE/>
                    <w:autoSpaceDN/>
                    <w:bidi w:val="0"/>
                    <w:adjustRightInd/>
                    <w:snapToGrid/>
                    <w:spacing w:line="240" w:lineRule="auto"/>
                    <w:ind w:firstLine="0" w:firstLineChars="0"/>
                    <w:jc w:val="center"/>
                    <w:textAlignment w:val="auto"/>
                    <w:rPr>
                      <w:rFonts w:cstheme="minorBidi"/>
                      <w:color w:val="000000"/>
                      <w:sz w:val="21"/>
                    </w:rPr>
                  </w:pPr>
                  <w:r>
                    <w:rPr>
                      <w:rFonts w:cs="Arial"/>
                      <w:color w:val="000000"/>
                      <w:sz w:val="21"/>
                    </w:rPr>
                    <w:t>1.2</w:t>
                  </w:r>
                </w:p>
              </w:tc>
              <w:tc>
                <w:tcPr>
                  <w:tcW w:w="412" w:type="pct"/>
                  <w:tcBorders>
                    <w:top w:val="single" w:color="auto" w:sz="4" w:space="0"/>
                    <w:left w:val="single" w:color="auto" w:sz="4" w:space="0"/>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昼</w:t>
                  </w:r>
                </w:p>
              </w:tc>
              <w:tc>
                <w:tcPr>
                  <w:tcW w:w="1000" w:type="pct"/>
                  <w:tcBorders>
                    <w:top w:val="single" w:color="auto" w:sz="4" w:space="0"/>
                    <w:left w:val="single" w:color="auto" w:sz="4" w:space="0"/>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s="Arial"/>
                      <w:color w:val="000000"/>
                      <w:sz w:val="21"/>
                    </w:rPr>
                    <w:t>58.56</w:t>
                  </w:r>
                </w:p>
              </w:tc>
              <w:tc>
                <w:tcPr>
                  <w:tcW w:w="1111" w:type="pct"/>
                  <w:tcBorders>
                    <w:top w:val="single" w:color="auto" w:sz="4" w:space="0"/>
                    <w:left w:val="single" w:color="auto" w:sz="4" w:space="0"/>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65</w:t>
                  </w:r>
                </w:p>
              </w:tc>
              <w:tc>
                <w:tcPr>
                  <w:tcW w:w="690" w:type="pct"/>
                  <w:tcBorders>
                    <w:top w:val="single" w:color="auto" w:sz="4" w:space="0"/>
                    <w:left w:val="single" w:color="auto" w:sz="4" w:space="0"/>
                    <w:bottom w:val="single" w:color="000000" w:sz="12"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达标</w:t>
                  </w:r>
                </w:p>
              </w:tc>
            </w:tr>
          </w:tbl>
          <w:p>
            <w:pPr>
              <w:keepNext/>
              <w:keepLines/>
              <w:widowControl/>
              <w:ind w:firstLine="480"/>
              <w:rPr>
                <w:sz w:val="10"/>
                <w:szCs w:val="10"/>
              </w:rPr>
            </w:pPr>
          </w:p>
          <w:p>
            <w:pPr>
              <w:pStyle w:val="24"/>
            </w:pPr>
            <w:r>
              <w:drawing>
                <wp:inline distT="0" distB="0" distL="114300" distR="114300">
                  <wp:extent cx="5173980" cy="2915920"/>
                  <wp:effectExtent l="0" t="0" r="7620" b="17780"/>
                  <wp:docPr id="63" name="图片 63" descr="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终"/>
                          <pic:cNvPicPr>
                            <a:picLocks noChangeAspect="1"/>
                          </pic:cNvPicPr>
                        </pic:nvPicPr>
                        <pic:blipFill>
                          <a:blip r:embed="rId33"/>
                          <a:stretch>
                            <a:fillRect/>
                          </a:stretch>
                        </pic:blipFill>
                        <pic:spPr>
                          <a:xfrm>
                            <a:off x="0" y="0"/>
                            <a:ext cx="5173980" cy="2915920"/>
                          </a:xfrm>
                          <a:prstGeom prst="rect">
                            <a:avLst/>
                          </a:prstGeom>
                        </pic:spPr>
                      </pic:pic>
                    </a:graphicData>
                  </a:graphic>
                </wp:inline>
              </w:drawing>
            </w:r>
          </w:p>
          <w:p>
            <w:pPr>
              <w:pStyle w:val="24"/>
              <w:adjustRightInd/>
              <w:snapToGrid/>
              <w:spacing w:line="360" w:lineRule="auto"/>
              <w:rPr>
                <w:b/>
              </w:rPr>
            </w:pPr>
            <w:r>
              <w:rPr>
                <w:rFonts w:hint="eastAsia"/>
                <w:b/>
              </w:rPr>
              <w:t>图4-</w:t>
            </w:r>
            <w:r>
              <w:rPr>
                <w:rFonts w:hint="eastAsia"/>
                <w:b/>
                <w:lang w:val="en-US" w:eastAsia="zh-CN"/>
              </w:rPr>
              <w:t>6</w:t>
            </w:r>
            <w:r>
              <w:rPr>
                <w:rFonts w:hint="eastAsia"/>
                <w:b/>
              </w:rPr>
              <w:t xml:space="preserve"> 厂界噪声预测等值线图</w:t>
            </w:r>
          </w:p>
          <w:p>
            <w:pPr>
              <w:keepNext/>
              <w:keepLines/>
              <w:widowControl/>
              <w:ind w:firstLine="480"/>
            </w:pPr>
            <w:r>
              <w:rPr>
                <w:rFonts w:hint="eastAsia"/>
              </w:rPr>
              <w:t>根据由上表预测结果和上图等声级线图可知，经采取基础减震、隔声罩等措施，并经车间墙体的隔声、空间距离的自然衰减后，厂界东南西北侧昼间预测值可满足《工业企业厂界环境噪声排放标准》（GB12348-2008）中的3类标准要求。因此，项目噪声经防噪措施和自然衰减后对周围环境影响不大。</w:t>
            </w:r>
          </w:p>
          <w:p>
            <w:pPr>
              <w:pStyle w:val="4"/>
              <w:ind w:firstLine="482"/>
            </w:pPr>
            <w:r>
              <w:rPr>
                <w:rFonts w:hint="eastAsia"/>
              </w:rPr>
              <w:t>（3）监测要求</w:t>
            </w:r>
          </w:p>
          <w:p>
            <w:pPr>
              <w:keepNext w:val="0"/>
              <w:keepLines w:val="0"/>
              <w:pageBreakBefore w:val="0"/>
              <w:widowControl w:val="0"/>
              <w:kinsoku/>
              <w:wordWrap/>
              <w:overflowPunct/>
              <w:topLinePunct w:val="0"/>
              <w:autoSpaceDE/>
              <w:autoSpaceDN/>
              <w:bidi w:val="0"/>
              <w:adjustRightInd/>
              <w:snapToGrid/>
              <w:ind w:firstLine="480"/>
              <w:textAlignment w:val="auto"/>
            </w:pPr>
            <w:r>
              <w:rPr>
                <w:rFonts w:hint="eastAsia"/>
              </w:rPr>
              <w:t>根据《排污单位自行监测技术指南 总则》（HJ 819-2017），厂界环境噪声每季度至少开展一次监测，监测点位包括厂界东南西北侧各设1个点位。</w:t>
            </w:r>
          </w:p>
          <w:p>
            <w:pPr>
              <w:keepNext/>
              <w:keepLines/>
              <w:widowControl/>
              <w:ind w:firstLine="0" w:firstLineChars="0"/>
              <w:jc w:val="center"/>
              <w:rPr>
                <w:b/>
                <w:bCs/>
                <w:sz w:val="21"/>
                <w:szCs w:val="21"/>
              </w:rPr>
            </w:pPr>
            <w:r>
              <w:rPr>
                <w:rFonts w:hint="eastAsia"/>
                <w:b/>
                <w:bCs/>
                <w:sz w:val="21"/>
                <w:szCs w:val="21"/>
              </w:rPr>
              <w:t>表4-2</w:t>
            </w:r>
            <w:r>
              <w:rPr>
                <w:rFonts w:hint="eastAsia"/>
                <w:b/>
                <w:bCs/>
                <w:sz w:val="21"/>
                <w:szCs w:val="21"/>
                <w:lang w:val="en-US" w:eastAsia="zh-CN"/>
              </w:rPr>
              <w:t>3</w:t>
            </w:r>
            <w:r>
              <w:rPr>
                <w:rFonts w:hint="eastAsia"/>
                <w:b/>
                <w:bCs/>
                <w:sz w:val="21"/>
                <w:szCs w:val="21"/>
              </w:rPr>
              <w:t xml:space="preserve"> 项目噪声监测要求</w:t>
            </w:r>
          </w:p>
          <w:tbl>
            <w:tblPr>
              <w:tblStyle w:val="1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1541"/>
              <w:gridCol w:w="1220"/>
              <w:gridCol w:w="35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8" w:type="pct"/>
                  <w:tcBorders>
                    <w:top w:val="single" w:color="000000" w:sz="12" w:space="0"/>
                    <w:left w:val="nil"/>
                    <w:bottom w:val="single" w:color="auto" w:sz="4" w:space="0"/>
                    <w:right w:val="single" w:color="auto" w:sz="4" w:space="0"/>
                    <w:tl2br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color w:val="000000"/>
                      <w:sz w:val="21"/>
                    </w:rPr>
                  </w:pPr>
                  <w:r>
                    <w:rPr>
                      <w:rFonts w:hint="eastAsia"/>
                      <w:b/>
                      <w:color w:val="000000"/>
                      <w:sz w:val="21"/>
                    </w:rPr>
                    <w:t>监测点位</w:t>
                  </w:r>
                </w:p>
              </w:tc>
              <w:tc>
                <w:tcPr>
                  <w:tcW w:w="947" w:type="pct"/>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color w:val="000000"/>
                      <w:sz w:val="21"/>
                    </w:rPr>
                  </w:pPr>
                  <w:r>
                    <w:rPr>
                      <w:rFonts w:hint="eastAsia"/>
                      <w:b/>
                      <w:color w:val="000000"/>
                      <w:sz w:val="21"/>
                    </w:rPr>
                    <w:t>监测指标</w:t>
                  </w:r>
                </w:p>
              </w:tc>
              <w:tc>
                <w:tcPr>
                  <w:tcW w:w="750" w:type="pct"/>
                  <w:tcBorders>
                    <w:top w:val="single" w:color="000000" w:sz="12" w:space="0"/>
                    <w:left w:val="single" w:color="auto" w:sz="4" w:space="0"/>
                    <w:bottom w:val="single" w:color="auto" w:sz="4"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color w:val="000000"/>
                      <w:sz w:val="21"/>
                    </w:rPr>
                  </w:pPr>
                  <w:r>
                    <w:rPr>
                      <w:rFonts w:hint="eastAsia"/>
                      <w:b/>
                      <w:color w:val="000000"/>
                      <w:sz w:val="21"/>
                    </w:rPr>
                    <w:t>监测频次</w:t>
                  </w:r>
                </w:p>
              </w:tc>
              <w:tc>
                <w:tcPr>
                  <w:tcW w:w="2193" w:type="pct"/>
                  <w:tcBorders>
                    <w:top w:val="single" w:color="000000" w:sz="12" w:space="0"/>
                    <w:left w:val="single" w:color="auto" w:sz="4" w:space="0"/>
                    <w:bottom w:val="single" w:color="auto" w:sz="4"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b/>
                      <w:color w:val="000000"/>
                      <w:sz w:val="21"/>
                    </w:rPr>
                  </w:pPr>
                  <w:r>
                    <w:rPr>
                      <w:rFonts w:hint="eastAsia"/>
                      <w:b/>
                      <w:color w:val="000000"/>
                      <w:sz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8" w:type="pct"/>
                  <w:tcBorders>
                    <w:top w:val="single" w:color="auto" w:sz="4" w:space="0"/>
                    <w:left w:val="nil"/>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厂界外东、南、西、北1m处</w:t>
                  </w:r>
                </w:p>
              </w:tc>
              <w:tc>
                <w:tcPr>
                  <w:tcW w:w="947" w:type="pct"/>
                  <w:tcBorders>
                    <w:top w:val="single" w:color="auto" w:sz="4" w:space="0"/>
                    <w:left w:val="single" w:color="auto" w:sz="4" w:space="0"/>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等效连续A声级</w:t>
                  </w:r>
                </w:p>
              </w:tc>
              <w:tc>
                <w:tcPr>
                  <w:tcW w:w="750" w:type="pct"/>
                  <w:tcBorders>
                    <w:top w:val="single" w:color="auto" w:sz="4" w:space="0"/>
                    <w:left w:val="single" w:color="auto" w:sz="4" w:space="0"/>
                    <w:bottom w:val="single" w:color="000000" w:sz="12" w:space="0"/>
                    <w:right w:val="single" w:color="auto" w:sz="4" w:space="0"/>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1次/季</w:t>
                  </w:r>
                </w:p>
              </w:tc>
              <w:tc>
                <w:tcPr>
                  <w:tcW w:w="2193" w:type="pct"/>
                  <w:tcBorders>
                    <w:top w:val="single" w:color="auto" w:sz="4" w:space="0"/>
                    <w:left w:val="single" w:color="auto" w:sz="4" w:space="0"/>
                    <w:bottom w:val="single" w:color="000000" w:sz="12" w:space="0"/>
                    <w:right w:val="nil"/>
                  </w:tcBorders>
                  <w:shd w:val="clear" w:color="auto" w:fill="FFFFFF"/>
                  <w:vAlign w:val="center"/>
                </w:tcPr>
                <w:p>
                  <w:pPr>
                    <w:keepNext/>
                    <w:keepLines/>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sz w:val="21"/>
                    </w:rPr>
                  </w:pPr>
                  <w:r>
                    <w:rPr>
                      <w:rFonts w:hint="eastAsia"/>
                      <w:color w:val="000000"/>
                      <w:sz w:val="21"/>
                    </w:rPr>
                    <w:t>《工业企业厂界环境噪声排放标准》（GB12348-2008）中的3类标准</w:t>
                  </w:r>
                </w:p>
              </w:tc>
            </w:tr>
          </w:tbl>
          <w:p>
            <w:pPr>
              <w:pStyle w:val="4"/>
              <w:ind w:firstLine="482"/>
            </w:pPr>
            <w:r>
              <w:rPr>
                <w:rFonts w:hint="eastAsia"/>
              </w:rPr>
              <w:t>（4）噪声污染防治措施可行性分析</w:t>
            </w:r>
          </w:p>
          <w:p>
            <w:pPr>
              <w:keepNext/>
              <w:keepLines/>
              <w:widowControl/>
              <w:ind w:firstLine="480"/>
            </w:pPr>
            <w:r>
              <w:rPr>
                <w:rFonts w:hint="eastAsia"/>
              </w:rPr>
              <w:t>本项目在设计、建设与运行时采取如下噪声污染防治措施：</w:t>
            </w:r>
          </w:p>
          <w:p>
            <w:pPr>
              <w:keepNext/>
              <w:keepLines/>
              <w:widowControl/>
              <w:ind w:firstLine="480"/>
            </w:pPr>
            <w:r>
              <w:rPr>
                <w:rFonts w:hint="eastAsia"/>
              </w:rPr>
              <w:t>①选用环保低噪型设备，各噪声设备合理布置，设备设置基础减振或密封隔声等措施。</w:t>
            </w:r>
          </w:p>
          <w:p>
            <w:pPr>
              <w:keepNext/>
              <w:keepLines/>
              <w:widowControl/>
              <w:ind w:firstLine="480"/>
            </w:pPr>
            <w:r>
              <w:rPr>
                <w:rFonts w:hint="eastAsia"/>
              </w:rPr>
              <w:t>②在生产时定期保养，从而减少摩擦噪声产生；</w:t>
            </w:r>
          </w:p>
          <w:p>
            <w:pPr>
              <w:keepNext/>
              <w:keepLines/>
              <w:widowControl/>
              <w:ind w:firstLine="480"/>
            </w:pPr>
            <w:r>
              <w:rPr>
                <w:rFonts w:hint="eastAsia"/>
              </w:rPr>
              <w:t>③在生产运转时必须定期对其进行检查，保证设备正常运转。</w:t>
            </w:r>
          </w:p>
          <w:p>
            <w:pPr>
              <w:keepNext/>
              <w:keepLines/>
              <w:widowControl/>
              <w:ind w:firstLine="480"/>
            </w:pPr>
            <w:r>
              <w:rPr>
                <w:rFonts w:hint="eastAsia"/>
              </w:rPr>
              <w:t>④合理安排工作时间，尽量避免在夜间工作；</w:t>
            </w:r>
          </w:p>
          <w:p>
            <w:pPr>
              <w:keepNext/>
              <w:keepLines/>
              <w:widowControl/>
              <w:ind w:firstLine="480"/>
            </w:pPr>
            <w:r>
              <w:rPr>
                <w:rFonts w:hint="eastAsia"/>
              </w:rPr>
              <w:t>⑤加强作业管理，减少非正常噪声。</w:t>
            </w:r>
          </w:p>
          <w:p>
            <w:pPr>
              <w:keepNext/>
              <w:keepLines/>
              <w:widowControl/>
              <w:ind w:firstLine="480"/>
            </w:pPr>
            <w:r>
              <w:rPr>
                <w:rFonts w:hint="eastAsia"/>
              </w:rPr>
              <w:t>通过采取以上措施后，可确保项目厂界噪声可满足《工业企业厂界环境噪声排放标准》（GB12348-2008）中的3类标准。本项目夜间不生产，不会对周围环境产生明显影响。</w:t>
            </w:r>
          </w:p>
          <w:p>
            <w:pPr>
              <w:pStyle w:val="2"/>
              <w:spacing w:before="120"/>
            </w:pPr>
            <w:bookmarkStart w:id="165" w:name="_Toc574"/>
            <w:bookmarkStart w:id="166" w:name="_Toc2969"/>
            <w:bookmarkStart w:id="167" w:name="_Toc31519"/>
            <w:bookmarkStart w:id="168" w:name="_Toc22717"/>
            <w:r>
              <w:rPr>
                <w:rFonts w:hint="eastAsia"/>
              </w:rPr>
              <w:t>4、固体废物</w:t>
            </w:r>
            <w:bookmarkEnd w:id="165"/>
            <w:bookmarkEnd w:id="166"/>
            <w:bookmarkEnd w:id="167"/>
            <w:bookmarkEnd w:id="168"/>
          </w:p>
          <w:p>
            <w:pPr>
              <w:ind w:firstLine="480"/>
            </w:pPr>
            <w:r>
              <w:rPr>
                <w:rFonts w:hint="eastAsia"/>
              </w:rPr>
              <w:t>固体废物主要包括金属边角料、不合格的产品、更换的滤芯、废机油、员工办公生活垃圾等。</w:t>
            </w:r>
          </w:p>
          <w:p>
            <w:pPr>
              <w:pStyle w:val="3"/>
              <w:keepNext/>
              <w:keepLines/>
              <w:pageBreakBefore w:val="0"/>
              <w:widowControl w:val="0"/>
              <w:kinsoku/>
              <w:wordWrap/>
              <w:topLinePunct w:val="0"/>
              <w:autoSpaceDE/>
              <w:autoSpaceDN/>
              <w:bidi w:val="0"/>
              <w:adjustRightInd/>
              <w:spacing w:before="0" w:beforeLines="0" w:after="0" w:line="312" w:lineRule="auto"/>
              <w:ind w:firstLine="482"/>
              <w:textAlignment w:val="auto"/>
            </w:pPr>
            <w:r>
              <w:rPr>
                <w:rFonts w:hint="eastAsia"/>
              </w:rPr>
              <w:t>1）固体废物源强核算</w:t>
            </w:r>
          </w:p>
          <w:p>
            <w:pPr>
              <w:pStyle w:val="4"/>
              <w:keepNext/>
              <w:keepLines/>
              <w:pageBreakBefore w:val="0"/>
              <w:widowControl w:val="0"/>
              <w:kinsoku/>
              <w:wordWrap/>
              <w:topLinePunct w:val="0"/>
              <w:autoSpaceDE/>
              <w:autoSpaceDN/>
              <w:bidi w:val="0"/>
              <w:adjustRightInd/>
              <w:spacing w:line="312" w:lineRule="auto"/>
              <w:ind w:firstLine="482"/>
              <w:textAlignment w:val="auto"/>
            </w:pPr>
            <w:r>
              <w:rPr>
                <w:rFonts w:hint="eastAsia"/>
              </w:rPr>
              <w:t>（1）生活垃圾</w:t>
            </w:r>
          </w:p>
          <w:p>
            <w:pPr>
              <w:ind w:firstLine="480"/>
            </w:pPr>
            <w:r>
              <w:t>项目员工人数为</w:t>
            </w:r>
            <w:r>
              <w:rPr>
                <w:rFonts w:hint="eastAsia"/>
              </w:rPr>
              <w:t>20</w:t>
            </w:r>
            <w:r>
              <w:t>人，生活垃圾产生系数按0.5kg/人•d计算，年工作300天，则生活垃圾产生量为</w:t>
            </w:r>
            <w:r>
              <w:rPr>
                <w:rFonts w:hint="eastAsia"/>
              </w:rPr>
              <w:t>3</w:t>
            </w:r>
            <w:r>
              <w:t>t/a，生活垃圾经统一收集后交由环卫部门每日清运。</w:t>
            </w:r>
          </w:p>
          <w:p>
            <w:pPr>
              <w:pStyle w:val="4"/>
              <w:ind w:firstLine="482"/>
            </w:pPr>
            <w:r>
              <w:rPr>
                <w:rFonts w:hint="eastAsia"/>
              </w:rPr>
              <w:t>（2）一般固废</w:t>
            </w:r>
          </w:p>
          <w:p>
            <w:pPr>
              <w:ind w:firstLine="480"/>
            </w:pPr>
            <w:r>
              <w:rPr>
                <w:rFonts w:hint="eastAsia"/>
              </w:rPr>
              <w:t>①金属边角料</w:t>
            </w:r>
          </w:p>
          <w:p>
            <w:pPr>
              <w:ind w:firstLine="480"/>
            </w:pPr>
            <w:r>
              <w:rPr>
                <w:rFonts w:hint="eastAsia"/>
              </w:rPr>
              <w:t>工件冲孔、修边等工序将产生金属边角料，金属边角料产生量约为30t/a，根据《固体废物分类与代码目录》（公告2024年第4号），其废物类别为SW17，废物代码为900-001-S17，收集后交由回收单位处理。</w:t>
            </w:r>
          </w:p>
          <w:p>
            <w:pPr>
              <w:ind w:firstLine="480"/>
            </w:pPr>
            <w:r>
              <w:rPr>
                <w:rFonts w:hint="eastAsia"/>
              </w:rPr>
              <w:t>②不合格产品</w:t>
            </w:r>
          </w:p>
          <w:p>
            <w:pPr>
              <w:ind w:firstLine="480"/>
            </w:pPr>
            <w:r>
              <w:t>项目产品检验过程会产生不合格产品，不合格产品产生量</w:t>
            </w:r>
            <w:r>
              <w:rPr>
                <w:rFonts w:hint="eastAsia"/>
              </w:rPr>
              <w:t>约2</w:t>
            </w:r>
            <w:r>
              <w:t>t/a，根据《固体废物分类与代码目录》（公告2024年第4号），其</w:t>
            </w:r>
            <w:r>
              <w:rPr>
                <w:rFonts w:hint="eastAsia"/>
              </w:rPr>
              <w:t>废物类别为SW17，</w:t>
            </w:r>
            <w:r>
              <w:t>废物代码为900-00</w:t>
            </w:r>
            <w:r>
              <w:rPr>
                <w:rFonts w:hint="eastAsia"/>
              </w:rPr>
              <w:t>1</w:t>
            </w:r>
            <w:r>
              <w:t>-S17，收集后交由回收单位处理。</w:t>
            </w:r>
          </w:p>
          <w:p>
            <w:pPr>
              <w:ind w:firstLine="480"/>
            </w:pPr>
            <w:r>
              <w:rPr>
                <w:rFonts w:hint="eastAsia"/>
              </w:rPr>
              <w:t>③废包装材料</w:t>
            </w:r>
          </w:p>
          <w:p>
            <w:pPr>
              <w:ind w:firstLine="480"/>
            </w:pPr>
            <w:r>
              <w:t>原料脱袋及产品包装过程中将产生废包装材料，废包装材料产生</w:t>
            </w:r>
            <w:r>
              <w:rPr>
                <w:rFonts w:hint="eastAsia"/>
                <w:lang w:val="en-US" w:eastAsia="zh-CN"/>
              </w:rPr>
              <w:t>量</w:t>
            </w:r>
            <w:r>
              <w:t>约</w:t>
            </w:r>
            <w:r>
              <w:rPr>
                <w:rFonts w:hint="eastAsia"/>
              </w:rPr>
              <w:t>0.2</w:t>
            </w:r>
            <w:r>
              <w:t>t/a，根据《固体废物分类与代码目录》（公告2024年第4号），其</w:t>
            </w:r>
            <w:r>
              <w:rPr>
                <w:rFonts w:hint="eastAsia"/>
              </w:rPr>
              <w:t>废物类别为SW17，</w:t>
            </w:r>
            <w:r>
              <w:t>废物代码为900-00</w:t>
            </w:r>
            <w:r>
              <w:rPr>
                <w:rFonts w:hint="eastAsia"/>
              </w:rPr>
              <w:t>3</w:t>
            </w:r>
            <w:r>
              <w:t>-S17，收集后交由回收单位处理。</w:t>
            </w:r>
          </w:p>
          <w:p>
            <w:pPr>
              <w:ind w:firstLine="480"/>
            </w:pPr>
            <w:r>
              <w:rPr>
                <w:rFonts w:hint="eastAsia"/>
              </w:rPr>
              <w:t>④更换的布袋</w:t>
            </w:r>
          </w:p>
          <w:p>
            <w:pPr>
              <w:ind w:firstLine="480"/>
            </w:pPr>
            <w:r>
              <w:rPr>
                <w:rFonts w:hint="eastAsia"/>
              </w:rPr>
              <w:t>布袋除尘器更换的布袋属于一般固废，</w:t>
            </w:r>
            <w:r>
              <w:rPr>
                <w:rFonts w:hint="eastAsia"/>
                <w:lang w:val="en-US" w:eastAsia="zh-CN"/>
              </w:rPr>
              <w:t>废布袋</w:t>
            </w:r>
            <w:r>
              <w:t>产生约</w:t>
            </w:r>
            <w:r>
              <w:rPr>
                <w:rFonts w:hint="eastAsia"/>
              </w:rPr>
              <w:t>0.</w:t>
            </w:r>
            <w:r>
              <w:rPr>
                <w:rFonts w:hint="eastAsia"/>
                <w:lang w:val="en-US" w:eastAsia="zh-CN"/>
              </w:rPr>
              <w:t>0</w:t>
            </w:r>
            <w:r>
              <w:rPr>
                <w:rFonts w:hint="eastAsia"/>
              </w:rPr>
              <w:t>2</w:t>
            </w:r>
            <w:r>
              <w:t>t/a，根据《固体废物分类与代码目录》（公告2024年第4号）</w:t>
            </w:r>
            <w:r>
              <w:rPr>
                <w:rFonts w:hint="eastAsia"/>
              </w:rPr>
              <w:t>，其废物类别为SW59，废物代码为</w:t>
            </w:r>
            <w:r>
              <w:rPr>
                <w:rFonts w:hint="eastAsia"/>
                <w:color w:val="000000"/>
              </w:rPr>
              <w:t>900-009-S59，更换的布袋</w:t>
            </w:r>
            <w:r>
              <w:rPr>
                <w:rFonts w:hint="eastAsia"/>
              </w:rPr>
              <w:t>不在厂内暂存，定期委托有处理能力的单位处置。</w:t>
            </w:r>
          </w:p>
          <w:p>
            <w:pPr>
              <w:bidi w:val="0"/>
              <w:rPr>
                <w:rFonts w:hint="eastAsia"/>
                <w:u w:val="single"/>
                <w:lang w:val="en-US" w:eastAsia="zh-CN"/>
              </w:rPr>
            </w:pPr>
            <w:r>
              <w:rPr>
                <w:rFonts w:hint="eastAsia"/>
                <w:u w:val="single"/>
                <w:lang w:val="en-US" w:eastAsia="zh-CN"/>
              </w:rPr>
              <w:t>⑤收集的粉尘</w:t>
            </w:r>
          </w:p>
          <w:p>
            <w:pPr>
              <w:bidi w:val="0"/>
              <w:rPr>
                <w:rFonts w:hint="default"/>
                <w:u w:val="single"/>
                <w:lang w:val="en-US" w:eastAsia="zh-CN"/>
              </w:rPr>
            </w:pPr>
            <w:r>
              <w:rPr>
                <w:rFonts w:hint="eastAsia"/>
                <w:u w:val="single"/>
                <w:lang w:val="en-US" w:eastAsia="zh-CN"/>
              </w:rPr>
              <w:t>收集的焊接、热风炉粉尘属于一般固废，产生量约0.26t/a，</w:t>
            </w:r>
            <w:r>
              <w:rPr>
                <w:u w:val="single"/>
                <w:lang w:val="en-US" w:eastAsia="zh-CN"/>
              </w:rPr>
              <w:t>根据《固体废物分类与代码目录》（公告2024年第4号）</w:t>
            </w:r>
            <w:r>
              <w:rPr>
                <w:rFonts w:hint="eastAsia"/>
                <w:u w:val="single"/>
                <w:lang w:val="en-US" w:eastAsia="zh-CN"/>
              </w:rPr>
              <w:t>，其废物类别为SW59，废物代码为900-099-S59，</w:t>
            </w:r>
            <w:r>
              <w:rPr>
                <w:u w:val="single"/>
              </w:rPr>
              <w:t>收集后交由回收单位处理。</w:t>
            </w:r>
          </w:p>
          <w:p>
            <w:pPr>
              <w:bidi w:val="0"/>
              <w:rPr>
                <w:rFonts w:hint="default"/>
                <w:u w:val="single"/>
                <w:lang w:val="en-US" w:eastAsia="zh-CN"/>
              </w:rPr>
            </w:pPr>
            <w:r>
              <w:rPr>
                <w:rFonts w:hint="eastAsia"/>
                <w:u w:val="single"/>
                <w:lang w:val="en-US" w:eastAsia="zh-CN"/>
              </w:rPr>
              <w:t>⑥生物质热风炉燃烧炉渣</w:t>
            </w:r>
          </w:p>
          <w:p>
            <w:pPr>
              <w:bidi w:val="0"/>
              <w:rPr>
                <w:rFonts w:hint="default"/>
                <w:u w:val="single"/>
                <w:lang w:val="en-US" w:eastAsia="zh-CN"/>
              </w:rPr>
            </w:pPr>
            <w:r>
              <w:rPr>
                <w:rFonts w:hint="eastAsia"/>
                <w:u w:val="single"/>
                <w:lang w:val="en-US" w:eastAsia="zh-CN"/>
              </w:rPr>
              <w:t>生物质热风炉燃烧炉渣属于一般固废，产生量约50t/a，</w:t>
            </w:r>
            <w:r>
              <w:rPr>
                <w:u w:val="single"/>
                <w:lang w:val="en-US" w:eastAsia="zh-CN"/>
              </w:rPr>
              <w:t>根据《固体废物分类与代码目录》（公告2024年第4号）</w:t>
            </w:r>
            <w:r>
              <w:rPr>
                <w:rFonts w:hint="eastAsia"/>
                <w:u w:val="single"/>
                <w:lang w:val="en-US" w:eastAsia="zh-CN"/>
              </w:rPr>
              <w:t>，其废物类别为SW03，废物代码为900-099-S03，</w:t>
            </w:r>
            <w:r>
              <w:rPr>
                <w:u w:val="single"/>
                <w:lang w:val="en-US" w:eastAsia="zh-CN"/>
              </w:rPr>
              <w:t>收集后交由回收单位处理。</w:t>
            </w:r>
          </w:p>
          <w:p>
            <w:pPr>
              <w:bidi w:val="0"/>
              <w:rPr>
                <w:lang w:val="en-US" w:eastAsia="zh-CN"/>
              </w:rPr>
            </w:pPr>
            <w:r>
              <w:rPr>
                <w:rFonts w:hint="eastAsia"/>
                <w:lang w:val="en-US" w:eastAsia="zh-CN"/>
              </w:rPr>
              <w:t>⑦废滤芯</w:t>
            </w:r>
          </w:p>
          <w:p>
            <w:pPr>
              <w:bidi w:val="0"/>
              <w:rPr>
                <w:rFonts w:hint="default"/>
                <w:lang w:val="en-US" w:eastAsia="zh-CN"/>
              </w:rPr>
            </w:pPr>
            <w:r>
              <w:rPr>
                <w:rFonts w:hint="eastAsia"/>
                <w:lang w:val="en-US" w:eastAsia="zh-CN"/>
              </w:rPr>
              <w:t>项目喷粉工序的粉尘回收装置定期更换滤芯，废滤芯为一般固废，产生量约为0.03t/a，</w:t>
            </w:r>
            <w:r>
              <w:rPr>
                <w:lang w:val="en-US" w:eastAsia="zh-CN"/>
              </w:rPr>
              <w:t>根据《固体废物分类与代码目录》（公告2024年第4号）</w:t>
            </w:r>
            <w:r>
              <w:rPr>
                <w:rFonts w:hint="eastAsia"/>
                <w:lang w:val="en-US" w:eastAsia="zh-CN"/>
              </w:rPr>
              <w:t>，其废物类别为SW59，废物代码为900-009-S59，</w:t>
            </w:r>
            <w:r>
              <w:rPr>
                <w:rFonts w:hint="eastAsia"/>
              </w:rPr>
              <w:t>定期委托有处理能力的单位处置。</w:t>
            </w:r>
          </w:p>
          <w:p>
            <w:pPr>
              <w:pStyle w:val="4"/>
              <w:ind w:firstLine="482"/>
            </w:pPr>
            <w:r>
              <w:rPr>
                <w:rFonts w:hint="eastAsia"/>
              </w:rPr>
              <w:t>（3）危险废物</w:t>
            </w:r>
          </w:p>
          <w:p>
            <w:pPr>
              <w:ind w:firstLine="480"/>
              <w:rPr>
                <w:rFonts w:hint="eastAsia"/>
                <w:u w:val="single"/>
                <w:lang w:val="en-US" w:eastAsia="zh-CN"/>
              </w:rPr>
            </w:pPr>
            <w:r>
              <w:rPr>
                <w:rFonts w:hint="eastAsia"/>
                <w:color w:val="auto"/>
                <w:u w:val="single"/>
              </w:rPr>
              <w:t>①</w:t>
            </w:r>
            <w:r>
              <w:rPr>
                <w:rFonts w:hint="eastAsia"/>
                <w:color w:val="auto"/>
                <w:u w:val="single"/>
                <w:lang w:val="en-US" w:eastAsia="zh-CN"/>
              </w:rPr>
              <w:t>废</w:t>
            </w:r>
            <w:r>
              <w:rPr>
                <w:rFonts w:hint="eastAsia"/>
                <w:u w:val="single"/>
                <w:lang w:val="en-US" w:eastAsia="zh-CN"/>
              </w:rPr>
              <w:t>槽液</w:t>
            </w:r>
          </w:p>
          <w:p>
            <w:pPr>
              <w:bidi w:val="0"/>
              <w:rPr>
                <w:color w:val="FF0000"/>
              </w:rPr>
            </w:pPr>
            <w:r>
              <w:rPr>
                <w:rFonts w:hint="eastAsia"/>
                <w:u w:val="single"/>
                <w:lang w:val="en-US" w:eastAsia="zh-CN"/>
              </w:rPr>
              <w:t>项目前处理酸洗槽、磷化槽、表调槽和碱性除油槽定期更换产生废液，项目废酸洗液产生总量为15.1m</w:t>
            </w:r>
            <w:r>
              <w:rPr>
                <w:rFonts w:hint="eastAsia"/>
                <w:u w:val="single"/>
                <w:vertAlign w:val="superscript"/>
                <w:lang w:val="en-US" w:eastAsia="zh-CN"/>
              </w:rPr>
              <w:t>3</w:t>
            </w:r>
            <w:r>
              <w:rPr>
                <w:rFonts w:hint="eastAsia"/>
                <w:u w:val="single"/>
                <w:lang w:val="en-US" w:eastAsia="zh-CN"/>
              </w:rPr>
              <w:t>/a，废磷化液产生总量为3m</w:t>
            </w:r>
            <w:r>
              <w:rPr>
                <w:rFonts w:hint="eastAsia"/>
                <w:u w:val="single"/>
                <w:vertAlign w:val="superscript"/>
                <w:lang w:val="en-US" w:eastAsia="zh-CN"/>
              </w:rPr>
              <w:t>3</w:t>
            </w:r>
            <w:r>
              <w:rPr>
                <w:rFonts w:hint="eastAsia"/>
                <w:u w:val="single"/>
                <w:lang w:val="en-US" w:eastAsia="zh-CN"/>
              </w:rPr>
              <w:t>/a，废表调液产生总量为130.1m</w:t>
            </w:r>
            <w:r>
              <w:rPr>
                <w:rFonts w:hint="eastAsia"/>
                <w:u w:val="single"/>
                <w:vertAlign w:val="superscript"/>
                <w:lang w:val="en-US" w:eastAsia="zh-CN"/>
              </w:rPr>
              <w:t>3</w:t>
            </w:r>
            <w:r>
              <w:rPr>
                <w:rFonts w:hint="eastAsia"/>
                <w:u w:val="single"/>
                <w:lang w:val="en-US" w:eastAsia="zh-CN"/>
              </w:rPr>
              <w:t>/a，废碱性除油液产生总量为3.3m</w:t>
            </w:r>
            <w:r>
              <w:rPr>
                <w:rFonts w:hint="eastAsia"/>
                <w:u w:val="single"/>
                <w:vertAlign w:val="superscript"/>
                <w:lang w:val="en-US" w:eastAsia="zh-CN"/>
              </w:rPr>
              <w:t>3</w:t>
            </w:r>
            <w:r>
              <w:rPr>
                <w:rFonts w:hint="eastAsia"/>
                <w:u w:val="single"/>
                <w:lang w:val="en-US" w:eastAsia="zh-CN"/>
              </w:rPr>
              <w:t>/a，废槽液总量为151.5m</w:t>
            </w:r>
            <w:r>
              <w:rPr>
                <w:rFonts w:hint="eastAsia"/>
                <w:u w:val="single"/>
                <w:vertAlign w:val="superscript"/>
                <w:lang w:val="en-US" w:eastAsia="zh-CN"/>
              </w:rPr>
              <w:t>3</w:t>
            </w:r>
            <w:r>
              <w:rPr>
                <w:rFonts w:hint="eastAsia"/>
                <w:u w:val="single"/>
                <w:lang w:val="en-US" w:eastAsia="zh-CN"/>
              </w:rPr>
              <w:t>/a。</w:t>
            </w:r>
            <w:r>
              <w:rPr>
                <w:rFonts w:hint="eastAsia"/>
                <w:u w:val="single"/>
              </w:rPr>
              <w:t>根据《国家危险废物名录》</w:t>
            </w:r>
            <w:r>
              <w:rPr>
                <w:rFonts w:hint="eastAsia"/>
                <w:u w:val="single"/>
                <w:lang w:eastAsia="zh-CN"/>
              </w:rPr>
              <w:t>（</w:t>
            </w:r>
            <w:r>
              <w:rPr>
                <w:rFonts w:hint="eastAsia"/>
                <w:u w:val="single"/>
                <w:lang w:val="en-US" w:eastAsia="zh-CN"/>
              </w:rPr>
              <w:t>2025年版</w:t>
            </w:r>
            <w:r>
              <w:rPr>
                <w:rFonts w:hint="eastAsia"/>
                <w:u w:val="single"/>
                <w:lang w:eastAsia="zh-CN"/>
              </w:rPr>
              <w:t>）</w:t>
            </w:r>
            <w:r>
              <w:rPr>
                <w:rFonts w:hint="eastAsia"/>
                <w:u w:val="single"/>
              </w:rPr>
              <w:t>可知，</w:t>
            </w:r>
            <w:r>
              <w:rPr>
                <w:rFonts w:hint="eastAsia"/>
                <w:u w:val="single"/>
                <w:lang w:val="en-US" w:eastAsia="zh-CN"/>
              </w:rPr>
              <w:t>其废物</w:t>
            </w:r>
            <w:r>
              <w:rPr>
                <w:rFonts w:hint="eastAsia"/>
                <w:u w:val="single"/>
              </w:rPr>
              <w:t>类别为HW17，废物代码为336-064-17</w:t>
            </w:r>
            <w:r>
              <w:rPr>
                <w:rFonts w:hint="eastAsia"/>
                <w:u w:val="single"/>
                <w:lang w:eastAsia="zh-CN"/>
              </w:rPr>
              <w:t>。</w:t>
            </w:r>
            <w:r>
              <w:rPr>
                <w:rFonts w:hint="eastAsia"/>
                <w:u w:val="single"/>
                <w:lang w:val="en-US" w:eastAsia="zh-CN"/>
              </w:rPr>
              <w:t>产生的废槽液分类收集贮存，委托有资质单位进行回收处理，</w:t>
            </w:r>
            <w:r>
              <w:rPr>
                <w:rFonts w:hint="eastAsia"/>
                <w:u w:val="single"/>
              </w:rPr>
              <w:t>同时暂存过程按危险废物的有关规定和要求进行环境监管</w:t>
            </w:r>
            <w:r>
              <w:rPr>
                <w:u w:val="single"/>
              </w:rPr>
              <w:t>。</w:t>
            </w:r>
          </w:p>
          <w:p>
            <w:pPr>
              <w:ind w:firstLine="480"/>
            </w:pPr>
            <w:r>
              <w:rPr>
                <w:rFonts w:hint="eastAsia"/>
              </w:rPr>
              <w:t>②含油手套抹布</w:t>
            </w:r>
          </w:p>
          <w:p>
            <w:pPr>
              <w:ind w:firstLine="480"/>
            </w:pPr>
            <w:r>
              <w:t>本项目员工劳保及设备维修时会产生含油废抹布及手套，产生量约</w:t>
            </w:r>
            <w:r>
              <w:rPr>
                <w:rFonts w:hint="eastAsia"/>
              </w:rPr>
              <w:t>0.02</w:t>
            </w:r>
            <w:r>
              <w:t>t/a，</w:t>
            </w:r>
            <w:r>
              <w:rPr>
                <w:rFonts w:hint="eastAsia"/>
              </w:rPr>
              <w:t>根据《国家危险废物名录》</w:t>
            </w:r>
            <w:r>
              <w:rPr>
                <w:rFonts w:hint="eastAsia"/>
                <w:lang w:eastAsia="zh-CN"/>
              </w:rPr>
              <w:t>（</w:t>
            </w:r>
            <w:r>
              <w:rPr>
                <w:rFonts w:hint="eastAsia"/>
                <w:lang w:val="en-US" w:eastAsia="zh-CN"/>
              </w:rPr>
              <w:t>2025年版</w:t>
            </w:r>
            <w:r>
              <w:rPr>
                <w:rFonts w:hint="eastAsia"/>
                <w:lang w:eastAsia="zh-CN"/>
              </w:rPr>
              <w:t>）</w:t>
            </w:r>
            <w:r>
              <w:rPr>
                <w:rFonts w:hint="eastAsia"/>
              </w:rPr>
              <w:t>，其废物类别是</w:t>
            </w:r>
            <w:r>
              <w:t>HW49</w:t>
            </w:r>
            <w:r>
              <w:rPr>
                <w:rFonts w:hint="eastAsia"/>
              </w:rPr>
              <w:t>，代码为</w:t>
            </w:r>
            <w:r>
              <w:t>900-041-49</w:t>
            </w:r>
            <w:r>
              <w:rPr>
                <w:rFonts w:hint="eastAsia"/>
              </w:rPr>
              <w:t>，</w:t>
            </w:r>
            <w:r>
              <w:t>收集暂存于危废暂存间，再委托有资质的单位处理</w:t>
            </w:r>
            <w:r>
              <w:rPr>
                <w:rFonts w:hint="eastAsia"/>
              </w:rPr>
              <w:t>，</w:t>
            </w:r>
            <w:r>
              <w:rPr>
                <w:rFonts w:hint="eastAsia"/>
                <w:lang w:bidi="ar"/>
              </w:rPr>
              <w:t>同时暂存过程按危险废物的有关规定和要求进行环境监管</w:t>
            </w:r>
            <w:r>
              <w:rPr>
                <w:rFonts w:hint="eastAsia"/>
              </w:rPr>
              <w:t>。</w:t>
            </w:r>
          </w:p>
          <w:p>
            <w:pPr>
              <w:ind w:firstLine="480"/>
            </w:pPr>
            <w:r>
              <w:rPr>
                <w:rFonts w:hint="eastAsia"/>
              </w:rPr>
              <w:t>③废化学品包装</w:t>
            </w:r>
          </w:p>
          <w:p>
            <w:pPr>
              <w:ind w:firstLine="480"/>
            </w:pPr>
            <w:r>
              <w:t>本项目塑粉等原材料使用过程中将会产生少量的废化学品包装，项目废化学品包装产生量约为</w:t>
            </w:r>
            <w:r>
              <w:rPr>
                <w:rFonts w:hint="eastAsia"/>
              </w:rPr>
              <w:t>0.2</w:t>
            </w:r>
            <w:r>
              <w:t>t/a。根据</w:t>
            </w:r>
            <w:r>
              <w:rPr>
                <w:rFonts w:hint="eastAsia"/>
              </w:rPr>
              <w:t>《国家危险废物名录》</w:t>
            </w:r>
            <w:r>
              <w:rPr>
                <w:rFonts w:hint="eastAsia"/>
                <w:lang w:eastAsia="zh-CN"/>
              </w:rPr>
              <w:t>（</w:t>
            </w:r>
            <w:r>
              <w:rPr>
                <w:rFonts w:hint="eastAsia"/>
                <w:lang w:val="en-US" w:eastAsia="zh-CN"/>
              </w:rPr>
              <w:t>2025年版</w:t>
            </w:r>
            <w:r>
              <w:rPr>
                <w:rFonts w:hint="eastAsia"/>
                <w:lang w:eastAsia="zh-CN"/>
              </w:rPr>
              <w:t>）</w:t>
            </w:r>
            <w:r>
              <w:t>，废化学品包装属危险废物，其废物类别为HW49，代码为900-041-49，经收集后放置于危险废物暂存间暂存，</w:t>
            </w:r>
            <w:r>
              <w:rPr>
                <w:rFonts w:hint="eastAsia"/>
              </w:rPr>
              <w:t>委托</w:t>
            </w:r>
            <w:r>
              <w:t>有资质单位</w:t>
            </w:r>
            <w:r>
              <w:rPr>
                <w:rFonts w:hint="eastAsia"/>
              </w:rPr>
              <w:t>处理，</w:t>
            </w:r>
            <w:r>
              <w:rPr>
                <w:rFonts w:hint="eastAsia"/>
                <w:lang w:bidi="ar"/>
              </w:rPr>
              <w:t>同时暂存过程按危险废物的有关规定和要求进行环境监管</w:t>
            </w:r>
            <w:r>
              <w:t>。</w:t>
            </w:r>
          </w:p>
          <w:p>
            <w:pPr>
              <w:ind w:firstLine="480"/>
            </w:pPr>
            <w:r>
              <w:rPr>
                <w:rFonts w:hint="eastAsia"/>
              </w:rPr>
              <w:t>④废机油</w:t>
            </w:r>
          </w:p>
          <w:p>
            <w:pPr>
              <w:ind w:firstLine="480"/>
            </w:pPr>
            <w:r>
              <w:t>项目设备检修、维护过程会产生少量废</w:t>
            </w:r>
            <w:r>
              <w:rPr>
                <w:rFonts w:hint="eastAsia"/>
              </w:rPr>
              <w:t>机</w:t>
            </w:r>
            <w:r>
              <w:t>油，</w:t>
            </w:r>
            <w:r>
              <w:rPr>
                <w:rFonts w:hint="eastAsia"/>
              </w:rPr>
              <w:t>项目废机油产生量为0.5t/a，根据《国家危险废物名录》</w:t>
            </w:r>
            <w:r>
              <w:rPr>
                <w:rFonts w:hint="eastAsia"/>
                <w:lang w:eastAsia="zh-CN"/>
              </w:rPr>
              <w:t>（</w:t>
            </w:r>
            <w:r>
              <w:rPr>
                <w:rFonts w:hint="eastAsia"/>
                <w:lang w:val="en-US" w:eastAsia="zh-CN"/>
              </w:rPr>
              <w:t>2025年版</w:t>
            </w:r>
            <w:r>
              <w:rPr>
                <w:rFonts w:hint="eastAsia"/>
                <w:lang w:eastAsia="zh-CN"/>
              </w:rPr>
              <w:t>）</w:t>
            </w:r>
            <w:r>
              <w:rPr>
                <w:rFonts w:hint="eastAsia"/>
              </w:rPr>
              <w:t>，</w:t>
            </w:r>
            <w:r>
              <w:t>其废物类别为HW</w:t>
            </w:r>
            <w:r>
              <w:rPr>
                <w:rFonts w:hint="eastAsia"/>
              </w:rPr>
              <w:t>08</w:t>
            </w:r>
            <w:r>
              <w:t>，代码为900-</w:t>
            </w:r>
            <w:r>
              <w:rPr>
                <w:rFonts w:hint="eastAsia"/>
              </w:rPr>
              <w:t>214-08</w:t>
            </w:r>
            <w:r>
              <w:t>，</w:t>
            </w:r>
            <w:r>
              <w:rPr>
                <w:rFonts w:hint="eastAsia"/>
              </w:rPr>
              <w:t>经收集后</w:t>
            </w:r>
            <w:r>
              <w:t>放置于危险废物暂存间暂存，</w:t>
            </w:r>
            <w:r>
              <w:rPr>
                <w:rFonts w:hint="eastAsia"/>
              </w:rPr>
              <w:t>委托</w:t>
            </w:r>
            <w:r>
              <w:t>有资质单位</w:t>
            </w:r>
            <w:r>
              <w:rPr>
                <w:rFonts w:hint="eastAsia"/>
              </w:rPr>
              <w:t>处理，同时暂存过程按危险废物的有关规定和要求进行环境监管</w:t>
            </w:r>
            <w:r>
              <w:t>。</w:t>
            </w:r>
          </w:p>
          <w:p>
            <w:pPr>
              <w:ind w:firstLine="480"/>
              <w:rPr>
                <w:rFonts w:hint="eastAsia"/>
                <w:u w:val="single"/>
                <w:lang w:val="en-US" w:eastAsia="zh-CN"/>
              </w:rPr>
            </w:pPr>
            <w:r>
              <w:rPr>
                <w:rFonts w:hint="eastAsia"/>
                <w:u w:val="single"/>
              </w:rPr>
              <w:t>⑤</w:t>
            </w:r>
            <w:r>
              <w:rPr>
                <w:rFonts w:hint="eastAsia"/>
                <w:u w:val="single"/>
                <w:lang w:val="en-US" w:eastAsia="zh-CN"/>
              </w:rPr>
              <w:t>废液压油</w:t>
            </w:r>
          </w:p>
          <w:p>
            <w:pPr>
              <w:ind w:firstLine="480"/>
              <w:rPr>
                <w:rFonts w:hint="default"/>
                <w:u w:val="single"/>
                <w:lang w:val="en-US" w:eastAsia="zh-CN"/>
              </w:rPr>
            </w:pPr>
            <w:r>
              <w:rPr>
                <w:rFonts w:hint="eastAsia"/>
                <w:u w:val="single"/>
                <w:lang w:val="en-US" w:eastAsia="zh-CN"/>
              </w:rPr>
              <w:t>项目工件压型过程中会使用少量液压油，液压油定期更换，该过程会产生少量废液压油，项目废液压油产生量约0.5t/a。</w:t>
            </w:r>
            <w:r>
              <w:rPr>
                <w:rFonts w:hint="eastAsia"/>
                <w:u w:val="single"/>
              </w:rPr>
              <w:t>根据《国家危险废物名录》</w:t>
            </w:r>
            <w:r>
              <w:rPr>
                <w:rFonts w:hint="eastAsia"/>
                <w:u w:val="single"/>
                <w:lang w:eastAsia="zh-CN"/>
              </w:rPr>
              <w:t>（</w:t>
            </w:r>
            <w:r>
              <w:rPr>
                <w:rFonts w:hint="eastAsia"/>
                <w:u w:val="single"/>
                <w:lang w:val="en-US" w:eastAsia="zh-CN"/>
              </w:rPr>
              <w:t>2025年版</w:t>
            </w:r>
            <w:r>
              <w:rPr>
                <w:rFonts w:hint="eastAsia"/>
                <w:u w:val="single"/>
                <w:lang w:eastAsia="zh-CN"/>
              </w:rPr>
              <w:t>）</w:t>
            </w:r>
            <w:r>
              <w:rPr>
                <w:rFonts w:hint="eastAsia"/>
                <w:u w:val="single"/>
              </w:rPr>
              <w:t>，</w:t>
            </w:r>
            <w:r>
              <w:rPr>
                <w:u w:val="single"/>
              </w:rPr>
              <w:t>其废物类别为HW</w:t>
            </w:r>
            <w:r>
              <w:rPr>
                <w:rFonts w:hint="eastAsia"/>
                <w:u w:val="single"/>
              </w:rPr>
              <w:t>08</w:t>
            </w:r>
            <w:r>
              <w:rPr>
                <w:u w:val="single"/>
              </w:rPr>
              <w:t>，代码为900-</w:t>
            </w:r>
            <w:r>
              <w:rPr>
                <w:rFonts w:hint="eastAsia"/>
                <w:u w:val="single"/>
              </w:rPr>
              <w:t>21</w:t>
            </w:r>
            <w:r>
              <w:rPr>
                <w:rFonts w:hint="eastAsia"/>
                <w:u w:val="single"/>
                <w:lang w:val="en-US" w:eastAsia="zh-CN"/>
              </w:rPr>
              <w:t>8</w:t>
            </w:r>
            <w:r>
              <w:rPr>
                <w:rFonts w:hint="eastAsia"/>
                <w:u w:val="single"/>
              </w:rPr>
              <w:t>-08</w:t>
            </w:r>
            <w:r>
              <w:rPr>
                <w:u w:val="single"/>
              </w:rPr>
              <w:t>，</w:t>
            </w:r>
            <w:r>
              <w:rPr>
                <w:rFonts w:hint="eastAsia"/>
                <w:u w:val="single"/>
              </w:rPr>
              <w:t>经收集后</w:t>
            </w:r>
            <w:r>
              <w:rPr>
                <w:u w:val="single"/>
              </w:rPr>
              <w:t>放置于危险废物暂存间暂存，</w:t>
            </w:r>
            <w:r>
              <w:rPr>
                <w:rFonts w:hint="eastAsia"/>
                <w:u w:val="single"/>
              </w:rPr>
              <w:t>委托</w:t>
            </w:r>
            <w:r>
              <w:rPr>
                <w:u w:val="single"/>
              </w:rPr>
              <w:t>有资质单位</w:t>
            </w:r>
            <w:r>
              <w:rPr>
                <w:rFonts w:hint="eastAsia"/>
                <w:u w:val="single"/>
              </w:rPr>
              <w:t>处理，同时暂存过程按危险废物的有关规定和要求进行环境监管</w:t>
            </w:r>
            <w:r>
              <w:rPr>
                <w:u w:val="single"/>
              </w:rPr>
              <w:t>。</w:t>
            </w:r>
          </w:p>
          <w:p>
            <w:pPr>
              <w:ind w:firstLine="480"/>
            </w:pPr>
            <w:r>
              <w:rPr>
                <w:rFonts w:hint="eastAsia"/>
                <w:lang w:val="en-US" w:eastAsia="zh-CN"/>
              </w:rPr>
              <w:t>⑥</w:t>
            </w:r>
            <w:r>
              <w:rPr>
                <w:rFonts w:hint="eastAsia"/>
              </w:rPr>
              <w:t>废槽渣</w:t>
            </w:r>
          </w:p>
          <w:p>
            <w:pPr>
              <w:ind w:firstLine="480"/>
              <w:rPr>
                <w:rFonts w:hint="eastAsia"/>
              </w:rPr>
            </w:pPr>
            <w:r>
              <w:rPr>
                <w:rFonts w:hint="eastAsia"/>
              </w:rPr>
              <w:t>项目前处理工序会产生废渣，为保障槽体运行正常，需定期对其进行捞渣。项目废槽渣的产生量约为0.1t/a。根据《国家危险废物名录》</w:t>
            </w:r>
            <w:r>
              <w:rPr>
                <w:rFonts w:hint="eastAsia"/>
                <w:lang w:eastAsia="zh-CN"/>
              </w:rPr>
              <w:t>（</w:t>
            </w:r>
            <w:r>
              <w:rPr>
                <w:rFonts w:hint="eastAsia"/>
                <w:lang w:val="en-US" w:eastAsia="zh-CN"/>
              </w:rPr>
              <w:t>2025年版</w:t>
            </w:r>
            <w:r>
              <w:rPr>
                <w:rFonts w:hint="eastAsia"/>
                <w:lang w:eastAsia="zh-CN"/>
              </w:rPr>
              <w:t>）</w:t>
            </w:r>
            <w:r>
              <w:rPr>
                <w:rFonts w:hint="eastAsia"/>
              </w:rPr>
              <w:t>可知，该废渣类别为HW17，废物代码为336-064-17。废</w:t>
            </w:r>
            <w:r>
              <w:rPr>
                <w:rFonts w:hint="eastAsia"/>
                <w:lang w:val="en-US" w:eastAsia="zh-CN"/>
              </w:rPr>
              <w:t>槽</w:t>
            </w:r>
            <w:r>
              <w:rPr>
                <w:rFonts w:hint="eastAsia"/>
              </w:rPr>
              <w:t>渣由密封胶桶收集后，暂存于危险废物暂存间，定期交由有资质单位进行处理。</w:t>
            </w:r>
          </w:p>
          <w:p>
            <w:pPr>
              <w:ind w:firstLine="480"/>
              <w:rPr>
                <w:rFonts w:hint="eastAsia"/>
                <w:u w:val="single"/>
                <w:lang w:val="en-US" w:eastAsia="zh-CN"/>
              </w:rPr>
            </w:pPr>
            <w:r>
              <w:rPr>
                <w:rFonts w:hint="eastAsia"/>
                <w:u w:val="single"/>
                <w:lang w:val="en-US" w:eastAsia="zh-CN"/>
              </w:rPr>
              <w:t>⑦污泥</w:t>
            </w:r>
          </w:p>
          <w:p>
            <w:pPr>
              <w:ind w:firstLine="480"/>
              <w:rPr>
                <w:rFonts w:hint="eastAsia"/>
                <w:u w:val="single"/>
                <w:lang w:val="en-US" w:eastAsia="zh-CN"/>
              </w:rPr>
            </w:pPr>
            <w:r>
              <w:rPr>
                <w:rFonts w:hint="default"/>
                <w:u w:val="single"/>
                <w:lang w:val="en-US" w:eastAsia="zh-CN"/>
              </w:rPr>
              <w:t>项目自建污水处理设施处理污水的过程会产生污泥，</w:t>
            </w:r>
            <w:r>
              <w:rPr>
                <w:rFonts w:hint="eastAsia"/>
                <w:u w:val="single"/>
                <w:lang w:val="en-US" w:eastAsia="zh-CN"/>
              </w:rPr>
              <w:t>污泥量按下式计算：</w:t>
            </w:r>
          </w:p>
          <w:p>
            <w:pPr>
              <w:ind w:firstLine="480"/>
              <w:rPr>
                <w:rFonts w:hint="eastAsia" w:hAnsi="Cambria Math"/>
                <w:i w:val="0"/>
                <w:u w:val="single"/>
                <w:lang w:val="en-US" w:eastAsia="zh-CN"/>
              </w:rPr>
            </w:pPr>
            <m:oMathPara>
              <m:oMath>
                <m:r>
                  <m:rPr>
                    <m:sty m:val="p"/>
                  </m:rPr>
                  <w:rPr>
                    <w:rFonts w:hint="default" w:ascii="Cambria Math" w:hAnsi="Cambria Math"/>
                    <w:u w:val="single"/>
                    <w:lang w:val="en-US" w:eastAsia="zh-CN"/>
                  </w:rPr>
                  <m:t>X=</m:t>
                </m:r>
                <m:r>
                  <m:rPr>
                    <m:sty m:val="p"/>
                  </m:rPr>
                  <w:rPr>
                    <w:rFonts w:hint="eastAsia" w:ascii="Cambria Math" w:hAnsi="Cambria Math"/>
                    <w:u w:val="single"/>
                    <w:lang w:val="en-US" w:eastAsia="zh-CN"/>
                  </w:rPr>
                  <m:t>a</m:t>
                </m:r>
                <m:r>
                  <m:rPr>
                    <m:sty m:val="p"/>
                  </m:rPr>
                  <w:rPr>
                    <w:rFonts w:hint="default" w:ascii="Cambria Math" w:hAnsi="Cambria Math"/>
                    <w:u w:val="single"/>
                    <w:lang w:val="en-US" w:eastAsia="zh-CN"/>
                  </w:rPr>
                  <m:t>Q</m:t>
                </m:r>
                <m:r>
                  <m:rPr>
                    <m:sty m:val="p"/>
                  </m:rPr>
                  <w:rPr>
                    <w:rFonts w:hint="eastAsia" w:ascii="Cambria Math" w:hAnsi="Cambria Math"/>
                    <w:u w:val="single"/>
                    <w:lang w:val="en-US" w:eastAsia="zh-CN"/>
                  </w:rPr>
                  <m:t>（</m:t>
                </m:r>
                <m:sSub>
                  <m:sSubPr>
                    <m:ctrlPr>
                      <w:rPr>
                        <w:rFonts w:ascii="Cambria Math" w:hAnsi="Cambria Math"/>
                        <w:i/>
                        <w:u w:val="single"/>
                        <w:lang w:val="en-US"/>
                      </w:rPr>
                    </m:ctrlPr>
                  </m:sSubPr>
                  <m:e>
                    <m:r>
                      <m:rPr/>
                      <w:rPr>
                        <w:rFonts w:hint="default" w:ascii="Cambria Math" w:hAnsi="Cambria Math"/>
                        <w:u w:val="single"/>
                        <w:lang w:val="en-US" w:eastAsia="zh-CN"/>
                      </w:rPr>
                      <m:t>C</m:t>
                    </m:r>
                    <m:ctrlPr>
                      <w:rPr>
                        <w:rFonts w:ascii="Cambria Math" w:hAnsi="Cambria Math"/>
                        <w:i/>
                        <w:u w:val="single"/>
                        <w:lang w:val="en-US"/>
                      </w:rPr>
                    </m:ctrlPr>
                  </m:e>
                  <m:sub>
                    <m:r>
                      <m:rPr/>
                      <w:rPr>
                        <w:rFonts w:hint="default" w:ascii="Cambria Math" w:hAnsi="Cambria Math"/>
                        <w:u w:val="single"/>
                        <w:lang w:val="en-US" w:eastAsia="zh-CN"/>
                      </w:rPr>
                      <m:t>0</m:t>
                    </m:r>
                    <m:ctrlPr>
                      <w:rPr>
                        <w:rFonts w:ascii="Cambria Math" w:hAnsi="Cambria Math"/>
                        <w:i/>
                        <w:u w:val="single"/>
                        <w:lang w:val="en-US"/>
                      </w:rPr>
                    </m:ctrlPr>
                  </m:sub>
                </m:sSub>
                <m:r>
                  <m:rPr/>
                  <w:rPr>
                    <w:rFonts w:hint="default" w:ascii="Cambria Math" w:hAnsi="Cambria Math"/>
                    <w:u w:val="single"/>
                    <w:lang w:val="en-US" w:eastAsia="zh-CN"/>
                  </w:rPr>
                  <m:t>−</m:t>
                </m:r>
                <m:sSub>
                  <m:sSubPr>
                    <m:ctrlPr>
                      <w:rPr>
                        <w:rFonts w:ascii="Cambria Math" w:hAnsi="Cambria Math"/>
                        <w:i/>
                        <w:u w:val="single"/>
                        <w:lang w:val="en-US"/>
                      </w:rPr>
                    </m:ctrlPr>
                  </m:sSubPr>
                  <m:e>
                    <m:r>
                      <m:rPr/>
                      <w:rPr>
                        <w:rFonts w:hint="default" w:ascii="Cambria Math" w:hAnsi="Cambria Math"/>
                        <w:u w:val="single"/>
                        <w:lang w:val="en-US" w:eastAsia="zh-CN"/>
                      </w:rPr>
                      <m:t>C</m:t>
                    </m:r>
                    <m:ctrlPr>
                      <w:rPr>
                        <w:rFonts w:ascii="Cambria Math" w:hAnsi="Cambria Math"/>
                        <w:i/>
                        <w:u w:val="single"/>
                        <w:lang w:val="en-US"/>
                      </w:rPr>
                    </m:ctrlPr>
                  </m:e>
                  <m:sub>
                    <m:r>
                      <m:rPr/>
                      <w:rPr>
                        <w:rFonts w:hint="default" w:ascii="Cambria Math" w:hAnsi="Cambria Math"/>
                        <w:u w:val="single"/>
                        <w:lang w:val="en-US" w:eastAsia="zh-CN"/>
                      </w:rPr>
                      <m:t>e</m:t>
                    </m:r>
                    <m:ctrlPr>
                      <w:rPr>
                        <w:rFonts w:ascii="Cambria Math" w:hAnsi="Cambria Math"/>
                        <w:i/>
                        <w:u w:val="single"/>
                        <w:lang w:val="en-US"/>
                      </w:rPr>
                    </m:ctrlPr>
                  </m:sub>
                </m:sSub>
                <m:r>
                  <m:rPr/>
                  <w:rPr>
                    <w:rFonts w:hint="eastAsia" w:ascii="Cambria Math" w:hAnsi="Cambria Math"/>
                    <w:u w:val="single"/>
                    <w:lang w:val="en-US" w:eastAsia="zh-CN"/>
                  </w:rPr>
                  <m:t>）</m:t>
                </m:r>
              </m:oMath>
            </m:oMathPara>
          </w:p>
          <w:p>
            <w:pPr>
              <w:bidi w:val="0"/>
              <w:rPr>
                <w:rFonts w:hint="eastAsia"/>
                <w:u w:val="single"/>
                <w:lang w:val="en-US" w:eastAsia="zh-CN"/>
              </w:rPr>
            </w:pPr>
            <w:r>
              <w:rPr>
                <w:rFonts w:hint="eastAsia"/>
                <w:u w:val="single"/>
                <w:lang w:val="en-US" w:eastAsia="zh-CN"/>
              </w:rPr>
              <w:t>其中，X——污泥产量，kg/d；</w:t>
            </w:r>
          </w:p>
          <w:p>
            <w:pPr>
              <w:pStyle w:val="17"/>
              <w:keepNext w:val="0"/>
              <w:keepLines w:val="0"/>
              <w:pageBreakBefore w:val="0"/>
              <w:widowControl w:val="0"/>
              <w:kinsoku/>
              <w:wordWrap/>
              <w:overflowPunct/>
              <w:topLinePunct w:val="0"/>
              <w:autoSpaceDE/>
              <w:autoSpaceDN/>
              <w:bidi w:val="0"/>
              <w:adjustRightInd/>
              <w:snapToGrid/>
              <w:spacing w:after="0"/>
              <w:textAlignment w:val="auto"/>
              <w:rPr>
                <w:rFonts w:hint="eastAsia" w:hAnsi="Cambria Math"/>
                <w:i w:val="0"/>
                <w:u w:val="single"/>
                <w:lang w:val="en-US" w:eastAsia="zh-CN"/>
              </w:rPr>
            </w:pPr>
            <w:r>
              <w:rPr>
                <w:rFonts w:hint="eastAsia" w:hAnsi="Cambria Math"/>
                <w:i w:val="0"/>
                <w:u w:val="single"/>
                <w:lang w:val="en-US" w:eastAsia="zh-CN"/>
              </w:rPr>
              <w:t>C</w:t>
            </w:r>
            <w:r>
              <w:rPr>
                <w:rFonts w:hint="eastAsia" w:hAnsi="Cambria Math"/>
                <w:i w:val="0"/>
                <w:u w:val="single"/>
                <w:vertAlign w:val="subscript"/>
                <w:lang w:val="en-US" w:eastAsia="zh-CN"/>
              </w:rPr>
              <w:t>0</w:t>
            </w:r>
            <w:r>
              <w:rPr>
                <w:rFonts w:hint="eastAsia" w:hAnsi="Cambria Math"/>
                <w:i w:val="0"/>
                <w:u w:val="single"/>
                <w:lang w:val="en-US" w:eastAsia="zh-CN"/>
              </w:rPr>
              <w:t>——进水悬浮物浓度，kg/m</w:t>
            </w:r>
            <w:r>
              <w:rPr>
                <w:rFonts w:hint="eastAsia" w:hAnsi="Cambria Math"/>
                <w:i w:val="0"/>
                <w:u w:val="single"/>
                <w:vertAlign w:val="superscript"/>
                <w:lang w:val="en-US" w:eastAsia="zh-CN"/>
              </w:rPr>
              <w:t>3</w:t>
            </w:r>
            <w:r>
              <w:rPr>
                <w:rFonts w:hint="eastAsia" w:hAnsi="Cambria Math"/>
                <w:i w:val="0"/>
                <w:u w:val="single"/>
                <w:vertAlign w:val="baseline"/>
                <w:lang w:val="en-US" w:eastAsia="zh-CN"/>
              </w:rPr>
              <w:t>，</w:t>
            </w:r>
            <w:r>
              <w:rPr>
                <w:rFonts w:hint="eastAsia" w:hAnsi="Cambria Math"/>
                <w:i w:val="0"/>
                <w:u w:val="single"/>
                <w:lang w:val="en-US" w:eastAsia="zh-CN"/>
              </w:rPr>
              <w:t>C</w:t>
            </w:r>
            <w:r>
              <w:rPr>
                <w:rFonts w:hint="eastAsia" w:hAnsi="Cambria Math"/>
                <w:i w:val="0"/>
                <w:u w:val="single"/>
                <w:vertAlign w:val="subscript"/>
                <w:lang w:val="en-US" w:eastAsia="zh-CN"/>
              </w:rPr>
              <w:t>0</w:t>
            </w:r>
            <w:r>
              <w:rPr>
                <w:rFonts w:hint="eastAsia" w:hAnsi="Cambria Math"/>
                <w:i w:val="0"/>
                <w:u w:val="single"/>
                <w:vertAlign w:val="baseline"/>
                <w:lang w:val="en-US" w:eastAsia="zh-CN"/>
              </w:rPr>
              <w:t>=207.1mg/L</w:t>
            </w:r>
            <w:r>
              <w:rPr>
                <w:rFonts w:hint="eastAsia" w:hAnsi="Cambria Math"/>
                <w:i w:val="0"/>
                <w:u w:val="single"/>
                <w:lang w:val="en-US" w:eastAsia="zh-CN"/>
              </w:rPr>
              <w:t>；</w:t>
            </w:r>
          </w:p>
          <w:p>
            <w:pPr>
              <w:pStyle w:val="17"/>
              <w:keepNext w:val="0"/>
              <w:keepLines w:val="0"/>
              <w:pageBreakBefore w:val="0"/>
              <w:widowControl w:val="0"/>
              <w:kinsoku/>
              <w:wordWrap/>
              <w:overflowPunct/>
              <w:topLinePunct w:val="0"/>
              <w:autoSpaceDE/>
              <w:autoSpaceDN/>
              <w:bidi w:val="0"/>
              <w:adjustRightInd/>
              <w:snapToGrid/>
              <w:spacing w:after="0"/>
              <w:textAlignment w:val="auto"/>
              <w:rPr>
                <w:rFonts w:hint="eastAsia" w:hAnsi="Cambria Math"/>
                <w:i w:val="0"/>
                <w:u w:val="single"/>
                <w:lang w:val="en-US" w:eastAsia="zh-CN"/>
              </w:rPr>
            </w:pPr>
            <w:r>
              <w:rPr>
                <w:rFonts w:hint="eastAsia" w:hAnsi="Cambria Math"/>
                <w:i w:val="0"/>
                <w:u w:val="single"/>
                <w:lang w:val="en-US" w:eastAsia="zh-CN"/>
              </w:rPr>
              <w:t>C</w:t>
            </w:r>
            <w:r>
              <w:rPr>
                <w:rFonts w:hint="eastAsia" w:hAnsi="Cambria Math"/>
                <w:i w:val="0"/>
                <w:u w:val="single"/>
                <w:vertAlign w:val="subscript"/>
                <w:lang w:val="en-US" w:eastAsia="zh-CN"/>
              </w:rPr>
              <w:t>e</w:t>
            </w:r>
            <w:r>
              <w:rPr>
                <w:rFonts w:hint="eastAsia" w:hAnsi="Cambria Math"/>
                <w:i w:val="0"/>
                <w:u w:val="single"/>
                <w:lang w:val="en-US" w:eastAsia="zh-CN"/>
              </w:rPr>
              <w:t>——出水悬浮物浓度，kg/m</w:t>
            </w:r>
            <w:r>
              <w:rPr>
                <w:rFonts w:hint="eastAsia" w:hAnsi="Cambria Math"/>
                <w:i w:val="0"/>
                <w:u w:val="single"/>
                <w:vertAlign w:val="superscript"/>
                <w:lang w:val="en-US" w:eastAsia="zh-CN"/>
              </w:rPr>
              <w:t>3</w:t>
            </w:r>
            <w:r>
              <w:rPr>
                <w:rFonts w:hint="eastAsia" w:hAnsi="Cambria Math"/>
                <w:i w:val="0"/>
                <w:u w:val="single"/>
                <w:vertAlign w:val="baseline"/>
                <w:lang w:val="en-US" w:eastAsia="zh-CN"/>
              </w:rPr>
              <w:t>，</w:t>
            </w:r>
            <w:r>
              <w:rPr>
                <w:rFonts w:hint="eastAsia" w:hAnsi="Cambria Math"/>
                <w:i w:val="0"/>
                <w:u w:val="single"/>
                <w:lang w:val="en-US" w:eastAsia="zh-CN"/>
              </w:rPr>
              <w:t>C</w:t>
            </w:r>
            <w:r>
              <w:rPr>
                <w:rFonts w:hint="eastAsia" w:hAnsi="Cambria Math"/>
                <w:i w:val="0"/>
                <w:u w:val="single"/>
                <w:vertAlign w:val="subscript"/>
                <w:lang w:val="en-US" w:eastAsia="zh-CN"/>
              </w:rPr>
              <w:t>e</w:t>
            </w:r>
            <w:r>
              <w:rPr>
                <w:rFonts w:hint="eastAsia" w:hAnsi="Cambria Math"/>
                <w:i w:val="0"/>
                <w:u w:val="single"/>
                <w:vertAlign w:val="baseline"/>
                <w:lang w:val="en-US" w:eastAsia="zh-CN"/>
              </w:rPr>
              <w:t>=165.7mg/L</w:t>
            </w:r>
            <w:r>
              <w:rPr>
                <w:rFonts w:hint="eastAsia" w:hAnsi="Cambria Math"/>
                <w:i w:val="0"/>
                <w:u w:val="single"/>
                <w:lang w:val="en-US" w:eastAsia="zh-CN"/>
              </w:rPr>
              <w:t>；</w:t>
            </w:r>
          </w:p>
          <w:p>
            <w:pPr>
              <w:pStyle w:val="17"/>
              <w:keepNext w:val="0"/>
              <w:keepLines w:val="0"/>
              <w:pageBreakBefore w:val="0"/>
              <w:widowControl w:val="0"/>
              <w:kinsoku/>
              <w:wordWrap/>
              <w:overflowPunct/>
              <w:topLinePunct w:val="0"/>
              <w:autoSpaceDE/>
              <w:autoSpaceDN/>
              <w:bidi w:val="0"/>
              <w:adjustRightInd/>
              <w:snapToGrid/>
              <w:spacing w:after="0"/>
              <w:textAlignment w:val="auto"/>
              <w:rPr>
                <w:rFonts w:hint="eastAsia" w:hAnsi="Cambria Math"/>
                <w:i w:val="0"/>
                <w:u w:val="single"/>
                <w:lang w:val="en-US" w:eastAsia="zh-CN"/>
              </w:rPr>
            </w:pPr>
            <w:r>
              <w:rPr>
                <w:rFonts w:hint="eastAsia" w:hAnsi="Cambria Math"/>
                <w:i w:val="0"/>
                <w:u w:val="single"/>
                <w:lang w:val="en-US" w:eastAsia="zh-CN"/>
              </w:rPr>
              <w:t>Q——设计平均污水流量，m</w:t>
            </w:r>
            <w:r>
              <w:rPr>
                <w:rFonts w:hint="eastAsia" w:hAnsi="Cambria Math"/>
                <w:i w:val="0"/>
                <w:u w:val="single"/>
                <w:vertAlign w:val="superscript"/>
                <w:lang w:val="en-US" w:eastAsia="zh-CN"/>
              </w:rPr>
              <w:t>3</w:t>
            </w:r>
            <w:r>
              <w:rPr>
                <w:rFonts w:hint="eastAsia" w:hAnsi="Cambria Math"/>
                <w:i w:val="0"/>
                <w:u w:val="single"/>
                <w:lang w:val="en-US" w:eastAsia="zh-CN"/>
              </w:rPr>
              <w:t>/d，Q=0.98m</w:t>
            </w:r>
            <w:r>
              <w:rPr>
                <w:rFonts w:hint="eastAsia" w:hAnsi="Cambria Math"/>
                <w:i w:val="0"/>
                <w:u w:val="single"/>
                <w:vertAlign w:val="superscript"/>
                <w:lang w:val="en-US" w:eastAsia="zh-CN"/>
              </w:rPr>
              <w:t>3</w:t>
            </w:r>
            <w:r>
              <w:rPr>
                <w:rFonts w:hint="eastAsia" w:hAnsi="Cambria Math"/>
                <w:i w:val="0"/>
                <w:u w:val="single"/>
                <w:lang w:val="en-US" w:eastAsia="zh-CN"/>
              </w:rPr>
              <w:t>/d；</w:t>
            </w:r>
          </w:p>
          <w:p>
            <w:pPr>
              <w:pStyle w:val="17"/>
              <w:keepNext w:val="0"/>
              <w:keepLines w:val="0"/>
              <w:pageBreakBefore w:val="0"/>
              <w:widowControl w:val="0"/>
              <w:kinsoku/>
              <w:wordWrap/>
              <w:overflowPunct/>
              <w:topLinePunct w:val="0"/>
              <w:autoSpaceDE/>
              <w:autoSpaceDN/>
              <w:bidi w:val="0"/>
              <w:adjustRightInd/>
              <w:snapToGrid/>
              <w:spacing w:after="0"/>
              <w:textAlignment w:val="auto"/>
              <w:rPr>
                <w:rFonts w:hint="eastAsia" w:hAnsi="Cambria Math"/>
                <w:i w:val="0"/>
                <w:u w:val="single"/>
                <w:lang w:val="en-US" w:eastAsia="zh-CN"/>
              </w:rPr>
            </w:pPr>
            <w:r>
              <w:rPr>
                <w:rFonts w:hint="eastAsia" w:hAnsi="Cambria Math"/>
                <w:i w:val="0"/>
                <w:u w:val="single"/>
                <w:lang w:val="en-US" w:eastAsia="zh-CN"/>
              </w:rPr>
              <w:t>a——系数，无量纲，本次计算取1.5。</w:t>
            </w:r>
          </w:p>
          <w:p>
            <w:pPr>
              <w:rPr>
                <w:rFonts w:hint="default"/>
                <w:u w:val="single"/>
                <w:lang w:val="en-US" w:eastAsia="zh-CN"/>
              </w:rPr>
            </w:pPr>
            <w:r>
              <w:rPr>
                <w:rFonts w:hint="eastAsia" w:hAnsi="Cambria Math"/>
                <w:i w:val="0"/>
                <w:u w:val="single"/>
                <w:lang w:val="en-US" w:eastAsia="zh-CN"/>
              </w:rPr>
              <w:t>计算可知X=0.02t/a。</w:t>
            </w:r>
          </w:p>
          <w:p>
            <w:pPr>
              <w:ind w:firstLine="480"/>
              <w:rPr>
                <w:rFonts w:hint="eastAsia"/>
                <w:u w:val="single"/>
                <w:lang w:val="en-US" w:eastAsia="zh-CN"/>
              </w:rPr>
            </w:pPr>
            <w:r>
              <w:rPr>
                <w:rFonts w:hint="eastAsia"/>
                <w:u w:val="single"/>
                <w:lang w:val="en-US" w:eastAsia="zh-CN"/>
              </w:rPr>
              <w:t>由于项目污水处理站中混凝沉淀需要使用到混凝剂，根据物料平衡的原则，污泥产生量需考虑混凝剂的使用量，每处理1吨废水需要添加2kg的PAC（聚合氯化铝），则PAC使用量为：2kg/t×292.6t/a÷1000=0.59t/a；每处理1吨废水需要添加0.1kg的PAM，则PAM（聚丙烯酰胺）使用量为0.1kg/t×292.6t/a÷1000=0.03t/a，故PAC和PAM的使用量为0.59t/a+0.03t/a=0.62t/a)。</w:t>
            </w:r>
          </w:p>
          <w:p>
            <w:pPr>
              <w:ind w:firstLine="480"/>
              <w:rPr>
                <w:rFonts w:hint="eastAsia"/>
                <w:u w:val="single"/>
                <w:lang w:val="en-US" w:eastAsia="zh-CN"/>
              </w:rPr>
            </w:pPr>
            <w:r>
              <w:rPr>
                <w:rFonts w:hint="eastAsia"/>
                <w:u w:val="single"/>
                <w:lang w:val="en-US" w:eastAsia="zh-CN"/>
              </w:rPr>
              <w:t>污泥脱水后含水率以80%计，污泥产生量：（0.02t/a+0.62t/a）÷（1-80%）=3.2t/a，则</w:t>
            </w:r>
            <w:r>
              <w:rPr>
                <w:rFonts w:hint="default"/>
                <w:u w:val="single"/>
                <w:lang w:val="en-US" w:eastAsia="zh-CN"/>
              </w:rPr>
              <w:t>污泥产生量约为</w:t>
            </w:r>
            <w:r>
              <w:rPr>
                <w:rFonts w:hint="eastAsia"/>
                <w:u w:val="single"/>
                <w:lang w:val="en-US" w:eastAsia="zh-CN"/>
              </w:rPr>
              <w:t>3.2</w:t>
            </w:r>
            <w:r>
              <w:rPr>
                <w:rFonts w:hint="default"/>
                <w:u w:val="single"/>
                <w:lang w:val="en-US" w:eastAsia="zh-CN"/>
              </w:rPr>
              <w:t>t/a</w:t>
            </w:r>
            <w:r>
              <w:rPr>
                <w:rFonts w:hint="eastAsia"/>
                <w:u w:val="single"/>
                <w:lang w:val="en-US" w:eastAsia="zh-CN"/>
              </w:rPr>
              <w:t>。</w:t>
            </w:r>
          </w:p>
          <w:p>
            <w:pPr>
              <w:ind w:firstLine="480"/>
              <w:rPr>
                <w:rFonts w:hint="default"/>
                <w:lang w:val="en-US" w:eastAsia="zh-CN"/>
              </w:rPr>
            </w:pPr>
            <w:r>
              <w:rPr>
                <w:rFonts w:hint="eastAsia"/>
                <w:u w:val="single"/>
              </w:rPr>
              <w:t>根据《国家危险废物名录》</w:t>
            </w:r>
            <w:r>
              <w:rPr>
                <w:rFonts w:hint="eastAsia"/>
                <w:u w:val="single"/>
                <w:lang w:eastAsia="zh-CN"/>
              </w:rPr>
              <w:t>（</w:t>
            </w:r>
            <w:r>
              <w:rPr>
                <w:rFonts w:hint="eastAsia"/>
                <w:u w:val="single"/>
                <w:lang w:val="en-US" w:eastAsia="zh-CN"/>
              </w:rPr>
              <w:t>2025年版</w:t>
            </w:r>
            <w:r>
              <w:rPr>
                <w:rFonts w:hint="eastAsia"/>
                <w:u w:val="single"/>
                <w:lang w:eastAsia="zh-CN"/>
              </w:rPr>
              <w:t>）</w:t>
            </w:r>
            <w:r>
              <w:rPr>
                <w:rFonts w:hint="eastAsia"/>
                <w:u w:val="single"/>
              </w:rPr>
              <w:t>可知，</w:t>
            </w:r>
            <w:r>
              <w:rPr>
                <w:rFonts w:hint="eastAsia"/>
                <w:u w:val="single"/>
                <w:lang w:val="en-US" w:eastAsia="zh-CN"/>
              </w:rPr>
              <w:t>其废物</w:t>
            </w:r>
            <w:r>
              <w:rPr>
                <w:rFonts w:hint="eastAsia"/>
                <w:u w:val="single"/>
              </w:rPr>
              <w:t>类别为HW17，废物代码为336-064-17。经收集后</w:t>
            </w:r>
            <w:r>
              <w:rPr>
                <w:u w:val="single"/>
              </w:rPr>
              <w:t>放置于危险废物暂存间暂存，</w:t>
            </w:r>
            <w:r>
              <w:rPr>
                <w:rFonts w:hint="eastAsia"/>
                <w:u w:val="single"/>
              </w:rPr>
              <w:t>委托</w:t>
            </w:r>
            <w:r>
              <w:rPr>
                <w:u w:val="single"/>
              </w:rPr>
              <w:t>有资质单位</w:t>
            </w:r>
            <w:r>
              <w:rPr>
                <w:rFonts w:hint="eastAsia"/>
                <w:u w:val="single"/>
              </w:rPr>
              <w:t>处理，同时暂存过程按危险废物的有关规定和要求进行环境监管</w:t>
            </w:r>
            <w:r>
              <w:rPr>
                <w:u w:val="single"/>
              </w:rPr>
              <w:t>。</w:t>
            </w:r>
          </w:p>
          <w:p>
            <w:pPr>
              <w:pStyle w:val="4"/>
              <w:ind w:firstLine="482"/>
            </w:pPr>
            <w:r>
              <w:rPr>
                <w:rFonts w:hint="eastAsia"/>
              </w:rPr>
              <w:t>（4）项目固体废物产排情况</w:t>
            </w:r>
          </w:p>
          <w:p>
            <w:pPr>
              <w:keepNext w:val="0"/>
              <w:keepLines w:val="0"/>
              <w:pageBreakBefore w:val="0"/>
              <w:widowControl w:val="0"/>
              <w:kinsoku/>
              <w:wordWrap/>
              <w:overflowPunct/>
              <w:topLinePunct w:val="0"/>
              <w:autoSpaceDE/>
              <w:autoSpaceDN/>
              <w:bidi w:val="0"/>
              <w:adjustRightInd/>
              <w:snapToGrid/>
              <w:ind w:firstLine="480"/>
              <w:textAlignment w:val="auto"/>
            </w:pPr>
            <w:r>
              <w:rPr>
                <w:rFonts w:hint="eastAsia"/>
              </w:rPr>
              <w:t>项目固体废物产排情况见下表。</w:t>
            </w:r>
          </w:p>
          <w:p>
            <w:pPr>
              <w:pStyle w:val="37"/>
              <w:spacing w:before="72" w:after="120"/>
              <w:rPr>
                <w:rFonts w:hint="default"/>
                <w:u w:val="single"/>
              </w:rPr>
            </w:pPr>
            <w:r>
              <w:rPr>
                <w:u w:val="single"/>
              </w:rPr>
              <w:t>表4-2</w:t>
            </w:r>
            <w:r>
              <w:rPr>
                <w:rFonts w:hint="eastAsia"/>
                <w:u w:val="single"/>
                <w:lang w:val="en-US" w:eastAsia="zh-CN"/>
              </w:rPr>
              <w:t>4</w:t>
            </w:r>
            <w:r>
              <w:rPr>
                <w:u w:val="single"/>
              </w:rPr>
              <w:t xml:space="preserve"> 项目固废产排情况一览表</w:t>
            </w:r>
          </w:p>
          <w:tbl>
            <w:tblPr>
              <w:tblStyle w:val="1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508"/>
              <w:gridCol w:w="927"/>
              <w:gridCol w:w="1420"/>
              <w:gridCol w:w="837"/>
              <w:gridCol w:w="1045"/>
              <w:gridCol w:w="762"/>
              <w:gridCol w:w="13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b/>
                      <w:bCs/>
                      <w:u w:val="single"/>
                    </w:rPr>
                  </w:pPr>
                  <w:r>
                    <w:rPr>
                      <w:rFonts w:hint="eastAsia"/>
                      <w:b/>
                      <w:bCs/>
                      <w:u w:val="single"/>
                    </w:rPr>
                    <w:t>固废名称</w:t>
                  </w:r>
                </w:p>
              </w:tc>
              <w:tc>
                <w:tcPr>
                  <w:tcW w:w="312" w:type="pct"/>
                  <w:tcBorders>
                    <w:tl2br w:val="nil"/>
                    <w:tr2bl w:val="nil"/>
                  </w:tcBorders>
                  <w:shd w:val="clear" w:color="auto" w:fill="auto"/>
                  <w:noWrap/>
                  <w:vAlign w:val="center"/>
                </w:tcPr>
                <w:p>
                  <w:pPr>
                    <w:pStyle w:val="24"/>
                    <w:rPr>
                      <w:b/>
                      <w:bCs/>
                      <w:u w:val="single"/>
                    </w:rPr>
                  </w:pPr>
                  <w:r>
                    <w:rPr>
                      <w:rFonts w:hint="eastAsia"/>
                      <w:b/>
                      <w:bCs/>
                      <w:u w:val="single"/>
                    </w:rPr>
                    <w:t>属性</w:t>
                  </w:r>
                </w:p>
              </w:tc>
              <w:tc>
                <w:tcPr>
                  <w:tcW w:w="569" w:type="pct"/>
                  <w:tcBorders>
                    <w:tl2br w:val="nil"/>
                    <w:tr2bl w:val="nil"/>
                  </w:tcBorders>
                  <w:shd w:val="clear" w:color="auto" w:fill="auto"/>
                  <w:noWrap/>
                  <w:vAlign w:val="center"/>
                </w:tcPr>
                <w:p>
                  <w:pPr>
                    <w:pStyle w:val="24"/>
                    <w:rPr>
                      <w:rFonts w:hint="default" w:eastAsia="宋体"/>
                      <w:b/>
                      <w:bCs/>
                      <w:u w:val="single"/>
                      <w:lang w:val="en-US" w:eastAsia="zh-CN"/>
                    </w:rPr>
                  </w:pPr>
                  <w:r>
                    <w:rPr>
                      <w:rFonts w:hint="eastAsia"/>
                      <w:b/>
                      <w:bCs/>
                      <w:u w:val="single"/>
                      <w:lang w:val="en-US" w:eastAsia="zh-CN"/>
                    </w:rPr>
                    <w:t>废物类别</w:t>
                  </w:r>
                </w:p>
              </w:tc>
              <w:tc>
                <w:tcPr>
                  <w:tcW w:w="872" w:type="pct"/>
                  <w:tcBorders>
                    <w:tl2br w:val="nil"/>
                    <w:tr2bl w:val="nil"/>
                  </w:tcBorders>
                  <w:shd w:val="clear" w:color="auto" w:fill="auto"/>
                  <w:noWrap/>
                  <w:vAlign w:val="center"/>
                </w:tcPr>
                <w:p>
                  <w:pPr>
                    <w:pStyle w:val="24"/>
                    <w:rPr>
                      <w:b/>
                      <w:bCs/>
                      <w:u w:val="single"/>
                    </w:rPr>
                  </w:pPr>
                  <w:r>
                    <w:rPr>
                      <w:rFonts w:hint="eastAsia"/>
                      <w:b/>
                      <w:bCs/>
                      <w:u w:val="single"/>
                    </w:rPr>
                    <w:t>分类编码</w:t>
                  </w:r>
                </w:p>
              </w:tc>
              <w:tc>
                <w:tcPr>
                  <w:tcW w:w="514" w:type="pct"/>
                  <w:tcBorders>
                    <w:tl2br w:val="nil"/>
                    <w:tr2bl w:val="nil"/>
                  </w:tcBorders>
                  <w:shd w:val="clear" w:color="auto" w:fill="auto"/>
                  <w:noWrap/>
                  <w:vAlign w:val="center"/>
                </w:tcPr>
                <w:p>
                  <w:pPr>
                    <w:pStyle w:val="24"/>
                    <w:rPr>
                      <w:b/>
                      <w:bCs/>
                      <w:u w:val="single"/>
                    </w:rPr>
                  </w:pPr>
                  <w:r>
                    <w:rPr>
                      <w:rFonts w:hint="eastAsia"/>
                      <w:b/>
                      <w:bCs/>
                      <w:u w:val="single"/>
                    </w:rPr>
                    <w:t>物理性质</w:t>
                  </w:r>
                </w:p>
              </w:tc>
              <w:tc>
                <w:tcPr>
                  <w:tcW w:w="642" w:type="pct"/>
                  <w:tcBorders>
                    <w:tl2br w:val="nil"/>
                    <w:tr2bl w:val="nil"/>
                  </w:tcBorders>
                  <w:shd w:val="clear" w:color="auto" w:fill="auto"/>
                  <w:noWrap/>
                  <w:vAlign w:val="center"/>
                </w:tcPr>
                <w:p>
                  <w:pPr>
                    <w:pStyle w:val="24"/>
                    <w:rPr>
                      <w:b/>
                      <w:bCs/>
                      <w:u w:val="single"/>
                    </w:rPr>
                  </w:pPr>
                  <w:r>
                    <w:rPr>
                      <w:rFonts w:hint="eastAsia"/>
                      <w:b/>
                      <w:bCs/>
                      <w:u w:val="single"/>
                    </w:rPr>
                    <w:t>产生量（t/a）</w:t>
                  </w:r>
                </w:p>
              </w:tc>
              <w:tc>
                <w:tcPr>
                  <w:tcW w:w="468" w:type="pct"/>
                  <w:tcBorders>
                    <w:tl2br w:val="nil"/>
                    <w:tr2bl w:val="nil"/>
                  </w:tcBorders>
                  <w:shd w:val="clear" w:color="auto" w:fill="auto"/>
                  <w:noWrap/>
                  <w:vAlign w:val="center"/>
                </w:tcPr>
                <w:p>
                  <w:pPr>
                    <w:pStyle w:val="24"/>
                    <w:rPr>
                      <w:rFonts w:hint="default" w:eastAsia="宋体"/>
                      <w:b/>
                      <w:bCs/>
                      <w:u w:val="single"/>
                      <w:lang w:val="en-US" w:eastAsia="zh-CN"/>
                    </w:rPr>
                  </w:pPr>
                  <w:r>
                    <w:rPr>
                      <w:rFonts w:hint="eastAsia"/>
                      <w:b/>
                      <w:bCs/>
                      <w:u w:val="single"/>
                      <w:lang w:val="en-US" w:eastAsia="zh-CN"/>
                    </w:rPr>
                    <w:t>贮存方式</w:t>
                  </w:r>
                </w:p>
              </w:tc>
              <w:tc>
                <w:tcPr>
                  <w:tcW w:w="816" w:type="pct"/>
                  <w:tcBorders>
                    <w:tl2br w:val="nil"/>
                    <w:tr2bl w:val="nil"/>
                  </w:tcBorders>
                  <w:shd w:val="clear" w:color="auto" w:fill="auto"/>
                  <w:noWrap/>
                  <w:vAlign w:val="center"/>
                </w:tcPr>
                <w:p>
                  <w:pPr>
                    <w:pStyle w:val="24"/>
                    <w:rPr>
                      <w:b/>
                      <w:bCs/>
                      <w:u w:val="single"/>
                    </w:rPr>
                  </w:pPr>
                  <w:r>
                    <w:rPr>
                      <w:rFonts w:hint="eastAsia"/>
                      <w:b/>
                      <w:bCs/>
                      <w:u w:val="single"/>
                    </w:rPr>
                    <w:t>利用处置方式和去向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金属边角料</w:t>
                  </w:r>
                </w:p>
              </w:tc>
              <w:tc>
                <w:tcPr>
                  <w:tcW w:w="312" w:type="pct"/>
                  <w:vMerge w:val="restart"/>
                  <w:tcBorders>
                    <w:tl2br w:val="nil"/>
                    <w:tr2bl w:val="nil"/>
                  </w:tcBorders>
                  <w:shd w:val="clear" w:color="auto" w:fill="auto"/>
                  <w:noWrap/>
                  <w:vAlign w:val="center"/>
                </w:tcPr>
                <w:p>
                  <w:pPr>
                    <w:pStyle w:val="24"/>
                    <w:rPr>
                      <w:u w:val="single"/>
                    </w:rPr>
                  </w:pPr>
                  <w:r>
                    <w:rPr>
                      <w:rFonts w:hint="eastAsia"/>
                      <w:u w:val="single"/>
                    </w:rPr>
                    <w:t>一般固废</w:t>
                  </w:r>
                </w:p>
              </w:tc>
              <w:tc>
                <w:tcPr>
                  <w:tcW w:w="569" w:type="pct"/>
                  <w:tcBorders>
                    <w:tl2br w:val="nil"/>
                    <w:tr2bl w:val="nil"/>
                  </w:tcBorders>
                  <w:shd w:val="clear" w:color="auto" w:fill="auto"/>
                  <w:vAlign w:val="center"/>
                </w:tcPr>
                <w:p>
                  <w:pPr>
                    <w:pStyle w:val="24"/>
                    <w:rPr>
                      <w:rFonts w:hint="default" w:eastAsia="宋体"/>
                      <w:u w:val="single"/>
                      <w:lang w:val="en-US" w:eastAsia="zh-CN"/>
                    </w:rPr>
                  </w:pPr>
                  <w:r>
                    <w:rPr>
                      <w:rFonts w:hint="eastAsia"/>
                      <w:u w:val="single"/>
                      <w:lang w:val="en-US" w:eastAsia="zh-CN"/>
                    </w:rPr>
                    <w:t>SW17</w:t>
                  </w:r>
                </w:p>
              </w:tc>
              <w:tc>
                <w:tcPr>
                  <w:tcW w:w="872" w:type="pct"/>
                  <w:tcBorders>
                    <w:tl2br w:val="nil"/>
                    <w:tr2bl w:val="nil"/>
                  </w:tcBorders>
                  <w:shd w:val="clear" w:color="auto" w:fill="auto"/>
                  <w:vAlign w:val="center"/>
                </w:tcPr>
                <w:p>
                  <w:pPr>
                    <w:pStyle w:val="24"/>
                    <w:rPr>
                      <w:u w:val="single"/>
                    </w:rPr>
                  </w:pPr>
                  <w:r>
                    <w:rPr>
                      <w:rFonts w:hint="eastAsia"/>
                      <w:u w:val="single"/>
                    </w:rPr>
                    <w:t>900-001-S17</w:t>
                  </w:r>
                </w:p>
              </w:tc>
              <w:tc>
                <w:tcPr>
                  <w:tcW w:w="514" w:type="pct"/>
                  <w:tcBorders>
                    <w:tl2br w:val="nil"/>
                    <w:tr2bl w:val="nil"/>
                  </w:tcBorders>
                  <w:shd w:val="clear" w:color="auto" w:fill="auto"/>
                  <w:noWrap/>
                  <w:vAlign w:val="center"/>
                </w:tcPr>
                <w:p>
                  <w:pPr>
                    <w:pStyle w:val="24"/>
                    <w:rPr>
                      <w:u w:val="single"/>
                    </w:rPr>
                  </w:pPr>
                  <w:r>
                    <w:rPr>
                      <w:rFonts w:hint="eastAsia"/>
                      <w:u w:val="single"/>
                    </w:rPr>
                    <w:t>固态</w:t>
                  </w:r>
                </w:p>
              </w:tc>
              <w:tc>
                <w:tcPr>
                  <w:tcW w:w="642" w:type="pct"/>
                  <w:tcBorders>
                    <w:tl2br w:val="nil"/>
                    <w:tr2bl w:val="nil"/>
                  </w:tcBorders>
                  <w:shd w:val="clear" w:color="auto" w:fill="auto"/>
                  <w:noWrap/>
                  <w:vAlign w:val="center"/>
                </w:tcPr>
                <w:p>
                  <w:pPr>
                    <w:pStyle w:val="24"/>
                    <w:rPr>
                      <w:u w:val="single"/>
                    </w:rPr>
                  </w:pPr>
                  <w:r>
                    <w:rPr>
                      <w:rFonts w:hint="eastAsia"/>
                      <w:u w:val="single"/>
                    </w:rPr>
                    <w:t>30</w:t>
                  </w:r>
                </w:p>
              </w:tc>
              <w:tc>
                <w:tcPr>
                  <w:tcW w:w="468"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袋装</w:t>
                  </w:r>
                </w:p>
              </w:tc>
              <w:tc>
                <w:tcPr>
                  <w:tcW w:w="816" w:type="pct"/>
                  <w:vMerge w:val="restart"/>
                  <w:tcBorders>
                    <w:tl2br w:val="nil"/>
                    <w:tr2bl w:val="nil"/>
                  </w:tcBorders>
                  <w:shd w:val="clear" w:color="auto" w:fill="auto"/>
                  <w:noWrap/>
                  <w:vAlign w:val="center"/>
                </w:tcPr>
                <w:p>
                  <w:pPr>
                    <w:pStyle w:val="24"/>
                    <w:rPr>
                      <w:u w:val="single"/>
                    </w:rPr>
                  </w:pPr>
                  <w:r>
                    <w:rPr>
                      <w:rFonts w:hint="eastAsia"/>
                      <w:u w:val="single"/>
                    </w:rPr>
                    <w:t>收集后交由回收单位处理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不合格产品</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SW17</w:t>
                  </w:r>
                </w:p>
              </w:tc>
              <w:tc>
                <w:tcPr>
                  <w:tcW w:w="872" w:type="pct"/>
                  <w:tcBorders>
                    <w:tl2br w:val="nil"/>
                    <w:tr2bl w:val="nil"/>
                  </w:tcBorders>
                  <w:shd w:val="clear" w:color="auto" w:fill="auto"/>
                  <w:noWrap/>
                  <w:vAlign w:val="center"/>
                </w:tcPr>
                <w:p>
                  <w:pPr>
                    <w:pStyle w:val="24"/>
                    <w:rPr>
                      <w:u w:val="single"/>
                    </w:rPr>
                  </w:pPr>
                  <w:r>
                    <w:rPr>
                      <w:u w:val="single"/>
                    </w:rPr>
                    <w:t>900-001-S17</w:t>
                  </w:r>
                </w:p>
              </w:tc>
              <w:tc>
                <w:tcPr>
                  <w:tcW w:w="514" w:type="pct"/>
                  <w:tcBorders>
                    <w:tl2br w:val="nil"/>
                    <w:tr2bl w:val="nil"/>
                  </w:tcBorders>
                  <w:shd w:val="clear" w:color="auto" w:fill="auto"/>
                  <w:noWrap/>
                  <w:vAlign w:val="center"/>
                </w:tcPr>
                <w:p>
                  <w:pPr>
                    <w:pStyle w:val="24"/>
                    <w:rPr>
                      <w:u w:val="single"/>
                    </w:rPr>
                  </w:pPr>
                  <w:r>
                    <w:rPr>
                      <w:rFonts w:hint="eastAsia"/>
                      <w:u w:val="single"/>
                    </w:rPr>
                    <w:t>固态</w:t>
                  </w:r>
                </w:p>
              </w:tc>
              <w:tc>
                <w:tcPr>
                  <w:tcW w:w="642" w:type="pct"/>
                  <w:tcBorders>
                    <w:tl2br w:val="nil"/>
                    <w:tr2bl w:val="nil"/>
                  </w:tcBorders>
                  <w:shd w:val="clear" w:color="auto" w:fill="auto"/>
                  <w:noWrap/>
                  <w:vAlign w:val="center"/>
                </w:tcPr>
                <w:p>
                  <w:pPr>
                    <w:pStyle w:val="24"/>
                    <w:rPr>
                      <w:u w:val="single"/>
                    </w:rPr>
                  </w:pPr>
                  <w:r>
                    <w:rPr>
                      <w:rFonts w:hint="eastAsia"/>
                      <w:u w:val="single"/>
                    </w:rPr>
                    <w:t>2</w:t>
                  </w:r>
                </w:p>
              </w:tc>
              <w:tc>
                <w:tcPr>
                  <w:tcW w:w="468"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废包装材料</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SW17</w:t>
                  </w:r>
                </w:p>
              </w:tc>
              <w:tc>
                <w:tcPr>
                  <w:tcW w:w="872" w:type="pct"/>
                  <w:tcBorders>
                    <w:tl2br w:val="nil"/>
                    <w:tr2bl w:val="nil"/>
                  </w:tcBorders>
                  <w:shd w:val="clear" w:color="auto" w:fill="auto"/>
                  <w:noWrap/>
                  <w:vAlign w:val="center"/>
                </w:tcPr>
                <w:p>
                  <w:pPr>
                    <w:pStyle w:val="24"/>
                    <w:rPr>
                      <w:u w:val="single"/>
                    </w:rPr>
                  </w:pPr>
                  <w:r>
                    <w:rPr>
                      <w:u w:val="single"/>
                    </w:rPr>
                    <w:t>900-003-S17</w:t>
                  </w:r>
                </w:p>
              </w:tc>
              <w:tc>
                <w:tcPr>
                  <w:tcW w:w="514" w:type="pct"/>
                  <w:tcBorders>
                    <w:tl2br w:val="nil"/>
                    <w:tr2bl w:val="nil"/>
                  </w:tcBorders>
                  <w:shd w:val="clear" w:color="auto" w:fill="auto"/>
                  <w:noWrap/>
                  <w:vAlign w:val="center"/>
                </w:tcPr>
                <w:p>
                  <w:pPr>
                    <w:pStyle w:val="24"/>
                    <w:rPr>
                      <w:u w:val="single"/>
                    </w:rPr>
                  </w:pPr>
                  <w:r>
                    <w:rPr>
                      <w:rFonts w:hint="eastAsia"/>
                      <w:u w:val="single"/>
                    </w:rPr>
                    <w:t>固态</w:t>
                  </w:r>
                </w:p>
              </w:tc>
              <w:tc>
                <w:tcPr>
                  <w:tcW w:w="642" w:type="pct"/>
                  <w:tcBorders>
                    <w:tl2br w:val="nil"/>
                    <w:tr2bl w:val="nil"/>
                  </w:tcBorders>
                  <w:shd w:val="clear" w:color="auto" w:fill="auto"/>
                  <w:noWrap/>
                  <w:vAlign w:val="center"/>
                </w:tcPr>
                <w:p>
                  <w:pPr>
                    <w:pStyle w:val="24"/>
                    <w:rPr>
                      <w:u w:val="single"/>
                    </w:rPr>
                  </w:pPr>
                  <w:r>
                    <w:rPr>
                      <w:rFonts w:hint="eastAsia"/>
                      <w:u w:val="single"/>
                    </w:rPr>
                    <w:t>0.2</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lang w:val="en-US" w:eastAsia="zh-CN"/>
                    </w:rPr>
                    <w:t>收集的粉尘</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SW59</w:t>
                  </w:r>
                </w:p>
              </w:tc>
              <w:tc>
                <w:tcPr>
                  <w:tcW w:w="872"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900-0</w:t>
                  </w:r>
                  <w:r>
                    <w:rPr>
                      <w:rFonts w:hint="eastAsia"/>
                      <w:u w:val="single"/>
                      <w:lang w:val="en-US" w:eastAsia="zh-CN"/>
                    </w:rPr>
                    <w:t>9</w:t>
                  </w:r>
                  <w:r>
                    <w:rPr>
                      <w:rFonts w:hint="eastAsia"/>
                      <w:u w:val="single"/>
                    </w:rPr>
                    <w:t>9-S59</w:t>
                  </w:r>
                </w:p>
              </w:tc>
              <w:tc>
                <w:tcPr>
                  <w:tcW w:w="514" w:type="pct"/>
                  <w:tcBorders>
                    <w:tl2br w:val="nil"/>
                    <w:tr2bl w:val="nil"/>
                  </w:tcBorders>
                  <w:shd w:val="clear" w:color="auto" w:fill="auto"/>
                  <w:noWrap/>
                  <w:vAlign w:val="center"/>
                </w:tcPr>
                <w:p>
                  <w:pPr>
                    <w:pStyle w:val="24"/>
                    <w:rPr>
                      <w:rFonts w:hint="eastAsia"/>
                      <w:u w:val="single"/>
                    </w:rPr>
                  </w:pPr>
                  <w:r>
                    <w:rPr>
                      <w:rFonts w:hint="eastAsia"/>
                      <w:u w:val="single"/>
                    </w:rPr>
                    <w:t>固态</w:t>
                  </w:r>
                </w:p>
              </w:tc>
              <w:tc>
                <w:tcPr>
                  <w:tcW w:w="642"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lang w:val="en-US" w:eastAsia="zh-CN"/>
                    </w:rPr>
                    <w:t>0.26</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rFonts w:hint="eastAsia"/>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rFonts w:hint="eastAsia"/>
                      <w:u w:val="single"/>
                    </w:rPr>
                  </w:pPr>
                  <w:r>
                    <w:rPr>
                      <w:rFonts w:hint="eastAsia"/>
                      <w:u w:val="single"/>
                    </w:rPr>
                    <w:t>生物质热风炉燃烧炉渣</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default"/>
                      <w:u w:val="single"/>
                      <w:lang w:val="en-US" w:eastAsia="zh-CN"/>
                    </w:rPr>
                  </w:pPr>
                  <w:r>
                    <w:rPr>
                      <w:rFonts w:hint="eastAsia"/>
                      <w:u w:val="single"/>
                      <w:lang w:val="en-US" w:eastAsia="zh-CN"/>
                    </w:rPr>
                    <w:t>SW03</w:t>
                  </w:r>
                </w:p>
              </w:tc>
              <w:tc>
                <w:tcPr>
                  <w:tcW w:w="872"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rPr>
                    <w:t>900-0</w:t>
                  </w:r>
                  <w:r>
                    <w:rPr>
                      <w:rFonts w:hint="eastAsia"/>
                      <w:u w:val="single"/>
                      <w:lang w:val="en-US" w:eastAsia="zh-CN"/>
                    </w:rPr>
                    <w:t>9</w:t>
                  </w:r>
                  <w:r>
                    <w:rPr>
                      <w:rFonts w:hint="eastAsia"/>
                      <w:u w:val="single"/>
                    </w:rPr>
                    <w:t>9-S</w:t>
                  </w:r>
                  <w:r>
                    <w:rPr>
                      <w:rFonts w:hint="eastAsia"/>
                      <w:u w:val="single"/>
                      <w:lang w:val="en-US" w:eastAsia="zh-CN"/>
                    </w:rPr>
                    <w:t>03</w:t>
                  </w:r>
                </w:p>
              </w:tc>
              <w:tc>
                <w:tcPr>
                  <w:tcW w:w="514" w:type="pct"/>
                  <w:tcBorders>
                    <w:tl2br w:val="nil"/>
                    <w:tr2bl w:val="nil"/>
                  </w:tcBorders>
                  <w:shd w:val="clear" w:color="auto" w:fill="auto"/>
                  <w:noWrap/>
                  <w:vAlign w:val="center"/>
                </w:tcPr>
                <w:p>
                  <w:pPr>
                    <w:pStyle w:val="24"/>
                    <w:rPr>
                      <w:rFonts w:hint="eastAsia"/>
                      <w:u w:val="single"/>
                    </w:rPr>
                  </w:pPr>
                  <w:r>
                    <w:rPr>
                      <w:rFonts w:hint="eastAsia"/>
                      <w:u w:val="single"/>
                    </w:rPr>
                    <w:t>固态</w:t>
                  </w:r>
                </w:p>
              </w:tc>
              <w:tc>
                <w:tcPr>
                  <w:tcW w:w="642"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lang w:val="en-US" w:eastAsia="zh-CN"/>
                    </w:rPr>
                    <w:t>50</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rFonts w:hint="eastAsia"/>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更换的布袋</w:t>
                  </w:r>
                </w:p>
              </w:tc>
              <w:tc>
                <w:tcPr>
                  <w:tcW w:w="312" w:type="pct"/>
                  <w:vMerge w:val="continue"/>
                  <w:tcBorders>
                    <w:tl2br w:val="nil"/>
                    <w:tr2bl w:val="nil"/>
                  </w:tcBorders>
                  <w:shd w:val="clear" w:color="auto" w:fill="auto"/>
                  <w:noWrap/>
                  <w:vAlign w:val="center"/>
                </w:tcPr>
                <w:p>
                  <w:pPr>
                    <w:pStyle w:val="24"/>
                    <w:ind w:firstLine="0" w:firstLineChars="0"/>
                    <w:rPr>
                      <w:rFonts w:ascii="Times New Roman" w:hAnsi="Times New Roman" w:eastAsia="宋体" w:cs="Times New Roman"/>
                      <w:kern w:val="0"/>
                      <w:sz w:val="21"/>
                      <w:szCs w:val="20"/>
                      <w:u w:val="single"/>
                      <w:lang w:val="en-US" w:eastAsia="zh-CN" w:bidi="ar-SA"/>
                    </w:rPr>
                  </w:pPr>
                </w:p>
              </w:tc>
              <w:tc>
                <w:tcPr>
                  <w:tcW w:w="569"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SW59</w:t>
                  </w:r>
                </w:p>
              </w:tc>
              <w:tc>
                <w:tcPr>
                  <w:tcW w:w="872"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900-009-S59</w:t>
                  </w:r>
                </w:p>
              </w:tc>
              <w:tc>
                <w:tcPr>
                  <w:tcW w:w="514"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固态</w:t>
                  </w:r>
                </w:p>
              </w:tc>
              <w:tc>
                <w:tcPr>
                  <w:tcW w:w="642"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0.02</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restar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rPr>
                    <w:t>定期委托有处理能力的单位处置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废滤芯</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SW59</w:t>
                  </w:r>
                </w:p>
              </w:tc>
              <w:tc>
                <w:tcPr>
                  <w:tcW w:w="87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900-009-S59</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0.03</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含油手套抹布</w:t>
                  </w:r>
                </w:p>
              </w:tc>
              <w:tc>
                <w:tcPr>
                  <w:tcW w:w="312" w:type="pct"/>
                  <w:vMerge w:val="restart"/>
                  <w:tcBorders>
                    <w:tl2br w:val="nil"/>
                    <w:tr2bl w:val="nil"/>
                  </w:tcBorders>
                  <w:shd w:val="clear" w:color="auto" w:fill="auto"/>
                  <w:noWrap/>
                  <w:vAlign w:val="center"/>
                </w:tcPr>
                <w:p>
                  <w:pPr>
                    <w:pStyle w:val="24"/>
                    <w:rPr>
                      <w:u w:val="single"/>
                    </w:rPr>
                  </w:pPr>
                  <w:r>
                    <w:rPr>
                      <w:rFonts w:hint="eastAsia"/>
                      <w:u w:val="single"/>
                    </w:rPr>
                    <w:t>危险废物</w:t>
                  </w: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HW49</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900-041-49</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0.02</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restart"/>
                  <w:tcBorders>
                    <w:tl2br w:val="nil"/>
                    <w:tr2bl w:val="nil"/>
                  </w:tcBorders>
                  <w:shd w:val="clear" w:color="auto" w:fill="auto"/>
                  <w:noWrap/>
                  <w:vAlign w:val="center"/>
                </w:tcPr>
                <w:p>
                  <w:pPr>
                    <w:pStyle w:val="24"/>
                    <w:rPr>
                      <w:u w:val="single"/>
                    </w:rPr>
                  </w:pPr>
                  <w:r>
                    <w:rPr>
                      <w:rFonts w:hint="eastAsia"/>
                      <w:u w:val="single"/>
                    </w:rPr>
                    <w:t>危险废物暂存间暂存，定期委托有资质单位处理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废化学品包装</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HW49</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900-041-49</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0.2</w:t>
                  </w:r>
                </w:p>
              </w:tc>
              <w:tc>
                <w:tcPr>
                  <w:tcW w:w="468"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袋装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废机油</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HW08</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900-214-08</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0.5</w:t>
                  </w:r>
                </w:p>
              </w:tc>
              <w:tc>
                <w:tcPr>
                  <w:tcW w:w="468" w:type="pct"/>
                  <w:tcBorders>
                    <w:tl2br w:val="nil"/>
                    <w:tr2bl w:val="nil"/>
                  </w:tcBorders>
                  <w:shd w:val="clear" w:color="auto" w:fill="auto"/>
                  <w:noWrap/>
                  <w:vAlign w:val="center"/>
                </w:tcPr>
                <w:p>
                  <w:pPr>
                    <w:pStyle w:val="24"/>
                    <w:ind w:firstLine="0" w:firstLineChars="0"/>
                    <w:rPr>
                      <w:rFonts w:hint="default" w:ascii="Times New Roman" w:hAnsi="Times New Roman" w:eastAsia="宋体" w:cs="Times New Roman"/>
                      <w:kern w:val="0"/>
                      <w:sz w:val="21"/>
                      <w:szCs w:val="20"/>
                      <w:u w:val="single"/>
                      <w:lang w:val="en-US" w:eastAsia="zh-CN" w:bidi="ar-SA"/>
                    </w:rPr>
                  </w:pPr>
                  <w:r>
                    <w:rPr>
                      <w:rFonts w:hint="eastAsia" w:cs="Times New Roman"/>
                      <w:kern w:val="0"/>
                      <w:sz w:val="21"/>
                      <w:szCs w:val="20"/>
                      <w:u w:val="single"/>
                      <w:lang w:val="en-US" w:eastAsia="zh-CN" w:bidi="ar-SA"/>
                    </w:rPr>
                    <w:t>桶装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lang w:val="en-US" w:eastAsia="zh-CN"/>
                    </w:rPr>
                    <w:t>废液压油</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HW08</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900-218-08</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0.5</w:t>
                  </w:r>
                </w:p>
              </w:tc>
              <w:tc>
                <w:tcPr>
                  <w:tcW w:w="468" w:type="pct"/>
                  <w:tcBorders>
                    <w:tl2br w:val="nil"/>
                    <w:tr2bl w:val="nil"/>
                  </w:tcBorders>
                  <w:shd w:val="clear" w:color="auto" w:fill="auto"/>
                  <w:noWrap/>
                  <w:vAlign w:val="center"/>
                </w:tcPr>
                <w:p>
                  <w:pPr>
                    <w:pStyle w:val="24"/>
                    <w:rPr>
                      <w:u w:val="single"/>
                    </w:rPr>
                  </w:pPr>
                  <w:r>
                    <w:rPr>
                      <w:rFonts w:hint="eastAsia" w:cs="Times New Roman"/>
                      <w:kern w:val="0"/>
                      <w:sz w:val="21"/>
                      <w:szCs w:val="20"/>
                      <w:u w:val="single"/>
                      <w:lang w:val="en-US" w:eastAsia="zh-CN" w:bidi="ar-SA"/>
                    </w:rPr>
                    <w:t>桶装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u w:val="single"/>
                    </w:rPr>
                  </w:pPr>
                  <w:r>
                    <w:rPr>
                      <w:rFonts w:hint="eastAsia"/>
                      <w:u w:val="single"/>
                    </w:rPr>
                    <w:t>废槽渣</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HW17</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336-064-17</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0.1</w:t>
                  </w:r>
                </w:p>
              </w:tc>
              <w:tc>
                <w:tcPr>
                  <w:tcW w:w="468" w:type="pct"/>
                  <w:tcBorders>
                    <w:tl2br w:val="nil"/>
                    <w:tr2bl w:val="nil"/>
                  </w:tcBorders>
                  <w:shd w:val="clear" w:color="auto" w:fill="auto"/>
                  <w:noWrap/>
                  <w:vAlign w:val="center"/>
                </w:tcPr>
                <w:p>
                  <w:pPr>
                    <w:pStyle w:val="24"/>
                    <w:rPr>
                      <w:u w:val="single"/>
                    </w:rPr>
                  </w:pPr>
                  <w:r>
                    <w:rPr>
                      <w:rFonts w:hint="eastAsia" w:cs="Times New Roman"/>
                      <w:kern w:val="0"/>
                      <w:sz w:val="21"/>
                      <w:szCs w:val="20"/>
                      <w:u w:val="single"/>
                      <w:lang w:val="en-US" w:eastAsia="zh-CN" w:bidi="ar-SA"/>
                    </w:rPr>
                    <w:t>桶装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污泥</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HW17</w:t>
                  </w:r>
                </w:p>
              </w:tc>
              <w:tc>
                <w:tcPr>
                  <w:tcW w:w="872" w:type="pct"/>
                  <w:tcBorders>
                    <w:tl2br w:val="nil"/>
                    <w:tr2bl w:val="nil"/>
                  </w:tcBorders>
                  <w:shd w:val="clear" w:color="auto" w:fill="auto"/>
                  <w:noWrap/>
                  <w:vAlign w:val="center"/>
                </w:tcPr>
                <w:p>
                  <w:pPr>
                    <w:pStyle w:val="24"/>
                    <w:rPr>
                      <w:rFonts w:hint="default"/>
                      <w:u w:val="single"/>
                      <w:lang w:val="en-US" w:eastAsia="zh-CN"/>
                    </w:rPr>
                  </w:pPr>
                  <w:r>
                    <w:rPr>
                      <w:rFonts w:hint="default"/>
                      <w:u w:val="single"/>
                      <w:lang w:val="en-US" w:eastAsia="zh-CN"/>
                    </w:rPr>
                    <w:t>336-064-17</w:t>
                  </w:r>
                </w:p>
              </w:tc>
              <w:tc>
                <w:tcPr>
                  <w:tcW w:w="514" w:type="pct"/>
                  <w:tcBorders>
                    <w:tl2br w:val="nil"/>
                    <w:tr2bl w:val="nil"/>
                  </w:tcBorders>
                  <w:shd w:val="clear" w:color="auto" w:fill="auto"/>
                  <w:noWrap/>
                  <w:vAlign w:val="center"/>
                </w:tcPr>
                <w:p>
                  <w:pPr>
                    <w:pStyle w:val="24"/>
                    <w:rPr>
                      <w:rFonts w:hint="eastAsia"/>
                      <w:u w:val="single"/>
                      <w:lang w:val="en-US" w:eastAsia="zh-CN"/>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default"/>
                      <w:u w:val="single"/>
                      <w:lang w:val="en-US" w:eastAsia="zh-CN"/>
                    </w:rPr>
                  </w:pPr>
                  <w:r>
                    <w:rPr>
                      <w:rFonts w:hint="eastAsia"/>
                      <w:u w:val="single"/>
                      <w:lang w:val="en-US" w:eastAsia="zh-CN"/>
                    </w:rPr>
                    <w:t>3.2</w:t>
                  </w:r>
                </w:p>
              </w:tc>
              <w:tc>
                <w:tcPr>
                  <w:tcW w:w="468" w:type="pct"/>
                  <w:tcBorders>
                    <w:tl2br w:val="nil"/>
                    <w:tr2bl w:val="nil"/>
                  </w:tcBorders>
                  <w:shd w:val="clear" w:color="auto" w:fill="auto"/>
                  <w:noWrap/>
                  <w:vAlign w:val="center"/>
                </w:tcPr>
                <w:p>
                  <w:pPr>
                    <w:pStyle w:val="24"/>
                    <w:rPr>
                      <w:u w:val="single"/>
                    </w:rPr>
                  </w:pPr>
                  <w:r>
                    <w:rPr>
                      <w:rFonts w:hint="eastAsia" w:cs="Times New Roman"/>
                      <w:kern w:val="0"/>
                      <w:sz w:val="21"/>
                      <w:szCs w:val="20"/>
                      <w:u w:val="single"/>
                      <w:lang w:val="en-US" w:eastAsia="zh-CN" w:bidi="ar-SA"/>
                    </w:rPr>
                    <w:t>桶装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rPr>
                      <w:rFonts w:hint="default"/>
                      <w:u w:val="single"/>
                      <w:lang w:val="en-US" w:eastAsia="zh-CN"/>
                    </w:rPr>
                  </w:pPr>
                  <w:r>
                    <w:rPr>
                      <w:rFonts w:hint="eastAsia"/>
                      <w:u w:val="single"/>
                      <w:lang w:val="en-US" w:eastAsia="zh-CN"/>
                    </w:rPr>
                    <w:t>废槽液</w:t>
                  </w:r>
                </w:p>
              </w:tc>
              <w:tc>
                <w:tcPr>
                  <w:tcW w:w="312" w:type="pct"/>
                  <w:vMerge w:val="continue"/>
                  <w:tcBorders>
                    <w:tl2br w:val="nil"/>
                    <w:tr2bl w:val="nil"/>
                  </w:tcBorders>
                  <w:shd w:val="clear" w:color="auto" w:fill="auto"/>
                  <w:noWrap/>
                  <w:vAlign w:val="center"/>
                </w:tcPr>
                <w:p>
                  <w:pPr>
                    <w:pStyle w:val="24"/>
                    <w:rPr>
                      <w:u w:val="single"/>
                    </w:rPr>
                  </w:pPr>
                </w:p>
              </w:tc>
              <w:tc>
                <w:tcPr>
                  <w:tcW w:w="569"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HW17</w:t>
                  </w:r>
                </w:p>
              </w:tc>
              <w:tc>
                <w:tcPr>
                  <w:tcW w:w="872" w:type="pct"/>
                  <w:tcBorders>
                    <w:tl2br w:val="nil"/>
                    <w:tr2bl w:val="nil"/>
                  </w:tcBorders>
                  <w:shd w:val="clear" w:color="auto" w:fill="auto"/>
                  <w:noWrap/>
                  <w:vAlign w:val="center"/>
                </w:tcPr>
                <w:p>
                  <w:pPr>
                    <w:pStyle w:val="24"/>
                    <w:ind w:firstLine="0" w:firstLineChars="0"/>
                    <w:rPr>
                      <w:rFonts w:hint="default" w:ascii="Times New Roman" w:hAnsi="Times New Roman" w:eastAsia="宋体" w:cs="Times New Roman"/>
                      <w:kern w:val="0"/>
                      <w:sz w:val="21"/>
                      <w:szCs w:val="20"/>
                      <w:u w:val="single"/>
                      <w:lang w:val="en-US" w:eastAsia="zh-CN" w:bidi="ar-SA"/>
                    </w:rPr>
                  </w:pPr>
                  <w:r>
                    <w:rPr>
                      <w:rFonts w:hint="default"/>
                      <w:u w:val="single"/>
                      <w:lang w:val="en-US" w:eastAsia="zh-CN"/>
                    </w:rPr>
                    <w:t>336-064-17</w:t>
                  </w:r>
                </w:p>
              </w:tc>
              <w:tc>
                <w:tcPr>
                  <w:tcW w:w="514" w:type="pct"/>
                  <w:tcBorders>
                    <w:tl2br w:val="nil"/>
                    <w:tr2bl w:val="nil"/>
                  </w:tcBorders>
                  <w:shd w:val="clear" w:color="auto" w:fill="auto"/>
                  <w:noWrap/>
                  <w:vAlign w:val="center"/>
                </w:tcPr>
                <w:p>
                  <w:pPr>
                    <w:pStyle w:val="24"/>
                    <w:ind w:firstLine="0" w:firstLineChars="0"/>
                    <w:rPr>
                      <w:rFonts w:hint="eastAsia" w:ascii="Times New Roman" w:hAnsi="Times New Roman" w:eastAsia="宋体" w:cs="Times New Roman"/>
                      <w:kern w:val="0"/>
                      <w:sz w:val="21"/>
                      <w:szCs w:val="20"/>
                      <w:u w:val="single"/>
                      <w:lang w:val="en-US" w:eastAsia="zh-CN" w:bidi="ar-SA"/>
                    </w:rPr>
                  </w:pPr>
                  <w:r>
                    <w:rPr>
                      <w:rFonts w:hint="eastAsia"/>
                      <w:u w:val="single"/>
                      <w:lang w:val="en-US" w:eastAsia="zh-CN"/>
                    </w:rPr>
                    <w:t>固态</w:t>
                  </w:r>
                </w:p>
              </w:tc>
              <w:tc>
                <w:tcPr>
                  <w:tcW w:w="642" w:type="pct"/>
                  <w:tcBorders>
                    <w:tl2br w:val="nil"/>
                    <w:tr2bl w:val="nil"/>
                  </w:tcBorders>
                  <w:shd w:val="clear" w:color="auto" w:fill="auto"/>
                  <w:noWrap/>
                  <w:vAlign w:val="center"/>
                </w:tcPr>
                <w:p>
                  <w:pPr>
                    <w:pStyle w:val="24"/>
                    <w:rPr>
                      <w:rFonts w:hint="default"/>
                      <w:u w:val="single"/>
                      <w:lang w:val="en-US" w:eastAsia="zh-CN"/>
                    </w:rPr>
                  </w:pPr>
                  <w:r>
                    <w:rPr>
                      <w:rFonts w:hint="eastAsia"/>
                      <w:u w:val="single"/>
                      <w:lang w:val="en-US" w:eastAsia="zh-CN"/>
                    </w:rPr>
                    <w:t>151.5</w:t>
                  </w:r>
                </w:p>
              </w:tc>
              <w:tc>
                <w:tcPr>
                  <w:tcW w:w="468" w:type="pct"/>
                  <w:tcBorders>
                    <w:tl2br w:val="nil"/>
                    <w:tr2bl w:val="nil"/>
                  </w:tcBorders>
                  <w:shd w:val="clear" w:color="auto" w:fill="auto"/>
                  <w:noWrap/>
                  <w:vAlign w:val="center"/>
                </w:tcPr>
                <w:p>
                  <w:pPr>
                    <w:pStyle w:val="24"/>
                    <w:rPr>
                      <w:u w:val="single"/>
                    </w:rPr>
                  </w:pPr>
                  <w:r>
                    <w:rPr>
                      <w:rFonts w:hint="eastAsia" w:cs="Times New Roman"/>
                      <w:kern w:val="0"/>
                      <w:sz w:val="21"/>
                      <w:szCs w:val="20"/>
                      <w:u w:val="single"/>
                      <w:lang w:val="en-US" w:eastAsia="zh-CN" w:bidi="ar-SA"/>
                    </w:rPr>
                    <w:t>桶装</w:t>
                  </w:r>
                </w:p>
              </w:tc>
              <w:tc>
                <w:tcPr>
                  <w:tcW w:w="816" w:type="pct"/>
                  <w:vMerge w:val="continue"/>
                  <w:tcBorders>
                    <w:tl2br w:val="nil"/>
                    <w:tr2bl w:val="nil"/>
                  </w:tcBorders>
                  <w:shd w:val="clear" w:color="auto" w:fill="auto"/>
                  <w:noWrap/>
                  <w:vAlign w:val="center"/>
                </w:tcPr>
                <w:p>
                  <w:pPr>
                    <w:pStyle w:val="24"/>
                    <w:rPr>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tcBorders>
                    <w:tl2br w:val="nil"/>
                    <w:tr2bl w:val="nil"/>
                  </w:tcBorders>
                  <w:shd w:val="clear" w:color="auto" w:fill="auto"/>
                  <w:noWrap/>
                  <w:vAlign w:val="center"/>
                </w:tcPr>
                <w:p>
                  <w:pPr>
                    <w:pStyle w:val="24"/>
                    <w:jc w:val="center"/>
                    <w:rPr>
                      <w:u w:val="single"/>
                    </w:rPr>
                  </w:pPr>
                  <w:r>
                    <w:rPr>
                      <w:rFonts w:hint="eastAsia"/>
                      <w:u w:val="single"/>
                    </w:rPr>
                    <w:t>生活垃圾</w:t>
                  </w:r>
                </w:p>
              </w:tc>
              <w:tc>
                <w:tcPr>
                  <w:tcW w:w="312" w:type="pct"/>
                  <w:tcBorders>
                    <w:tl2br w:val="nil"/>
                    <w:tr2bl w:val="nil"/>
                  </w:tcBorders>
                  <w:shd w:val="clear" w:color="auto" w:fill="auto"/>
                  <w:noWrap/>
                  <w:vAlign w:val="center"/>
                </w:tcPr>
                <w:p>
                  <w:pPr>
                    <w:pStyle w:val="24"/>
                    <w:rPr>
                      <w:u w:val="single"/>
                    </w:rPr>
                  </w:pPr>
                  <w:r>
                    <w:rPr>
                      <w:rFonts w:hint="eastAsia"/>
                      <w:u w:val="single"/>
                    </w:rPr>
                    <w:t>生活垃圾</w:t>
                  </w:r>
                </w:p>
              </w:tc>
              <w:tc>
                <w:tcPr>
                  <w:tcW w:w="569" w:type="pct"/>
                  <w:tcBorders>
                    <w:tl2br w:val="nil"/>
                    <w:tr2bl w:val="nil"/>
                  </w:tcBorders>
                  <w:shd w:val="clear" w:color="auto" w:fill="auto"/>
                  <w:noWrap/>
                  <w:vAlign w:val="center"/>
                </w:tcPr>
                <w:p>
                  <w:pPr>
                    <w:pStyle w:val="24"/>
                    <w:rPr>
                      <w:rFonts w:hint="eastAsia" w:eastAsia="宋体"/>
                      <w:u w:val="single"/>
                      <w:lang w:val="en-US" w:eastAsia="zh-CN"/>
                    </w:rPr>
                  </w:pPr>
                  <w:r>
                    <w:rPr>
                      <w:rFonts w:hint="eastAsia"/>
                      <w:u w:val="single"/>
                      <w:lang w:val="en-US" w:eastAsia="zh-CN"/>
                    </w:rPr>
                    <w:t>/</w:t>
                  </w:r>
                </w:p>
              </w:tc>
              <w:tc>
                <w:tcPr>
                  <w:tcW w:w="872" w:type="pct"/>
                  <w:tcBorders>
                    <w:tl2br w:val="nil"/>
                    <w:tr2bl w:val="nil"/>
                  </w:tcBorders>
                  <w:shd w:val="clear" w:color="auto" w:fill="auto"/>
                  <w:noWrap/>
                  <w:vAlign w:val="center"/>
                </w:tcPr>
                <w:p>
                  <w:pPr>
                    <w:pStyle w:val="24"/>
                    <w:rPr>
                      <w:u w:val="single"/>
                    </w:rPr>
                  </w:pPr>
                  <w:r>
                    <w:rPr>
                      <w:rFonts w:hint="eastAsia"/>
                      <w:u w:val="single"/>
                    </w:rPr>
                    <w:t>/</w:t>
                  </w:r>
                </w:p>
              </w:tc>
              <w:tc>
                <w:tcPr>
                  <w:tcW w:w="514" w:type="pct"/>
                  <w:tcBorders>
                    <w:tl2br w:val="nil"/>
                    <w:tr2bl w:val="nil"/>
                  </w:tcBorders>
                  <w:shd w:val="clear" w:color="auto" w:fill="auto"/>
                  <w:noWrap/>
                  <w:vAlign w:val="center"/>
                </w:tcPr>
                <w:p>
                  <w:pPr>
                    <w:pStyle w:val="24"/>
                    <w:rPr>
                      <w:u w:val="single"/>
                    </w:rPr>
                  </w:pPr>
                  <w:r>
                    <w:rPr>
                      <w:rFonts w:hint="eastAsia"/>
                      <w:u w:val="single"/>
                    </w:rPr>
                    <w:t>固态</w:t>
                  </w:r>
                </w:p>
              </w:tc>
              <w:tc>
                <w:tcPr>
                  <w:tcW w:w="642" w:type="pct"/>
                  <w:tcBorders>
                    <w:tl2br w:val="nil"/>
                    <w:tr2bl w:val="nil"/>
                  </w:tcBorders>
                  <w:shd w:val="clear" w:color="auto" w:fill="auto"/>
                  <w:noWrap/>
                  <w:vAlign w:val="center"/>
                </w:tcPr>
                <w:p>
                  <w:pPr>
                    <w:pStyle w:val="24"/>
                    <w:rPr>
                      <w:u w:val="single"/>
                    </w:rPr>
                  </w:pPr>
                  <w:r>
                    <w:rPr>
                      <w:rFonts w:hint="eastAsia"/>
                      <w:u w:val="single"/>
                    </w:rPr>
                    <w:t>3</w:t>
                  </w:r>
                </w:p>
              </w:tc>
              <w:tc>
                <w:tcPr>
                  <w:tcW w:w="468" w:type="pct"/>
                  <w:tcBorders>
                    <w:tl2br w:val="nil"/>
                    <w:tr2bl w:val="nil"/>
                  </w:tcBorders>
                  <w:shd w:val="clear" w:color="auto" w:fill="auto"/>
                  <w:noWrap/>
                  <w:vAlign w:val="center"/>
                </w:tcPr>
                <w:p>
                  <w:pPr>
                    <w:pStyle w:val="24"/>
                    <w:rPr>
                      <w:rFonts w:hint="default" w:eastAsia="宋体"/>
                      <w:u w:val="single"/>
                      <w:lang w:val="en-US" w:eastAsia="zh-CN"/>
                    </w:rPr>
                  </w:pPr>
                  <w:r>
                    <w:rPr>
                      <w:rFonts w:hint="eastAsia"/>
                      <w:u w:val="single"/>
                      <w:lang w:val="en-US" w:eastAsia="zh-CN"/>
                    </w:rPr>
                    <w:t>/</w:t>
                  </w:r>
                </w:p>
              </w:tc>
              <w:tc>
                <w:tcPr>
                  <w:tcW w:w="816" w:type="pct"/>
                  <w:tcBorders>
                    <w:tl2br w:val="nil"/>
                    <w:tr2bl w:val="nil"/>
                  </w:tcBorders>
                  <w:shd w:val="clear" w:color="auto" w:fill="auto"/>
                  <w:noWrap/>
                  <w:vAlign w:val="center"/>
                </w:tcPr>
                <w:p>
                  <w:pPr>
                    <w:pStyle w:val="24"/>
                    <w:rPr>
                      <w:u w:val="single"/>
                    </w:rPr>
                  </w:pPr>
                  <w:r>
                    <w:rPr>
                      <w:rFonts w:hint="eastAsia"/>
                      <w:u w:val="single"/>
                    </w:rPr>
                    <w:t>经统一收集后交由环卫部门每日清运</w:t>
                  </w:r>
                </w:p>
              </w:tc>
            </w:tr>
          </w:tbl>
          <w:p>
            <w:pPr>
              <w:pStyle w:val="3"/>
              <w:ind w:firstLine="482"/>
            </w:pPr>
            <w:r>
              <w:rPr>
                <w:rFonts w:hint="eastAsia"/>
              </w:rPr>
              <w:t>2）固体废物环境管理要求</w:t>
            </w:r>
          </w:p>
          <w:p>
            <w:pPr>
              <w:ind w:firstLine="480"/>
            </w:pPr>
            <w:r>
              <w:rPr>
                <w:rFonts w:hint="eastAsia"/>
              </w:rPr>
              <w:t>本环评建议企业严格按照《中华人民共和国固体废物污染环境防治法（2020年修订）》、《一般工业固体废物贮存和填埋污染控制标准》（GB 18599-2020）、《危险废物贮存污染控制标准》（GB 18597-2023）等要求，对生活垃圾、一般工业固体废物和危险废物进行分类收集暂存后再进行处置。</w:t>
            </w:r>
          </w:p>
          <w:p>
            <w:pPr>
              <w:ind w:firstLine="480"/>
            </w:pPr>
            <w:r>
              <w:rPr>
                <w:rFonts w:hint="eastAsia"/>
              </w:rPr>
              <w:t>根据《中华人民共和国固体废物污染环境防治法》规定，企业应制定危险废物管理计划，内容包括减少危险废物产生量和危害性的措施以及危险废物贮存、利用、处置措施。企业可用专门的密闭容器收集危险废物，并严格按照《危险废物贮存污染控制标准》（GB 18597-2023）中有关要求做好收集、贮存工作，要有固定的专门存放场地。对危险废物管理要向环境保护主管部门进行申报，并建立台账管理制度。危险废物贮存必须采取符合国家环境保护标准的防护措施，并不得超过1年。危险废物应及时由有资质单位进行安全处置。企业要同接受处置单位签订协议，并严格遵守危险废物联单转移制度。</w:t>
            </w:r>
          </w:p>
          <w:p>
            <w:pPr>
              <w:ind w:firstLine="480"/>
            </w:pPr>
            <w:r>
              <w:rPr>
                <w:rFonts w:hint="eastAsia"/>
              </w:rPr>
              <w:t>根据《排污许可证申请与核发技术规范 工业固体废物（试行）》（HJ1200-2021）中相关要求，排污单位应按照《中华人民共和国固体废物污染环境防治法》等相关法律法规要求，对工业固体废物采用防扬散、防流失、防泄漏或者其他防止污染环境的措施，不得擅自倾倒、堆放、丢弃、遗撒工业固体废物。污染防控技术应符合排污单位适用的污染物排放标准、污染控制标准、污染防治可行技术等相关标准和管理文件要求。</w:t>
            </w:r>
          </w:p>
          <w:p>
            <w:pPr>
              <w:ind w:firstLine="480"/>
            </w:pPr>
            <w:r>
              <w:rPr>
                <w:rFonts w:hint="eastAsia"/>
              </w:rPr>
              <w:t>综上所述，项目各类固废在得到有效处理后，不会对周边环境造成明显的不良影响。</w:t>
            </w:r>
          </w:p>
          <w:p>
            <w:pPr>
              <w:ind w:firstLine="480"/>
            </w:pPr>
            <w:r>
              <w:rPr>
                <w:rFonts w:hint="eastAsia"/>
              </w:rPr>
              <w:t>对于项目产生的危险废物，其临时贮存应按照《危险废物贮存污染控制标准》（GB 18597-2023）的相关要求设置该危险废物的临时贮存场所，要求为：</w:t>
            </w:r>
          </w:p>
          <w:p>
            <w:pPr>
              <w:ind w:firstLine="480"/>
            </w:pPr>
            <w:r>
              <w:rPr>
                <w:rFonts w:hint="eastAsia"/>
              </w:rPr>
              <w:t>（1）设置一般固废暂存间1个、危废间1个；</w:t>
            </w:r>
          </w:p>
          <w:p>
            <w:pPr>
              <w:ind w:firstLine="480"/>
            </w:pPr>
            <w:r>
              <w:rPr>
                <w:rFonts w:hint="eastAsia"/>
              </w:rPr>
              <w:t>（2）暂存间地面必须进行防渗处理，防渗层应为至少1米厚的粘土层（渗透系数≤10</w:t>
            </w:r>
            <w:r>
              <w:rPr>
                <w:rFonts w:hint="eastAsia"/>
                <w:vertAlign w:val="superscript"/>
              </w:rPr>
              <w:t>-7</w:t>
            </w:r>
            <w:r>
              <w:rPr>
                <w:rFonts w:hint="eastAsia"/>
              </w:rPr>
              <w:t>厘米/秒），或2毫米厚高密度聚乙烯土工膜，或至少2毫米厚的其它人工防渗材料，渗透系数≤10</w:t>
            </w:r>
            <w:r>
              <w:rPr>
                <w:rFonts w:hint="eastAsia"/>
                <w:vertAlign w:val="superscript"/>
              </w:rPr>
              <w:t>-10</w:t>
            </w:r>
            <w:r>
              <w:rPr>
                <w:rFonts w:hint="eastAsia"/>
              </w:rPr>
              <w:t>厘米/秒；</w:t>
            </w:r>
          </w:p>
          <w:p>
            <w:pPr>
              <w:ind w:firstLine="480"/>
            </w:pPr>
            <w:r>
              <w:rPr>
                <w:rFonts w:hint="eastAsia"/>
              </w:rPr>
              <w:t>（3）暂存间应密闭，以防风、防雨、防晒，外围应设计建造径流疏导系统，以防止降雨形成的地面径流的进入。</w:t>
            </w:r>
          </w:p>
          <w:p>
            <w:pPr>
              <w:pStyle w:val="2"/>
              <w:keepNext/>
              <w:keepLines w:val="0"/>
              <w:pageBreakBefore w:val="0"/>
              <w:widowControl w:val="0"/>
              <w:kinsoku/>
              <w:wordWrap/>
              <w:overflowPunct w:val="0"/>
              <w:topLinePunct w:val="0"/>
              <w:autoSpaceDE/>
              <w:autoSpaceDN/>
              <w:bidi w:val="0"/>
              <w:adjustRightInd/>
              <w:snapToGrid w:val="0"/>
              <w:spacing w:before="0" w:beforeLines="0"/>
              <w:textAlignment w:val="auto"/>
            </w:pPr>
            <w:bookmarkStart w:id="169" w:name="_Toc24873"/>
            <w:bookmarkStart w:id="170" w:name="_Toc17293"/>
            <w:bookmarkStart w:id="171" w:name="_Toc13157"/>
            <w:bookmarkStart w:id="172" w:name="_Toc18833"/>
            <w:r>
              <w:rPr>
                <w:rFonts w:hint="eastAsia"/>
              </w:rPr>
              <w:t>5、地下水及土壤</w:t>
            </w:r>
            <w:bookmarkEnd w:id="169"/>
            <w:bookmarkEnd w:id="170"/>
            <w:bookmarkEnd w:id="171"/>
            <w:bookmarkEnd w:id="172"/>
          </w:p>
          <w:p>
            <w:pPr>
              <w:ind w:firstLine="480"/>
            </w:pPr>
            <w:bookmarkStart w:id="173" w:name="_Toc23467"/>
            <w:r>
              <w:t>本项目在衡阳西渡高新区内船山西路与洪山路交汇处东北角双创中心现有厂房内进行建设，拟建设的一般固废暂存间和危废暂存间都已进行地面硬化、防渗处理。本项目过程不存在地下水、土壤环境污染途径，且项目周边500m无地下水集中式饮用水水源和热水、矿泉水、温泉等特殊地下水保护目标及土壤环境保护目标。因此，项目不会对地下水、土壤环境造成影响。</w:t>
            </w:r>
          </w:p>
          <w:p>
            <w:pPr>
              <w:pStyle w:val="2"/>
              <w:keepNext/>
              <w:keepLines w:val="0"/>
              <w:pageBreakBefore w:val="0"/>
              <w:widowControl w:val="0"/>
              <w:kinsoku/>
              <w:wordWrap/>
              <w:overflowPunct w:val="0"/>
              <w:topLinePunct w:val="0"/>
              <w:autoSpaceDE/>
              <w:autoSpaceDN/>
              <w:bidi w:val="0"/>
              <w:adjustRightInd/>
              <w:snapToGrid w:val="0"/>
              <w:spacing w:before="0" w:beforeLines="0"/>
              <w:textAlignment w:val="auto"/>
            </w:pPr>
            <w:bookmarkStart w:id="174" w:name="_Toc23943"/>
            <w:bookmarkStart w:id="175" w:name="_Toc17375"/>
            <w:bookmarkStart w:id="176" w:name="_Toc20908"/>
            <w:r>
              <w:rPr>
                <w:rFonts w:hint="eastAsia"/>
              </w:rPr>
              <w:t>6、生态环境</w:t>
            </w:r>
            <w:bookmarkEnd w:id="173"/>
            <w:bookmarkEnd w:id="174"/>
            <w:bookmarkEnd w:id="175"/>
            <w:bookmarkEnd w:id="176"/>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根据《建设项目环境影响报告表编制技术指南（污染影响类）》，</w:t>
            </w:r>
            <w:r>
              <w:rPr>
                <w:rFonts w:hint="eastAsia"/>
              </w:rPr>
              <w:t>“</w:t>
            </w:r>
            <w:r>
              <w:t>产业园区外建设项目新增用地且用地范围内含有生态环境保护目标的，应明确保护措施</w:t>
            </w:r>
            <w:r>
              <w:rPr>
                <w:rFonts w:hint="eastAsia"/>
              </w:rPr>
              <w:t>”</w:t>
            </w:r>
            <w:r>
              <w:t>。本项目位于湖南省衡阳市衡阳县西渡高新技术产业园，租赁已建厂房用于生产，用地范围内不含有生态环境保护目标，项目三废经处理后可以达标排放，不会对区域生态环境产生明显影响。因此，本项目不对生态环境影响进行展开分析。</w:t>
            </w:r>
          </w:p>
          <w:p>
            <w:pPr>
              <w:pStyle w:val="2"/>
              <w:spacing w:before="120"/>
            </w:pPr>
            <w:bookmarkStart w:id="177" w:name="_Toc3773"/>
            <w:bookmarkStart w:id="178" w:name="_Toc20710"/>
            <w:bookmarkStart w:id="179" w:name="_Toc21759"/>
            <w:bookmarkStart w:id="180" w:name="_Toc1273"/>
            <w:r>
              <w:rPr>
                <w:rFonts w:hint="eastAsia"/>
              </w:rPr>
              <w:t>7、环境风险</w:t>
            </w:r>
            <w:bookmarkEnd w:id="177"/>
            <w:bookmarkEnd w:id="178"/>
            <w:bookmarkEnd w:id="179"/>
            <w:bookmarkEnd w:id="180"/>
          </w:p>
          <w:p>
            <w:pPr>
              <w:ind w:firstLine="480"/>
            </w:pPr>
            <w:r>
              <w:t>根据《建设项目环境风险评价技术导则》（HJ 169-2018）、《企业突发环境事件风险分级方法》（HJ 941-2018）、《危险化学品重大危险源辨识》（GB 18218-2018）、《危险化学品目录》（2022调整版）涉及有毒有害和易燃易爆危险物质生产、使用、储存的可能发生突发性事故（不包括人为破坏及自然灾害引发的事故）的建设项目应进行环境风险评价。</w:t>
            </w:r>
          </w:p>
          <w:p>
            <w:pPr>
              <w:pStyle w:val="3"/>
              <w:ind w:firstLine="482"/>
            </w:pPr>
            <w:r>
              <w:rPr>
                <w:rFonts w:hint="eastAsia"/>
              </w:rPr>
              <w:t>1）评价依据</w:t>
            </w:r>
          </w:p>
          <w:p>
            <w:pPr>
              <w:pStyle w:val="4"/>
              <w:ind w:firstLine="482"/>
            </w:pPr>
            <w:r>
              <w:rPr>
                <w:rFonts w:hint="eastAsia"/>
              </w:rPr>
              <w:t>（1）风险调查</w:t>
            </w:r>
          </w:p>
          <w:p>
            <w:pPr>
              <w:ind w:firstLine="480"/>
            </w:pPr>
            <w:r>
              <w:t>根据生态环境部办公厅2020年12月24日印发的《建设项目环境影响报告表编制技术指南（污染影响类）（试行）》中具体编制要求</w:t>
            </w:r>
            <w:r>
              <w:rPr>
                <w:rFonts w:hint="eastAsia"/>
              </w:rPr>
              <w:t>“</w:t>
            </w:r>
            <w:r>
              <w:t>明确有毒有害和易燃易爆等风险物质和风险源分布及可能影响途径，并提出相应环境风险防范措施</w:t>
            </w:r>
            <w:r>
              <w:rPr>
                <w:rFonts w:hint="eastAsia"/>
              </w:rPr>
              <w:t>”</w:t>
            </w:r>
            <w:r>
              <w:t>。</w:t>
            </w:r>
            <w:r>
              <w:rPr>
                <w:rFonts w:hint="eastAsia"/>
              </w:rPr>
              <w:t>通过对项目生产过程中的原辅材料进行分析，参考</w:t>
            </w:r>
            <w:r>
              <w:t>《建设项目环境风险评价技术导则》（HJ 169</w:t>
            </w:r>
            <w:r>
              <w:rPr>
                <w:rFonts w:hint="eastAsia"/>
              </w:rPr>
              <w:t>-</w:t>
            </w:r>
            <w:r>
              <w:t>2018）</w:t>
            </w:r>
            <w:r>
              <w:rPr>
                <w:rFonts w:hint="eastAsia"/>
              </w:rPr>
              <w:t>，本项目的原辅材料除油剂、表调剂、促进剂、磷化液、除油粉、</w:t>
            </w:r>
            <w:r>
              <w:rPr>
                <w:rFonts w:hint="eastAsia"/>
                <w:lang w:val="en-US" w:eastAsia="zh-CN"/>
              </w:rPr>
              <w:t>酸洗剂、</w:t>
            </w:r>
            <w:r>
              <w:rPr>
                <w:rFonts w:hint="eastAsia"/>
              </w:rPr>
              <w:t>机油等属于突发环境事件风险物质。</w:t>
            </w:r>
          </w:p>
          <w:p>
            <w:pPr>
              <w:ind w:firstLine="482"/>
              <w:rPr>
                <w:rStyle w:val="38"/>
              </w:rPr>
            </w:pPr>
            <w:r>
              <w:rPr>
                <w:rStyle w:val="38"/>
                <w:rFonts w:hint="eastAsia"/>
              </w:rPr>
              <w:t>（2）风险潜势初判</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根据《建设项目环境风险评价技术导则》（HJ 169</w:t>
            </w:r>
            <w:r>
              <w:rPr>
                <w:rFonts w:hint="eastAsia"/>
              </w:rPr>
              <w:t>-</w:t>
            </w:r>
            <w:r>
              <w:t>2018）附录C，计算所涉及的每种危险物质在厂界内的最大存在总量与其在附录B中对应临界量的比值Q。</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当只涉及一种危险物质时，计算该物质的总量与其临界量比值，即为Q；</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当存在多种危险物质时，则按</w:t>
            </w:r>
            <w:r>
              <w:rPr>
                <w:rFonts w:hint="eastAsia"/>
              </w:rPr>
              <w:t>以下公式</w:t>
            </w:r>
            <w:r>
              <w:t>计算物质总量与其临界量比值（Q）：</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m:oMathPara>
              <m:oMath>
                <m:r>
                  <m:rPr>
                    <m:sty m:val="p"/>
                  </m:rPr>
                  <w:rPr>
                    <w:rFonts w:hint="eastAsia" w:ascii="Cambria Math" w:hAnsi="Cambria Math"/>
                  </w:rPr>
                  <m:t>Q</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1</m:t>
                        </m:r>
                        <m:ctrlPr>
                          <w:rPr>
                            <w:rFonts w:ascii="Cambria Math" w:hAnsi="Cambria Math"/>
                          </w:rPr>
                        </m:ctrlPr>
                      </m:sub>
                    </m:sSub>
                    <m:ctrlPr>
                      <w:rPr>
                        <w:rFonts w:ascii="Cambria Math" w:hAnsi="Cambria Math"/>
                      </w:rPr>
                    </m:ctrlPr>
                  </m:num>
                  <m:den>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1</m:t>
                        </m:r>
                        <m:ctrlPr>
                          <w:rPr>
                            <w:rFonts w:ascii="Cambria Math" w:hAnsi="Cambria Math"/>
                          </w:rPr>
                        </m:ctrlPr>
                      </m:sub>
                    </m:sSub>
                    <m:ctrlPr>
                      <w:rPr>
                        <w:rFonts w:ascii="Cambria Math" w:hAnsi="Cambria Math"/>
                      </w:rPr>
                    </m:ctrlP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2</m:t>
                        </m:r>
                        <m:ctrlPr>
                          <w:rPr>
                            <w:rFonts w:ascii="Cambria Math" w:hAnsi="Cambria Math"/>
                          </w:rPr>
                        </m:ctrlPr>
                      </m:sub>
                    </m:sSub>
                    <m:ctrlPr>
                      <w:rPr>
                        <w:rFonts w:ascii="Cambria Math" w:hAnsi="Cambria Math"/>
                      </w:rPr>
                    </m:ctrlPr>
                  </m:num>
                  <m:den>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2</m:t>
                        </m:r>
                        <m:ctrlPr>
                          <w:rPr>
                            <w:rFonts w:ascii="Cambria Math" w:hAnsi="Cambria Math"/>
                          </w:rPr>
                        </m:ctrlPr>
                      </m:sub>
                    </m:sSub>
                    <m:ctrlPr>
                      <w:rPr>
                        <w:rFonts w:ascii="Cambria Math" w:hAnsi="Cambria Math"/>
                      </w:rPr>
                    </m:ctrlP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n</m:t>
                        </m:r>
                        <m:ctrlPr>
                          <w:rPr>
                            <w:rFonts w:ascii="Cambria Math" w:hAnsi="Cambria Math"/>
                          </w:rPr>
                        </m:ctrlPr>
                      </m:sub>
                    </m:sSub>
                    <m:ctrlPr>
                      <w:rPr>
                        <w:rFonts w:ascii="Cambria Math" w:hAnsi="Cambria Math"/>
                      </w:rPr>
                    </m:ctrlPr>
                  </m:num>
                  <m:den>
                    <m:sSub>
                      <m:sSubPr>
                        <m:ctrlPr>
                          <w:rPr>
                            <w:rFonts w:ascii="Cambria Math" w:hAnsi="Cambria Math"/>
                          </w:rPr>
                        </m:ctrlPr>
                      </m:sSubPr>
                      <m:e>
                        <m:r>
                          <m:rPr>
                            <m:sty m:val="p"/>
                          </m:rPr>
                          <w:rPr>
                            <w:rFonts w:ascii="Cambria Math" w:hAnsi="Cambria Math"/>
                          </w:rPr>
                          <m:t>Q</m:t>
                        </m:r>
                        <m:ctrlPr>
                          <w:rPr>
                            <w:rFonts w:ascii="Cambria Math" w:hAnsi="Cambria Math"/>
                          </w:rPr>
                        </m:ctrlPr>
                      </m:e>
                      <m:sub>
                        <m:r>
                          <m:rPr>
                            <m:sty m:val="p"/>
                          </m:rPr>
                          <w:rPr>
                            <w:rFonts w:ascii="Cambria Math" w:hAnsi="Cambria Math"/>
                          </w:rPr>
                          <m:t>n</m:t>
                        </m:r>
                        <m:ctrlPr>
                          <w:rPr>
                            <w:rFonts w:ascii="Cambria Math" w:hAnsi="Cambria Math"/>
                          </w:rPr>
                        </m:ctrlPr>
                      </m:sub>
                    </m:sSub>
                    <m:ctrlPr>
                      <w:rPr>
                        <w:rFonts w:ascii="Cambria Math" w:hAnsi="Cambria Math"/>
                      </w:rPr>
                    </m:ctrlPr>
                  </m:den>
                </m:f>
              </m:oMath>
            </m:oMathPara>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式中：</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1</m:t>
                  </m:r>
                  <m:ctrlPr>
                    <w:rPr>
                      <w:rFonts w:ascii="Cambria Math" w:hAnsi="Cambria Math"/>
                      <w:i/>
                    </w:rPr>
                  </m:ctrlPr>
                </m:sub>
              </m:sSub>
            </m:oMath>
            <w: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2</m:t>
                  </m:r>
                  <m:ctrlPr>
                    <w:rPr>
                      <w:rFonts w:ascii="Cambria Math" w:hAnsi="Cambria Math"/>
                      <w:i/>
                    </w:rPr>
                  </m:ctrlPr>
                </m:sub>
              </m:sSub>
            </m:oMath>
            <w: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3</m:t>
                  </m:r>
                  <m:ctrlPr>
                    <w:rPr>
                      <w:rFonts w:ascii="Cambria Math" w:hAnsi="Cambria Math"/>
                      <w:i/>
                    </w:rPr>
                  </m:ctrlPr>
                </m:sub>
              </m:sSub>
            </m:oMath>
            <w:r>
              <w:rPr>
                <w:rFonts w:hint="eastAsia"/>
              </w:rP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n</m:t>
                  </m:r>
                  <m:ctrlPr>
                    <w:rPr>
                      <w:rFonts w:ascii="Cambria Math" w:hAnsi="Cambria Math"/>
                      <w:i/>
                    </w:rPr>
                  </m:ctrlPr>
                </m:sub>
              </m:sSub>
            </m:oMath>
            <w:r>
              <w:t>——每种危险物质的最大存在量，t；</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1</m:t>
                  </m:r>
                  <m:ctrlPr>
                    <w:rPr>
                      <w:rFonts w:ascii="Cambria Math" w:hAnsi="Cambria Math"/>
                      <w:i/>
                    </w:rPr>
                  </m:ctrlPr>
                </m:sub>
              </m:sSub>
            </m:oMath>
            <w: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2</m:t>
                  </m:r>
                  <m:ctrlPr>
                    <w:rPr>
                      <w:rFonts w:ascii="Cambria Math" w:hAnsi="Cambria Math"/>
                      <w:i/>
                    </w:rPr>
                  </m:ctrlPr>
                </m:sub>
              </m:sSub>
            </m:oMath>
            <w: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3</m:t>
                  </m:r>
                  <m:ctrlPr>
                    <w:rPr>
                      <w:rFonts w:ascii="Cambria Math" w:hAnsi="Cambria Math"/>
                      <w:i/>
                    </w:rPr>
                  </m:ctrlPr>
                </m:sub>
              </m:sSub>
            </m:oMath>
            <w:r>
              <w:t>……</w:t>
            </w:r>
            <m:oMath>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n</m:t>
                  </m:r>
                  <m:ctrlPr>
                    <w:rPr>
                      <w:rFonts w:ascii="Cambria Math" w:hAnsi="Cambria Math"/>
                      <w:i/>
                    </w:rPr>
                  </m:ctrlPr>
                </m:sub>
              </m:sSub>
            </m:oMath>
            <w:r>
              <w:t>——每种危险物质的临界量，t；</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当Q＜1时，该项目环境风险潜势为Ⅰ。</w:t>
            </w:r>
          </w:p>
          <w:p>
            <w:pPr>
              <w:ind w:firstLine="480"/>
            </w:pPr>
            <w:r>
              <w:t>当Q≥1时，将Q值划分为：（1）1≤Q＜10；（2）10≤Q＜100；（3）Q≥100。</w:t>
            </w:r>
          </w:p>
          <w:p>
            <w:pPr>
              <w:ind w:firstLine="480"/>
            </w:pPr>
            <w:r>
              <w:rPr>
                <w:rFonts w:hint="eastAsia"/>
              </w:rPr>
              <w:t>项目涉及《建设项目环境风险评价技术导则》（HJ/T169-2018）附录B的危险物质，临界量按照《建设项目环境风险评价技术导则》（HJ169-2018）中附录B的表B.1和B.2所列的风险物质，其推荐临界量和最大存在量如下。</w:t>
            </w:r>
          </w:p>
          <w:p>
            <w:pPr>
              <w:pStyle w:val="37"/>
              <w:spacing w:before="72" w:after="120"/>
              <w:rPr>
                <w:rFonts w:hint="default"/>
              </w:rPr>
            </w:pPr>
            <w:r>
              <w:t>表4-2</w:t>
            </w:r>
            <w:r>
              <w:rPr>
                <w:rFonts w:hint="eastAsia"/>
                <w:lang w:val="en-US" w:eastAsia="zh-CN"/>
              </w:rPr>
              <w:t>5</w:t>
            </w:r>
            <w:r>
              <w:t xml:space="preserve"> 本项目Q值计算表</w:t>
            </w:r>
          </w:p>
          <w:tbl>
            <w:tblPr>
              <w:tblStyle w:val="1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0"/>
              <w:gridCol w:w="2703"/>
              <w:gridCol w:w="1875"/>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vAlign w:val="center"/>
                </w:tcPr>
                <w:p>
                  <w:pPr>
                    <w:pStyle w:val="24"/>
                    <w:rPr>
                      <w:b/>
                      <w:bCs/>
                    </w:rPr>
                  </w:pPr>
                  <w:r>
                    <w:rPr>
                      <w:rFonts w:hint="eastAsia"/>
                      <w:b/>
                      <w:bCs/>
                    </w:rPr>
                    <w:t>物质名称</w:t>
                  </w:r>
                </w:p>
              </w:tc>
              <w:tc>
                <w:tcPr>
                  <w:tcW w:w="1661" w:type="pct"/>
                  <w:tcBorders>
                    <w:tl2br w:val="nil"/>
                    <w:tr2bl w:val="nil"/>
                  </w:tcBorders>
                  <w:shd w:val="clear" w:color="auto" w:fill="auto"/>
                  <w:vAlign w:val="center"/>
                </w:tcPr>
                <w:p>
                  <w:pPr>
                    <w:pStyle w:val="24"/>
                    <w:rPr>
                      <w:b/>
                      <w:bCs/>
                    </w:rPr>
                  </w:pPr>
                  <w:r>
                    <w:rPr>
                      <w:rFonts w:hint="eastAsia"/>
                      <w:b/>
                      <w:bCs/>
                    </w:rPr>
                    <w:t>厂内最大存在量qi（t）</w:t>
                  </w:r>
                </w:p>
              </w:tc>
              <w:tc>
                <w:tcPr>
                  <w:tcW w:w="1151" w:type="pct"/>
                  <w:tcBorders>
                    <w:tl2br w:val="nil"/>
                    <w:tr2bl w:val="nil"/>
                  </w:tcBorders>
                  <w:shd w:val="clear" w:color="auto" w:fill="auto"/>
                  <w:vAlign w:val="center"/>
                </w:tcPr>
                <w:p>
                  <w:pPr>
                    <w:pStyle w:val="24"/>
                    <w:rPr>
                      <w:b/>
                      <w:bCs/>
                    </w:rPr>
                  </w:pPr>
                  <w:r>
                    <w:rPr>
                      <w:rFonts w:hint="eastAsia"/>
                      <w:b/>
                      <w:bCs/>
                    </w:rPr>
                    <w:t>临界量Qi（t）</w:t>
                  </w:r>
                </w:p>
              </w:tc>
              <w:tc>
                <w:tcPr>
                  <w:tcW w:w="938" w:type="pct"/>
                  <w:tcBorders>
                    <w:tl2br w:val="nil"/>
                    <w:tr2bl w:val="nil"/>
                  </w:tcBorders>
                  <w:shd w:val="clear" w:color="auto" w:fill="auto"/>
                  <w:vAlign w:val="center"/>
                </w:tcPr>
                <w:p>
                  <w:pPr>
                    <w:pStyle w:val="24"/>
                    <w:rPr>
                      <w:b/>
                      <w:bCs/>
                    </w:rPr>
                  </w:pPr>
                  <w:r>
                    <w:rPr>
                      <w:rFonts w:hint="eastAsia"/>
                      <w:b/>
                      <w:bCs/>
                    </w:rPr>
                    <w:t>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除油剂</w:t>
                  </w:r>
                </w:p>
              </w:tc>
              <w:tc>
                <w:tcPr>
                  <w:tcW w:w="1661" w:type="pct"/>
                  <w:tcBorders>
                    <w:tl2br w:val="nil"/>
                    <w:tr2bl w:val="nil"/>
                  </w:tcBorders>
                  <w:shd w:val="clear" w:color="auto" w:fill="auto"/>
                  <w:vAlign w:val="center"/>
                </w:tcPr>
                <w:p>
                  <w:pPr>
                    <w:pStyle w:val="24"/>
                  </w:pPr>
                  <w:r>
                    <w:rPr>
                      <w:rFonts w:hint="eastAsia"/>
                    </w:rPr>
                    <w:t>0.5</w:t>
                  </w:r>
                </w:p>
              </w:tc>
              <w:tc>
                <w:tcPr>
                  <w:tcW w:w="1151" w:type="pct"/>
                  <w:tcBorders>
                    <w:tl2br w:val="nil"/>
                    <w:tr2bl w:val="nil"/>
                  </w:tcBorders>
                  <w:shd w:val="clear" w:color="auto" w:fill="auto"/>
                  <w:vAlign w:val="center"/>
                </w:tcPr>
                <w:p>
                  <w:pPr>
                    <w:pStyle w:val="24"/>
                  </w:pPr>
                  <w:r>
                    <w:rPr>
                      <w:rFonts w:hint="eastAsia"/>
                    </w:rPr>
                    <w:t>100</w:t>
                  </w:r>
                </w:p>
              </w:tc>
              <w:tc>
                <w:tcPr>
                  <w:tcW w:w="938" w:type="pct"/>
                  <w:tcBorders>
                    <w:tl2br w:val="nil"/>
                    <w:tr2bl w:val="nil"/>
                  </w:tcBorders>
                  <w:shd w:val="clear" w:color="auto" w:fill="auto"/>
                  <w:vAlign w:val="center"/>
                </w:tcPr>
                <w:p>
                  <w:pPr>
                    <w:pStyle w:val="24"/>
                  </w:pPr>
                  <w:r>
                    <w:rPr>
                      <w:rFonts w:hint="eastAsia"/>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rPr>
                      <w:rFonts w:hint="eastAsia" w:eastAsia="宋体"/>
                      <w:u w:val="single"/>
                      <w:lang w:val="en-US" w:eastAsia="zh-CN"/>
                    </w:rPr>
                  </w:pPr>
                  <w:r>
                    <w:rPr>
                      <w:rFonts w:hint="eastAsia"/>
                      <w:u w:val="single"/>
                      <w:lang w:val="en-US" w:eastAsia="zh-CN"/>
                    </w:rPr>
                    <w:t>酸洗剂</w:t>
                  </w:r>
                </w:p>
              </w:tc>
              <w:tc>
                <w:tcPr>
                  <w:tcW w:w="1661" w:type="pct"/>
                  <w:tcBorders>
                    <w:tl2br w:val="nil"/>
                    <w:tr2bl w:val="nil"/>
                  </w:tcBorders>
                  <w:shd w:val="clear" w:color="auto" w:fill="auto"/>
                  <w:vAlign w:val="center"/>
                </w:tcPr>
                <w:p>
                  <w:pPr>
                    <w:pStyle w:val="24"/>
                    <w:rPr>
                      <w:rFonts w:hint="eastAsia" w:eastAsia="宋体"/>
                      <w:u w:val="single"/>
                      <w:lang w:val="en-US" w:eastAsia="zh-CN"/>
                    </w:rPr>
                  </w:pPr>
                  <w:r>
                    <w:rPr>
                      <w:rFonts w:hint="eastAsia"/>
                      <w:u w:val="single"/>
                      <w:lang w:val="en-US" w:eastAsia="zh-CN"/>
                    </w:rPr>
                    <w:t>1</w:t>
                  </w:r>
                </w:p>
              </w:tc>
              <w:tc>
                <w:tcPr>
                  <w:tcW w:w="1151" w:type="pct"/>
                  <w:tcBorders>
                    <w:tl2br w:val="nil"/>
                    <w:tr2bl w:val="nil"/>
                  </w:tcBorders>
                  <w:shd w:val="clear" w:color="auto" w:fill="auto"/>
                  <w:vAlign w:val="center"/>
                </w:tcPr>
                <w:p>
                  <w:pPr>
                    <w:pStyle w:val="24"/>
                    <w:rPr>
                      <w:rFonts w:hint="default" w:eastAsia="宋体"/>
                      <w:u w:val="single"/>
                      <w:lang w:val="en-US" w:eastAsia="zh-CN"/>
                    </w:rPr>
                  </w:pPr>
                  <w:r>
                    <w:rPr>
                      <w:rFonts w:hint="eastAsia"/>
                      <w:u w:val="single"/>
                      <w:lang w:val="en-US" w:eastAsia="zh-CN"/>
                    </w:rPr>
                    <w:t>7.5</w:t>
                  </w:r>
                </w:p>
              </w:tc>
              <w:tc>
                <w:tcPr>
                  <w:tcW w:w="938" w:type="pct"/>
                  <w:tcBorders>
                    <w:tl2br w:val="nil"/>
                    <w:tr2bl w:val="nil"/>
                  </w:tcBorders>
                  <w:shd w:val="clear" w:color="auto" w:fill="auto"/>
                  <w:vAlign w:val="center"/>
                </w:tcPr>
                <w:p>
                  <w:pPr>
                    <w:pStyle w:val="24"/>
                    <w:rPr>
                      <w:rFonts w:hint="default" w:eastAsia="宋体"/>
                      <w:u w:val="single"/>
                      <w:lang w:val="en-US" w:eastAsia="zh-CN"/>
                    </w:rPr>
                  </w:pPr>
                  <w:r>
                    <w:rPr>
                      <w:rFonts w:hint="eastAsia"/>
                      <w:u w:val="single"/>
                      <w:lang w:val="en-US" w:eastAsia="zh-CN"/>
                    </w:rPr>
                    <w:t>0.133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表调剂</w:t>
                  </w:r>
                </w:p>
              </w:tc>
              <w:tc>
                <w:tcPr>
                  <w:tcW w:w="1661" w:type="pct"/>
                  <w:tcBorders>
                    <w:tl2br w:val="nil"/>
                    <w:tr2bl w:val="nil"/>
                  </w:tcBorders>
                  <w:shd w:val="clear" w:color="auto" w:fill="auto"/>
                  <w:vAlign w:val="center"/>
                </w:tcPr>
                <w:p>
                  <w:pPr>
                    <w:pStyle w:val="24"/>
                  </w:pPr>
                  <w:r>
                    <w:rPr>
                      <w:rFonts w:hint="eastAsia"/>
                    </w:rPr>
                    <w:t>0.1</w:t>
                  </w:r>
                </w:p>
              </w:tc>
              <w:tc>
                <w:tcPr>
                  <w:tcW w:w="1151" w:type="pct"/>
                  <w:tcBorders>
                    <w:tl2br w:val="nil"/>
                    <w:tr2bl w:val="nil"/>
                  </w:tcBorders>
                  <w:shd w:val="clear" w:color="auto" w:fill="auto"/>
                  <w:vAlign w:val="center"/>
                </w:tcPr>
                <w:p>
                  <w:pPr>
                    <w:pStyle w:val="24"/>
                  </w:pPr>
                  <w:r>
                    <w:rPr>
                      <w:rFonts w:hint="eastAsia"/>
                    </w:rPr>
                    <w:t>100</w:t>
                  </w:r>
                </w:p>
              </w:tc>
              <w:tc>
                <w:tcPr>
                  <w:tcW w:w="938" w:type="pct"/>
                  <w:tcBorders>
                    <w:tl2br w:val="nil"/>
                    <w:tr2bl w:val="nil"/>
                  </w:tcBorders>
                  <w:shd w:val="clear" w:color="auto" w:fill="auto"/>
                  <w:vAlign w:val="center"/>
                </w:tcPr>
                <w:p>
                  <w:pPr>
                    <w:pStyle w:val="24"/>
                  </w:pPr>
                  <w:r>
                    <w:rPr>
                      <w:rFonts w:hint="eastAsia"/>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促进剂</w:t>
                  </w:r>
                </w:p>
              </w:tc>
              <w:tc>
                <w:tcPr>
                  <w:tcW w:w="1661" w:type="pct"/>
                  <w:tcBorders>
                    <w:tl2br w:val="nil"/>
                    <w:tr2bl w:val="nil"/>
                  </w:tcBorders>
                  <w:shd w:val="clear" w:color="auto" w:fill="auto"/>
                  <w:vAlign w:val="center"/>
                </w:tcPr>
                <w:p>
                  <w:pPr>
                    <w:pStyle w:val="24"/>
                  </w:pPr>
                  <w:r>
                    <w:rPr>
                      <w:rFonts w:hint="eastAsia"/>
                    </w:rPr>
                    <w:t>0.3</w:t>
                  </w:r>
                </w:p>
              </w:tc>
              <w:tc>
                <w:tcPr>
                  <w:tcW w:w="1151" w:type="pct"/>
                  <w:tcBorders>
                    <w:tl2br w:val="nil"/>
                    <w:tr2bl w:val="nil"/>
                  </w:tcBorders>
                  <w:shd w:val="clear" w:color="auto" w:fill="auto"/>
                  <w:vAlign w:val="center"/>
                </w:tcPr>
                <w:p>
                  <w:pPr>
                    <w:pStyle w:val="24"/>
                  </w:pPr>
                  <w:r>
                    <w:rPr>
                      <w:rFonts w:hint="eastAsia"/>
                    </w:rPr>
                    <w:t>100</w:t>
                  </w:r>
                </w:p>
              </w:tc>
              <w:tc>
                <w:tcPr>
                  <w:tcW w:w="938" w:type="pct"/>
                  <w:tcBorders>
                    <w:tl2br w:val="nil"/>
                    <w:tr2bl w:val="nil"/>
                  </w:tcBorders>
                  <w:shd w:val="clear" w:color="auto" w:fill="auto"/>
                  <w:vAlign w:val="center"/>
                </w:tcPr>
                <w:p>
                  <w:pPr>
                    <w:pStyle w:val="24"/>
                  </w:pPr>
                  <w:r>
                    <w:rPr>
                      <w:rFonts w:hint="eastAsia"/>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磷化液</w:t>
                  </w:r>
                </w:p>
              </w:tc>
              <w:tc>
                <w:tcPr>
                  <w:tcW w:w="1661" w:type="pct"/>
                  <w:tcBorders>
                    <w:tl2br w:val="nil"/>
                    <w:tr2bl w:val="nil"/>
                  </w:tcBorders>
                  <w:shd w:val="clear" w:color="auto" w:fill="auto"/>
                  <w:vAlign w:val="center"/>
                </w:tcPr>
                <w:p>
                  <w:pPr>
                    <w:pStyle w:val="24"/>
                  </w:pPr>
                  <w:r>
                    <w:rPr>
                      <w:rFonts w:hint="eastAsia"/>
                    </w:rPr>
                    <w:t>1.5</w:t>
                  </w:r>
                </w:p>
              </w:tc>
              <w:tc>
                <w:tcPr>
                  <w:tcW w:w="1151" w:type="pct"/>
                  <w:tcBorders>
                    <w:tl2br w:val="nil"/>
                    <w:tr2bl w:val="nil"/>
                  </w:tcBorders>
                  <w:shd w:val="clear" w:color="auto" w:fill="auto"/>
                  <w:vAlign w:val="center"/>
                </w:tcPr>
                <w:p>
                  <w:pPr>
                    <w:pStyle w:val="24"/>
                  </w:pPr>
                  <w:r>
                    <w:rPr>
                      <w:rFonts w:hint="eastAsia"/>
                    </w:rPr>
                    <w:t>100</w:t>
                  </w:r>
                </w:p>
              </w:tc>
              <w:tc>
                <w:tcPr>
                  <w:tcW w:w="938" w:type="pct"/>
                  <w:tcBorders>
                    <w:tl2br w:val="nil"/>
                    <w:tr2bl w:val="nil"/>
                  </w:tcBorders>
                  <w:shd w:val="clear" w:color="auto" w:fill="auto"/>
                  <w:vAlign w:val="center"/>
                </w:tcPr>
                <w:p>
                  <w:pPr>
                    <w:pStyle w:val="24"/>
                  </w:pPr>
                  <w:r>
                    <w:rPr>
                      <w:rFonts w:hint="eastAsia"/>
                    </w:rPr>
                    <w:t>0.015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除油粉</w:t>
                  </w:r>
                </w:p>
              </w:tc>
              <w:tc>
                <w:tcPr>
                  <w:tcW w:w="1661" w:type="pct"/>
                  <w:tcBorders>
                    <w:tl2br w:val="nil"/>
                    <w:tr2bl w:val="nil"/>
                  </w:tcBorders>
                  <w:shd w:val="clear" w:color="auto" w:fill="auto"/>
                  <w:vAlign w:val="center"/>
                </w:tcPr>
                <w:p>
                  <w:pPr>
                    <w:pStyle w:val="24"/>
                  </w:pPr>
                  <w:r>
                    <w:rPr>
                      <w:rFonts w:hint="eastAsia"/>
                    </w:rPr>
                    <w:t>0.5</w:t>
                  </w:r>
                </w:p>
              </w:tc>
              <w:tc>
                <w:tcPr>
                  <w:tcW w:w="1151" w:type="pct"/>
                  <w:tcBorders>
                    <w:tl2br w:val="nil"/>
                    <w:tr2bl w:val="nil"/>
                  </w:tcBorders>
                  <w:shd w:val="clear" w:color="auto" w:fill="auto"/>
                  <w:vAlign w:val="center"/>
                </w:tcPr>
                <w:p>
                  <w:pPr>
                    <w:pStyle w:val="24"/>
                  </w:pPr>
                  <w:r>
                    <w:rPr>
                      <w:rFonts w:hint="eastAsia"/>
                    </w:rPr>
                    <w:t>50</w:t>
                  </w:r>
                </w:p>
              </w:tc>
              <w:tc>
                <w:tcPr>
                  <w:tcW w:w="938" w:type="pct"/>
                  <w:tcBorders>
                    <w:tl2br w:val="nil"/>
                    <w:tr2bl w:val="nil"/>
                  </w:tcBorders>
                  <w:shd w:val="clear" w:color="auto" w:fill="auto"/>
                  <w:vAlign w:val="center"/>
                </w:tcPr>
                <w:p>
                  <w:pPr>
                    <w:pStyle w:val="24"/>
                  </w:pPr>
                  <w:r>
                    <w:rPr>
                      <w:rFonts w:hint="eastAsia"/>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机油</w:t>
                  </w:r>
                </w:p>
              </w:tc>
              <w:tc>
                <w:tcPr>
                  <w:tcW w:w="1661" w:type="pct"/>
                  <w:tcBorders>
                    <w:tl2br w:val="nil"/>
                    <w:tr2bl w:val="nil"/>
                  </w:tcBorders>
                  <w:shd w:val="clear" w:color="auto" w:fill="auto"/>
                  <w:vAlign w:val="center"/>
                </w:tcPr>
                <w:p>
                  <w:pPr>
                    <w:pStyle w:val="24"/>
                  </w:pPr>
                  <w:r>
                    <w:rPr>
                      <w:rFonts w:hint="eastAsia"/>
                    </w:rPr>
                    <w:t>0.1</w:t>
                  </w:r>
                </w:p>
              </w:tc>
              <w:tc>
                <w:tcPr>
                  <w:tcW w:w="1151" w:type="pct"/>
                  <w:tcBorders>
                    <w:tl2br w:val="nil"/>
                    <w:tr2bl w:val="nil"/>
                  </w:tcBorders>
                  <w:shd w:val="clear" w:color="auto" w:fill="auto"/>
                  <w:vAlign w:val="center"/>
                </w:tcPr>
                <w:p>
                  <w:pPr>
                    <w:pStyle w:val="24"/>
                  </w:pPr>
                  <w:r>
                    <w:rPr>
                      <w:rFonts w:hint="eastAsia"/>
                    </w:rPr>
                    <w:t>2500</w:t>
                  </w:r>
                </w:p>
              </w:tc>
              <w:tc>
                <w:tcPr>
                  <w:tcW w:w="938" w:type="pct"/>
                  <w:tcBorders>
                    <w:tl2br w:val="nil"/>
                    <w:tr2bl w:val="nil"/>
                  </w:tcBorders>
                  <w:shd w:val="clear" w:color="auto" w:fill="auto"/>
                  <w:vAlign w:val="center"/>
                </w:tcPr>
                <w:p>
                  <w:pPr>
                    <w:pStyle w:val="24"/>
                  </w:pPr>
                  <w:r>
                    <w:rPr>
                      <w:rFonts w:hint="eastAsia"/>
                    </w:rPr>
                    <w:t>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rPr>
                      <w:rFonts w:hint="eastAsia" w:eastAsia="宋体"/>
                      <w:u w:val="single"/>
                      <w:lang w:val="en-US" w:eastAsia="zh-CN"/>
                    </w:rPr>
                  </w:pPr>
                  <w:r>
                    <w:rPr>
                      <w:rFonts w:hint="eastAsia"/>
                      <w:u w:val="single"/>
                      <w:lang w:val="en-US" w:eastAsia="zh-CN"/>
                    </w:rPr>
                    <w:t>液压油</w:t>
                  </w:r>
                </w:p>
              </w:tc>
              <w:tc>
                <w:tcPr>
                  <w:tcW w:w="1661" w:type="pct"/>
                  <w:tcBorders>
                    <w:tl2br w:val="nil"/>
                    <w:tr2bl w:val="nil"/>
                  </w:tcBorders>
                  <w:shd w:val="clear" w:color="auto" w:fill="auto"/>
                  <w:vAlign w:val="center"/>
                </w:tcPr>
                <w:p>
                  <w:pPr>
                    <w:pStyle w:val="24"/>
                    <w:rPr>
                      <w:rFonts w:hint="default" w:eastAsia="宋体"/>
                      <w:u w:val="single"/>
                      <w:lang w:val="en-US" w:eastAsia="zh-CN"/>
                    </w:rPr>
                  </w:pPr>
                  <w:r>
                    <w:rPr>
                      <w:rFonts w:hint="eastAsia"/>
                      <w:u w:val="single"/>
                      <w:lang w:val="en-US" w:eastAsia="zh-CN"/>
                    </w:rPr>
                    <w:t>0.1</w:t>
                  </w:r>
                </w:p>
              </w:tc>
              <w:tc>
                <w:tcPr>
                  <w:tcW w:w="1151" w:type="pct"/>
                  <w:tcBorders>
                    <w:tl2br w:val="nil"/>
                    <w:tr2bl w:val="nil"/>
                  </w:tcBorders>
                  <w:shd w:val="clear" w:color="auto" w:fill="auto"/>
                  <w:vAlign w:val="center"/>
                </w:tcPr>
                <w:p>
                  <w:pPr>
                    <w:pStyle w:val="24"/>
                    <w:rPr>
                      <w:rFonts w:hint="default" w:eastAsia="宋体"/>
                      <w:u w:val="single"/>
                      <w:lang w:val="en-US" w:eastAsia="zh-CN"/>
                    </w:rPr>
                  </w:pPr>
                  <w:r>
                    <w:rPr>
                      <w:rFonts w:hint="eastAsia"/>
                      <w:u w:val="single"/>
                      <w:lang w:val="en-US" w:eastAsia="zh-CN"/>
                    </w:rPr>
                    <w:t>2500</w:t>
                  </w:r>
                </w:p>
              </w:tc>
              <w:tc>
                <w:tcPr>
                  <w:tcW w:w="938" w:type="pct"/>
                  <w:tcBorders>
                    <w:tl2br w:val="nil"/>
                    <w:tr2bl w:val="nil"/>
                  </w:tcBorders>
                  <w:shd w:val="clear" w:color="auto" w:fill="auto"/>
                  <w:vAlign w:val="center"/>
                </w:tcPr>
                <w:p>
                  <w:pPr>
                    <w:pStyle w:val="24"/>
                    <w:rPr>
                      <w:rFonts w:hint="eastAsia"/>
                      <w:u w:val="single"/>
                    </w:rPr>
                  </w:pPr>
                  <w:r>
                    <w:rPr>
                      <w:rFonts w:hint="eastAsia"/>
                      <w:u w:val="single"/>
                    </w:rPr>
                    <w:t>0.00004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8" w:type="pct"/>
                  <w:tcBorders>
                    <w:tl2br w:val="nil"/>
                    <w:tr2bl w:val="nil"/>
                  </w:tcBorders>
                  <w:shd w:val="clear" w:color="auto" w:fill="auto"/>
                  <w:vAlign w:val="center"/>
                </w:tcPr>
                <w:p>
                  <w:pPr>
                    <w:pStyle w:val="24"/>
                  </w:pPr>
                  <w:r>
                    <w:rPr>
                      <w:rFonts w:hint="eastAsia"/>
                    </w:rPr>
                    <w:t>危险废物</w:t>
                  </w:r>
                </w:p>
              </w:tc>
              <w:tc>
                <w:tcPr>
                  <w:tcW w:w="1661" w:type="pct"/>
                  <w:tcBorders>
                    <w:tl2br w:val="nil"/>
                    <w:tr2bl w:val="nil"/>
                  </w:tcBorders>
                  <w:shd w:val="clear" w:color="auto" w:fill="auto"/>
                  <w:vAlign w:val="center"/>
                </w:tcPr>
                <w:p>
                  <w:pPr>
                    <w:pStyle w:val="24"/>
                    <w:rPr>
                      <w:rFonts w:hint="default" w:eastAsia="宋体"/>
                      <w:lang w:val="en-US" w:eastAsia="zh-CN"/>
                    </w:rPr>
                  </w:pPr>
                  <w:r>
                    <w:rPr>
                      <w:rFonts w:hint="eastAsia"/>
                      <w:lang w:val="en-US" w:eastAsia="zh-CN"/>
                    </w:rPr>
                    <w:t>15</w:t>
                  </w:r>
                </w:p>
              </w:tc>
              <w:tc>
                <w:tcPr>
                  <w:tcW w:w="1151" w:type="pct"/>
                  <w:tcBorders>
                    <w:tl2br w:val="nil"/>
                    <w:tr2bl w:val="nil"/>
                  </w:tcBorders>
                  <w:shd w:val="clear" w:color="auto" w:fill="auto"/>
                  <w:vAlign w:val="center"/>
                </w:tcPr>
                <w:p>
                  <w:pPr>
                    <w:pStyle w:val="24"/>
                  </w:pPr>
                  <w:r>
                    <w:rPr>
                      <w:rFonts w:hint="eastAsia"/>
                    </w:rPr>
                    <w:t>50</w:t>
                  </w:r>
                </w:p>
              </w:tc>
              <w:tc>
                <w:tcPr>
                  <w:tcW w:w="938" w:type="pct"/>
                  <w:tcBorders>
                    <w:tl2br w:val="nil"/>
                    <w:tr2bl w:val="nil"/>
                  </w:tcBorders>
                  <w:shd w:val="clear" w:color="auto" w:fill="auto"/>
                  <w:vAlign w:val="center"/>
                </w:tcPr>
                <w:p>
                  <w:pPr>
                    <w:pStyle w:val="24"/>
                    <w:rPr>
                      <w:rFonts w:hint="eastAsia" w:eastAsia="宋体"/>
                      <w:lang w:eastAsia="zh-CN"/>
                    </w:rPr>
                  </w:pPr>
                  <w:r>
                    <w:rPr>
                      <w:rFonts w:hint="eastAsia"/>
                    </w:rPr>
                    <w:t>0.</w:t>
                  </w:r>
                  <w:r>
                    <w:rPr>
                      <w:rFonts w:hint="eastAsia"/>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61" w:type="pct"/>
                  <w:gridSpan w:val="3"/>
                  <w:tcBorders>
                    <w:tl2br w:val="nil"/>
                    <w:tr2bl w:val="nil"/>
                  </w:tcBorders>
                  <w:shd w:val="clear" w:color="auto" w:fill="auto"/>
                  <w:vAlign w:val="center"/>
                </w:tcPr>
                <w:p>
                  <w:pPr>
                    <w:pStyle w:val="24"/>
                  </w:pPr>
                  <w:r>
                    <w:rPr>
                      <w:rFonts w:hint="eastAsia"/>
                    </w:rPr>
                    <w:t>合计</w:t>
                  </w:r>
                </w:p>
              </w:tc>
              <w:tc>
                <w:tcPr>
                  <w:tcW w:w="938" w:type="pct"/>
                  <w:tcBorders>
                    <w:tl2br w:val="nil"/>
                    <w:tr2bl w:val="nil"/>
                  </w:tcBorders>
                  <w:shd w:val="clear" w:color="auto" w:fill="auto"/>
                  <w:vAlign w:val="center"/>
                </w:tcPr>
                <w:p>
                  <w:pPr>
                    <w:pStyle w:val="24"/>
                    <w:rPr>
                      <w:rFonts w:hint="default" w:eastAsia="宋体"/>
                      <w:lang w:val="en-US" w:eastAsia="zh-CN"/>
                    </w:rPr>
                  </w:pPr>
                  <w:r>
                    <w:rPr>
                      <w:rFonts w:hint="eastAsia"/>
                      <w:lang w:val="en-US" w:eastAsia="zh-CN"/>
                    </w:rPr>
                    <w:t>0.467</w:t>
                  </w:r>
                </w:p>
              </w:tc>
            </w:tr>
          </w:tbl>
          <w:p>
            <w:pPr>
              <w:ind w:firstLine="480"/>
              <w:rPr>
                <w:u w:val="single"/>
              </w:rPr>
            </w:pPr>
            <w:r>
              <w:rPr>
                <w:rFonts w:hint="eastAsia"/>
                <w:u w:val="single"/>
              </w:rPr>
              <w:t>其中，</w:t>
            </w:r>
            <w:r>
              <w:rPr>
                <w:rFonts w:hint="eastAsia"/>
                <w:u w:val="single"/>
                <w:lang w:val="en-US" w:eastAsia="zh-CN"/>
              </w:rPr>
              <w:t>酸洗剂以</w:t>
            </w:r>
            <w:r>
              <w:rPr>
                <w:rFonts w:hint="eastAsia"/>
                <w:u w:val="single"/>
              </w:rPr>
              <w:t>《建设项目环境风险评价技术导则》（HJ169-2018）表B.</w:t>
            </w:r>
            <w:r>
              <w:rPr>
                <w:rFonts w:hint="eastAsia"/>
                <w:u w:val="single"/>
                <w:lang w:val="en-US" w:eastAsia="zh-CN"/>
              </w:rPr>
              <w:t>1中盐酸（≥37%）计</w:t>
            </w:r>
            <w:r>
              <w:rPr>
                <w:rFonts w:hint="eastAsia"/>
                <w:u w:val="single"/>
              </w:rPr>
              <w:t>临界量</w:t>
            </w:r>
            <w:r>
              <w:rPr>
                <w:rFonts w:hint="eastAsia"/>
                <w:u w:val="single"/>
                <w:lang w:val="en-US" w:eastAsia="zh-CN"/>
              </w:rPr>
              <w:t>7.5</w:t>
            </w:r>
            <w:r>
              <w:rPr>
                <w:rFonts w:hint="eastAsia"/>
                <w:u w:val="single"/>
              </w:rPr>
              <w:t>t</w:t>
            </w:r>
            <w:r>
              <w:rPr>
                <w:rFonts w:hint="eastAsia"/>
                <w:u w:val="single"/>
                <w:lang w:eastAsia="zh-CN"/>
              </w:rPr>
              <w:t>；</w:t>
            </w:r>
            <w:r>
              <w:rPr>
                <w:rFonts w:hint="eastAsia"/>
                <w:u w:val="single"/>
              </w:rPr>
              <w:t>除油剂、表调剂、促进剂和磷化液以《建设项目环境风险评价技术导则》（HJ169-2018）表B.2中“危害水环境物质物质（急性毒性类别1）”计，临界量100t；机油</w:t>
            </w:r>
            <w:r>
              <w:rPr>
                <w:rFonts w:hint="eastAsia"/>
                <w:u w:val="single"/>
                <w:lang w:eastAsia="zh-CN"/>
              </w:rPr>
              <w:t>、</w:t>
            </w:r>
            <w:r>
              <w:rPr>
                <w:rFonts w:hint="eastAsia"/>
                <w:u w:val="single"/>
                <w:lang w:val="en-US" w:eastAsia="zh-CN"/>
              </w:rPr>
              <w:t>液压油</w:t>
            </w:r>
            <w:r>
              <w:rPr>
                <w:rFonts w:hint="eastAsia"/>
                <w:u w:val="single"/>
              </w:rPr>
              <w:t>属于《建设项目环境风险评价技术导则》（HJ169-2018）表B.1中油类物质（矿物油类，如石油、汽油、柴油等；生物柴油等）临界量2500t；除油粉、危险废物以《建设项目环境风险评价技术导则》（HJ169-2018）表B.2中“健康危害急性毒性物质（类别2，类别3）”计，临界量为50t。</w:t>
            </w:r>
          </w:p>
          <w:p>
            <w:pPr>
              <w:ind w:firstLine="480"/>
              <w:rPr>
                <w:highlight w:val="yellow"/>
              </w:rPr>
            </w:pPr>
            <w:r>
              <w:rPr>
                <w:rFonts w:hint="eastAsia"/>
              </w:rPr>
              <w:t>据上表可知，本项目危险物质数量与临界量比值Q=0.</w:t>
            </w:r>
            <w:r>
              <w:rPr>
                <w:rFonts w:hint="eastAsia"/>
                <w:lang w:val="en-US" w:eastAsia="zh-CN"/>
              </w:rPr>
              <w:t>467</w:t>
            </w:r>
            <w:r>
              <w:rPr>
                <w:rFonts w:hint="eastAsia"/>
              </w:rPr>
              <w:t>&lt;1。</w:t>
            </w:r>
          </w:p>
          <w:p>
            <w:pPr>
              <w:pStyle w:val="4"/>
              <w:keepNext/>
              <w:keepLines/>
              <w:pageBreakBefore w:val="0"/>
              <w:widowControl w:val="0"/>
              <w:kinsoku/>
              <w:wordWrap/>
              <w:overflowPunct/>
              <w:topLinePunct w:val="0"/>
              <w:autoSpaceDE/>
              <w:autoSpaceDN/>
              <w:bidi w:val="0"/>
              <w:adjustRightInd/>
              <w:snapToGrid/>
              <w:ind w:firstLine="482"/>
              <w:textAlignment w:val="auto"/>
            </w:pPr>
            <w:r>
              <w:rPr>
                <w:rFonts w:hint="eastAsia"/>
              </w:rPr>
              <w:t>（3）评价工作等级</w:t>
            </w:r>
          </w:p>
          <w:p>
            <w:pPr>
              <w:keepNext w:val="0"/>
              <w:keepLines w:val="0"/>
              <w:pageBreakBefore w:val="0"/>
              <w:widowControl w:val="0"/>
              <w:kinsoku/>
              <w:wordWrap/>
              <w:overflowPunct/>
              <w:topLinePunct w:val="0"/>
              <w:autoSpaceDE/>
              <w:autoSpaceDN/>
              <w:bidi w:val="0"/>
              <w:adjustRightInd/>
              <w:snapToGrid/>
              <w:spacing w:line="336" w:lineRule="auto"/>
              <w:ind w:firstLine="480"/>
              <w:textAlignment w:val="auto"/>
            </w:pPr>
            <w:r>
              <w:t>根据项目危险物质数量与临界量的比值Q，对比《建设项目环境风险评价技术导则》（HJ/T169-2018）表1，可知项目环境风险评价工作等级为简单分析。</w:t>
            </w:r>
          </w:p>
          <w:p>
            <w:pPr>
              <w:pStyle w:val="37"/>
              <w:spacing w:before="72" w:after="120"/>
              <w:rPr>
                <w:rFonts w:hint="default"/>
              </w:rPr>
            </w:pPr>
            <w:r>
              <w:t>表4-2</w:t>
            </w:r>
            <w:r>
              <w:rPr>
                <w:rFonts w:hint="eastAsia"/>
                <w:lang w:val="en-US" w:eastAsia="zh-CN"/>
              </w:rPr>
              <w:t>6</w:t>
            </w:r>
            <w:r>
              <w:t xml:space="preserve"> 评价工作等级划分</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1632"/>
              <w:gridCol w:w="1632"/>
              <w:gridCol w:w="1632"/>
              <w:gridCol w:w="16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2" w:type="dxa"/>
                  <w:vAlign w:val="center"/>
                </w:tcPr>
                <w:p>
                  <w:pPr>
                    <w:pStyle w:val="24"/>
                    <w:rPr>
                      <w:b/>
                      <w:bCs/>
                    </w:rPr>
                  </w:pPr>
                  <w:r>
                    <w:rPr>
                      <w:rFonts w:hint="eastAsia"/>
                      <w:b/>
                      <w:bCs/>
                    </w:rPr>
                    <w:t>环境风险潜势</w:t>
                  </w:r>
                </w:p>
              </w:tc>
              <w:tc>
                <w:tcPr>
                  <w:tcW w:w="1632" w:type="dxa"/>
                  <w:vAlign w:val="center"/>
                </w:tcPr>
                <w:p>
                  <w:pPr>
                    <w:pStyle w:val="24"/>
                    <w:rPr>
                      <w:b/>
                      <w:bCs/>
                    </w:rPr>
                  </w:pPr>
                  <w:r>
                    <w:rPr>
                      <w:rFonts w:hint="eastAsia"/>
                      <w:b/>
                      <w:bCs/>
                    </w:rPr>
                    <w:t>Ⅳ、Ⅳ</w:t>
                  </w:r>
                  <w:r>
                    <w:rPr>
                      <w:rFonts w:hint="eastAsia"/>
                      <w:b/>
                      <w:bCs/>
                      <w:vertAlign w:val="superscript"/>
                    </w:rPr>
                    <w:t>+</w:t>
                  </w:r>
                </w:p>
              </w:tc>
              <w:tc>
                <w:tcPr>
                  <w:tcW w:w="1632" w:type="dxa"/>
                  <w:vAlign w:val="center"/>
                </w:tcPr>
                <w:p>
                  <w:pPr>
                    <w:pStyle w:val="24"/>
                    <w:rPr>
                      <w:b/>
                      <w:bCs/>
                    </w:rPr>
                  </w:pPr>
                  <w:r>
                    <w:rPr>
                      <w:rFonts w:hint="eastAsia"/>
                      <w:b/>
                      <w:bCs/>
                    </w:rPr>
                    <w:t>Ⅲ</w:t>
                  </w:r>
                </w:p>
              </w:tc>
              <w:tc>
                <w:tcPr>
                  <w:tcW w:w="1632" w:type="dxa"/>
                  <w:vAlign w:val="center"/>
                </w:tcPr>
                <w:p>
                  <w:pPr>
                    <w:pStyle w:val="24"/>
                    <w:rPr>
                      <w:b/>
                      <w:bCs/>
                    </w:rPr>
                  </w:pPr>
                  <w:r>
                    <w:rPr>
                      <w:rFonts w:hint="eastAsia"/>
                      <w:b/>
                      <w:bCs/>
                    </w:rPr>
                    <w:t>Ⅱ</w:t>
                  </w:r>
                </w:p>
              </w:tc>
              <w:tc>
                <w:tcPr>
                  <w:tcW w:w="1632" w:type="dxa"/>
                  <w:vAlign w:val="center"/>
                </w:tcPr>
                <w:p>
                  <w:pPr>
                    <w:pStyle w:val="24"/>
                    <w:rPr>
                      <w:b/>
                      <w:bCs/>
                    </w:rPr>
                  </w:pPr>
                  <w:r>
                    <w:rPr>
                      <w:rFonts w:hint="eastAsia"/>
                      <w:b/>
                      <w:bCs/>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32" w:type="dxa"/>
                  <w:vAlign w:val="center"/>
                </w:tcPr>
                <w:p>
                  <w:pPr>
                    <w:pStyle w:val="24"/>
                  </w:pPr>
                  <w:r>
                    <w:rPr>
                      <w:rFonts w:hint="eastAsia"/>
                    </w:rPr>
                    <w:t>评价工作等级</w:t>
                  </w:r>
                </w:p>
              </w:tc>
              <w:tc>
                <w:tcPr>
                  <w:tcW w:w="1632" w:type="dxa"/>
                  <w:vAlign w:val="center"/>
                </w:tcPr>
                <w:p>
                  <w:pPr>
                    <w:pStyle w:val="24"/>
                  </w:pPr>
                  <w:r>
                    <w:rPr>
                      <w:rFonts w:hint="eastAsia"/>
                    </w:rPr>
                    <w:t>一</w:t>
                  </w:r>
                </w:p>
              </w:tc>
              <w:tc>
                <w:tcPr>
                  <w:tcW w:w="1632" w:type="dxa"/>
                  <w:vAlign w:val="center"/>
                </w:tcPr>
                <w:p>
                  <w:pPr>
                    <w:pStyle w:val="24"/>
                  </w:pPr>
                  <w:r>
                    <w:rPr>
                      <w:rFonts w:hint="eastAsia"/>
                    </w:rPr>
                    <w:t>二</w:t>
                  </w:r>
                </w:p>
              </w:tc>
              <w:tc>
                <w:tcPr>
                  <w:tcW w:w="1632" w:type="dxa"/>
                  <w:vAlign w:val="center"/>
                </w:tcPr>
                <w:p>
                  <w:pPr>
                    <w:pStyle w:val="24"/>
                  </w:pPr>
                  <w:r>
                    <w:rPr>
                      <w:rFonts w:hint="eastAsia"/>
                    </w:rPr>
                    <w:t>三</w:t>
                  </w:r>
                </w:p>
              </w:tc>
              <w:tc>
                <w:tcPr>
                  <w:tcW w:w="1632" w:type="dxa"/>
                  <w:shd w:val="clear" w:color="auto" w:fill="D7D7D7" w:themeFill="background1" w:themeFillShade="D8"/>
                  <w:vAlign w:val="center"/>
                </w:tcPr>
                <w:p>
                  <w:pPr>
                    <w:pStyle w:val="24"/>
                  </w:pPr>
                  <w:r>
                    <w:rPr>
                      <w:rFonts w:hint="eastAsia"/>
                    </w:rPr>
                    <w:t>简单分析</w:t>
                  </w:r>
                </w:p>
              </w:tc>
            </w:tr>
          </w:tbl>
          <w:p>
            <w:pPr>
              <w:pStyle w:val="3"/>
              <w:ind w:firstLine="482"/>
            </w:pPr>
            <w:r>
              <w:rPr>
                <w:rFonts w:hint="eastAsia"/>
              </w:rPr>
              <w:t>2）环境敏感目标概况</w:t>
            </w:r>
          </w:p>
          <w:p>
            <w:pPr>
              <w:ind w:firstLine="480"/>
            </w:pPr>
            <w:r>
              <w:t>项目周围环境敏感点详见表3-</w:t>
            </w:r>
            <w:r>
              <w:rPr>
                <w:rFonts w:hint="eastAsia"/>
                <w:lang w:val="en-US" w:eastAsia="zh-CN"/>
              </w:rPr>
              <w:t>4</w:t>
            </w:r>
            <w:r>
              <w:t>。</w:t>
            </w:r>
          </w:p>
          <w:p>
            <w:pPr>
              <w:pStyle w:val="3"/>
              <w:ind w:firstLine="482"/>
            </w:pPr>
            <w:r>
              <w:rPr>
                <w:rFonts w:hint="eastAsia"/>
              </w:rPr>
              <w:t>3）环境风险识别</w:t>
            </w:r>
          </w:p>
          <w:p>
            <w:pPr>
              <w:keepNext w:val="0"/>
              <w:keepLines w:val="0"/>
              <w:pageBreakBefore w:val="0"/>
              <w:widowControl w:val="0"/>
              <w:kinsoku/>
              <w:wordWrap/>
              <w:overflowPunct/>
              <w:topLinePunct w:val="0"/>
              <w:autoSpaceDE/>
              <w:autoSpaceDN/>
              <w:bidi w:val="0"/>
              <w:adjustRightInd/>
              <w:snapToGrid/>
              <w:ind w:firstLine="480"/>
              <w:textAlignment w:val="auto"/>
            </w:pPr>
            <w:r>
              <w:t>根据《建设项目环境风险评价技术导则》（HJ169-2018）附录B中所规定的危险化学品物质，项目使用环境风险物质</w:t>
            </w:r>
            <w:r>
              <w:rPr>
                <w:rFonts w:hint="eastAsia"/>
              </w:rPr>
              <w:t>进行</w:t>
            </w:r>
            <w:r>
              <w:t>生产</w:t>
            </w:r>
            <w:r>
              <w:rPr>
                <w:rFonts w:hint="eastAsia"/>
              </w:rPr>
              <w:t>活动</w:t>
            </w:r>
            <w:r>
              <w:t>，主要环境风险事故情景是</w:t>
            </w:r>
            <w:r>
              <w:rPr>
                <w:rFonts w:hint="eastAsia"/>
              </w:rPr>
              <w:t>固态和</w:t>
            </w:r>
            <w:r>
              <w:t>液态化学品、危险废物储存泄漏，污染物事故排放及火灾伴生次生风险。厂区易燃物质起火时，可燃物燃烧产生的CO、NO</w:t>
            </w:r>
            <w:r>
              <w:rPr>
                <w:vertAlign w:val="subscript"/>
              </w:rPr>
              <w:t>x</w:t>
            </w:r>
            <w:r>
              <w:t>对周围环境造成影响，影响生物的生存，灭火产生的废水可能流入外环境，对外环境的地表水造成污染。</w:t>
            </w:r>
          </w:p>
          <w:p>
            <w:pPr>
              <w:pStyle w:val="37"/>
              <w:spacing w:before="72" w:after="120"/>
              <w:rPr>
                <w:rFonts w:hint="default"/>
              </w:rPr>
            </w:pPr>
            <w:r>
              <w:t>表4-2</w:t>
            </w:r>
            <w:r>
              <w:rPr>
                <w:rFonts w:hint="eastAsia"/>
                <w:lang w:val="en-US" w:eastAsia="zh-CN"/>
              </w:rPr>
              <w:t>7</w:t>
            </w:r>
            <w:r>
              <w:t xml:space="preserve"> 生产及贮存过程中潜在危险因素分析</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1378"/>
              <w:gridCol w:w="2873"/>
              <w:gridCol w:w="2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6" w:type="dxa"/>
                  <w:vAlign w:val="center"/>
                </w:tcPr>
                <w:p>
                  <w:pPr>
                    <w:pStyle w:val="24"/>
                    <w:rPr>
                      <w:b/>
                      <w:bCs/>
                    </w:rPr>
                  </w:pPr>
                  <w:r>
                    <w:rPr>
                      <w:rFonts w:hint="eastAsia"/>
                      <w:b/>
                      <w:bCs/>
                    </w:rPr>
                    <w:t>危险目标</w:t>
                  </w:r>
                </w:p>
              </w:tc>
              <w:tc>
                <w:tcPr>
                  <w:tcW w:w="1378" w:type="dxa"/>
                  <w:vAlign w:val="center"/>
                </w:tcPr>
                <w:p>
                  <w:pPr>
                    <w:pStyle w:val="24"/>
                    <w:rPr>
                      <w:b/>
                      <w:bCs/>
                    </w:rPr>
                  </w:pPr>
                  <w:r>
                    <w:rPr>
                      <w:rFonts w:hint="eastAsia"/>
                      <w:b/>
                      <w:bCs/>
                    </w:rPr>
                    <w:t>事故类型</w:t>
                  </w:r>
                </w:p>
              </w:tc>
              <w:tc>
                <w:tcPr>
                  <w:tcW w:w="2873" w:type="dxa"/>
                  <w:vAlign w:val="center"/>
                </w:tcPr>
                <w:p>
                  <w:pPr>
                    <w:pStyle w:val="24"/>
                    <w:rPr>
                      <w:b/>
                      <w:bCs/>
                    </w:rPr>
                  </w:pPr>
                  <w:r>
                    <w:rPr>
                      <w:rFonts w:hint="eastAsia"/>
                      <w:b/>
                      <w:bCs/>
                    </w:rPr>
                    <w:t>事故引发可能原因</w:t>
                  </w:r>
                </w:p>
              </w:tc>
              <w:tc>
                <w:tcPr>
                  <w:tcW w:w="2713" w:type="dxa"/>
                  <w:vAlign w:val="center"/>
                </w:tcPr>
                <w:p>
                  <w:pPr>
                    <w:pStyle w:val="24"/>
                    <w:rPr>
                      <w:b/>
                      <w:bCs/>
                    </w:rPr>
                  </w:pPr>
                  <w:r>
                    <w:rPr>
                      <w:rFonts w:hint="eastAsia"/>
                      <w:b/>
                      <w:bCs/>
                    </w:rPr>
                    <w:t>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6" w:type="dxa"/>
                  <w:vAlign w:val="center"/>
                </w:tcPr>
                <w:p>
                  <w:pPr>
                    <w:pStyle w:val="24"/>
                  </w:pPr>
                  <w:r>
                    <w:rPr>
                      <w:rFonts w:hint="eastAsia"/>
                    </w:rPr>
                    <w:t>原料储存区、生产区</w:t>
                  </w:r>
                </w:p>
              </w:tc>
              <w:tc>
                <w:tcPr>
                  <w:tcW w:w="1378" w:type="dxa"/>
                  <w:vAlign w:val="center"/>
                </w:tcPr>
                <w:p>
                  <w:pPr>
                    <w:pStyle w:val="24"/>
                  </w:pPr>
                  <w:r>
                    <w:rPr>
                      <w:rFonts w:hint="eastAsia"/>
                    </w:rPr>
                    <w:t>化学品泄漏</w:t>
                  </w:r>
                </w:p>
              </w:tc>
              <w:tc>
                <w:tcPr>
                  <w:tcW w:w="2873" w:type="dxa"/>
                  <w:vAlign w:val="center"/>
                </w:tcPr>
                <w:p>
                  <w:pPr>
                    <w:pStyle w:val="24"/>
                  </w:pPr>
                  <w:r>
                    <w:rPr>
                      <w:rFonts w:hint="eastAsia"/>
                    </w:rPr>
                    <w:t>生产原料包装破损或倾倒、人为操作失误导致的物料泄漏</w:t>
                  </w:r>
                </w:p>
              </w:tc>
              <w:tc>
                <w:tcPr>
                  <w:tcW w:w="2713" w:type="dxa"/>
                  <w:vAlign w:val="center"/>
                </w:tcPr>
                <w:p>
                  <w:pPr>
                    <w:pStyle w:val="24"/>
                  </w:pPr>
                  <w:r>
                    <w:rPr>
                      <w:rFonts w:hint="eastAsia"/>
                    </w:rPr>
                    <w:t>物料扩散至周围低洼或排水管道影响地表水、地下水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6" w:type="dxa"/>
                  <w:vAlign w:val="center"/>
                </w:tcPr>
                <w:p>
                  <w:pPr>
                    <w:pStyle w:val="24"/>
                  </w:pPr>
                  <w:r>
                    <w:rPr>
                      <w:rFonts w:hint="eastAsia"/>
                    </w:rPr>
                    <w:t>生产区</w:t>
                  </w:r>
                </w:p>
              </w:tc>
              <w:tc>
                <w:tcPr>
                  <w:tcW w:w="1378" w:type="dxa"/>
                  <w:vAlign w:val="center"/>
                </w:tcPr>
                <w:p>
                  <w:pPr>
                    <w:pStyle w:val="24"/>
                  </w:pPr>
                  <w:r>
                    <w:rPr>
                      <w:rFonts w:hint="eastAsia"/>
                    </w:rPr>
                    <w:t>废气事故排放</w:t>
                  </w:r>
                </w:p>
              </w:tc>
              <w:tc>
                <w:tcPr>
                  <w:tcW w:w="2873" w:type="dxa"/>
                  <w:vAlign w:val="center"/>
                </w:tcPr>
                <w:p>
                  <w:pPr>
                    <w:pStyle w:val="24"/>
                  </w:pPr>
                  <w:r>
                    <w:rPr>
                      <w:rFonts w:hint="eastAsia"/>
                    </w:rPr>
                    <w:t>废气处理设施失灵</w:t>
                  </w:r>
                </w:p>
              </w:tc>
              <w:tc>
                <w:tcPr>
                  <w:tcW w:w="2713" w:type="dxa"/>
                  <w:vAlign w:val="center"/>
                </w:tcPr>
                <w:p>
                  <w:pPr>
                    <w:pStyle w:val="24"/>
                  </w:pPr>
                  <w:r>
                    <w:t>废气事故排放扩散中大气，影响大气、土壤环境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6" w:type="dxa"/>
                  <w:vAlign w:val="center"/>
                </w:tcPr>
                <w:p>
                  <w:pPr>
                    <w:pStyle w:val="24"/>
                  </w:pPr>
                  <w:r>
                    <w:rPr>
                      <w:rFonts w:hint="eastAsia"/>
                    </w:rPr>
                    <w:t>危险废物暂存间</w:t>
                  </w:r>
                </w:p>
              </w:tc>
              <w:tc>
                <w:tcPr>
                  <w:tcW w:w="1378" w:type="dxa"/>
                  <w:vAlign w:val="center"/>
                </w:tcPr>
                <w:p>
                  <w:pPr>
                    <w:pStyle w:val="24"/>
                  </w:pPr>
                  <w:r>
                    <w:rPr>
                      <w:rFonts w:hint="eastAsia"/>
                    </w:rPr>
                    <w:t>危险废物泄漏</w:t>
                  </w:r>
                </w:p>
              </w:tc>
              <w:tc>
                <w:tcPr>
                  <w:tcW w:w="2873" w:type="dxa"/>
                  <w:vAlign w:val="center"/>
                </w:tcPr>
                <w:p>
                  <w:pPr>
                    <w:pStyle w:val="24"/>
                  </w:pPr>
                  <w:r>
                    <w:rPr>
                      <w:rFonts w:hint="eastAsia"/>
                    </w:rPr>
                    <w:t>容器破损、人为操作失误</w:t>
                  </w:r>
                </w:p>
              </w:tc>
              <w:tc>
                <w:tcPr>
                  <w:tcW w:w="2713" w:type="dxa"/>
                  <w:vAlign w:val="center"/>
                </w:tcPr>
                <w:p>
                  <w:pPr>
                    <w:pStyle w:val="24"/>
                  </w:pPr>
                  <w:r>
                    <w:rPr>
                      <w:rFonts w:hint="eastAsia"/>
                    </w:rPr>
                    <w:t>物料扩散至周围低洼或排水管道影响地表水、地下水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86" w:type="dxa"/>
                  <w:vAlign w:val="center"/>
                </w:tcPr>
                <w:p>
                  <w:pPr>
                    <w:pStyle w:val="24"/>
                  </w:pPr>
                  <w:r>
                    <w:rPr>
                      <w:rFonts w:hint="eastAsia"/>
                    </w:rPr>
                    <w:t>/</w:t>
                  </w:r>
                </w:p>
              </w:tc>
              <w:tc>
                <w:tcPr>
                  <w:tcW w:w="1378" w:type="dxa"/>
                  <w:vAlign w:val="center"/>
                </w:tcPr>
                <w:p>
                  <w:pPr>
                    <w:pStyle w:val="24"/>
                  </w:pPr>
                  <w:r>
                    <w:rPr>
                      <w:rFonts w:hint="eastAsia"/>
                    </w:rPr>
                    <w:t>火灾</w:t>
                  </w:r>
                </w:p>
              </w:tc>
              <w:tc>
                <w:tcPr>
                  <w:tcW w:w="2873" w:type="dxa"/>
                  <w:vAlign w:val="center"/>
                </w:tcPr>
                <w:p>
                  <w:pPr>
                    <w:pStyle w:val="24"/>
                  </w:pPr>
                  <w:r>
                    <w:t>因高热、明火</w:t>
                  </w:r>
                  <w:r>
                    <w:rPr>
                      <w:rFonts w:hint="eastAsia"/>
                    </w:rPr>
                    <w:t>等</w:t>
                  </w:r>
                  <w:r>
                    <w:t>引起的容器开裂或燃烧爆炸</w:t>
                  </w:r>
                </w:p>
              </w:tc>
              <w:tc>
                <w:tcPr>
                  <w:tcW w:w="2713" w:type="dxa"/>
                  <w:vAlign w:val="center"/>
                </w:tcPr>
                <w:p>
                  <w:pPr>
                    <w:pStyle w:val="24"/>
                  </w:pPr>
                  <w:r>
                    <w:t>火灾次生（伴生）污染物、物料不完全燃烧，影响周围大气环境</w:t>
                  </w:r>
                </w:p>
              </w:tc>
            </w:tr>
          </w:tbl>
          <w:p>
            <w:pPr>
              <w:pStyle w:val="3"/>
              <w:ind w:firstLine="482"/>
            </w:pPr>
            <w:r>
              <w:t>4</w:t>
            </w:r>
            <w:r>
              <w:rPr>
                <w:rFonts w:hint="eastAsia"/>
              </w:rPr>
              <w:t>）</w:t>
            </w:r>
            <w:r>
              <w:t>环境风险防范措施</w:t>
            </w:r>
          </w:p>
          <w:p>
            <w:pPr>
              <w:ind w:firstLine="480"/>
            </w:pPr>
            <w:r>
              <w:t>①火灾事故的风险防范措施</w:t>
            </w:r>
          </w:p>
          <w:p>
            <w:pPr>
              <w:ind w:firstLine="480"/>
            </w:pPr>
            <w:r>
              <w:t>a、火患往往起于细微之处，要格外注意用电的安全，合理布置电源电线的使用。</w:t>
            </w:r>
          </w:p>
          <w:p>
            <w:pPr>
              <w:ind w:firstLine="480"/>
            </w:pPr>
            <w:r>
              <w:t>b、车间工作人员及相关责任人均应熟悉其放置地点、用法，而且要经常检查，消防通道保持畅通。</w:t>
            </w:r>
          </w:p>
          <w:p>
            <w:pPr>
              <w:ind w:firstLine="480"/>
            </w:pPr>
            <w:r>
              <w:t>c、应加强消防设施及消防教育建设，对重要场所需要重点防范，制定严格的操作规范，避免火灾等事故发生。</w:t>
            </w:r>
          </w:p>
          <w:p>
            <w:pPr>
              <w:ind w:firstLine="480"/>
            </w:pPr>
            <w:r>
              <w:t>d、确保安全出口和疏散通道畅通无阻。</w:t>
            </w:r>
          </w:p>
          <w:p>
            <w:pPr>
              <w:ind w:firstLine="480"/>
            </w:pPr>
            <w:r>
              <w:t>e、加强电气防火安全管理，消除火灾隐患，不得超负荷用电，不得擅自拉接临时电线。</w:t>
            </w:r>
          </w:p>
          <w:p>
            <w:pPr>
              <w:ind w:firstLine="480"/>
            </w:pPr>
            <w:r>
              <w:t>f、定期对操作人员进行安全生产与安全知识培训，并制定严格的安全操作规程，切实加强生产过程中的温度控制，保证劳动安全，防止意外事故的发生。应加强消防设施及消防教育建设，制定严格的操作规范，避免火灾等事故发生。</w:t>
            </w:r>
          </w:p>
          <w:p>
            <w:pPr>
              <w:ind w:firstLine="480"/>
            </w:pPr>
            <w:r>
              <w:t>②安全管理风险防范措施</w:t>
            </w:r>
          </w:p>
          <w:p>
            <w:pPr>
              <w:ind w:firstLine="480"/>
            </w:pPr>
            <w:r>
              <w:t>a、设计中严格执行国家、行业有关劳动安全卫生的法规和标准规范，完善厂内备用电系统，为了防止因停电而造成事故性排放的发生，厂内必须配套完善备用电系统，采用双电路供电，瞬时切换等。</w:t>
            </w:r>
          </w:p>
          <w:p>
            <w:pPr>
              <w:ind w:firstLine="480"/>
            </w:pPr>
            <w:r>
              <w:t>b、建立安全生产岗位责任制，制定完善的安全生产规章制度、安全操作规程、安全生产检查制度、禁火管理制度、事故管理制度等，必须切实加强安全管理，提高事故防范能力，员工实行持证上岗。易燃、易爆生产装置区、管道等危险区域设置永久性《严禁烟火》标志，按照《工业管路的基本识别色和识别符号》的规定对相关设备涂标志色等。</w:t>
            </w:r>
          </w:p>
          <w:p>
            <w:pPr>
              <w:ind w:firstLine="480"/>
            </w:pPr>
            <w:r>
              <w:t>c、应加强对从业人员的安全卫生教育和技术培训，使职工较全面的接受有关安全卫生的政策、法规教育，增强法制观念，不断强化职工安全意识，不断提高职工安全素质，增强职工处理突发安全事故的能力。在各生产装置内应按编制情况设专职安全员，并按规范配备个人劳动防护用品。</w:t>
            </w:r>
          </w:p>
          <w:p>
            <w:pPr>
              <w:pStyle w:val="3"/>
              <w:ind w:firstLine="482"/>
            </w:pPr>
            <w:r>
              <w:rPr>
                <w:rFonts w:hint="eastAsia"/>
              </w:rPr>
              <w:t>5）环境风险分析结论</w:t>
            </w:r>
          </w:p>
          <w:p>
            <w:pPr>
              <w:pStyle w:val="37"/>
              <w:spacing w:before="72" w:after="120"/>
              <w:rPr>
                <w:rFonts w:hint="default"/>
              </w:rPr>
            </w:pPr>
            <w:r>
              <w:t>表4-2</w:t>
            </w:r>
            <w:r>
              <w:rPr>
                <w:rFonts w:hint="eastAsia"/>
                <w:lang w:val="en-US" w:eastAsia="zh-CN"/>
              </w:rPr>
              <w:t>8</w:t>
            </w:r>
            <w:r>
              <w:t xml:space="preserve"> 建设项目环境风险简单分析内容表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1"/>
              <w:gridCol w:w="1058"/>
              <w:gridCol w:w="2185"/>
              <w:gridCol w:w="1019"/>
              <w:gridCol w:w="2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建设项目名称</w:t>
                  </w:r>
                </w:p>
              </w:tc>
              <w:tc>
                <w:tcPr>
                  <w:tcW w:w="3887" w:type="pct"/>
                  <w:gridSpan w:val="4"/>
                  <w:tcBorders>
                    <w:tl2br w:val="nil"/>
                    <w:tr2bl w:val="nil"/>
                  </w:tcBorders>
                  <w:shd w:val="clear" w:color="auto" w:fill="auto"/>
                  <w:vAlign w:val="center"/>
                </w:tcPr>
                <w:p>
                  <w:pPr>
                    <w:pStyle w:val="24"/>
                  </w:pPr>
                  <w:r>
                    <w:rPr>
                      <w:rFonts w:hint="eastAsia"/>
                    </w:rPr>
                    <w:t>湖南小明同学电器有限公司年加工200万件金属制品建设项目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建设地点</w:t>
                  </w:r>
                </w:p>
              </w:tc>
              <w:tc>
                <w:tcPr>
                  <w:tcW w:w="650" w:type="pct"/>
                  <w:tcBorders>
                    <w:tl2br w:val="nil"/>
                    <w:tr2bl w:val="nil"/>
                  </w:tcBorders>
                  <w:shd w:val="clear" w:color="auto" w:fill="auto"/>
                  <w:vAlign w:val="center"/>
                </w:tcPr>
                <w:p>
                  <w:pPr>
                    <w:pStyle w:val="24"/>
                  </w:pPr>
                  <w:r>
                    <w:rPr>
                      <w:rFonts w:hint="eastAsia"/>
                    </w:rPr>
                    <w:t>（湖南）省</w:t>
                  </w:r>
                </w:p>
              </w:tc>
              <w:tc>
                <w:tcPr>
                  <w:tcW w:w="1342" w:type="pct"/>
                  <w:tcBorders>
                    <w:tl2br w:val="nil"/>
                    <w:tr2bl w:val="nil"/>
                  </w:tcBorders>
                  <w:shd w:val="clear" w:color="auto" w:fill="auto"/>
                  <w:vAlign w:val="center"/>
                </w:tcPr>
                <w:p>
                  <w:pPr>
                    <w:pStyle w:val="24"/>
                  </w:pPr>
                  <w:r>
                    <w:rPr>
                      <w:rFonts w:hint="eastAsia"/>
                    </w:rPr>
                    <w:t>（衡阳）市</w:t>
                  </w:r>
                </w:p>
              </w:tc>
              <w:tc>
                <w:tcPr>
                  <w:tcW w:w="626" w:type="pct"/>
                  <w:tcBorders>
                    <w:tl2br w:val="nil"/>
                    <w:tr2bl w:val="nil"/>
                  </w:tcBorders>
                  <w:shd w:val="clear" w:color="auto" w:fill="auto"/>
                  <w:vAlign w:val="center"/>
                </w:tcPr>
                <w:p>
                  <w:pPr>
                    <w:pStyle w:val="24"/>
                  </w:pPr>
                  <w:r>
                    <w:rPr>
                      <w:rFonts w:hint="eastAsia"/>
                    </w:rPr>
                    <w:t>（衡阳）县</w:t>
                  </w:r>
                </w:p>
              </w:tc>
              <w:tc>
                <w:tcPr>
                  <w:tcW w:w="1268" w:type="pct"/>
                  <w:tcBorders>
                    <w:tl2br w:val="nil"/>
                    <w:tr2bl w:val="nil"/>
                  </w:tcBorders>
                  <w:shd w:val="clear" w:color="auto" w:fill="auto"/>
                  <w:vAlign w:val="center"/>
                </w:tcPr>
                <w:p>
                  <w:pPr>
                    <w:pStyle w:val="24"/>
                  </w:pPr>
                  <w:r>
                    <w:rPr>
                      <w:rFonts w:hint="eastAsia"/>
                    </w:rPr>
                    <w:t>西渡镇西渡高新区内船山西路与洪山路交汇处东北角</w:t>
                  </w:r>
                </w:p>
                <w:p>
                  <w:pPr>
                    <w:pStyle w:val="24"/>
                  </w:pPr>
                  <w:r>
                    <w:rPr>
                      <w:rFonts w:hint="eastAsia"/>
                    </w:rPr>
                    <w:t>双创中心内厂房28栋与23栋一层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地理坐标</w:t>
                  </w:r>
                </w:p>
              </w:tc>
              <w:tc>
                <w:tcPr>
                  <w:tcW w:w="650" w:type="pct"/>
                  <w:tcBorders>
                    <w:tl2br w:val="nil"/>
                    <w:tr2bl w:val="nil"/>
                  </w:tcBorders>
                  <w:shd w:val="clear" w:color="auto" w:fill="auto"/>
                  <w:vAlign w:val="center"/>
                </w:tcPr>
                <w:p>
                  <w:pPr>
                    <w:pStyle w:val="24"/>
                  </w:pPr>
                  <w:r>
                    <w:rPr>
                      <w:rFonts w:hint="eastAsia"/>
                    </w:rPr>
                    <w:t>经度</w:t>
                  </w:r>
                </w:p>
              </w:tc>
              <w:tc>
                <w:tcPr>
                  <w:tcW w:w="1342" w:type="pct"/>
                  <w:tcBorders>
                    <w:tl2br w:val="nil"/>
                    <w:tr2bl w:val="nil"/>
                  </w:tcBorders>
                  <w:shd w:val="clear" w:color="auto" w:fill="auto"/>
                  <w:vAlign w:val="center"/>
                </w:tcPr>
                <w:p>
                  <w:pPr>
                    <w:pStyle w:val="24"/>
                  </w:pPr>
                  <w:r>
                    <w:rPr>
                      <w:rFonts w:hint="eastAsia"/>
                    </w:rPr>
                    <w:t>E112°24′53.309″</w:t>
                  </w:r>
                </w:p>
              </w:tc>
              <w:tc>
                <w:tcPr>
                  <w:tcW w:w="626" w:type="pct"/>
                  <w:tcBorders>
                    <w:tl2br w:val="nil"/>
                    <w:tr2bl w:val="nil"/>
                  </w:tcBorders>
                  <w:shd w:val="clear" w:color="auto" w:fill="auto"/>
                  <w:vAlign w:val="center"/>
                </w:tcPr>
                <w:p>
                  <w:pPr>
                    <w:pStyle w:val="24"/>
                  </w:pPr>
                  <w:r>
                    <w:rPr>
                      <w:rFonts w:hint="eastAsia"/>
                    </w:rPr>
                    <w:t>纬度</w:t>
                  </w:r>
                </w:p>
              </w:tc>
              <w:tc>
                <w:tcPr>
                  <w:tcW w:w="1268" w:type="pct"/>
                  <w:tcBorders>
                    <w:tl2br w:val="nil"/>
                    <w:tr2bl w:val="nil"/>
                  </w:tcBorders>
                  <w:shd w:val="clear" w:color="auto" w:fill="auto"/>
                  <w:vAlign w:val="center"/>
                </w:tcPr>
                <w:p>
                  <w:pPr>
                    <w:pStyle w:val="24"/>
                  </w:pPr>
                  <w:r>
                    <w:rPr>
                      <w:rFonts w:hint="eastAsia"/>
                    </w:rPr>
                    <w:t>N26°59′18.895″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主要危险物质及分布</w:t>
                  </w:r>
                </w:p>
              </w:tc>
              <w:tc>
                <w:tcPr>
                  <w:tcW w:w="3887" w:type="pct"/>
                  <w:gridSpan w:val="4"/>
                  <w:tcBorders>
                    <w:tl2br w:val="nil"/>
                    <w:tr2bl w:val="nil"/>
                  </w:tcBorders>
                  <w:shd w:val="clear" w:color="auto" w:fill="auto"/>
                  <w:vAlign w:val="center"/>
                </w:tcPr>
                <w:p>
                  <w:pPr>
                    <w:pStyle w:val="24"/>
                    <w:jc w:val="both"/>
                  </w:pPr>
                  <w:r>
                    <w:rPr>
                      <w:rFonts w:hint="eastAsia"/>
                    </w:rPr>
                    <w:t>原料储存区、生产区、危废暂存间。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环境影响途径及危害后果（大气、地表水、地下水等）</w:t>
                  </w:r>
                </w:p>
              </w:tc>
              <w:tc>
                <w:tcPr>
                  <w:tcW w:w="3887" w:type="pct"/>
                  <w:gridSpan w:val="4"/>
                  <w:tcBorders>
                    <w:tl2br w:val="nil"/>
                    <w:tr2bl w:val="nil"/>
                  </w:tcBorders>
                  <w:shd w:val="clear" w:color="auto" w:fill="auto"/>
                  <w:vAlign w:val="center"/>
                </w:tcPr>
                <w:p>
                  <w:pPr>
                    <w:pStyle w:val="24"/>
                    <w:jc w:val="both"/>
                  </w:pPr>
                  <w:r>
                    <w:rPr>
                      <w:rFonts w:hint="eastAsia"/>
                    </w:rPr>
                    <w:t>详见“环境风险识别”。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2" w:type="pct"/>
                  <w:tcBorders>
                    <w:tl2br w:val="nil"/>
                    <w:tr2bl w:val="nil"/>
                  </w:tcBorders>
                  <w:shd w:val="clear" w:color="auto" w:fill="auto"/>
                  <w:vAlign w:val="center"/>
                </w:tcPr>
                <w:p>
                  <w:pPr>
                    <w:pStyle w:val="24"/>
                  </w:pPr>
                  <w:r>
                    <w:rPr>
                      <w:rFonts w:hint="eastAsia"/>
                    </w:rPr>
                    <w:t>环境风险防范措施要求</w:t>
                  </w:r>
                </w:p>
              </w:tc>
              <w:tc>
                <w:tcPr>
                  <w:tcW w:w="3887" w:type="pct"/>
                  <w:gridSpan w:val="4"/>
                  <w:tcBorders>
                    <w:tl2br w:val="nil"/>
                    <w:tr2bl w:val="nil"/>
                  </w:tcBorders>
                  <w:shd w:val="clear" w:color="auto" w:fill="auto"/>
                  <w:vAlign w:val="center"/>
                </w:tcPr>
                <w:p>
                  <w:pPr>
                    <w:pStyle w:val="24"/>
                    <w:jc w:val="both"/>
                  </w:pPr>
                  <w:r>
                    <w:rPr>
                      <w:rFonts w:hint="eastAsia"/>
                    </w:rPr>
                    <w:t>详见“环境风险防范措施”。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tcBorders>
                    <w:tl2br w:val="nil"/>
                    <w:tr2bl w:val="nil"/>
                  </w:tcBorders>
                  <w:shd w:val="clear" w:color="auto" w:fill="auto"/>
                  <w:vAlign w:val="center"/>
                </w:tcPr>
                <w:p>
                  <w:pPr>
                    <w:pStyle w:val="24"/>
                    <w:jc w:val="both"/>
                  </w:pPr>
                  <w:r>
                    <w:rPr>
                      <w:rFonts w:hint="eastAsia"/>
                    </w:rPr>
                    <w:t>填表说明（列出项目相关信息及评价说明）：</w:t>
                  </w:r>
                </w:p>
                <w:p>
                  <w:pPr>
                    <w:pStyle w:val="24"/>
                    <w:jc w:val="both"/>
                  </w:pPr>
                  <w:r>
                    <w:rPr>
                      <w:rFonts w:hint="eastAsia"/>
                    </w:rPr>
                    <w:t>本项目经风险调查、风险潜势初判，确定项目风险潜势为</w:t>
                  </w:r>
                  <w:r>
                    <w:t>Ⅰ</w:t>
                  </w:r>
                  <w:r>
                    <w:rPr>
                      <w:rFonts w:hint="eastAsia"/>
                    </w:rPr>
                    <w:t>，仅对项目进行简单分析。</w:t>
                  </w:r>
                </w:p>
              </w:tc>
            </w:tr>
          </w:tbl>
          <w:p>
            <w:pPr>
              <w:ind w:firstLine="480"/>
            </w:pPr>
            <w:r>
              <w:rPr>
                <w:rFonts w:hint="eastAsia"/>
              </w:rPr>
              <w:t>经分析，项目生产过程中存在的风险物质未构成重大危险源。本项目可能发生的事故主要包括生产运行和储运过程的原材料的泄漏、废气事故排放等。根据其他同类企业的多年运行经验，该类项目泄漏、废气事故排放等事故发生概率很低，只要通过加强公司管理，做好防范措施等，可将其风险控制在可接受范围内。同时，本项目通过制定风险防范措施，制定安全生产规范，通过加强员工的安全、环保知识和风险事故安全教育，提高职工的风险意识，掌握本职工作所需的安全知识和技能，严格遵守安全规章制度和操作规程，了解其作业场所和工作存在的危险有害因素以及企业所采取的防范措施和环境突发事故应急措施，以减少风险发生的概率。</w:t>
            </w:r>
          </w:p>
          <w:p>
            <w:pPr>
              <w:ind w:firstLine="480"/>
            </w:pPr>
            <w:r>
              <w:rPr>
                <w:rFonts w:hint="eastAsia"/>
              </w:rPr>
              <w:t>因此，在本项目环境风险防范措施落实到位的情况下，项目可最大限度地降低环境风险，一旦意外事件发生，也能最大限度地减少环境污染危害和人们生命财产的损失。</w:t>
            </w:r>
          </w:p>
          <w:p>
            <w:pPr>
              <w:pStyle w:val="2"/>
              <w:keepLines/>
              <w:widowControl/>
              <w:overflowPunct/>
              <w:spacing w:before="120"/>
            </w:pPr>
            <w:bookmarkStart w:id="181" w:name="_Toc20169"/>
            <w:bookmarkStart w:id="182" w:name="_Toc17715"/>
            <w:bookmarkStart w:id="183" w:name="_Toc24686"/>
            <w:r>
              <w:rPr>
                <w:rFonts w:hint="eastAsia"/>
              </w:rPr>
              <w:t>8、电磁辐射</w:t>
            </w:r>
            <w:bookmarkEnd w:id="181"/>
            <w:bookmarkEnd w:id="182"/>
            <w:bookmarkEnd w:id="183"/>
          </w:p>
          <w:p>
            <w:pPr>
              <w:ind w:firstLine="480"/>
              <w:rPr>
                <w:rFonts w:hint="eastAsia"/>
              </w:rPr>
            </w:pPr>
            <w:r>
              <w:rPr>
                <w:rFonts w:hint="eastAsia"/>
              </w:rPr>
              <w:t>本项目属于结构性金属制品制造，不属于新建或改建、扩建广播电台、电视塔台、雷达等电磁辐射类项目，无需开展电磁辐射影响评价。</w:t>
            </w:r>
          </w:p>
          <w:p>
            <w:pPr>
              <w:pStyle w:val="2"/>
              <w:bidi w:val="0"/>
              <w:rPr>
                <w:rFonts w:hint="eastAsia"/>
                <w:u w:val="single"/>
                <w:lang w:val="en-US" w:eastAsia="zh-CN"/>
              </w:rPr>
            </w:pPr>
            <w:bookmarkStart w:id="184" w:name="_Toc11854"/>
            <w:bookmarkStart w:id="185" w:name="_Toc19590"/>
            <w:r>
              <w:rPr>
                <w:rFonts w:hint="eastAsia"/>
                <w:u w:val="single"/>
                <w:lang w:val="en-US" w:eastAsia="zh-CN"/>
              </w:rPr>
              <w:t>9、环保投资分析</w:t>
            </w:r>
            <w:bookmarkEnd w:id="184"/>
            <w:bookmarkEnd w:id="185"/>
          </w:p>
          <w:p>
            <w:pPr>
              <w:keepNext w:val="0"/>
              <w:keepLines w:val="0"/>
              <w:pageBreakBefore w:val="0"/>
              <w:widowControl w:val="0"/>
              <w:kinsoku/>
              <w:wordWrap/>
              <w:overflowPunct/>
              <w:topLinePunct w:val="0"/>
              <w:autoSpaceDE/>
              <w:autoSpaceDN/>
              <w:bidi w:val="0"/>
              <w:adjustRightInd/>
              <w:snapToGrid/>
              <w:spacing w:after="625" w:afterLines="200"/>
              <w:ind w:firstLine="480"/>
              <w:textAlignment w:val="auto"/>
              <w:rPr>
                <w:rFonts w:hint="eastAsia"/>
                <w:u w:val="single"/>
                <w:lang w:val="en-US" w:eastAsia="zh-CN"/>
              </w:rPr>
            </w:pPr>
            <w:r>
              <w:rPr>
                <w:rFonts w:hint="eastAsia"/>
                <w:u w:val="single"/>
                <w:lang w:val="en-US" w:eastAsia="zh-CN"/>
              </w:rPr>
              <w:t>本项目</w:t>
            </w:r>
            <w:r>
              <w:rPr>
                <w:rFonts w:hint="eastAsia"/>
                <w:u w:val="single"/>
              </w:rPr>
              <w:t>总投资700万元，其中环保投资100万元</w:t>
            </w:r>
            <w:r>
              <w:rPr>
                <w:rFonts w:hint="eastAsia"/>
                <w:u w:val="single"/>
                <w:lang w:eastAsia="zh-CN"/>
              </w:rPr>
              <w:t>。</w:t>
            </w:r>
            <w:r>
              <w:rPr>
                <w:rFonts w:hint="eastAsia"/>
                <w:u w:val="single"/>
                <w:lang w:val="en-US" w:eastAsia="zh-CN"/>
              </w:rPr>
              <w:t>本项目主要环保设施投资见下表。</w:t>
            </w:r>
          </w:p>
          <w:p>
            <w:pPr>
              <w:pStyle w:val="37"/>
              <w:bidi w:val="0"/>
              <w:rPr>
                <w:rFonts w:hint="eastAsia"/>
                <w:u w:val="single"/>
                <w:lang w:val="en-US" w:eastAsia="zh-CN"/>
              </w:rPr>
            </w:pPr>
            <w:r>
              <w:rPr>
                <w:rFonts w:hint="eastAsia"/>
                <w:u w:val="single"/>
                <w:lang w:val="en-US" w:eastAsia="zh-CN"/>
              </w:rPr>
              <w:t>表4-29 项目环保投资一览表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3"/>
              <w:gridCol w:w="5312"/>
              <w:gridCol w:w="13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b/>
                      <w:bCs/>
                      <w:u w:val="single"/>
                      <w:lang w:val="en-US" w:eastAsia="zh-CN"/>
                    </w:rPr>
                  </w:pPr>
                  <w:r>
                    <w:rPr>
                      <w:rFonts w:hint="eastAsia"/>
                      <w:b/>
                      <w:bCs/>
                      <w:u w:val="single"/>
                      <w:lang w:val="en-US" w:eastAsia="zh-CN"/>
                    </w:rPr>
                    <w:t>项目</w:t>
                  </w:r>
                </w:p>
              </w:tc>
              <w:tc>
                <w:tcPr>
                  <w:tcW w:w="5312" w:type="dxa"/>
                  <w:vAlign w:val="center"/>
                </w:tcPr>
                <w:p>
                  <w:pPr>
                    <w:pStyle w:val="24"/>
                    <w:bidi w:val="0"/>
                    <w:rPr>
                      <w:rFonts w:hint="default"/>
                      <w:b/>
                      <w:bCs/>
                      <w:u w:val="single"/>
                      <w:lang w:val="en-US" w:eastAsia="zh-CN"/>
                    </w:rPr>
                  </w:pPr>
                  <w:r>
                    <w:rPr>
                      <w:rFonts w:hint="eastAsia"/>
                      <w:b/>
                      <w:bCs/>
                      <w:u w:val="single"/>
                      <w:lang w:val="en-US" w:eastAsia="zh-CN"/>
                    </w:rPr>
                    <w:t>环保项目名称</w:t>
                  </w:r>
                </w:p>
              </w:tc>
              <w:tc>
                <w:tcPr>
                  <w:tcW w:w="1392" w:type="dxa"/>
                  <w:vAlign w:val="center"/>
                </w:tcPr>
                <w:p>
                  <w:pPr>
                    <w:pStyle w:val="24"/>
                    <w:bidi w:val="0"/>
                    <w:rPr>
                      <w:rFonts w:hint="default"/>
                      <w:b/>
                      <w:bCs/>
                      <w:u w:val="single"/>
                      <w:lang w:val="en-US" w:eastAsia="zh-CN"/>
                    </w:rPr>
                  </w:pPr>
                  <w:r>
                    <w:rPr>
                      <w:rFonts w:hint="eastAsia"/>
                      <w:b/>
                      <w:bCs/>
                      <w:u w:val="single"/>
                      <w:lang w:val="en-US" w:eastAsia="zh-CN"/>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u w:val="single"/>
                      <w:lang w:val="en-US" w:eastAsia="zh-CN"/>
                    </w:rPr>
                  </w:pPr>
                  <w:r>
                    <w:rPr>
                      <w:rFonts w:hint="eastAsia"/>
                      <w:u w:val="single"/>
                      <w:lang w:val="en-US" w:eastAsia="zh-CN"/>
                    </w:rPr>
                    <w:t>废气处理</w:t>
                  </w:r>
                </w:p>
              </w:tc>
              <w:tc>
                <w:tcPr>
                  <w:tcW w:w="5312" w:type="dxa"/>
                  <w:vAlign w:val="center"/>
                </w:tcPr>
                <w:p>
                  <w:pPr>
                    <w:pStyle w:val="24"/>
                    <w:bidi w:val="0"/>
                    <w:rPr>
                      <w:rFonts w:hint="default"/>
                      <w:u w:val="single"/>
                      <w:lang w:val="en-US" w:eastAsia="zh-CN"/>
                    </w:rPr>
                  </w:pPr>
                  <w:r>
                    <w:rPr>
                      <w:rFonts w:hint="eastAsia"/>
                      <w:u w:val="single"/>
                      <w:lang w:val="en-US" w:eastAsia="zh-CN"/>
                    </w:rPr>
                    <w:t>集气罩、废气管线、集中式焊接烟尘净化器、碱液喷淋塔、旋风除尘器、布袋除尘器、风机等</w:t>
                  </w:r>
                </w:p>
              </w:tc>
              <w:tc>
                <w:tcPr>
                  <w:tcW w:w="1392" w:type="dxa"/>
                  <w:vAlign w:val="center"/>
                </w:tcPr>
                <w:p>
                  <w:pPr>
                    <w:pStyle w:val="24"/>
                    <w:bidi w:val="0"/>
                    <w:rPr>
                      <w:rFonts w:hint="default"/>
                      <w:u w:val="single"/>
                      <w:lang w:val="en-US" w:eastAsia="zh-CN"/>
                    </w:rPr>
                  </w:pPr>
                  <w:r>
                    <w:rPr>
                      <w:rFonts w:hint="eastAsia"/>
                      <w:u w:val="singl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u w:val="single"/>
                      <w:lang w:val="en-US" w:eastAsia="zh-CN"/>
                    </w:rPr>
                  </w:pPr>
                  <w:r>
                    <w:rPr>
                      <w:rFonts w:hint="eastAsia"/>
                      <w:u w:val="single"/>
                      <w:lang w:val="en-US" w:eastAsia="zh-CN"/>
                    </w:rPr>
                    <w:t>废水处理</w:t>
                  </w:r>
                </w:p>
              </w:tc>
              <w:tc>
                <w:tcPr>
                  <w:tcW w:w="5312" w:type="dxa"/>
                  <w:vAlign w:val="center"/>
                </w:tcPr>
                <w:p>
                  <w:pPr>
                    <w:pStyle w:val="24"/>
                    <w:bidi w:val="0"/>
                    <w:rPr>
                      <w:rFonts w:hint="default"/>
                      <w:u w:val="single"/>
                      <w:lang w:val="en-US" w:eastAsia="zh-CN"/>
                    </w:rPr>
                  </w:pPr>
                  <w:r>
                    <w:rPr>
                      <w:rFonts w:hint="eastAsia"/>
                      <w:u w:val="single"/>
                      <w:lang w:val="en-US" w:eastAsia="zh-CN"/>
                    </w:rPr>
                    <w:t>隔油池、调节池、一体化处理设施等</w:t>
                  </w:r>
                </w:p>
              </w:tc>
              <w:tc>
                <w:tcPr>
                  <w:tcW w:w="1392" w:type="dxa"/>
                  <w:vAlign w:val="center"/>
                </w:tcPr>
                <w:p>
                  <w:pPr>
                    <w:pStyle w:val="24"/>
                    <w:bidi w:val="0"/>
                    <w:rPr>
                      <w:rFonts w:hint="default"/>
                      <w:u w:val="single"/>
                      <w:lang w:val="en-US" w:eastAsia="zh-CN"/>
                    </w:rPr>
                  </w:pPr>
                  <w:r>
                    <w:rPr>
                      <w:rFonts w:hint="eastAsia"/>
                      <w:u w:val="single"/>
                      <w:lang w:val="en-US" w:eastAsia="zh-CN"/>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u w:val="single"/>
                      <w:lang w:val="en-US" w:eastAsia="zh-CN"/>
                    </w:rPr>
                  </w:pPr>
                  <w:r>
                    <w:rPr>
                      <w:rFonts w:hint="eastAsia"/>
                      <w:u w:val="single"/>
                      <w:lang w:val="en-US" w:eastAsia="zh-CN"/>
                    </w:rPr>
                    <w:t>固废处理</w:t>
                  </w:r>
                </w:p>
              </w:tc>
              <w:tc>
                <w:tcPr>
                  <w:tcW w:w="5312" w:type="dxa"/>
                  <w:vAlign w:val="center"/>
                </w:tcPr>
                <w:p>
                  <w:pPr>
                    <w:pStyle w:val="24"/>
                    <w:bidi w:val="0"/>
                    <w:rPr>
                      <w:rFonts w:hint="default"/>
                      <w:u w:val="single"/>
                      <w:lang w:val="en-US" w:eastAsia="zh-CN"/>
                    </w:rPr>
                  </w:pPr>
                  <w:r>
                    <w:rPr>
                      <w:rFonts w:hint="eastAsia"/>
                      <w:u w:val="single"/>
                      <w:lang w:val="en-US" w:eastAsia="zh-CN"/>
                    </w:rPr>
                    <w:t>一般固废暂存设施；生活垃圾暂存设施、危废暂存间等</w:t>
                  </w:r>
                </w:p>
              </w:tc>
              <w:tc>
                <w:tcPr>
                  <w:tcW w:w="1392" w:type="dxa"/>
                  <w:vAlign w:val="center"/>
                </w:tcPr>
                <w:p>
                  <w:pPr>
                    <w:pStyle w:val="24"/>
                    <w:bidi w:val="0"/>
                    <w:rPr>
                      <w:rFonts w:hint="default"/>
                      <w:u w:val="single"/>
                      <w:lang w:val="en-US" w:eastAsia="zh-CN"/>
                    </w:rPr>
                  </w:pPr>
                  <w:r>
                    <w:rPr>
                      <w:rFonts w:hint="eastAsia"/>
                      <w:u w:val="single"/>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u w:val="single"/>
                      <w:lang w:val="en-US" w:eastAsia="zh-CN"/>
                    </w:rPr>
                  </w:pPr>
                  <w:r>
                    <w:rPr>
                      <w:rFonts w:hint="eastAsia"/>
                      <w:u w:val="single"/>
                      <w:lang w:val="en-US" w:eastAsia="zh-CN"/>
                    </w:rPr>
                    <w:t>噪声处理</w:t>
                  </w:r>
                </w:p>
              </w:tc>
              <w:tc>
                <w:tcPr>
                  <w:tcW w:w="5312" w:type="dxa"/>
                  <w:vAlign w:val="center"/>
                </w:tcPr>
                <w:p>
                  <w:pPr>
                    <w:pStyle w:val="24"/>
                    <w:bidi w:val="0"/>
                    <w:rPr>
                      <w:rFonts w:hint="default"/>
                      <w:u w:val="single"/>
                      <w:lang w:val="en-US" w:eastAsia="zh-CN"/>
                    </w:rPr>
                  </w:pPr>
                  <w:r>
                    <w:rPr>
                      <w:rFonts w:hint="default"/>
                      <w:u w:val="single"/>
                      <w:lang w:val="en-US" w:eastAsia="zh-CN"/>
                    </w:rPr>
                    <w:t>低噪声设备、消声、减震、隔音</w:t>
                  </w:r>
                  <w:r>
                    <w:rPr>
                      <w:rFonts w:hint="eastAsia"/>
                      <w:u w:val="single"/>
                      <w:lang w:val="en-US" w:eastAsia="zh-CN"/>
                    </w:rPr>
                    <w:t>等</w:t>
                  </w:r>
                </w:p>
              </w:tc>
              <w:tc>
                <w:tcPr>
                  <w:tcW w:w="1392" w:type="dxa"/>
                  <w:vAlign w:val="center"/>
                </w:tcPr>
                <w:p>
                  <w:pPr>
                    <w:pStyle w:val="24"/>
                    <w:bidi w:val="0"/>
                    <w:rPr>
                      <w:rFonts w:hint="default"/>
                      <w:u w:val="single"/>
                      <w:lang w:val="en-US" w:eastAsia="zh-CN"/>
                    </w:rPr>
                  </w:pPr>
                  <w:r>
                    <w:rPr>
                      <w:rFonts w:hint="eastAsia"/>
                      <w:u w:val="singl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 w:type="dxa"/>
                  <w:vAlign w:val="center"/>
                </w:tcPr>
                <w:p>
                  <w:pPr>
                    <w:pStyle w:val="24"/>
                    <w:bidi w:val="0"/>
                    <w:rPr>
                      <w:rFonts w:hint="default"/>
                      <w:u w:val="single"/>
                      <w:lang w:val="en-US" w:eastAsia="zh-CN"/>
                    </w:rPr>
                  </w:pPr>
                  <w:r>
                    <w:rPr>
                      <w:rFonts w:hint="eastAsia"/>
                      <w:u w:val="single"/>
                      <w:lang w:val="en-US" w:eastAsia="zh-CN"/>
                    </w:rPr>
                    <w:t>其他处理</w:t>
                  </w:r>
                </w:p>
              </w:tc>
              <w:tc>
                <w:tcPr>
                  <w:tcW w:w="5312" w:type="dxa"/>
                  <w:vAlign w:val="center"/>
                </w:tcPr>
                <w:p>
                  <w:pPr>
                    <w:pStyle w:val="24"/>
                    <w:bidi w:val="0"/>
                    <w:rPr>
                      <w:rFonts w:hint="default"/>
                      <w:u w:val="single"/>
                      <w:lang w:val="en-US" w:eastAsia="zh-CN"/>
                    </w:rPr>
                  </w:pPr>
                  <w:r>
                    <w:rPr>
                      <w:rFonts w:hint="eastAsia"/>
                      <w:u w:val="single"/>
                      <w:lang w:val="en-US" w:eastAsia="zh-CN"/>
                    </w:rPr>
                    <w:t>地面做防渗防漏处理等</w:t>
                  </w:r>
                </w:p>
              </w:tc>
              <w:tc>
                <w:tcPr>
                  <w:tcW w:w="1392" w:type="dxa"/>
                  <w:vAlign w:val="center"/>
                </w:tcPr>
                <w:p>
                  <w:pPr>
                    <w:pStyle w:val="24"/>
                    <w:bidi w:val="0"/>
                    <w:rPr>
                      <w:rFonts w:hint="default"/>
                      <w:u w:val="single"/>
                      <w:lang w:val="en-US" w:eastAsia="zh-CN"/>
                    </w:rPr>
                  </w:pPr>
                  <w:r>
                    <w:rPr>
                      <w:rFonts w:hint="eastAsia"/>
                      <w:u w:val="singl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15" w:type="dxa"/>
                  <w:gridSpan w:val="2"/>
                  <w:vAlign w:val="center"/>
                </w:tcPr>
                <w:p>
                  <w:pPr>
                    <w:pStyle w:val="24"/>
                    <w:bidi w:val="0"/>
                    <w:rPr>
                      <w:rFonts w:hint="default"/>
                      <w:u w:val="single"/>
                      <w:lang w:val="en-US" w:eastAsia="zh-CN"/>
                    </w:rPr>
                  </w:pPr>
                  <w:r>
                    <w:rPr>
                      <w:rFonts w:hint="eastAsia"/>
                      <w:u w:val="single"/>
                      <w:lang w:val="en-US" w:eastAsia="zh-CN"/>
                    </w:rPr>
                    <w:t>合计</w:t>
                  </w:r>
                </w:p>
              </w:tc>
              <w:tc>
                <w:tcPr>
                  <w:tcW w:w="1392" w:type="dxa"/>
                  <w:vAlign w:val="center"/>
                </w:tcPr>
                <w:p>
                  <w:pPr>
                    <w:pStyle w:val="24"/>
                    <w:bidi w:val="0"/>
                    <w:rPr>
                      <w:rFonts w:hint="default"/>
                      <w:u w:val="single"/>
                      <w:lang w:val="en-US" w:eastAsia="zh-CN"/>
                    </w:rPr>
                  </w:pPr>
                  <w:r>
                    <w:rPr>
                      <w:rFonts w:hint="eastAsia"/>
                      <w:u w:val="single"/>
                      <w:lang w:val="en-US" w:eastAsia="zh-CN"/>
                    </w:rPr>
                    <w:t>100</w:t>
                  </w:r>
                </w:p>
              </w:tc>
            </w:tr>
          </w:tbl>
          <w:p>
            <w:pPr>
              <w:ind w:firstLine="480"/>
              <w:rPr>
                <w:rFonts w:hint="default"/>
                <w:lang w:val="en-US" w:eastAsia="zh-CN"/>
              </w:rPr>
            </w:pPr>
          </w:p>
        </w:tc>
      </w:tr>
    </w:tbl>
    <w:p>
      <w:pPr>
        <w:adjustRightInd w:val="0"/>
        <w:snapToGrid w:val="0"/>
        <w:ind w:firstLine="562"/>
        <w:rPr>
          <w:rFonts w:ascii="宋体" w:cs="宋体"/>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15"/>
        <w:jc w:val="center"/>
        <w:outlineLvl w:val="0"/>
        <w:rPr>
          <w:rFonts w:hint="eastAsia" w:ascii="黑体" w:hAnsi="黑体" w:eastAsia="黑体"/>
          <w:snapToGrid w:val="0"/>
          <w:sz w:val="30"/>
          <w:szCs w:val="30"/>
        </w:rPr>
      </w:pPr>
      <w:bookmarkStart w:id="186" w:name="_Toc7007"/>
      <w:r>
        <w:rPr>
          <w:rFonts w:hint="eastAsia" w:ascii="黑体" w:hAnsi="黑体" w:eastAsia="黑体"/>
          <w:snapToGrid w:val="0"/>
          <w:sz w:val="30"/>
          <w:szCs w:val="30"/>
        </w:rPr>
        <w:t>五、</w:t>
      </w:r>
      <w:bookmarkStart w:id="187" w:name="_Hlk54167917"/>
      <w:r>
        <w:rPr>
          <w:rFonts w:hint="eastAsia" w:ascii="黑体" w:hAnsi="黑体" w:eastAsia="黑体"/>
          <w:snapToGrid w:val="0"/>
          <w:sz w:val="30"/>
          <w:szCs w:val="30"/>
        </w:rPr>
        <w:t>环境保护措施监督检查清单</w:t>
      </w:r>
      <w:bookmarkEnd w:id="186"/>
      <w:bookmarkEnd w:id="187"/>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0"/>
        <w:gridCol w:w="1529"/>
        <w:gridCol w:w="1000"/>
        <w:gridCol w:w="2505"/>
        <w:gridCol w:w="29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tcBorders>
              <w:tl2br w:val="single" w:color="auto" w:sz="4" w:space="0"/>
            </w:tcBorders>
          </w:tcPr>
          <w:p>
            <w:pPr>
              <w:pStyle w:val="24"/>
              <w:adjustRightInd/>
              <w:snapToGrid/>
              <w:rPr>
                <w:b/>
                <w:kern w:val="2"/>
                <w:szCs w:val="21"/>
                <w:u w:val="single"/>
              </w:rPr>
            </w:pPr>
            <w:r>
              <w:rPr>
                <w:rFonts w:hint="eastAsia"/>
                <w:b/>
                <w:kern w:val="2"/>
                <w:szCs w:val="21"/>
                <w:u w:val="single"/>
              </w:rPr>
              <w:t>内容</w:t>
            </w:r>
          </w:p>
          <w:p>
            <w:pPr>
              <w:pStyle w:val="24"/>
              <w:adjustRightInd/>
              <w:snapToGrid/>
              <w:rPr>
                <w:b/>
                <w:kern w:val="2"/>
                <w:szCs w:val="21"/>
                <w:u w:val="single"/>
              </w:rPr>
            </w:pPr>
            <w:r>
              <w:rPr>
                <w:rFonts w:hint="eastAsia"/>
                <w:b/>
                <w:kern w:val="2"/>
                <w:szCs w:val="21"/>
                <w:u w:val="single"/>
              </w:rPr>
              <w:t>要素</w:t>
            </w:r>
          </w:p>
        </w:tc>
        <w:tc>
          <w:tcPr>
            <w:tcW w:w="1529" w:type="dxa"/>
            <w:vAlign w:val="center"/>
          </w:tcPr>
          <w:p>
            <w:pPr>
              <w:pStyle w:val="24"/>
              <w:adjustRightInd/>
              <w:snapToGrid/>
              <w:rPr>
                <w:b/>
                <w:kern w:val="2"/>
                <w:szCs w:val="21"/>
                <w:u w:val="single"/>
              </w:rPr>
            </w:pPr>
            <w:r>
              <w:rPr>
                <w:rFonts w:hint="eastAsia"/>
                <w:b/>
                <w:kern w:val="2"/>
                <w:szCs w:val="21"/>
                <w:u w:val="single"/>
              </w:rPr>
              <w:t>排放口（编号、名称）/污染源</w:t>
            </w:r>
          </w:p>
        </w:tc>
        <w:tc>
          <w:tcPr>
            <w:tcW w:w="1000" w:type="dxa"/>
            <w:vAlign w:val="center"/>
          </w:tcPr>
          <w:p>
            <w:pPr>
              <w:pStyle w:val="24"/>
              <w:adjustRightInd/>
              <w:snapToGrid/>
              <w:rPr>
                <w:b/>
                <w:kern w:val="2"/>
                <w:szCs w:val="21"/>
                <w:u w:val="single"/>
              </w:rPr>
            </w:pPr>
            <w:r>
              <w:rPr>
                <w:rFonts w:hint="eastAsia"/>
                <w:b/>
                <w:kern w:val="2"/>
                <w:szCs w:val="21"/>
                <w:u w:val="single"/>
              </w:rPr>
              <w:t>污染物项目</w:t>
            </w:r>
          </w:p>
        </w:tc>
        <w:tc>
          <w:tcPr>
            <w:tcW w:w="2505" w:type="dxa"/>
            <w:vAlign w:val="center"/>
          </w:tcPr>
          <w:p>
            <w:pPr>
              <w:pStyle w:val="24"/>
              <w:adjustRightInd/>
              <w:snapToGrid/>
              <w:rPr>
                <w:b/>
                <w:kern w:val="2"/>
                <w:szCs w:val="21"/>
                <w:u w:val="single"/>
              </w:rPr>
            </w:pPr>
            <w:r>
              <w:rPr>
                <w:rFonts w:hint="eastAsia"/>
                <w:b/>
                <w:kern w:val="2"/>
                <w:szCs w:val="21"/>
                <w:u w:val="single"/>
              </w:rPr>
              <w:t>环境保护措施</w:t>
            </w:r>
          </w:p>
        </w:tc>
        <w:tc>
          <w:tcPr>
            <w:tcW w:w="2946" w:type="dxa"/>
            <w:vAlign w:val="center"/>
          </w:tcPr>
          <w:p>
            <w:pPr>
              <w:pStyle w:val="24"/>
              <w:adjustRightInd/>
              <w:snapToGrid/>
              <w:rPr>
                <w:b/>
                <w:kern w:val="2"/>
                <w:szCs w:val="21"/>
                <w:u w:val="single"/>
              </w:rPr>
            </w:pPr>
            <w:r>
              <w:rPr>
                <w:rFonts w:hint="eastAsia"/>
                <w:b/>
                <w:kern w:val="2"/>
                <w:szCs w:val="21"/>
                <w:u w:val="singl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restart"/>
            <w:vAlign w:val="center"/>
          </w:tcPr>
          <w:p>
            <w:pPr>
              <w:pStyle w:val="24"/>
              <w:adjustRightInd/>
              <w:snapToGrid/>
              <w:rPr>
                <w:b/>
                <w:kern w:val="2"/>
                <w:szCs w:val="21"/>
                <w:u w:val="single"/>
              </w:rPr>
            </w:pPr>
            <w:r>
              <w:rPr>
                <w:rFonts w:hint="eastAsia"/>
                <w:b/>
                <w:kern w:val="2"/>
                <w:szCs w:val="21"/>
                <w:u w:val="single"/>
              </w:rPr>
              <w:t>大气环境</w:t>
            </w:r>
          </w:p>
        </w:tc>
        <w:tc>
          <w:tcPr>
            <w:tcW w:w="1529" w:type="dxa"/>
            <w:vAlign w:val="center"/>
          </w:tcPr>
          <w:p>
            <w:pPr>
              <w:pStyle w:val="24"/>
              <w:adjustRightInd/>
              <w:snapToGrid/>
              <w:rPr>
                <w:rFonts w:hint="default" w:eastAsia="宋体"/>
                <w:bCs/>
                <w:kern w:val="2"/>
                <w:szCs w:val="21"/>
                <w:u w:val="single"/>
                <w:lang w:val="en-US" w:eastAsia="zh-CN"/>
              </w:rPr>
            </w:pPr>
            <w:r>
              <w:rPr>
                <w:rFonts w:hint="eastAsia"/>
                <w:bCs/>
                <w:kern w:val="2"/>
                <w:szCs w:val="21"/>
                <w:u w:val="single"/>
                <w:lang w:val="en-US" w:eastAsia="zh-CN"/>
              </w:rPr>
              <w:t>焊接废气排放口</w:t>
            </w:r>
            <w:r>
              <w:rPr>
                <w:rFonts w:hint="eastAsia"/>
                <w:bCs/>
                <w:kern w:val="2"/>
                <w:szCs w:val="21"/>
                <w:u w:val="single"/>
              </w:rPr>
              <w:t>（DA001）</w:t>
            </w:r>
          </w:p>
        </w:tc>
        <w:tc>
          <w:tcPr>
            <w:tcW w:w="1000" w:type="dxa"/>
            <w:vAlign w:val="center"/>
          </w:tcPr>
          <w:p>
            <w:pPr>
              <w:pStyle w:val="24"/>
              <w:adjustRightInd/>
              <w:snapToGrid/>
              <w:rPr>
                <w:rFonts w:hint="eastAsia" w:eastAsia="宋体"/>
                <w:bCs/>
                <w:kern w:val="2"/>
                <w:szCs w:val="21"/>
                <w:u w:val="single"/>
                <w:lang w:val="en-US" w:eastAsia="zh-CN"/>
              </w:rPr>
            </w:pPr>
            <w:r>
              <w:rPr>
                <w:rFonts w:hint="eastAsia"/>
                <w:bCs/>
                <w:kern w:val="2"/>
                <w:szCs w:val="21"/>
                <w:u w:val="single"/>
                <w:lang w:val="en-US" w:eastAsia="zh-CN"/>
              </w:rPr>
              <w:t>颗粒物</w:t>
            </w:r>
          </w:p>
        </w:tc>
        <w:tc>
          <w:tcPr>
            <w:tcW w:w="2505" w:type="dxa"/>
            <w:vAlign w:val="center"/>
          </w:tcPr>
          <w:p>
            <w:pPr>
              <w:pStyle w:val="24"/>
              <w:adjustRightInd/>
              <w:snapToGrid/>
              <w:rPr>
                <w:bCs/>
                <w:kern w:val="2"/>
                <w:szCs w:val="21"/>
                <w:u w:val="single"/>
              </w:rPr>
            </w:pPr>
            <w:r>
              <w:rPr>
                <w:rFonts w:hint="eastAsia"/>
                <w:u w:val="single"/>
                <w:lang w:val="en-US" w:eastAsia="zh-CN"/>
              </w:rPr>
              <w:t>经集中式焊烟净化器处理后经1根27米高排气筒（DA001）排放</w:t>
            </w:r>
          </w:p>
        </w:tc>
        <w:tc>
          <w:tcPr>
            <w:tcW w:w="2946" w:type="dxa"/>
            <w:vMerge w:val="restart"/>
            <w:vAlign w:val="center"/>
          </w:tcPr>
          <w:p>
            <w:pPr>
              <w:pStyle w:val="24"/>
              <w:adjustRightInd/>
              <w:snapToGrid/>
              <w:rPr>
                <w:rFonts w:hint="default" w:eastAsia="宋体"/>
                <w:bCs/>
                <w:kern w:val="2"/>
                <w:szCs w:val="21"/>
                <w:u w:val="single"/>
                <w:lang w:val="en-US" w:eastAsia="zh-CN"/>
              </w:rPr>
            </w:pPr>
            <w:r>
              <w:rPr>
                <w:rFonts w:hint="eastAsia"/>
                <w:u w:val="single"/>
              </w:rPr>
              <w:t>《大气污染物综合排放标准》（</w:t>
            </w:r>
            <w:r>
              <w:rPr>
                <w:u w:val="single"/>
              </w:rPr>
              <w:t>GB 16297-1996</w:t>
            </w:r>
            <w:r>
              <w:rPr>
                <w:rFonts w:hint="eastAsia"/>
                <w:u w:val="single"/>
              </w:rPr>
              <w:t>）表2</w:t>
            </w:r>
            <w:r>
              <w:rPr>
                <w:rFonts w:hint="eastAsia"/>
                <w:u w:val="single"/>
                <w:lang w:val="en-US" w:eastAsia="zh-CN"/>
              </w:rPr>
              <w:t>中二级标准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rFonts w:hint="eastAsia"/>
                <w:b/>
                <w:kern w:val="2"/>
                <w:szCs w:val="21"/>
                <w:u w:val="single"/>
              </w:rPr>
            </w:pPr>
          </w:p>
        </w:tc>
        <w:tc>
          <w:tcPr>
            <w:tcW w:w="1529" w:type="dxa"/>
            <w:vAlign w:val="center"/>
          </w:tcPr>
          <w:p>
            <w:pPr>
              <w:pStyle w:val="24"/>
              <w:adjustRightInd/>
              <w:snapToGrid/>
              <w:rPr>
                <w:rFonts w:hint="default"/>
                <w:bCs/>
                <w:kern w:val="2"/>
                <w:szCs w:val="21"/>
                <w:u w:val="single"/>
                <w:lang w:val="en-US" w:eastAsia="zh-CN"/>
              </w:rPr>
            </w:pPr>
            <w:r>
              <w:rPr>
                <w:rFonts w:hint="eastAsia"/>
                <w:bCs/>
                <w:kern w:val="2"/>
                <w:szCs w:val="21"/>
                <w:u w:val="single"/>
                <w:lang w:val="en-US" w:eastAsia="zh-CN"/>
              </w:rPr>
              <w:t>酸洗废气排放口</w:t>
            </w:r>
            <w:r>
              <w:rPr>
                <w:rFonts w:hint="eastAsia"/>
                <w:bCs/>
                <w:kern w:val="2"/>
                <w:szCs w:val="21"/>
                <w:u w:val="single"/>
              </w:rPr>
              <w:t>（DA00</w:t>
            </w:r>
            <w:r>
              <w:rPr>
                <w:rFonts w:hint="eastAsia"/>
                <w:bCs/>
                <w:kern w:val="2"/>
                <w:szCs w:val="21"/>
                <w:u w:val="single"/>
                <w:lang w:val="en-US" w:eastAsia="zh-CN"/>
              </w:rPr>
              <w:t>2</w:t>
            </w:r>
            <w:r>
              <w:rPr>
                <w:rFonts w:hint="eastAsia"/>
                <w:bCs/>
                <w:kern w:val="2"/>
                <w:szCs w:val="21"/>
                <w:u w:val="single"/>
              </w:rPr>
              <w:t>）</w:t>
            </w:r>
          </w:p>
        </w:tc>
        <w:tc>
          <w:tcPr>
            <w:tcW w:w="1000" w:type="dxa"/>
            <w:vAlign w:val="center"/>
          </w:tcPr>
          <w:p>
            <w:pPr>
              <w:pStyle w:val="24"/>
              <w:adjustRightInd/>
              <w:snapToGrid/>
              <w:rPr>
                <w:rFonts w:hint="eastAsia" w:eastAsia="宋体"/>
                <w:bCs/>
                <w:kern w:val="2"/>
                <w:szCs w:val="21"/>
                <w:u w:val="single"/>
                <w:lang w:val="en-US" w:eastAsia="zh-CN"/>
              </w:rPr>
            </w:pPr>
            <w:r>
              <w:rPr>
                <w:rFonts w:hint="eastAsia"/>
                <w:bCs/>
                <w:kern w:val="2"/>
                <w:szCs w:val="21"/>
                <w:u w:val="single"/>
                <w:lang w:val="en-US" w:eastAsia="zh-CN"/>
              </w:rPr>
              <w:t>氯化氢</w:t>
            </w:r>
          </w:p>
        </w:tc>
        <w:tc>
          <w:tcPr>
            <w:tcW w:w="2505" w:type="dxa"/>
            <w:vAlign w:val="center"/>
          </w:tcPr>
          <w:p>
            <w:pPr>
              <w:pStyle w:val="24"/>
              <w:adjustRightInd/>
              <w:snapToGrid/>
              <w:rPr>
                <w:rFonts w:hint="eastAsia"/>
                <w:bCs/>
                <w:kern w:val="2"/>
                <w:szCs w:val="21"/>
                <w:u w:val="single"/>
              </w:rPr>
            </w:pPr>
            <w:r>
              <w:rPr>
                <w:rFonts w:hint="eastAsia"/>
                <w:u w:val="single"/>
                <w:lang w:val="en-US" w:eastAsia="zh-CN"/>
              </w:rPr>
              <w:t>经碱液喷淋塔处理后经1根27米高排气筒（DA002）排放</w:t>
            </w:r>
          </w:p>
        </w:tc>
        <w:tc>
          <w:tcPr>
            <w:tcW w:w="2946" w:type="dxa"/>
            <w:vMerge w:val="continue"/>
            <w:vAlign w:val="center"/>
          </w:tcPr>
          <w:p>
            <w:pPr>
              <w:pStyle w:val="24"/>
              <w:adjustRightInd/>
              <w:snapToGrid/>
              <w:rPr>
                <w:rFonts w:hint="eastAsia"/>
                <w:u w:val="singl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rFonts w:hint="eastAsia"/>
                <w:b/>
                <w:kern w:val="2"/>
                <w:szCs w:val="21"/>
                <w:u w:val="single"/>
              </w:rPr>
            </w:pPr>
          </w:p>
        </w:tc>
        <w:tc>
          <w:tcPr>
            <w:tcW w:w="1529" w:type="dxa"/>
            <w:shd w:val="clear" w:color="auto" w:fill="auto"/>
            <w:vAlign w:val="center"/>
          </w:tcPr>
          <w:p>
            <w:pPr>
              <w:pStyle w:val="24"/>
              <w:adjustRightInd/>
              <w:snapToGrid/>
              <w:ind w:firstLine="0" w:firstLineChars="0"/>
              <w:rPr>
                <w:rFonts w:hint="eastAsia" w:ascii="Times New Roman" w:hAnsi="Times New Roman" w:eastAsia="宋体" w:cs="Times New Roman"/>
                <w:bCs/>
                <w:kern w:val="2"/>
                <w:sz w:val="21"/>
                <w:szCs w:val="21"/>
                <w:u w:val="single"/>
                <w:lang w:val="en-US" w:eastAsia="zh-CN" w:bidi="ar-SA"/>
              </w:rPr>
            </w:pPr>
            <w:r>
              <w:rPr>
                <w:rFonts w:hint="eastAsia"/>
                <w:bCs/>
                <w:kern w:val="2"/>
                <w:szCs w:val="21"/>
                <w:u w:val="single"/>
                <w:lang w:val="en-US" w:eastAsia="zh-CN"/>
              </w:rPr>
              <w:t>固化</w:t>
            </w:r>
            <w:r>
              <w:rPr>
                <w:rFonts w:hint="eastAsia"/>
                <w:bCs/>
                <w:kern w:val="2"/>
                <w:szCs w:val="21"/>
                <w:u w:val="single"/>
              </w:rPr>
              <w:t>废气排放口（DA00</w:t>
            </w:r>
            <w:r>
              <w:rPr>
                <w:rFonts w:hint="eastAsia"/>
                <w:bCs/>
                <w:kern w:val="2"/>
                <w:szCs w:val="21"/>
                <w:u w:val="single"/>
                <w:lang w:val="en-US" w:eastAsia="zh-CN"/>
              </w:rPr>
              <w:t>3</w:t>
            </w:r>
            <w:r>
              <w:rPr>
                <w:rFonts w:hint="eastAsia"/>
                <w:bCs/>
                <w:kern w:val="2"/>
                <w:szCs w:val="21"/>
                <w:u w:val="single"/>
              </w:rPr>
              <w:t>）</w:t>
            </w:r>
          </w:p>
        </w:tc>
        <w:tc>
          <w:tcPr>
            <w:tcW w:w="1000" w:type="dxa"/>
            <w:shd w:val="clear" w:color="auto" w:fill="auto"/>
            <w:vAlign w:val="center"/>
          </w:tcPr>
          <w:p>
            <w:pPr>
              <w:pStyle w:val="24"/>
              <w:adjustRightInd/>
              <w:snapToGrid/>
              <w:ind w:firstLine="0" w:firstLineChars="0"/>
              <w:rPr>
                <w:rFonts w:hint="eastAsia" w:ascii="Times New Roman" w:hAnsi="Times New Roman" w:eastAsia="宋体" w:cs="Times New Roman"/>
                <w:bCs/>
                <w:kern w:val="2"/>
                <w:sz w:val="21"/>
                <w:szCs w:val="21"/>
                <w:u w:val="single"/>
                <w:lang w:val="en-US" w:eastAsia="zh-CN" w:bidi="ar-SA"/>
              </w:rPr>
            </w:pPr>
            <w:r>
              <w:rPr>
                <w:rFonts w:hint="eastAsia"/>
                <w:bCs/>
                <w:kern w:val="2"/>
                <w:szCs w:val="21"/>
                <w:u w:val="single"/>
              </w:rPr>
              <w:t>VOCs</w:t>
            </w:r>
          </w:p>
        </w:tc>
        <w:tc>
          <w:tcPr>
            <w:tcW w:w="2505" w:type="dxa"/>
            <w:shd w:val="clear" w:color="auto" w:fill="auto"/>
            <w:vAlign w:val="center"/>
          </w:tcPr>
          <w:p>
            <w:pPr>
              <w:pStyle w:val="24"/>
              <w:adjustRightInd/>
              <w:snapToGrid/>
              <w:ind w:firstLine="0" w:firstLineChars="0"/>
              <w:rPr>
                <w:rFonts w:hint="eastAsia" w:ascii="Times New Roman" w:hAnsi="Times New Roman" w:eastAsia="宋体" w:cs="Times New Roman"/>
                <w:bCs/>
                <w:kern w:val="2"/>
                <w:sz w:val="21"/>
                <w:szCs w:val="21"/>
                <w:u w:val="single"/>
                <w:lang w:val="en-US" w:eastAsia="zh-CN" w:bidi="ar-SA"/>
              </w:rPr>
            </w:pPr>
            <w:r>
              <w:rPr>
                <w:rFonts w:hint="eastAsia"/>
                <w:bCs/>
                <w:kern w:val="2"/>
                <w:szCs w:val="21"/>
                <w:u w:val="single"/>
                <w:lang w:val="en-US" w:eastAsia="zh-CN"/>
              </w:rPr>
              <w:t>废气收集后</w:t>
            </w:r>
            <w:r>
              <w:rPr>
                <w:rFonts w:hint="eastAsia"/>
                <w:bCs/>
                <w:kern w:val="2"/>
                <w:szCs w:val="21"/>
                <w:u w:val="single"/>
              </w:rPr>
              <w:t>经1根</w:t>
            </w:r>
            <w:r>
              <w:rPr>
                <w:rFonts w:hint="eastAsia"/>
                <w:bCs/>
                <w:kern w:val="2"/>
                <w:szCs w:val="21"/>
                <w:u w:val="single"/>
                <w:lang w:val="en-US" w:eastAsia="zh-CN"/>
              </w:rPr>
              <w:t>27</w:t>
            </w:r>
            <w:r>
              <w:rPr>
                <w:rFonts w:hint="eastAsia"/>
                <w:bCs/>
                <w:kern w:val="2"/>
                <w:szCs w:val="21"/>
                <w:u w:val="single"/>
              </w:rPr>
              <w:t>米高排气筒（DA00</w:t>
            </w:r>
            <w:r>
              <w:rPr>
                <w:rFonts w:hint="eastAsia"/>
                <w:bCs/>
                <w:kern w:val="2"/>
                <w:szCs w:val="21"/>
                <w:u w:val="single"/>
                <w:lang w:val="en-US" w:eastAsia="zh-CN"/>
              </w:rPr>
              <w:t>3</w:t>
            </w:r>
            <w:r>
              <w:rPr>
                <w:rFonts w:hint="eastAsia"/>
                <w:bCs/>
                <w:kern w:val="2"/>
                <w:szCs w:val="21"/>
                <w:u w:val="single"/>
              </w:rPr>
              <w:t>）排放</w:t>
            </w:r>
          </w:p>
        </w:tc>
        <w:tc>
          <w:tcPr>
            <w:tcW w:w="2946" w:type="dxa"/>
            <w:shd w:val="clear" w:color="auto" w:fill="auto"/>
            <w:vAlign w:val="center"/>
          </w:tcPr>
          <w:p>
            <w:pPr>
              <w:pStyle w:val="24"/>
              <w:adjustRightInd/>
              <w:snapToGrid/>
              <w:ind w:firstLine="0" w:firstLineChars="0"/>
              <w:rPr>
                <w:rFonts w:hint="eastAsia" w:ascii="Times New Roman" w:hAnsi="Times New Roman" w:eastAsia="宋体" w:cs="Times New Roman"/>
                <w:color w:val="auto"/>
                <w:kern w:val="0"/>
                <w:sz w:val="21"/>
                <w:szCs w:val="20"/>
                <w:u w:val="single"/>
                <w:lang w:val="en-US" w:eastAsia="zh-CN" w:bidi="ar-SA"/>
              </w:rPr>
            </w:pPr>
            <w:r>
              <w:rPr>
                <w:rFonts w:hint="eastAsia"/>
                <w:color w:val="auto"/>
                <w:u w:val="single"/>
              </w:rPr>
              <w:t>《表面涂装（汽车制造及维修）挥发性有机物、镍排放标准》（DB43/1356-2017）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rFonts w:hint="eastAsia"/>
                <w:b/>
                <w:kern w:val="2"/>
                <w:szCs w:val="21"/>
                <w:u w:val="single"/>
              </w:rPr>
            </w:pPr>
          </w:p>
        </w:tc>
        <w:tc>
          <w:tcPr>
            <w:tcW w:w="1529" w:type="dxa"/>
            <w:vMerge w:val="restart"/>
            <w:shd w:val="clear" w:color="auto" w:fill="auto"/>
            <w:vAlign w:val="center"/>
          </w:tcPr>
          <w:p>
            <w:pPr>
              <w:pStyle w:val="24"/>
              <w:adjustRightInd/>
              <w:snapToGrid/>
              <w:ind w:firstLine="0" w:firstLineChars="0"/>
              <w:rPr>
                <w:rFonts w:hint="eastAsia" w:ascii="Times New Roman" w:hAnsi="Times New Roman" w:eastAsia="宋体" w:cs="Times New Roman"/>
                <w:bCs/>
                <w:kern w:val="2"/>
                <w:sz w:val="21"/>
                <w:szCs w:val="21"/>
                <w:u w:val="single"/>
                <w:lang w:val="en-US" w:eastAsia="zh-CN" w:bidi="ar-SA"/>
              </w:rPr>
            </w:pPr>
            <w:r>
              <w:rPr>
                <w:rFonts w:hint="eastAsia"/>
                <w:bCs/>
                <w:kern w:val="2"/>
                <w:szCs w:val="21"/>
                <w:u w:val="single"/>
                <w:lang w:val="en-US" w:eastAsia="zh-CN"/>
              </w:rPr>
              <w:t>生物质燃烧</w:t>
            </w:r>
            <w:r>
              <w:rPr>
                <w:rFonts w:hint="eastAsia"/>
                <w:bCs/>
                <w:kern w:val="2"/>
                <w:szCs w:val="21"/>
                <w:u w:val="single"/>
              </w:rPr>
              <w:t>废气排放口（DA00</w:t>
            </w:r>
            <w:r>
              <w:rPr>
                <w:rFonts w:hint="eastAsia"/>
                <w:bCs/>
                <w:kern w:val="2"/>
                <w:szCs w:val="21"/>
                <w:u w:val="single"/>
                <w:lang w:val="en-US" w:eastAsia="zh-CN"/>
              </w:rPr>
              <w:t>4</w:t>
            </w:r>
            <w:r>
              <w:rPr>
                <w:rFonts w:hint="eastAsia"/>
                <w:bCs/>
                <w:kern w:val="2"/>
                <w:szCs w:val="21"/>
                <w:u w:val="single"/>
              </w:rPr>
              <w:t>）</w:t>
            </w:r>
          </w:p>
        </w:tc>
        <w:tc>
          <w:tcPr>
            <w:tcW w:w="1000" w:type="dxa"/>
            <w:shd w:val="clear" w:color="auto" w:fill="auto"/>
            <w:vAlign w:val="center"/>
          </w:tcPr>
          <w:p>
            <w:pPr>
              <w:pStyle w:val="24"/>
              <w:adjustRightInd/>
              <w:snapToGrid/>
              <w:ind w:firstLine="0" w:firstLineChars="0"/>
              <w:rPr>
                <w:rFonts w:hint="eastAsia" w:ascii="Times New Roman" w:hAnsi="Times New Roman" w:eastAsia="宋体" w:cs="Times New Roman"/>
                <w:bCs/>
                <w:kern w:val="2"/>
                <w:sz w:val="21"/>
                <w:szCs w:val="21"/>
                <w:u w:val="single"/>
                <w:lang w:val="en-US" w:eastAsia="zh-CN" w:bidi="ar-SA"/>
              </w:rPr>
            </w:pPr>
            <w:r>
              <w:rPr>
                <w:rFonts w:hint="eastAsia"/>
                <w:bCs/>
                <w:kern w:val="2"/>
                <w:szCs w:val="21"/>
                <w:u w:val="single"/>
              </w:rPr>
              <w:t>颗粒物</w:t>
            </w:r>
          </w:p>
        </w:tc>
        <w:tc>
          <w:tcPr>
            <w:tcW w:w="2505" w:type="dxa"/>
            <w:vMerge w:val="restart"/>
            <w:shd w:val="clear" w:color="auto" w:fill="auto"/>
            <w:vAlign w:val="center"/>
          </w:tcPr>
          <w:p>
            <w:pPr>
              <w:pStyle w:val="24"/>
              <w:adjustRightInd/>
              <w:snapToGrid/>
              <w:ind w:firstLine="0" w:firstLineChars="0"/>
              <w:rPr>
                <w:rFonts w:hint="default" w:ascii="Times New Roman" w:hAnsi="Times New Roman" w:eastAsia="宋体" w:cs="Times New Roman"/>
                <w:bCs/>
                <w:kern w:val="2"/>
                <w:sz w:val="21"/>
                <w:szCs w:val="21"/>
                <w:u w:val="single"/>
                <w:lang w:val="en-US" w:eastAsia="zh-CN" w:bidi="ar-SA"/>
              </w:rPr>
            </w:pPr>
            <w:r>
              <w:rPr>
                <w:rFonts w:hint="eastAsia"/>
                <w:bCs/>
                <w:kern w:val="2"/>
                <w:szCs w:val="21"/>
                <w:u w:val="single"/>
              </w:rPr>
              <w:t>废气经收集，通过</w:t>
            </w:r>
            <w:r>
              <w:rPr>
                <w:rFonts w:hint="eastAsia"/>
                <w:bCs/>
                <w:kern w:val="2"/>
                <w:szCs w:val="21"/>
                <w:u w:val="single"/>
                <w:lang w:val="en-US" w:eastAsia="zh-CN"/>
              </w:rPr>
              <w:t>旋风除尘+</w:t>
            </w:r>
            <w:r>
              <w:rPr>
                <w:rFonts w:hint="eastAsia"/>
                <w:bCs/>
                <w:kern w:val="2"/>
                <w:szCs w:val="21"/>
                <w:u w:val="single"/>
              </w:rPr>
              <w:t>布袋除尘处理后，经1根</w:t>
            </w:r>
            <w:r>
              <w:rPr>
                <w:rFonts w:hint="eastAsia"/>
                <w:bCs/>
                <w:kern w:val="2"/>
                <w:szCs w:val="21"/>
                <w:u w:val="single"/>
                <w:lang w:val="en-US" w:eastAsia="zh-CN"/>
              </w:rPr>
              <w:t>27</w:t>
            </w:r>
            <w:r>
              <w:rPr>
                <w:rFonts w:hint="eastAsia"/>
                <w:bCs/>
                <w:kern w:val="2"/>
                <w:szCs w:val="21"/>
                <w:u w:val="single"/>
              </w:rPr>
              <w:t>米高排气筒（DA00</w:t>
            </w:r>
            <w:r>
              <w:rPr>
                <w:rFonts w:hint="eastAsia"/>
                <w:bCs/>
                <w:kern w:val="2"/>
                <w:szCs w:val="21"/>
                <w:u w:val="single"/>
                <w:lang w:val="en-US" w:eastAsia="zh-CN"/>
              </w:rPr>
              <w:t>4</w:t>
            </w:r>
            <w:r>
              <w:rPr>
                <w:rFonts w:hint="eastAsia"/>
                <w:bCs/>
                <w:kern w:val="2"/>
                <w:szCs w:val="21"/>
                <w:u w:val="single"/>
              </w:rPr>
              <w:t>）排放</w:t>
            </w:r>
          </w:p>
        </w:tc>
        <w:tc>
          <w:tcPr>
            <w:tcW w:w="2946" w:type="dxa"/>
            <w:shd w:val="clear" w:color="auto" w:fill="auto"/>
            <w:vAlign w:val="center"/>
          </w:tcPr>
          <w:p>
            <w:pPr>
              <w:pStyle w:val="24"/>
              <w:adjustRightInd/>
              <w:snapToGrid/>
              <w:ind w:firstLine="0" w:firstLineChars="0"/>
              <w:rPr>
                <w:rFonts w:hint="eastAsia" w:ascii="Times New Roman" w:hAnsi="Times New Roman" w:eastAsia="宋体" w:cs="Times New Roman"/>
                <w:bCs/>
                <w:color w:val="auto"/>
                <w:kern w:val="2"/>
                <w:sz w:val="21"/>
                <w:szCs w:val="21"/>
                <w:u w:val="single"/>
                <w:lang w:val="en-US" w:eastAsia="zh-CN" w:bidi="ar-SA"/>
              </w:rPr>
            </w:pPr>
            <w:r>
              <w:rPr>
                <w:rFonts w:hint="eastAsia"/>
                <w:color w:val="auto"/>
                <w:u w:val="single"/>
              </w:rPr>
              <w:t>《</w:t>
            </w:r>
            <w:r>
              <w:rPr>
                <w:rFonts w:hint="eastAsia"/>
                <w:color w:val="auto"/>
                <w:u w:val="single"/>
                <w:lang w:val="en-US" w:eastAsia="zh-CN"/>
              </w:rPr>
              <w:t>工业炉窑</w:t>
            </w:r>
            <w:r>
              <w:rPr>
                <w:rFonts w:hint="eastAsia"/>
                <w:color w:val="auto"/>
                <w:u w:val="single"/>
              </w:rPr>
              <w:t>大气污染物排放标准》(GB</w:t>
            </w:r>
            <w:r>
              <w:rPr>
                <w:rFonts w:hint="eastAsia"/>
                <w:color w:val="auto"/>
                <w:u w:val="single"/>
                <w:lang w:val="en-US" w:eastAsia="zh-CN"/>
              </w:rPr>
              <w:t>9078</w:t>
            </w:r>
            <w:r>
              <w:rPr>
                <w:rFonts w:hint="eastAsia"/>
                <w:color w:val="auto"/>
                <w:u w:val="single"/>
              </w:rPr>
              <w:t>-</w:t>
            </w:r>
            <w:r>
              <w:rPr>
                <w:rFonts w:hint="eastAsia"/>
                <w:color w:val="auto"/>
                <w:u w:val="single"/>
                <w:lang w:val="en-US" w:eastAsia="zh-CN"/>
              </w:rPr>
              <w:t>1996</w:t>
            </w:r>
            <w:r>
              <w:rPr>
                <w:rFonts w:hint="eastAsia"/>
                <w:color w:val="auto"/>
                <w:u w:val="single"/>
              </w:rPr>
              <w:t>)表2</w:t>
            </w:r>
            <w:r>
              <w:rPr>
                <w:rFonts w:hint="eastAsia"/>
                <w:color w:val="auto"/>
                <w:u w:val="single"/>
                <w:lang w:val="en-US" w:eastAsia="zh-CN"/>
              </w:rPr>
              <w:t>新污染源大气污染物排放</w:t>
            </w:r>
            <w:r>
              <w:rPr>
                <w:rFonts w:hint="eastAsia"/>
                <w:color w:val="auto"/>
                <w:u w:val="single"/>
              </w:rPr>
              <w:t>标</w:t>
            </w:r>
            <w:r>
              <w:rPr>
                <w:rFonts w:hint="eastAsia"/>
                <w:color w:val="auto"/>
                <w:u w:val="single"/>
                <w:lang w:val="en-US" w:eastAsia="zh-CN"/>
              </w:rPr>
              <w:t>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rFonts w:hint="eastAsia"/>
                <w:b/>
                <w:kern w:val="2"/>
                <w:szCs w:val="21"/>
                <w:u w:val="single"/>
              </w:rPr>
            </w:pPr>
          </w:p>
        </w:tc>
        <w:tc>
          <w:tcPr>
            <w:tcW w:w="1529" w:type="dxa"/>
            <w:vMerge w:val="continue"/>
            <w:shd w:val="clear" w:color="auto" w:fill="auto"/>
            <w:vAlign w:val="center"/>
          </w:tcPr>
          <w:p>
            <w:pPr>
              <w:pStyle w:val="24"/>
              <w:adjustRightInd/>
              <w:snapToGrid/>
              <w:ind w:firstLine="0" w:firstLineChars="0"/>
              <w:rPr>
                <w:rFonts w:hint="eastAsia"/>
                <w:bCs/>
                <w:kern w:val="2"/>
                <w:szCs w:val="21"/>
                <w:u w:val="single"/>
                <w:lang w:val="en-US" w:eastAsia="zh-CN"/>
              </w:rPr>
            </w:pPr>
          </w:p>
        </w:tc>
        <w:tc>
          <w:tcPr>
            <w:tcW w:w="1000" w:type="dxa"/>
            <w:shd w:val="clear" w:color="auto" w:fill="auto"/>
            <w:vAlign w:val="center"/>
          </w:tcPr>
          <w:p>
            <w:pPr>
              <w:pStyle w:val="24"/>
              <w:adjustRightInd/>
              <w:snapToGrid/>
              <w:ind w:firstLine="0" w:firstLineChars="0"/>
              <w:rPr>
                <w:rFonts w:hint="eastAsia"/>
                <w:bCs/>
                <w:kern w:val="2"/>
                <w:szCs w:val="21"/>
                <w:u w:val="single"/>
              </w:rPr>
            </w:pPr>
            <w:r>
              <w:rPr>
                <w:rFonts w:hint="eastAsia"/>
                <w:bCs/>
                <w:kern w:val="2"/>
                <w:szCs w:val="21"/>
                <w:u w:val="single"/>
              </w:rPr>
              <w:t>SO</w:t>
            </w:r>
            <w:r>
              <w:rPr>
                <w:rFonts w:hint="eastAsia"/>
                <w:bCs/>
                <w:kern w:val="2"/>
                <w:szCs w:val="21"/>
                <w:u w:val="single"/>
                <w:vertAlign w:val="subscript"/>
              </w:rPr>
              <w:t>2</w:t>
            </w:r>
            <w:r>
              <w:rPr>
                <w:rFonts w:hint="eastAsia"/>
                <w:bCs/>
                <w:kern w:val="2"/>
                <w:szCs w:val="21"/>
                <w:u w:val="single"/>
                <w:vertAlign w:val="baseline"/>
                <w:lang w:eastAsia="zh-CN"/>
              </w:rPr>
              <w:t>、</w:t>
            </w:r>
            <w:r>
              <w:rPr>
                <w:rFonts w:hint="eastAsia"/>
                <w:bCs/>
                <w:kern w:val="2"/>
                <w:szCs w:val="21"/>
                <w:u w:val="single"/>
              </w:rPr>
              <w:t>NO</w:t>
            </w:r>
            <w:r>
              <w:rPr>
                <w:rFonts w:hint="eastAsia"/>
                <w:bCs/>
                <w:kern w:val="2"/>
                <w:szCs w:val="21"/>
                <w:u w:val="single"/>
                <w:vertAlign w:val="subscript"/>
              </w:rPr>
              <w:t>x</w:t>
            </w:r>
          </w:p>
        </w:tc>
        <w:tc>
          <w:tcPr>
            <w:tcW w:w="2505" w:type="dxa"/>
            <w:vMerge w:val="continue"/>
            <w:shd w:val="clear" w:color="auto" w:fill="auto"/>
            <w:vAlign w:val="center"/>
          </w:tcPr>
          <w:p>
            <w:pPr>
              <w:pStyle w:val="24"/>
              <w:adjustRightInd/>
              <w:snapToGrid/>
              <w:ind w:firstLine="0" w:firstLineChars="0"/>
              <w:rPr>
                <w:rFonts w:hint="eastAsia"/>
                <w:bCs/>
                <w:kern w:val="2"/>
                <w:szCs w:val="21"/>
                <w:u w:val="single"/>
              </w:rPr>
            </w:pPr>
          </w:p>
        </w:tc>
        <w:tc>
          <w:tcPr>
            <w:tcW w:w="2946" w:type="dxa"/>
            <w:shd w:val="clear" w:color="auto" w:fill="auto"/>
            <w:vAlign w:val="center"/>
          </w:tcPr>
          <w:p>
            <w:pPr>
              <w:pStyle w:val="24"/>
              <w:adjustRightInd/>
              <w:snapToGrid/>
              <w:ind w:firstLine="0" w:firstLineChars="0"/>
              <w:rPr>
                <w:rFonts w:hint="eastAsia"/>
                <w:color w:val="auto"/>
                <w:u w:val="single"/>
              </w:rPr>
            </w:pPr>
            <w:r>
              <w:rPr>
                <w:rFonts w:hint="eastAsia"/>
                <w:color w:val="auto"/>
                <w:u w:val="single"/>
              </w:rPr>
              <w:t>《大气污染物综合排放标准》（</w:t>
            </w:r>
            <w:r>
              <w:rPr>
                <w:color w:val="auto"/>
                <w:u w:val="single"/>
              </w:rPr>
              <w:t>GB 16297-1996</w:t>
            </w:r>
            <w:r>
              <w:rPr>
                <w:rFonts w:hint="eastAsia"/>
                <w:color w:val="auto"/>
                <w:u w:val="single"/>
              </w:rPr>
              <w:t>）表2</w:t>
            </w:r>
            <w:r>
              <w:rPr>
                <w:rFonts w:hint="eastAsia"/>
                <w:color w:val="auto"/>
                <w:u w:val="single"/>
                <w:lang w:val="en-US" w:eastAsia="zh-CN"/>
              </w:rPr>
              <w:t>中二级标准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b/>
                <w:kern w:val="2"/>
                <w:szCs w:val="21"/>
                <w:u w:val="single"/>
              </w:rPr>
            </w:pPr>
          </w:p>
        </w:tc>
        <w:tc>
          <w:tcPr>
            <w:tcW w:w="1529" w:type="dxa"/>
            <w:vAlign w:val="center"/>
          </w:tcPr>
          <w:p>
            <w:pPr>
              <w:pStyle w:val="24"/>
              <w:adjustRightInd/>
              <w:snapToGrid/>
              <w:rPr>
                <w:bCs/>
                <w:kern w:val="2"/>
                <w:szCs w:val="21"/>
                <w:u w:val="single"/>
              </w:rPr>
            </w:pPr>
            <w:r>
              <w:rPr>
                <w:rFonts w:hint="eastAsia"/>
                <w:bCs/>
                <w:kern w:val="2"/>
                <w:szCs w:val="21"/>
                <w:u w:val="single"/>
              </w:rPr>
              <w:t>厂界无组织废气</w:t>
            </w:r>
          </w:p>
        </w:tc>
        <w:tc>
          <w:tcPr>
            <w:tcW w:w="1000" w:type="dxa"/>
            <w:vAlign w:val="center"/>
          </w:tcPr>
          <w:p>
            <w:pPr>
              <w:pStyle w:val="24"/>
              <w:adjustRightInd/>
              <w:snapToGrid/>
              <w:rPr>
                <w:rFonts w:hint="default" w:eastAsia="宋体"/>
                <w:bCs/>
                <w:kern w:val="2"/>
                <w:szCs w:val="21"/>
                <w:u w:val="single"/>
                <w:lang w:val="en-US" w:eastAsia="zh-CN"/>
              </w:rPr>
            </w:pPr>
            <w:r>
              <w:rPr>
                <w:rFonts w:hint="eastAsia"/>
                <w:bCs/>
                <w:kern w:val="2"/>
                <w:szCs w:val="21"/>
                <w:u w:val="single"/>
              </w:rPr>
              <w:t>颗粒物、非甲烷总烃</w:t>
            </w:r>
            <w:r>
              <w:rPr>
                <w:rFonts w:hint="eastAsia"/>
                <w:bCs/>
                <w:kern w:val="2"/>
                <w:szCs w:val="21"/>
                <w:u w:val="single"/>
                <w:lang w:eastAsia="zh-CN"/>
              </w:rPr>
              <w:t>、</w:t>
            </w:r>
            <w:r>
              <w:rPr>
                <w:rFonts w:hint="eastAsia"/>
                <w:bCs/>
                <w:kern w:val="2"/>
                <w:szCs w:val="21"/>
                <w:u w:val="single"/>
                <w:lang w:val="en-US" w:eastAsia="zh-CN"/>
              </w:rPr>
              <w:t>氯化氢</w:t>
            </w:r>
          </w:p>
        </w:tc>
        <w:tc>
          <w:tcPr>
            <w:tcW w:w="2505" w:type="dxa"/>
            <w:vAlign w:val="center"/>
          </w:tcPr>
          <w:p>
            <w:pPr>
              <w:pStyle w:val="24"/>
              <w:adjustRightInd/>
              <w:snapToGrid/>
              <w:rPr>
                <w:bCs/>
                <w:kern w:val="2"/>
                <w:szCs w:val="21"/>
                <w:u w:val="single"/>
              </w:rPr>
            </w:pPr>
            <w:r>
              <w:rPr>
                <w:rFonts w:hint="eastAsia"/>
                <w:bCs/>
                <w:kern w:val="2"/>
                <w:szCs w:val="21"/>
                <w:u w:val="single"/>
              </w:rPr>
              <w:t>加强车间通风</w:t>
            </w:r>
          </w:p>
        </w:tc>
        <w:tc>
          <w:tcPr>
            <w:tcW w:w="2946" w:type="dxa"/>
            <w:vAlign w:val="center"/>
          </w:tcPr>
          <w:p>
            <w:pPr>
              <w:pStyle w:val="24"/>
              <w:adjustRightInd/>
              <w:snapToGrid/>
              <w:rPr>
                <w:rFonts w:hint="default" w:eastAsia="宋体"/>
                <w:bCs/>
                <w:color w:val="auto"/>
                <w:kern w:val="2"/>
                <w:szCs w:val="21"/>
                <w:u w:val="single"/>
                <w:lang w:val="en-US" w:eastAsia="zh-CN"/>
              </w:rPr>
            </w:pPr>
            <w:r>
              <w:rPr>
                <w:rFonts w:hint="eastAsia"/>
                <w:color w:val="auto"/>
                <w:u w:val="single"/>
              </w:rPr>
              <w:t>《大气污染物综合排放标准》（</w:t>
            </w:r>
            <w:r>
              <w:rPr>
                <w:color w:val="auto"/>
                <w:u w:val="single"/>
              </w:rPr>
              <w:t>GB 16297-1996</w:t>
            </w:r>
            <w:r>
              <w:rPr>
                <w:rFonts w:hint="eastAsia"/>
                <w:color w:val="auto"/>
                <w:u w:val="single"/>
              </w:rPr>
              <w:t>）表2中</w:t>
            </w:r>
            <w:r>
              <w:rPr>
                <w:rFonts w:hint="eastAsia"/>
                <w:color w:val="auto"/>
                <w:u w:val="single"/>
                <w:lang w:val="en-US" w:eastAsia="zh-CN"/>
              </w:rPr>
              <w:t>无组织排放监控浓度限值要求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b/>
                <w:kern w:val="2"/>
                <w:szCs w:val="21"/>
                <w:u w:val="single"/>
              </w:rPr>
            </w:pPr>
          </w:p>
        </w:tc>
        <w:tc>
          <w:tcPr>
            <w:tcW w:w="1529" w:type="dxa"/>
            <w:vAlign w:val="center"/>
          </w:tcPr>
          <w:p>
            <w:pPr>
              <w:pStyle w:val="24"/>
              <w:adjustRightInd/>
              <w:snapToGrid/>
              <w:rPr>
                <w:bCs/>
                <w:kern w:val="2"/>
                <w:szCs w:val="21"/>
                <w:u w:val="single"/>
              </w:rPr>
            </w:pPr>
            <w:r>
              <w:rPr>
                <w:rFonts w:hint="eastAsia"/>
                <w:bCs/>
                <w:kern w:val="2"/>
                <w:szCs w:val="21"/>
                <w:u w:val="single"/>
              </w:rPr>
              <w:t>厂区内无组织废气</w:t>
            </w:r>
          </w:p>
        </w:tc>
        <w:tc>
          <w:tcPr>
            <w:tcW w:w="1000" w:type="dxa"/>
            <w:vAlign w:val="center"/>
          </w:tcPr>
          <w:p>
            <w:pPr>
              <w:pStyle w:val="24"/>
              <w:adjustRightInd/>
              <w:snapToGrid/>
              <w:rPr>
                <w:bCs/>
                <w:kern w:val="2"/>
                <w:szCs w:val="21"/>
                <w:u w:val="single"/>
              </w:rPr>
            </w:pPr>
            <w:r>
              <w:rPr>
                <w:rFonts w:hint="eastAsia"/>
                <w:bCs/>
                <w:kern w:val="2"/>
                <w:szCs w:val="21"/>
                <w:u w:val="single"/>
              </w:rPr>
              <w:t>非甲烷总烃</w:t>
            </w:r>
          </w:p>
        </w:tc>
        <w:tc>
          <w:tcPr>
            <w:tcW w:w="2505" w:type="dxa"/>
            <w:vAlign w:val="center"/>
          </w:tcPr>
          <w:p>
            <w:pPr>
              <w:pStyle w:val="24"/>
              <w:adjustRightInd/>
              <w:snapToGrid/>
              <w:rPr>
                <w:bCs/>
                <w:kern w:val="2"/>
                <w:szCs w:val="21"/>
                <w:u w:val="single"/>
              </w:rPr>
            </w:pPr>
            <w:r>
              <w:rPr>
                <w:rFonts w:hint="eastAsia"/>
                <w:bCs/>
                <w:kern w:val="2"/>
                <w:szCs w:val="21"/>
                <w:u w:val="single"/>
              </w:rPr>
              <w:t>加强车间通风</w:t>
            </w:r>
          </w:p>
        </w:tc>
        <w:tc>
          <w:tcPr>
            <w:tcW w:w="2946" w:type="dxa"/>
            <w:vAlign w:val="center"/>
          </w:tcPr>
          <w:p>
            <w:pPr>
              <w:pStyle w:val="24"/>
              <w:adjustRightInd/>
              <w:snapToGrid/>
              <w:rPr>
                <w:bCs/>
                <w:color w:val="auto"/>
                <w:kern w:val="2"/>
                <w:szCs w:val="21"/>
                <w:u w:val="single"/>
              </w:rPr>
            </w:pPr>
            <w:r>
              <w:rPr>
                <w:rFonts w:hint="eastAsia"/>
                <w:color w:val="auto"/>
                <w:u w:val="single"/>
              </w:rPr>
              <w:t>《挥发性有机物无组织排放控制标准》（</w:t>
            </w:r>
            <w:r>
              <w:rPr>
                <w:color w:val="auto"/>
                <w:u w:val="single"/>
              </w:rPr>
              <w:t>GB 37822-2019</w:t>
            </w:r>
            <w:r>
              <w:rPr>
                <w:rFonts w:hint="eastAsia"/>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restart"/>
            <w:vAlign w:val="center"/>
          </w:tcPr>
          <w:p>
            <w:pPr>
              <w:pStyle w:val="24"/>
              <w:adjustRightInd/>
              <w:snapToGrid/>
              <w:rPr>
                <w:b/>
                <w:kern w:val="2"/>
                <w:szCs w:val="21"/>
                <w:u w:val="single"/>
              </w:rPr>
            </w:pPr>
            <w:r>
              <w:rPr>
                <w:rFonts w:hint="eastAsia"/>
                <w:b/>
                <w:kern w:val="2"/>
                <w:szCs w:val="21"/>
                <w:u w:val="single"/>
              </w:rPr>
              <w:t>地表水环境</w:t>
            </w:r>
          </w:p>
        </w:tc>
        <w:tc>
          <w:tcPr>
            <w:tcW w:w="1529" w:type="dxa"/>
            <w:vAlign w:val="center"/>
          </w:tcPr>
          <w:p>
            <w:pPr>
              <w:pStyle w:val="24"/>
              <w:adjustRightInd/>
              <w:snapToGrid/>
              <w:rPr>
                <w:rFonts w:hint="eastAsia" w:eastAsia="宋体"/>
                <w:bCs/>
                <w:kern w:val="2"/>
                <w:szCs w:val="21"/>
                <w:u w:val="single"/>
                <w:lang w:val="en-US" w:eastAsia="zh-CN"/>
              </w:rPr>
            </w:pPr>
            <w:r>
              <w:rPr>
                <w:rFonts w:hint="eastAsia"/>
                <w:bCs/>
                <w:kern w:val="2"/>
                <w:szCs w:val="21"/>
                <w:u w:val="single"/>
              </w:rPr>
              <w:t>生活污水排放口</w:t>
            </w:r>
            <w:r>
              <w:rPr>
                <w:rFonts w:hint="eastAsia"/>
                <w:bCs/>
                <w:kern w:val="2"/>
                <w:szCs w:val="21"/>
                <w:u w:val="single"/>
                <w:lang w:eastAsia="zh-CN"/>
              </w:rPr>
              <w:t>（</w:t>
            </w:r>
            <w:r>
              <w:rPr>
                <w:rFonts w:hint="eastAsia"/>
                <w:bCs/>
                <w:kern w:val="2"/>
                <w:szCs w:val="21"/>
                <w:u w:val="single"/>
                <w:lang w:val="en-US" w:eastAsia="zh-CN"/>
              </w:rPr>
              <w:t>DW001</w:t>
            </w:r>
            <w:r>
              <w:rPr>
                <w:rFonts w:hint="eastAsia"/>
                <w:bCs/>
                <w:kern w:val="2"/>
                <w:szCs w:val="21"/>
                <w:u w:val="single"/>
                <w:lang w:eastAsia="zh-CN"/>
              </w:rPr>
              <w:t>）</w:t>
            </w:r>
          </w:p>
        </w:tc>
        <w:tc>
          <w:tcPr>
            <w:tcW w:w="1000" w:type="dxa"/>
            <w:vAlign w:val="center"/>
          </w:tcPr>
          <w:p>
            <w:pPr>
              <w:pStyle w:val="24"/>
              <w:adjustRightInd/>
              <w:snapToGrid/>
              <w:rPr>
                <w:bCs/>
                <w:kern w:val="2"/>
                <w:szCs w:val="21"/>
                <w:u w:val="single"/>
              </w:rPr>
            </w:pPr>
            <w:r>
              <w:rPr>
                <w:rFonts w:hint="eastAsia"/>
                <w:bCs/>
                <w:kern w:val="2"/>
                <w:szCs w:val="21"/>
                <w:u w:val="single"/>
              </w:rPr>
              <w:t>COD</w:t>
            </w:r>
            <w:r>
              <w:rPr>
                <w:rFonts w:hint="eastAsia"/>
                <w:bCs/>
                <w:kern w:val="2"/>
                <w:szCs w:val="21"/>
                <w:u w:val="single"/>
                <w:vertAlign w:val="subscript"/>
              </w:rPr>
              <w:t>Cr</w:t>
            </w:r>
            <w:r>
              <w:rPr>
                <w:rFonts w:hint="eastAsia"/>
                <w:bCs/>
                <w:kern w:val="2"/>
                <w:szCs w:val="21"/>
                <w:u w:val="single"/>
              </w:rPr>
              <w:t>、BOD</w:t>
            </w:r>
            <w:r>
              <w:rPr>
                <w:rFonts w:hint="eastAsia"/>
                <w:bCs/>
                <w:kern w:val="2"/>
                <w:szCs w:val="21"/>
                <w:u w:val="single"/>
                <w:vertAlign w:val="subscript"/>
              </w:rPr>
              <w:t>5</w:t>
            </w:r>
            <w:r>
              <w:rPr>
                <w:rFonts w:hint="eastAsia"/>
                <w:bCs/>
                <w:kern w:val="2"/>
                <w:szCs w:val="21"/>
                <w:u w:val="single"/>
              </w:rPr>
              <w:t>、SS、氨氮</w:t>
            </w:r>
          </w:p>
        </w:tc>
        <w:tc>
          <w:tcPr>
            <w:tcW w:w="2505" w:type="dxa"/>
            <w:vAlign w:val="center"/>
          </w:tcPr>
          <w:p>
            <w:pPr>
              <w:pStyle w:val="24"/>
              <w:adjustRightInd/>
              <w:snapToGrid/>
              <w:rPr>
                <w:bCs/>
                <w:kern w:val="2"/>
                <w:szCs w:val="21"/>
                <w:u w:val="single"/>
              </w:rPr>
            </w:pPr>
            <w:r>
              <w:rPr>
                <w:rFonts w:hint="eastAsia"/>
                <w:color w:val="000000"/>
                <w:u w:val="single"/>
              </w:rPr>
              <w:t>依托双创中心化粪池预处理后经市政管网排至衡阳西渡高新技术产业园区污水处理厂深度处理</w:t>
            </w:r>
          </w:p>
        </w:tc>
        <w:tc>
          <w:tcPr>
            <w:tcW w:w="2946" w:type="dxa"/>
            <w:vAlign w:val="center"/>
          </w:tcPr>
          <w:p>
            <w:pPr>
              <w:pStyle w:val="24"/>
              <w:adjustRightInd/>
              <w:snapToGrid/>
              <w:rPr>
                <w:bCs/>
                <w:color w:val="auto"/>
                <w:kern w:val="2"/>
                <w:szCs w:val="21"/>
                <w:u w:val="single"/>
              </w:rPr>
            </w:pPr>
            <w:r>
              <w:rPr>
                <w:rFonts w:hint="eastAsia"/>
                <w:color w:val="auto"/>
                <w:u w:val="single"/>
              </w:rPr>
              <w:t>达到综排3级标准与接管标准中较严者要求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Merge w:val="continue"/>
            <w:vAlign w:val="center"/>
          </w:tcPr>
          <w:p>
            <w:pPr>
              <w:pStyle w:val="24"/>
              <w:adjustRightInd/>
              <w:snapToGrid/>
              <w:rPr>
                <w:b/>
                <w:kern w:val="2"/>
                <w:szCs w:val="21"/>
                <w:u w:val="single"/>
              </w:rPr>
            </w:pPr>
          </w:p>
        </w:tc>
        <w:tc>
          <w:tcPr>
            <w:tcW w:w="1529" w:type="dxa"/>
            <w:vAlign w:val="center"/>
          </w:tcPr>
          <w:p>
            <w:pPr>
              <w:pStyle w:val="24"/>
              <w:adjustRightInd/>
              <w:snapToGrid/>
              <w:rPr>
                <w:bCs/>
                <w:kern w:val="2"/>
                <w:szCs w:val="21"/>
                <w:u w:val="single"/>
              </w:rPr>
            </w:pPr>
            <w:r>
              <w:rPr>
                <w:rFonts w:hint="eastAsia"/>
                <w:bCs/>
                <w:kern w:val="2"/>
                <w:szCs w:val="21"/>
                <w:u w:val="single"/>
                <w:lang w:val="en-US" w:eastAsia="zh-CN"/>
              </w:rPr>
              <w:t>综合</w:t>
            </w:r>
            <w:r>
              <w:rPr>
                <w:rFonts w:hint="eastAsia"/>
                <w:bCs/>
                <w:kern w:val="2"/>
                <w:szCs w:val="21"/>
                <w:u w:val="single"/>
              </w:rPr>
              <w:t>废水排放口</w:t>
            </w:r>
            <w:r>
              <w:rPr>
                <w:rFonts w:hint="eastAsia"/>
                <w:bCs/>
                <w:kern w:val="2"/>
                <w:szCs w:val="21"/>
                <w:u w:val="single"/>
                <w:lang w:eastAsia="zh-CN"/>
              </w:rPr>
              <w:t>（</w:t>
            </w:r>
            <w:r>
              <w:rPr>
                <w:rFonts w:hint="eastAsia"/>
                <w:bCs/>
                <w:kern w:val="2"/>
                <w:szCs w:val="21"/>
                <w:u w:val="single"/>
                <w:lang w:val="en-US" w:eastAsia="zh-CN"/>
              </w:rPr>
              <w:t>DW002</w:t>
            </w:r>
            <w:r>
              <w:rPr>
                <w:rFonts w:hint="eastAsia"/>
                <w:bCs/>
                <w:kern w:val="2"/>
                <w:szCs w:val="21"/>
                <w:u w:val="single"/>
                <w:lang w:eastAsia="zh-CN"/>
              </w:rPr>
              <w:t>）</w:t>
            </w:r>
          </w:p>
        </w:tc>
        <w:tc>
          <w:tcPr>
            <w:tcW w:w="1000" w:type="dxa"/>
            <w:vAlign w:val="center"/>
          </w:tcPr>
          <w:p>
            <w:pPr>
              <w:pStyle w:val="24"/>
              <w:adjustRightInd/>
              <w:snapToGrid/>
              <w:rPr>
                <w:rFonts w:hint="default" w:eastAsia="宋体"/>
                <w:bCs/>
                <w:kern w:val="2"/>
                <w:szCs w:val="21"/>
                <w:u w:val="single"/>
                <w:lang w:val="en-US" w:eastAsia="zh-CN"/>
              </w:rPr>
            </w:pPr>
            <w:r>
              <w:rPr>
                <w:rFonts w:hint="eastAsia"/>
                <w:bCs/>
                <w:kern w:val="2"/>
                <w:szCs w:val="21"/>
                <w:u w:val="single"/>
                <w:lang w:val="en-US" w:eastAsia="zh-CN"/>
              </w:rPr>
              <w:t>pH、</w:t>
            </w:r>
            <w:r>
              <w:rPr>
                <w:rFonts w:hint="eastAsia"/>
                <w:bCs/>
                <w:kern w:val="2"/>
                <w:szCs w:val="21"/>
                <w:u w:val="single"/>
              </w:rPr>
              <w:t>COD</w:t>
            </w:r>
            <w:r>
              <w:rPr>
                <w:rFonts w:hint="eastAsia"/>
                <w:bCs/>
                <w:kern w:val="2"/>
                <w:szCs w:val="21"/>
                <w:u w:val="single"/>
                <w:vertAlign w:val="subscript"/>
              </w:rPr>
              <w:t>cr</w:t>
            </w:r>
            <w:r>
              <w:rPr>
                <w:rFonts w:hint="eastAsia"/>
                <w:bCs/>
                <w:kern w:val="2"/>
                <w:szCs w:val="21"/>
                <w:u w:val="single"/>
              </w:rPr>
              <w:t>、BOD</w:t>
            </w:r>
            <w:r>
              <w:rPr>
                <w:rFonts w:hint="eastAsia"/>
                <w:bCs/>
                <w:kern w:val="2"/>
                <w:szCs w:val="21"/>
                <w:u w:val="single"/>
                <w:vertAlign w:val="subscript"/>
              </w:rPr>
              <w:t>5</w:t>
            </w:r>
            <w:r>
              <w:rPr>
                <w:rFonts w:hint="eastAsia"/>
                <w:bCs/>
                <w:kern w:val="2"/>
                <w:szCs w:val="21"/>
                <w:u w:val="single"/>
              </w:rPr>
              <w:t>、</w:t>
            </w:r>
            <w:r>
              <w:rPr>
                <w:rFonts w:hint="eastAsia"/>
                <w:bCs/>
                <w:kern w:val="2"/>
                <w:szCs w:val="21"/>
                <w:u w:val="single"/>
                <w:lang w:val="en-US" w:eastAsia="zh-CN"/>
              </w:rPr>
              <w:t>SS、氨氮</w:t>
            </w:r>
            <w:r>
              <w:rPr>
                <w:rFonts w:hint="eastAsia"/>
                <w:bCs/>
                <w:kern w:val="2"/>
                <w:szCs w:val="21"/>
                <w:u w:val="single"/>
              </w:rPr>
              <w:t>、石油类</w:t>
            </w:r>
            <w:r>
              <w:rPr>
                <w:rFonts w:hint="eastAsia"/>
                <w:bCs/>
                <w:kern w:val="2"/>
                <w:szCs w:val="21"/>
                <w:u w:val="single"/>
                <w:lang w:val="en-US" w:eastAsia="zh-CN"/>
              </w:rPr>
              <w:t>、总磷、总锌</w:t>
            </w:r>
          </w:p>
        </w:tc>
        <w:tc>
          <w:tcPr>
            <w:tcW w:w="2505" w:type="dxa"/>
            <w:vAlign w:val="center"/>
          </w:tcPr>
          <w:p>
            <w:pPr>
              <w:pStyle w:val="24"/>
              <w:adjustRightInd/>
              <w:snapToGrid/>
              <w:rPr>
                <w:bCs/>
                <w:kern w:val="2"/>
                <w:szCs w:val="21"/>
                <w:u w:val="single"/>
              </w:rPr>
            </w:pPr>
            <w:r>
              <w:rPr>
                <w:rFonts w:hint="eastAsia"/>
                <w:color w:val="000000"/>
                <w:u w:val="single"/>
              </w:rPr>
              <w:t>经“隔油</w:t>
            </w:r>
            <w:r>
              <w:rPr>
                <w:rFonts w:hint="eastAsia"/>
                <w:color w:val="000000"/>
                <w:u w:val="single"/>
                <w:lang w:val="en-US" w:eastAsia="zh-CN"/>
              </w:rPr>
              <w:t>池</w:t>
            </w:r>
            <w:r>
              <w:rPr>
                <w:rFonts w:hint="eastAsia"/>
                <w:color w:val="000000"/>
                <w:u w:val="single"/>
              </w:rPr>
              <w:t>+</w:t>
            </w:r>
            <w:r>
              <w:rPr>
                <w:rFonts w:hint="eastAsia"/>
                <w:color w:val="000000"/>
                <w:u w:val="single"/>
                <w:lang w:val="en-US" w:eastAsia="zh-CN"/>
              </w:rPr>
              <w:t>调节池+一体化处理设施</w:t>
            </w:r>
            <w:r>
              <w:rPr>
                <w:rFonts w:hint="eastAsia"/>
                <w:color w:val="000000"/>
                <w:u w:val="single"/>
              </w:rPr>
              <w:t>”处理后排入衡阳西渡高新技术产业园区污水处理厂深度处理</w:t>
            </w:r>
          </w:p>
        </w:tc>
        <w:tc>
          <w:tcPr>
            <w:tcW w:w="2946" w:type="dxa"/>
            <w:vAlign w:val="center"/>
          </w:tcPr>
          <w:p>
            <w:pPr>
              <w:pStyle w:val="24"/>
              <w:adjustRightInd/>
              <w:snapToGrid/>
              <w:rPr>
                <w:bCs/>
                <w:kern w:val="2"/>
                <w:szCs w:val="21"/>
                <w:u w:val="single"/>
              </w:rPr>
            </w:pPr>
            <w:r>
              <w:rPr>
                <w:rFonts w:hint="eastAsia"/>
                <w:color w:val="000000"/>
                <w:u w:val="single"/>
              </w:rPr>
              <w:t>达到综排3级标准与接管标准中较严者要求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Align w:val="center"/>
          </w:tcPr>
          <w:p>
            <w:pPr>
              <w:pStyle w:val="24"/>
              <w:adjustRightInd/>
              <w:snapToGrid/>
              <w:rPr>
                <w:b/>
                <w:kern w:val="2"/>
                <w:szCs w:val="21"/>
                <w:u w:val="single"/>
              </w:rPr>
            </w:pPr>
            <w:r>
              <w:rPr>
                <w:rFonts w:hint="eastAsia"/>
                <w:b/>
                <w:kern w:val="2"/>
                <w:szCs w:val="21"/>
                <w:u w:val="single"/>
              </w:rPr>
              <w:t>声环境</w:t>
            </w:r>
          </w:p>
        </w:tc>
        <w:tc>
          <w:tcPr>
            <w:tcW w:w="1529" w:type="dxa"/>
            <w:vAlign w:val="center"/>
          </w:tcPr>
          <w:p>
            <w:pPr>
              <w:pStyle w:val="24"/>
              <w:adjustRightInd/>
              <w:snapToGrid/>
              <w:rPr>
                <w:bCs/>
                <w:kern w:val="2"/>
                <w:szCs w:val="21"/>
                <w:u w:val="single"/>
              </w:rPr>
            </w:pPr>
            <w:r>
              <w:rPr>
                <w:rFonts w:hint="eastAsia"/>
                <w:bCs/>
                <w:kern w:val="2"/>
                <w:szCs w:val="21"/>
                <w:u w:val="single"/>
              </w:rPr>
              <w:t>生产设备</w:t>
            </w:r>
          </w:p>
        </w:tc>
        <w:tc>
          <w:tcPr>
            <w:tcW w:w="1000" w:type="dxa"/>
            <w:vAlign w:val="center"/>
          </w:tcPr>
          <w:p>
            <w:pPr>
              <w:pStyle w:val="24"/>
              <w:adjustRightInd/>
              <w:snapToGrid/>
              <w:rPr>
                <w:bCs/>
                <w:kern w:val="2"/>
                <w:szCs w:val="21"/>
                <w:u w:val="single"/>
              </w:rPr>
            </w:pPr>
            <w:r>
              <w:rPr>
                <w:rFonts w:hint="eastAsia"/>
                <w:bCs/>
                <w:kern w:val="2"/>
                <w:szCs w:val="21"/>
                <w:u w:val="single"/>
              </w:rPr>
              <w:t>噪声</w:t>
            </w:r>
          </w:p>
        </w:tc>
        <w:tc>
          <w:tcPr>
            <w:tcW w:w="2505" w:type="dxa"/>
            <w:vAlign w:val="center"/>
          </w:tcPr>
          <w:p>
            <w:pPr>
              <w:pStyle w:val="24"/>
              <w:adjustRightInd/>
              <w:snapToGrid/>
              <w:rPr>
                <w:bCs/>
                <w:kern w:val="2"/>
                <w:szCs w:val="21"/>
                <w:u w:val="single"/>
              </w:rPr>
            </w:pPr>
            <w:r>
              <w:rPr>
                <w:rFonts w:hint="eastAsia"/>
                <w:bCs/>
                <w:kern w:val="2"/>
                <w:szCs w:val="21"/>
                <w:u w:val="single"/>
              </w:rPr>
              <w:t>采用厂房隔声、对高噪声设备采取减震降噪措施。</w:t>
            </w:r>
          </w:p>
        </w:tc>
        <w:tc>
          <w:tcPr>
            <w:tcW w:w="2946" w:type="dxa"/>
            <w:vAlign w:val="center"/>
          </w:tcPr>
          <w:p>
            <w:pPr>
              <w:pStyle w:val="24"/>
              <w:adjustRightInd/>
              <w:snapToGrid/>
              <w:rPr>
                <w:bCs/>
                <w:kern w:val="2"/>
                <w:szCs w:val="21"/>
                <w:u w:val="single"/>
              </w:rPr>
            </w:pPr>
            <w:r>
              <w:rPr>
                <w:rFonts w:hint="eastAsia"/>
                <w:bCs/>
                <w:kern w:val="2"/>
                <w:szCs w:val="21"/>
                <w:u w:val="single"/>
              </w:rPr>
              <w:t>《工业企业厂界环境噪声排放标准》（GB 12348-2008）中的3类标准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20" w:type="dxa"/>
            <w:vAlign w:val="center"/>
          </w:tcPr>
          <w:p>
            <w:pPr>
              <w:pStyle w:val="24"/>
              <w:adjustRightInd/>
              <w:snapToGrid/>
              <w:rPr>
                <w:b/>
                <w:kern w:val="2"/>
                <w:szCs w:val="21"/>
                <w:u w:val="single"/>
              </w:rPr>
            </w:pPr>
            <w:r>
              <w:rPr>
                <w:rFonts w:hint="eastAsia"/>
                <w:b/>
                <w:kern w:val="2"/>
                <w:szCs w:val="21"/>
                <w:u w:val="single"/>
              </w:rPr>
              <w:t>电磁辐射</w:t>
            </w:r>
          </w:p>
        </w:tc>
        <w:tc>
          <w:tcPr>
            <w:tcW w:w="1529" w:type="dxa"/>
            <w:vAlign w:val="center"/>
          </w:tcPr>
          <w:p>
            <w:pPr>
              <w:pStyle w:val="24"/>
              <w:adjustRightInd/>
              <w:snapToGrid/>
              <w:rPr>
                <w:bCs/>
                <w:kern w:val="2"/>
                <w:szCs w:val="21"/>
                <w:u w:val="single"/>
              </w:rPr>
            </w:pPr>
            <w:r>
              <w:rPr>
                <w:rFonts w:hint="eastAsia"/>
                <w:bCs/>
                <w:kern w:val="2"/>
                <w:szCs w:val="21"/>
                <w:u w:val="single"/>
              </w:rPr>
              <w:t>/</w:t>
            </w:r>
          </w:p>
        </w:tc>
        <w:tc>
          <w:tcPr>
            <w:tcW w:w="1000" w:type="dxa"/>
            <w:vAlign w:val="center"/>
          </w:tcPr>
          <w:p>
            <w:pPr>
              <w:pStyle w:val="24"/>
              <w:adjustRightInd/>
              <w:snapToGrid/>
              <w:rPr>
                <w:bCs/>
                <w:kern w:val="2"/>
                <w:szCs w:val="21"/>
                <w:u w:val="single"/>
              </w:rPr>
            </w:pPr>
            <w:r>
              <w:rPr>
                <w:rFonts w:hint="eastAsia"/>
                <w:bCs/>
                <w:kern w:val="2"/>
                <w:szCs w:val="21"/>
                <w:u w:val="single"/>
              </w:rPr>
              <w:t>/</w:t>
            </w:r>
          </w:p>
        </w:tc>
        <w:tc>
          <w:tcPr>
            <w:tcW w:w="2505" w:type="dxa"/>
            <w:vAlign w:val="center"/>
          </w:tcPr>
          <w:p>
            <w:pPr>
              <w:pStyle w:val="24"/>
              <w:adjustRightInd/>
              <w:snapToGrid/>
              <w:rPr>
                <w:bCs/>
                <w:kern w:val="2"/>
                <w:szCs w:val="21"/>
                <w:u w:val="single"/>
              </w:rPr>
            </w:pPr>
            <w:r>
              <w:rPr>
                <w:rFonts w:hint="eastAsia"/>
                <w:bCs/>
                <w:kern w:val="2"/>
                <w:szCs w:val="21"/>
                <w:u w:val="single"/>
              </w:rPr>
              <w:t>/</w:t>
            </w:r>
          </w:p>
        </w:tc>
        <w:tc>
          <w:tcPr>
            <w:tcW w:w="2946" w:type="dxa"/>
            <w:vAlign w:val="center"/>
          </w:tcPr>
          <w:p>
            <w:pPr>
              <w:pStyle w:val="24"/>
              <w:adjustRightInd/>
              <w:snapToGrid/>
              <w:rPr>
                <w:bCs/>
                <w:kern w:val="2"/>
                <w:szCs w:val="21"/>
                <w:u w:val="single"/>
              </w:rPr>
            </w:pPr>
            <w:r>
              <w:rPr>
                <w:rFonts w:hint="eastAsia"/>
                <w:bCs/>
                <w:kern w:val="2"/>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20" w:type="dxa"/>
            <w:vAlign w:val="center"/>
          </w:tcPr>
          <w:p>
            <w:pPr>
              <w:pStyle w:val="24"/>
              <w:adjustRightInd/>
              <w:snapToGrid/>
              <w:rPr>
                <w:b/>
                <w:kern w:val="2"/>
                <w:szCs w:val="21"/>
                <w:u w:val="single"/>
              </w:rPr>
            </w:pPr>
            <w:r>
              <w:rPr>
                <w:rFonts w:hint="eastAsia"/>
                <w:b/>
                <w:kern w:val="2"/>
                <w:szCs w:val="21"/>
                <w:u w:val="single"/>
              </w:rPr>
              <w:t>固体废物</w:t>
            </w:r>
          </w:p>
        </w:tc>
        <w:tc>
          <w:tcPr>
            <w:tcW w:w="7980" w:type="dxa"/>
            <w:gridSpan w:val="4"/>
            <w:vAlign w:val="center"/>
          </w:tcPr>
          <w:p>
            <w:pPr>
              <w:pStyle w:val="24"/>
              <w:adjustRightInd/>
              <w:snapToGrid/>
              <w:jc w:val="both"/>
              <w:rPr>
                <w:bCs/>
                <w:kern w:val="2"/>
                <w:szCs w:val="21"/>
                <w:u w:val="single"/>
              </w:rPr>
            </w:pPr>
            <w:r>
              <w:rPr>
                <w:rFonts w:hint="eastAsia"/>
                <w:bCs/>
                <w:kern w:val="2"/>
                <w:szCs w:val="21"/>
                <w:u w:val="single"/>
              </w:rPr>
              <w:t>①设置一般固废暂存间1个，危废间1个；</w:t>
            </w:r>
          </w:p>
          <w:p>
            <w:pPr>
              <w:pStyle w:val="24"/>
              <w:adjustRightInd/>
              <w:snapToGrid/>
              <w:jc w:val="both"/>
              <w:rPr>
                <w:bCs/>
                <w:kern w:val="2"/>
                <w:szCs w:val="21"/>
                <w:u w:val="single"/>
              </w:rPr>
            </w:pPr>
            <w:r>
              <w:rPr>
                <w:rFonts w:hint="eastAsia"/>
                <w:bCs/>
                <w:kern w:val="2"/>
                <w:szCs w:val="21"/>
                <w:u w:val="single"/>
              </w:rPr>
              <w:t>②滤芯粉末回收系统回收的粉末回用于生产；</w:t>
            </w:r>
          </w:p>
          <w:p>
            <w:pPr>
              <w:pStyle w:val="24"/>
              <w:adjustRightInd/>
              <w:snapToGrid/>
              <w:jc w:val="both"/>
              <w:rPr>
                <w:bCs/>
                <w:kern w:val="2"/>
                <w:szCs w:val="21"/>
                <w:u w:val="single"/>
              </w:rPr>
            </w:pPr>
            <w:r>
              <w:rPr>
                <w:rFonts w:hint="eastAsia"/>
                <w:bCs/>
                <w:kern w:val="2"/>
                <w:szCs w:val="21"/>
                <w:u w:val="single"/>
              </w:rPr>
              <w:t>③金属边角料、不合格的产品、废包装材料、</w:t>
            </w:r>
            <w:r>
              <w:rPr>
                <w:rFonts w:hint="eastAsia"/>
                <w:bCs/>
                <w:kern w:val="2"/>
                <w:szCs w:val="21"/>
                <w:u w:val="single"/>
                <w:lang w:val="en-US" w:eastAsia="zh-CN"/>
              </w:rPr>
              <w:t>焊接和生物质燃烧收集的粉尘、生物质热风炉燃烧炉渣、</w:t>
            </w:r>
            <w:r>
              <w:rPr>
                <w:rFonts w:hint="eastAsia"/>
                <w:bCs/>
                <w:kern w:val="2"/>
                <w:szCs w:val="21"/>
                <w:u w:val="single"/>
              </w:rPr>
              <w:t>更换的布袋</w:t>
            </w:r>
            <w:r>
              <w:rPr>
                <w:rFonts w:hint="eastAsia"/>
                <w:bCs/>
                <w:kern w:val="2"/>
                <w:szCs w:val="21"/>
                <w:u w:val="single"/>
                <w:lang w:eastAsia="zh-CN"/>
              </w:rPr>
              <w:t>、</w:t>
            </w:r>
            <w:r>
              <w:rPr>
                <w:rFonts w:hint="eastAsia"/>
                <w:bCs/>
                <w:kern w:val="2"/>
                <w:szCs w:val="21"/>
                <w:u w:val="single"/>
                <w:lang w:val="en-US" w:eastAsia="zh-CN"/>
              </w:rPr>
              <w:t>废滤芯</w:t>
            </w:r>
            <w:r>
              <w:rPr>
                <w:rFonts w:hint="eastAsia"/>
                <w:bCs/>
                <w:kern w:val="2"/>
                <w:szCs w:val="21"/>
                <w:u w:val="single"/>
              </w:rPr>
              <w:t>属于一般固体废物，收集后交由有处理能力的单位处置；</w:t>
            </w:r>
          </w:p>
          <w:p>
            <w:pPr>
              <w:pStyle w:val="24"/>
              <w:adjustRightInd/>
              <w:snapToGrid/>
              <w:jc w:val="both"/>
              <w:rPr>
                <w:bCs/>
                <w:kern w:val="2"/>
                <w:szCs w:val="21"/>
                <w:u w:val="single"/>
              </w:rPr>
            </w:pPr>
            <w:r>
              <w:rPr>
                <w:rFonts w:hint="eastAsia"/>
                <w:bCs/>
                <w:kern w:val="2"/>
                <w:szCs w:val="21"/>
                <w:u w:val="single"/>
              </w:rPr>
              <w:t>④含油手套抹布、废化学品包装、废机油、</w:t>
            </w:r>
            <w:r>
              <w:rPr>
                <w:rFonts w:hint="eastAsia"/>
                <w:bCs/>
                <w:kern w:val="2"/>
                <w:szCs w:val="21"/>
                <w:u w:val="single"/>
                <w:lang w:val="en-US" w:eastAsia="zh-CN"/>
              </w:rPr>
              <w:t>废液压油、</w:t>
            </w:r>
            <w:r>
              <w:rPr>
                <w:rFonts w:hint="eastAsia"/>
                <w:bCs/>
                <w:kern w:val="2"/>
                <w:szCs w:val="21"/>
                <w:u w:val="single"/>
              </w:rPr>
              <w:t>废槽渣</w:t>
            </w:r>
            <w:r>
              <w:rPr>
                <w:rFonts w:hint="eastAsia"/>
                <w:bCs/>
                <w:kern w:val="2"/>
                <w:szCs w:val="21"/>
                <w:u w:val="single"/>
                <w:lang w:eastAsia="zh-CN"/>
              </w:rPr>
              <w:t>、</w:t>
            </w:r>
            <w:r>
              <w:rPr>
                <w:rFonts w:hint="eastAsia"/>
                <w:bCs/>
                <w:kern w:val="2"/>
                <w:szCs w:val="21"/>
                <w:u w:val="single"/>
                <w:lang w:val="en-US" w:eastAsia="zh-CN"/>
              </w:rPr>
              <w:t>污泥、废槽液</w:t>
            </w:r>
            <w:r>
              <w:rPr>
                <w:rFonts w:hint="eastAsia"/>
                <w:bCs/>
                <w:kern w:val="2"/>
                <w:szCs w:val="21"/>
                <w:u w:val="single"/>
              </w:rPr>
              <w:t>均属于危险废物，分类暂存于危废间，定期委托有资质的单位进行处理；</w:t>
            </w:r>
          </w:p>
          <w:p>
            <w:pPr>
              <w:pStyle w:val="24"/>
              <w:adjustRightInd/>
              <w:snapToGrid/>
              <w:jc w:val="both"/>
              <w:rPr>
                <w:u w:val="single"/>
              </w:rPr>
            </w:pPr>
            <w:r>
              <w:rPr>
                <w:rFonts w:hint="eastAsia"/>
                <w:bCs/>
                <w:kern w:val="2"/>
                <w:szCs w:val="21"/>
                <w:u w:val="single"/>
              </w:rPr>
              <w:t>⑤生活垃圾依托园区生活垃圾暂存点，定期交由环卫部门清理。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20" w:type="dxa"/>
            <w:vAlign w:val="center"/>
          </w:tcPr>
          <w:p>
            <w:pPr>
              <w:pStyle w:val="24"/>
              <w:adjustRightInd/>
              <w:snapToGrid/>
              <w:rPr>
                <w:b/>
                <w:kern w:val="2"/>
                <w:szCs w:val="21"/>
                <w:u w:val="single"/>
              </w:rPr>
            </w:pPr>
            <w:r>
              <w:rPr>
                <w:rFonts w:hint="eastAsia"/>
                <w:b/>
                <w:kern w:val="2"/>
                <w:szCs w:val="21"/>
                <w:u w:val="single"/>
              </w:rPr>
              <w:t>土壤及地下水</w:t>
            </w:r>
          </w:p>
          <w:p>
            <w:pPr>
              <w:pStyle w:val="24"/>
              <w:adjustRightInd/>
              <w:snapToGrid/>
              <w:rPr>
                <w:b/>
                <w:kern w:val="2"/>
                <w:szCs w:val="21"/>
                <w:u w:val="single"/>
              </w:rPr>
            </w:pPr>
            <w:r>
              <w:rPr>
                <w:rFonts w:hint="eastAsia"/>
                <w:b/>
                <w:kern w:val="2"/>
                <w:szCs w:val="21"/>
                <w:u w:val="single"/>
              </w:rPr>
              <w:t>污染防治措施</w:t>
            </w:r>
          </w:p>
        </w:tc>
        <w:tc>
          <w:tcPr>
            <w:tcW w:w="7980" w:type="dxa"/>
            <w:gridSpan w:val="4"/>
            <w:vAlign w:val="center"/>
          </w:tcPr>
          <w:p>
            <w:pPr>
              <w:pStyle w:val="24"/>
              <w:adjustRightInd/>
              <w:snapToGrid/>
              <w:jc w:val="both"/>
              <w:rPr>
                <w:bCs/>
                <w:kern w:val="2"/>
                <w:szCs w:val="21"/>
                <w:u w:val="single"/>
              </w:rPr>
            </w:pPr>
            <w:r>
              <w:rPr>
                <w:rFonts w:hint="eastAsia"/>
                <w:bCs/>
                <w:kern w:val="2"/>
                <w:szCs w:val="21"/>
                <w:u w:val="single"/>
              </w:rPr>
              <w:t>①厂区地面硬化；</w:t>
            </w:r>
          </w:p>
          <w:p>
            <w:pPr>
              <w:pStyle w:val="24"/>
              <w:adjustRightInd/>
              <w:snapToGrid/>
              <w:jc w:val="both"/>
              <w:rPr>
                <w:bCs/>
                <w:kern w:val="2"/>
                <w:szCs w:val="21"/>
                <w:u w:val="single"/>
              </w:rPr>
            </w:pPr>
            <w:r>
              <w:rPr>
                <w:rFonts w:hint="eastAsia"/>
                <w:bCs/>
                <w:kern w:val="2"/>
                <w:szCs w:val="21"/>
                <w:u w:val="single"/>
              </w:rPr>
              <w:t>②危废暂存间、固废暂存间等采取防渗措施。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20" w:type="dxa"/>
            <w:vAlign w:val="center"/>
          </w:tcPr>
          <w:p>
            <w:pPr>
              <w:pStyle w:val="24"/>
              <w:adjustRightInd/>
              <w:snapToGrid/>
              <w:rPr>
                <w:b/>
                <w:kern w:val="2"/>
                <w:szCs w:val="21"/>
                <w:u w:val="single"/>
              </w:rPr>
            </w:pPr>
            <w:r>
              <w:rPr>
                <w:rFonts w:hint="eastAsia"/>
                <w:b/>
                <w:kern w:val="2"/>
                <w:szCs w:val="21"/>
                <w:u w:val="single"/>
              </w:rPr>
              <w:t>生态保护措施</w:t>
            </w:r>
          </w:p>
        </w:tc>
        <w:tc>
          <w:tcPr>
            <w:tcW w:w="7980" w:type="dxa"/>
            <w:gridSpan w:val="4"/>
            <w:vAlign w:val="center"/>
          </w:tcPr>
          <w:p>
            <w:pPr>
              <w:pStyle w:val="24"/>
              <w:adjustRightInd/>
              <w:snapToGrid/>
              <w:rPr>
                <w:bCs/>
                <w:kern w:val="2"/>
                <w:szCs w:val="21"/>
                <w:u w:val="single"/>
              </w:rPr>
            </w:pPr>
            <w:r>
              <w:rPr>
                <w:rFonts w:hint="eastAsia"/>
                <w:bCs/>
                <w:kern w:val="2"/>
                <w:szCs w:val="21"/>
                <w:u w:val="singl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820" w:type="dxa"/>
            <w:vAlign w:val="center"/>
          </w:tcPr>
          <w:p>
            <w:pPr>
              <w:pStyle w:val="24"/>
              <w:adjustRightInd/>
              <w:snapToGrid/>
              <w:rPr>
                <w:b/>
                <w:kern w:val="2"/>
                <w:szCs w:val="21"/>
                <w:u w:val="single"/>
              </w:rPr>
            </w:pPr>
            <w:r>
              <w:rPr>
                <w:rFonts w:hint="eastAsia"/>
                <w:b/>
                <w:kern w:val="2"/>
                <w:szCs w:val="21"/>
                <w:u w:val="single"/>
              </w:rPr>
              <w:t>环境风险</w:t>
            </w:r>
          </w:p>
          <w:p>
            <w:pPr>
              <w:pStyle w:val="24"/>
              <w:adjustRightInd/>
              <w:snapToGrid/>
              <w:rPr>
                <w:b/>
                <w:kern w:val="2"/>
                <w:szCs w:val="21"/>
                <w:u w:val="single"/>
              </w:rPr>
            </w:pPr>
            <w:r>
              <w:rPr>
                <w:rFonts w:hint="eastAsia"/>
                <w:b/>
                <w:kern w:val="2"/>
                <w:szCs w:val="21"/>
                <w:u w:val="single"/>
              </w:rPr>
              <w:t>防范措施</w:t>
            </w:r>
          </w:p>
        </w:tc>
        <w:tc>
          <w:tcPr>
            <w:tcW w:w="7980" w:type="dxa"/>
            <w:gridSpan w:val="4"/>
            <w:vAlign w:val="center"/>
          </w:tcPr>
          <w:p>
            <w:pPr>
              <w:pStyle w:val="24"/>
              <w:adjustRightInd/>
              <w:snapToGrid/>
              <w:jc w:val="both"/>
              <w:rPr>
                <w:u w:val="single"/>
              </w:rPr>
            </w:pPr>
            <w:r>
              <w:rPr>
                <w:rFonts w:hint="eastAsia"/>
                <w:bCs/>
                <w:kern w:val="2"/>
                <w:szCs w:val="21"/>
                <w:u w:val="single"/>
              </w:rPr>
              <w:t>本项目通过制定风险防范措施，制定安全生产规范，通过加强员工的安全、环保知识和风险事故安全教育，提高职工的风险意识，掌握本职工作所需的安全知识和技能，严格遵守安全规章制度和操作规程，了解其作业场所和工作存在的危险有害因素以及企业所采取的防范措施和环境突发事故应急措施，以减少风险发生的概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820" w:type="dxa"/>
            <w:vAlign w:val="center"/>
          </w:tcPr>
          <w:p>
            <w:pPr>
              <w:pStyle w:val="24"/>
              <w:adjustRightInd/>
              <w:snapToGrid/>
              <w:rPr>
                <w:b/>
                <w:kern w:val="2"/>
                <w:szCs w:val="21"/>
                <w:u w:val="single"/>
              </w:rPr>
            </w:pPr>
            <w:r>
              <w:rPr>
                <w:rFonts w:hint="eastAsia"/>
                <w:b/>
                <w:kern w:val="2"/>
                <w:szCs w:val="21"/>
                <w:u w:val="single"/>
              </w:rPr>
              <w:t>其他环境</w:t>
            </w:r>
          </w:p>
          <w:p>
            <w:pPr>
              <w:pStyle w:val="24"/>
              <w:adjustRightInd/>
              <w:snapToGrid/>
              <w:rPr>
                <w:b/>
                <w:kern w:val="2"/>
                <w:szCs w:val="21"/>
                <w:u w:val="single"/>
              </w:rPr>
            </w:pPr>
            <w:r>
              <w:rPr>
                <w:rFonts w:hint="eastAsia"/>
                <w:b/>
                <w:kern w:val="2"/>
                <w:szCs w:val="21"/>
                <w:u w:val="single"/>
              </w:rPr>
              <w:t>管理要求</w:t>
            </w:r>
          </w:p>
        </w:tc>
        <w:tc>
          <w:tcPr>
            <w:tcW w:w="7980" w:type="dxa"/>
            <w:gridSpan w:val="4"/>
            <w:vAlign w:val="center"/>
          </w:tcPr>
          <w:p>
            <w:pPr>
              <w:pStyle w:val="24"/>
              <w:adjustRightInd/>
              <w:snapToGrid/>
              <w:jc w:val="both"/>
              <w:rPr>
                <w:bCs/>
                <w:kern w:val="2"/>
                <w:szCs w:val="21"/>
                <w:u w:val="single"/>
              </w:rPr>
            </w:pPr>
            <w:r>
              <w:rPr>
                <w:rFonts w:hint="eastAsia"/>
                <w:bCs/>
                <w:kern w:val="2"/>
                <w:szCs w:val="21"/>
                <w:u w:val="single"/>
              </w:rPr>
              <w:t>①项目建成投产排污前，应办理排污许可证。并根据《排污单位自行监测技术指南 总则》（HJ819-2017）</w:t>
            </w:r>
            <w:r>
              <w:rPr>
                <w:rFonts w:hint="eastAsia"/>
                <w:bCs/>
                <w:kern w:val="2"/>
                <w:szCs w:val="21"/>
                <w:u w:val="single"/>
                <w:lang w:eastAsia="zh-CN"/>
              </w:rPr>
              <w:t>、《排污单位自行监测技术指南 涂装》（</w:t>
            </w:r>
            <w:r>
              <w:rPr>
                <w:rFonts w:hint="eastAsia"/>
                <w:bCs/>
                <w:kern w:val="2"/>
                <w:szCs w:val="21"/>
                <w:u w:val="single"/>
                <w:lang w:val="en-US" w:eastAsia="zh-CN"/>
              </w:rPr>
              <w:t>HJ1086-2020</w:t>
            </w:r>
            <w:r>
              <w:rPr>
                <w:rFonts w:hint="eastAsia"/>
                <w:bCs/>
                <w:kern w:val="2"/>
                <w:szCs w:val="21"/>
                <w:u w:val="single"/>
                <w:lang w:eastAsia="zh-CN"/>
              </w:rPr>
              <w:t>）、《</w:t>
            </w:r>
            <w:r>
              <w:rPr>
                <w:rFonts w:hint="eastAsia"/>
                <w:bCs/>
                <w:kern w:val="2"/>
                <w:szCs w:val="21"/>
                <w:u w:val="single"/>
                <w:lang w:val="en-US" w:eastAsia="zh-CN"/>
              </w:rPr>
              <w:t>排污许可证申请与核发技术规范 总则》（HJ942-2018）、</w:t>
            </w:r>
            <w:r>
              <w:rPr>
                <w:rFonts w:hint="eastAsia"/>
                <w:bCs/>
                <w:kern w:val="2"/>
                <w:szCs w:val="21"/>
                <w:u w:val="single"/>
                <w:lang w:eastAsia="zh-CN"/>
              </w:rPr>
              <w:t>《</w:t>
            </w:r>
            <w:r>
              <w:rPr>
                <w:rFonts w:hint="eastAsia"/>
                <w:bCs/>
                <w:kern w:val="2"/>
                <w:szCs w:val="21"/>
                <w:u w:val="single"/>
                <w:lang w:val="en-US" w:eastAsia="zh-CN"/>
              </w:rPr>
              <w:t>排污许可证申请与核发技术规范 工业炉窑》（HJ1121-2020）等相关</w:t>
            </w:r>
            <w:r>
              <w:rPr>
                <w:rFonts w:hint="eastAsia"/>
                <w:bCs/>
                <w:kern w:val="2"/>
                <w:szCs w:val="21"/>
                <w:u w:val="single"/>
              </w:rPr>
              <w:t>要求，制定运营期环境自行监测计划；</w:t>
            </w:r>
          </w:p>
          <w:p>
            <w:pPr>
              <w:pStyle w:val="24"/>
              <w:adjustRightInd/>
              <w:snapToGrid/>
              <w:jc w:val="both"/>
              <w:rPr>
                <w:bCs/>
                <w:kern w:val="2"/>
                <w:szCs w:val="21"/>
                <w:u w:val="single"/>
              </w:rPr>
            </w:pPr>
            <w:r>
              <w:rPr>
                <w:rFonts w:hint="eastAsia"/>
                <w:bCs/>
                <w:kern w:val="2"/>
                <w:szCs w:val="21"/>
                <w:u w:val="single"/>
              </w:rPr>
              <w:t>②项目建成试运行，及时进行自主环保竣工验收；</w:t>
            </w:r>
          </w:p>
          <w:p>
            <w:pPr>
              <w:pStyle w:val="24"/>
              <w:adjustRightInd/>
              <w:snapToGrid/>
              <w:jc w:val="both"/>
              <w:rPr>
                <w:bCs/>
                <w:kern w:val="2"/>
                <w:szCs w:val="21"/>
                <w:u w:val="single"/>
              </w:rPr>
            </w:pPr>
            <w:r>
              <w:rPr>
                <w:rFonts w:hint="eastAsia"/>
                <w:bCs/>
                <w:kern w:val="2"/>
                <w:szCs w:val="21"/>
                <w:u w:val="single"/>
              </w:rPr>
              <w:t>③项目竣工环保验收合格后，企业应根据监测计划，定期对污染源进行监测，监测结果按排污许可相关管理要求进行公示公开。企业应将监测数据和报告存档，作为编制排污许可执行报告基础材料。监测数据应长期保存，并定期接受当地环保主管部门的考核。</w:t>
            </w:r>
          </w:p>
        </w:tc>
      </w:tr>
    </w:tbl>
    <w:p>
      <w:pPr>
        <w:pStyle w:val="15"/>
        <w:jc w:val="center"/>
        <w:outlineLvl w:val="0"/>
        <w:rPr>
          <w:rFonts w:hint="eastAsia" w:ascii="黑体" w:hAnsi="黑体" w:eastAsia="黑体"/>
          <w:snapToGrid w:val="0"/>
          <w:sz w:val="30"/>
          <w:szCs w:val="30"/>
        </w:rPr>
      </w:pPr>
      <w:r>
        <w:rPr>
          <w:snapToGrid w:val="0"/>
        </w:rPr>
        <w:br w:type="page"/>
      </w:r>
      <w:bookmarkStart w:id="188" w:name="_Toc4492"/>
      <w:r>
        <w:rPr>
          <w:rFonts w:hint="eastAsia" w:ascii="黑体" w:hAnsi="黑体" w:eastAsia="黑体"/>
          <w:snapToGrid w:val="0"/>
          <w:sz w:val="30"/>
          <w:szCs w:val="30"/>
        </w:rPr>
        <w:t>六、结论</w:t>
      </w:r>
      <w:bookmarkEnd w:id="188"/>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spacing w:before="720" w:beforeLines="300"/>
              <w:ind w:firstLine="480"/>
              <w:rPr>
                <w:rFonts w:ascii="宋体" w:cs="宋体"/>
              </w:rPr>
            </w:pPr>
            <w:r>
              <w:rPr>
                <w:rFonts w:hint="eastAsia" w:ascii="宋体" w:cs="宋体"/>
              </w:rPr>
              <w:t>本项目建设符合国家产业政策和区域环境功能区划，用地性质符合区域土地利用规划，项目选址合理。项目建设符合“三线一单”要求，项目不属于《产业结构调整指导目录（2024年本）》淘汰类和限制类项目，不属于《市场准入负面清单》（2022年版）的负面清单禁止准入类项目。建设单位应严格落实报告中要求采取的污染防治措施，保证废气、废水、噪声达标排放，妥善处理各类固体废物。建设单位切实落实好本环境影响报告表中的环保措施，则本项目的建设不会对周围的环境产生明显的影响。</w:t>
            </w:r>
          </w:p>
          <w:p>
            <w:pPr>
              <w:ind w:firstLine="480"/>
              <w:rPr>
                <w:rFonts w:ascii="宋体" w:cs="宋体"/>
              </w:rPr>
            </w:pPr>
            <w:r>
              <w:rPr>
                <w:rFonts w:hint="eastAsia" w:ascii="宋体" w:cs="宋体"/>
              </w:rPr>
              <w:t>从环境保护的角度分析，本项目建设可行。</w:t>
            </w:r>
          </w:p>
        </w:tc>
      </w:tr>
    </w:tbl>
    <w:p>
      <w:pPr>
        <w:ind w:firstLine="480"/>
        <w:rPr>
          <w:rFonts w:ascii="宋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15"/>
        <w:keepNext w:val="0"/>
        <w:keepLines w:val="0"/>
        <w:pageBreakBefore w:val="0"/>
        <w:widowControl/>
        <w:kinsoku/>
        <w:wordWrap/>
        <w:overflowPunct/>
        <w:topLinePunct w:val="0"/>
        <w:autoSpaceDE/>
        <w:autoSpaceDN/>
        <w:bidi w:val="0"/>
        <w:adjustRightInd w:val="0"/>
        <w:snapToGrid w:val="0"/>
        <w:spacing w:beforeAutospacing="0" w:afterAutospacing="0" w:line="240" w:lineRule="auto"/>
        <w:textAlignment w:val="auto"/>
        <w:outlineLvl w:val="0"/>
        <w:rPr>
          <w:rFonts w:hint="eastAsia" w:ascii="黑体" w:hAnsi="黑体" w:eastAsia="黑体"/>
          <w:snapToGrid w:val="0"/>
          <w:sz w:val="32"/>
          <w:szCs w:val="32"/>
        </w:rPr>
      </w:pPr>
      <w:bookmarkStart w:id="189" w:name="_Toc4940"/>
      <w:r>
        <w:rPr>
          <w:rFonts w:hint="eastAsia" w:ascii="黑体" w:hAnsi="黑体" w:eastAsia="黑体"/>
          <w:snapToGrid w:val="0"/>
          <w:sz w:val="32"/>
          <w:szCs w:val="32"/>
        </w:rPr>
        <w:t>附表</w:t>
      </w:r>
      <w:bookmarkEnd w:id="189"/>
    </w:p>
    <w:p>
      <w:pPr>
        <w:pStyle w:val="15"/>
        <w:keepNext w:val="0"/>
        <w:keepLines w:val="0"/>
        <w:pageBreakBefore w:val="0"/>
        <w:widowControl/>
        <w:kinsoku/>
        <w:wordWrap/>
        <w:overflowPunct/>
        <w:topLinePunct w:val="0"/>
        <w:autoSpaceDE/>
        <w:autoSpaceDN/>
        <w:bidi w:val="0"/>
        <w:adjustRightInd w:val="0"/>
        <w:snapToGrid w:val="0"/>
        <w:spacing w:beforeAutospacing="0" w:afterAutospacing="0" w:line="240" w:lineRule="auto"/>
        <w:jc w:val="center"/>
        <w:textAlignment w:val="auto"/>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1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420"/>
        <w:gridCol w:w="1660"/>
        <w:gridCol w:w="1698"/>
        <w:gridCol w:w="13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blHeader/>
        </w:trPr>
        <w:tc>
          <w:tcPr>
            <w:tcW w:w="1588" w:type="dxa"/>
            <w:tcBorders>
              <w:tl2br w:val="single" w:color="auto" w:sz="4" w:space="0"/>
            </w:tcBorders>
            <w:tcMar>
              <w:left w:w="28" w:type="dxa"/>
              <w:right w:w="28" w:type="dxa"/>
            </w:tcMar>
            <w:vAlign w:val="center"/>
          </w:tcPr>
          <w:p>
            <w:pPr>
              <w:pStyle w:val="24"/>
              <w:adjustRightInd/>
              <w:snapToGrid/>
              <w:rPr>
                <w:b/>
                <w:color w:val="auto"/>
                <w:kern w:val="2"/>
                <w:szCs w:val="21"/>
              </w:rPr>
            </w:pPr>
            <w:r>
              <w:rPr>
                <w:rFonts w:hint="eastAsia"/>
                <w:b/>
                <w:color w:val="auto"/>
                <w:kern w:val="2"/>
                <w:szCs w:val="21"/>
              </w:rPr>
              <w:t>项目</w:t>
            </w:r>
          </w:p>
          <w:p>
            <w:pPr>
              <w:pStyle w:val="24"/>
              <w:adjustRightInd/>
              <w:snapToGrid/>
              <w:rPr>
                <w:b/>
                <w:color w:val="auto"/>
                <w:kern w:val="2"/>
                <w:szCs w:val="21"/>
              </w:rPr>
            </w:pPr>
            <w:r>
              <w:rPr>
                <w:rFonts w:hint="eastAsia"/>
                <w:b/>
                <w:color w:val="auto"/>
                <w:kern w:val="2"/>
                <w:szCs w:val="21"/>
              </w:rPr>
              <w:t>分类</w:t>
            </w:r>
          </w:p>
        </w:tc>
        <w:tc>
          <w:tcPr>
            <w:tcW w:w="1417"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污染物名称</w:t>
            </w:r>
          </w:p>
        </w:tc>
        <w:tc>
          <w:tcPr>
            <w:tcW w:w="1701"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现有工程排放量（固体废物产生量）</w:t>
            </w:r>
            <w:r>
              <w:rPr>
                <w:rFonts w:hint="eastAsia"/>
                <w:b/>
                <w:color w:val="auto"/>
                <w:kern w:val="2"/>
                <w:szCs w:val="21"/>
              </w:rPr>
              <w:fldChar w:fldCharType="begin"/>
            </w:r>
            <w:r>
              <w:rPr>
                <w:rFonts w:hint="eastAsia"/>
                <w:b/>
                <w:color w:val="auto"/>
                <w:kern w:val="2"/>
                <w:szCs w:val="21"/>
              </w:rPr>
              <w:instrText xml:space="preserve"> = 1 \* GB3 \* MERGEFORMAT </w:instrText>
            </w:r>
            <w:r>
              <w:rPr>
                <w:rFonts w:hint="eastAsia"/>
                <w:b/>
                <w:color w:val="auto"/>
                <w:kern w:val="2"/>
                <w:szCs w:val="21"/>
              </w:rPr>
              <w:fldChar w:fldCharType="separate"/>
            </w:r>
            <w:r>
              <w:rPr>
                <w:rFonts w:hint="eastAsia"/>
                <w:b/>
                <w:color w:val="auto"/>
                <w:kern w:val="2"/>
                <w:szCs w:val="21"/>
              </w:rPr>
              <w:t>①</w:t>
            </w:r>
            <w:r>
              <w:rPr>
                <w:rFonts w:hint="eastAsia"/>
                <w:b/>
                <w:color w:val="auto"/>
                <w:kern w:val="2"/>
                <w:szCs w:val="21"/>
              </w:rPr>
              <w:fldChar w:fldCharType="end"/>
            </w:r>
          </w:p>
        </w:tc>
        <w:tc>
          <w:tcPr>
            <w:tcW w:w="1276"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现有工程许可排放量</w:t>
            </w:r>
          </w:p>
          <w:p>
            <w:pPr>
              <w:pStyle w:val="24"/>
              <w:adjustRightInd/>
              <w:snapToGrid/>
              <w:rPr>
                <w:b/>
                <w:color w:val="auto"/>
                <w:kern w:val="2"/>
                <w:szCs w:val="21"/>
              </w:rPr>
            </w:pPr>
            <w:r>
              <w:rPr>
                <w:rFonts w:hint="eastAsia"/>
                <w:b/>
                <w:color w:val="auto"/>
                <w:kern w:val="2"/>
                <w:szCs w:val="21"/>
              </w:rPr>
              <w:fldChar w:fldCharType="begin"/>
            </w:r>
            <w:r>
              <w:rPr>
                <w:rFonts w:hint="eastAsia"/>
                <w:b/>
                <w:color w:val="auto"/>
                <w:kern w:val="2"/>
                <w:szCs w:val="21"/>
              </w:rPr>
              <w:instrText xml:space="preserve"> = 2 \* GB3 \* MERGEFORMAT </w:instrText>
            </w:r>
            <w:r>
              <w:rPr>
                <w:rFonts w:hint="eastAsia"/>
                <w:b/>
                <w:color w:val="auto"/>
                <w:kern w:val="2"/>
                <w:szCs w:val="21"/>
              </w:rPr>
              <w:fldChar w:fldCharType="separate"/>
            </w:r>
            <w:r>
              <w:rPr>
                <w:rFonts w:hint="eastAsia"/>
                <w:b/>
                <w:color w:val="auto"/>
                <w:kern w:val="2"/>
                <w:szCs w:val="21"/>
              </w:rPr>
              <w:t>②</w:t>
            </w:r>
            <w:r>
              <w:rPr>
                <w:rFonts w:hint="eastAsia"/>
                <w:b/>
                <w:color w:val="auto"/>
                <w:kern w:val="2"/>
                <w:szCs w:val="21"/>
              </w:rPr>
              <w:fldChar w:fldCharType="end"/>
            </w:r>
          </w:p>
        </w:tc>
        <w:tc>
          <w:tcPr>
            <w:tcW w:w="1701"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在建工程排放量（固体废物产生量）</w:t>
            </w:r>
            <w:r>
              <w:rPr>
                <w:rFonts w:hint="eastAsia"/>
                <w:b/>
                <w:color w:val="auto"/>
                <w:kern w:val="2"/>
                <w:szCs w:val="21"/>
              </w:rPr>
              <w:fldChar w:fldCharType="begin"/>
            </w:r>
            <w:r>
              <w:rPr>
                <w:rFonts w:hint="eastAsia"/>
                <w:b/>
                <w:color w:val="auto"/>
                <w:kern w:val="2"/>
                <w:szCs w:val="21"/>
              </w:rPr>
              <w:instrText xml:space="preserve"> = 3 \* GB3 \* MERGEFORMAT </w:instrText>
            </w:r>
            <w:r>
              <w:rPr>
                <w:rFonts w:hint="eastAsia"/>
                <w:b/>
                <w:color w:val="auto"/>
                <w:kern w:val="2"/>
                <w:szCs w:val="21"/>
              </w:rPr>
              <w:fldChar w:fldCharType="separate"/>
            </w:r>
            <w:r>
              <w:rPr>
                <w:rFonts w:hint="eastAsia"/>
                <w:b/>
                <w:color w:val="auto"/>
                <w:kern w:val="2"/>
                <w:szCs w:val="21"/>
              </w:rPr>
              <w:t>③</w:t>
            </w:r>
            <w:r>
              <w:rPr>
                <w:rFonts w:hint="eastAsia"/>
                <w:b/>
                <w:color w:val="auto"/>
                <w:kern w:val="2"/>
                <w:szCs w:val="21"/>
              </w:rPr>
              <w:fldChar w:fldCharType="end"/>
            </w:r>
          </w:p>
        </w:tc>
        <w:tc>
          <w:tcPr>
            <w:tcW w:w="1420"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本项目排放量（固体废物产生量）</w:t>
            </w:r>
            <w:r>
              <w:rPr>
                <w:rFonts w:hint="eastAsia"/>
                <w:b/>
                <w:color w:val="auto"/>
                <w:kern w:val="2"/>
                <w:szCs w:val="21"/>
              </w:rPr>
              <w:fldChar w:fldCharType="begin"/>
            </w:r>
            <w:r>
              <w:rPr>
                <w:rFonts w:hint="eastAsia"/>
                <w:b/>
                <w:color w:val="auto"/>
                <w:kern w:val="2"/>
                <w:szCs w:val="21"/>
              </w:rPr>
              <w:instrText xml:space="preserve"> = 4 \* GB3 \* MERGEFORMAT </w:instrText>
            </w:r>
            <w:r>
              <w:rPr>
                <w:rFonts w:hint="eastAsia"/>
                <w:b/>
                <w:color w:val="auto"/>
                <w:kern w:val="2"/>
                <w:szCs w:val="21"/>
              </w:rPr>
              <w:fldChar w:fldCharType="separate"/>
            </w:r>
            <w:r>
              <w:rPr>
                <w:rFonts w:hint="eastAsia"/>
                <w:b/>
                <w:color w:val="auto"/>
                <w:kern w:val="2"/>
                <w:szCs w:val="21"/>
              </w:rPr>
              <w:t>④</w:t>
            </w:r>
            <w:r>
              <w:rPr>
                <w:rFonts w:hint="eastAsia"/>
                <w:b/>
                <w:color w:val="auto"/>
                <w:kern w:val="2"/>
                <w:szCs w:val="21"/>
              </w:rPr>
              <w:fldChar w:fldCharType="end"/>
            </w:r>
          </w:p>
        </w:tc>
        <w:tc>
          <w:tcPr>
            <w:tcW w:w="1660"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以新带老削减量（新建项目不填）</w:t>
            </w:r>
            <w:r>
              <w:rPr>
                <w:rFonts w:hint="eastAsia"/>
                <w:b/>
                <w:color w:val="auto"/>
                <w:kern w:val="2"/>
                <w:szCs w:val="21"/>
              </w:rPr>
              <w:fldChar w:fldCharType="begin"/>
            </w:r>
            <w:r>
              <w:rPr>
                <w:rFonts w:hint="eastAsia"/>
                <w:b/>
                <w:color w:val="auto"/>
                <w:kern w:val="2"/>
                <w:szCs w:val="21"/>
              </w:rPr>
              <w:instrText xml:space="preserve"> = 5 \* GB3 \* MERGEFORMAT </w:instrText>
            </w:r>
            <w:r>
              <w:rPr>
                <w:rFonts w:hint="eastAsia"/>
                <w:b/>
                <w:color w:val="auto"/>
                <w:kern w:val="2"/>
                <w:szCs w:val="21"/>
              </w:rPr>
              <w:fldChar w:fldCharType="separate"/>
            </w:r>
            <w:r>
              <w:rPr>
                <w:rFonts w:hint="eastAsia"/>
                <w:b/>
                <w:color w:val="auto"/>
                <w:kern w:val="2"/>
                <w:szCs w:val="21"/>
              </w:rPr>
              <w:t>⑤</w:t>
            </w:r>
            <w:r>
              <w:rPr>
                <w:rFonts w:hint="eastAsia"/>
                <w:b/>
                <w:color w:val="auto"/>
                <w:kern w:val="2"/>
                <w:szCs w:val="21"/>
              </w:rPr>
              <w:fldChar w:fldCharType="end"/>
            </w:r>
          </w:p>
        </w:tc>
        <w:tc>
          <w:tcPr>
            <w:tcW w:w="1698"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本项目建成后全厂排放量（固体废物产生量）</w:t>
            </w:r>
            <w:r>
              <w:rPr>
                <w:rFonts w:hint="eastAsia"/>
                <w:b/>
                <w:color w:val="auto"/>
                <w:kern w:val="2"/>
                <w:szCs w:val="21"/>
              </w:rPr>
              <w:fldChar w:fldCharType="begin"/>
            </w:r>
            <w:r>
              <w:rPr>
                <w:rFonts w:hint="eastAsia"/>
                <w:b/>
                <w:color w:val="auto"/>
                <w:kern w:val="2"/>
                <w:szCs w:val="21"/>
              </w:rPr>
              <w:instrText xml:space="preserve"> = 6 \* GB3 \* MERGEFORMAT </w:instrText>
            </w:r>
            <w:r>
              <w:rPr>
                <w:rFonts w:hint="eastAsia"/>
                <w:b/>
                <w:color w:val="auto"/>
                <w:kern w:val="2"/>
                <w:szCs w:val="21"/>
              </w:rPr>
              <w:fldChar w:fldCharType="separate"/>
            </w:r>
            <w:r>
              <w:rPr>
                <w:rFonts w:hint="eastAsia"/>
                <w:b/>
                <w:color w:val="auto"/>
                <w:kern w:val="2"/>
                <w:szCs w:val="21"/>
              </w:rPr>
              <w:t>⑥</w:t>
            </w:r>
            <w:r>
              <w:rPr>
                <w:rFonts w:hint="eastAsia"/>
                <w:b/>
                <w:color w:val="auto"/>
                <w:kern w:val="2"/>
                <w:szCs w:val="21"/>
              </w:rPr>
              <w:fldChar w:fldCharType="end"/>
            </w:r>
          </w:p>
        </w:tc>
        <w:tc>
          <w:tcPr>
            <w:tcW w:w="1327" w:type="dxa"/>
            <w:tcMar>
              <w:left w:w="28" w:type="dxa"/>
              <w:right w:w="28" w:type="dxa"/>
            </w:tcMar>
            <w:vAlign w:val="center"/>
          </w:tcPr>
          <w:p>
            <w:pPr>
              <w:pStyle w:val="24"/>
              <w:adjustRightInd/>
              <w:snapToGrid/>
              <w:rPr>
                <w:b/>
                <w:color w:val="auto"/>
                <w:kern w:val="2"/>
                <w:szCs w:val="21"/>
              </w:rPr>
            </w:pPr>
            <w:r>
              <w:rPr>
                <w:rFonts w:hint="eastAsia"/>
                <w:b/>
                <w:color w:val="auto"/>
                <w:kern w:val="2"/>
                <w:szCs w:val="21"/>
              </w:rPr>
              <w:t>变化量</w:t>
            </w:r>
          </w:p>
          <w:p>
            <w:pPr>
              <w:pStyle w:val="24"/>
              <w:adjustRightInd/>
              <w:snapToGrid/>
              <w:rPr>
                <w:b/>
                <w:color w:val="auto"/>
                <w:kern w:val="2"/>
                <w:szCs w:val="21"/>
              </w:rPr>
            </w:pPr>
            <w:r>
              <w:rPr>
                <w:rFonts w:hint="eastAsia"/>
                <w:b/>
                <w:color w:val="auto"/>
                <w:kern w:val="2"/>
                <w:szCs w:val="21"/>
              </w:rPr>
              <w:fldChar w:fldCharType="begin"/>
            </w:r>
            <w:r>
              <w:rPr>
                <w:rFonts w:hint="eastAsia"/>
                <w:b/>
                <w:color w:val="auto"/>
                <w:kern w:val="2"/>
                <w:szCs w:val="21"/>
              </w:rPr>
              <w:instrText xml:space="preserve"> = 7 \* GB3 \* MERGEFORMAT </w:instrText>
            </w:r>
            <w:r>
              <w:rPr>
                <w:rFonts w:hint="eastAsia"/>
                <w:b/>
                <w:color w:val="auto"/>
                <w:kern w:val="2"/>
                <w:szCs w:val="21"/>
              </w:rPr>
              <w:fldChar w:fldCharType="separate"/>
            </w:r>
            <w:r>
              <w:rPr>
                <w:rFonts w:hint="eastAsia"/>
                <w:b/>
                <w:color w:val="auto"/>
                <w:kern w:val="2"/>
                <w:szCs w:val="21"/>
              </w:rPr>
              <w:t>⑦</w:t>
            </w:r>
            <w:r>
              <w:rPr>
                <w:rFonts w:hint="eastAsia"/>
                <w:b/>
                <w:color w:val="auto"/>
                <w:kern w:val="2"/>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restart"/>
            <w:vAlign w:val="center"/>
          </w:tcPr>
          <w:p>
            <w:pPr>
              <w:pStyle w:val="24"/>
              <w:adjustRightInd/>
              <w:snapToGrid/>
              <w:rPr>
                <w:b/>
                <w:color w:val="auto"/>
                <w:kern w:val="2"/>
                <w:szCs w:val="21"/>
              </w:rPr>
            </w:pPr>
            <w:r>
              <w:rPr>
                <w:rFonts w:hint="eastAsia"/>
                <w:b/>
                <w:color w:val="auto"/>
                <w:kern w:val="2"/>
                <w:szCs w:val="21"/>
              </w:rPr>
              <w:t>废气</w:t>
            </w: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颗粒物</w:t>
            </w:r>
          </w:p>
        </w:tc>
        <w:tc>
          <w:tcPr>
            <w:tcW w:w="1701"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default"/>
                <w:color w:val="auto"/>
                <w:lang w:val="en-US" w:eastAsia="zh-CN"/>
              </w:rPr>
              <w:t>0.</w:t>
            </w:r>
            <w:r>
              <w:rPr>
                <w:rFonts w:hint="eastAsia"/>
                <w:color w:val="auto"/>
                <w:lang w:val="en-US" w:eastAsia="zh-CN"/>
              </w:rPr>
              <w:t>759</w:t>
            </w:r>
            <w:r>
              <w:rPr>
                <w:rFonts w:hint="eastAsia"/>
                <w:color w:val="auto"/>
              </w:rPr>
              <w:t>t/a</w:t>
            </w:r>
          </w:p>
        </w:tc>
        <w:tc>
          <w:tcPr>
            <w:tcW w:w="166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0"/>
                <w:lang w:val="en-US" w:eastAsia="zh-CN" w:bidi="ar-SA"/>
              </w:rPr>
            </w:pPr>
            <w:r>
              <w:rPr>
                <w:rFonts w:hint="default"/>
                <w:color w:val="auto"/>
                <w:lang w:val="en-US" w:eastAsia="zh-CN"/>
              </w:rPr>
              <w:t>0.</w:t>
            </w:r>
            <w:r>
              <w:rPr>
                <w:rFonts w:hint="eastAsia"/>
                <w:color w:val="auto"/>
                <w:lang w:val="en-US" w:eastAsia="zh-CN"/>
              </w:rPr>
              <w:t>759</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VOCs</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default"/>
                <w:color w:val="auto"/>
                <w:lang w:val="en-US" w:eastAsia="zh-CN"/>
              </w:rPr>
              <w:t>0.</w:t>
            </w:r>
            <w:r>
              <w:rPr>
                <w:rFonts w:hint="eastAsia"/>
                <w:color w:val="auto"/>
                <w:lang w:val="en-US" w:eastAsia="zh-CN"/>
              </w:rPr>
              <w:t>060</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0"/>
                <w:lang w:val="en-US" w:eastAsia="zh-CN" w:bidi="ar-SA"/>
              </w:rPr>
            </w:pPr>
            <w:r>
              <w:rPr>
                <w:rFonts w:hint="default"/>
                <w:color w:val="auto"/>
                <w:lang w:val="en-US" w:eastAsia="zh-CN"/>
              </w:rPr>
              <w:t>0.060</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SO</w:t>
            </w:r>
            <w:r>
              <w:rPr>
                <w:rFonts w:hint="eastAsia"/>
                <w:color w:val="auto"/>
                <w:vertAlign w:val="subscript"/>
              </w:rPr>
              <w:t>2</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default"/>
                <w:color w:val="auto"/>
                <w:lang w:val="en-US" w:eastAsia="zh-CN"/>
              </w:rPr>
              <w:t>0.</w:t>
            </w:r>
            <w:r>
              <w:rPr>
                <w:rFonts w:hint="eastAsia"/>
                <w:color w:val="auto"/>
                <w:lang w:val="en-US" w:eastAsia="zh-CN"/>
              </w:rPr>
              <w:t>842</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0"/>
                <w:lang w:val="en-US" w:eastAsia="zh-CN" w:bidi="ar-SA"/>
              </w:rPr>
            </w:pPr>
            <w:r>
              <w:rPr>
                <w:rFonts w:hint="default"/>
                <w:color w:val="auto"/>
                <w:lang w:val="en-US" w:eastAsia="zh-CN"/>
              </w:rPr>
              <w:t>0.</w:t>
            </w:r>
            <w:r>
              <w:rPr>
                <w:rFonts w:hint="eastAsia"/>
                <w:color w:val="auto"/>
                <w:lang w:val="en-US" w:eastAsia="zh-CN"/>
              </w:rPr>
              <w:t>842</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NO</w:t>
            </w:r>
            <w:r>
              <w:rPr>
                <w:rFonts w:hint="eastAsia"/>
                <w:color w:val="auto"/>
                <w:vertAlign w:val="subscript"/>
              </w:rPr>
              <w:t>x</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default"/>
                <w:color w:val="auto"/>
                <w:lang w:val="en-US" w:eastAsia="zh-CN"/>
              </w:rPr>
              <w:t>0.505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ascii="Times New Roman" w:hAnsi="Times New Roman" w:eastAsia="宋体" w:cs="Times New Roman"/>
                <w:color w:val="auto"/>
                <w:kern w:val="0"/>
                <w:sz w:val="21"/>
                <w:szCs w:val="20"/>
                <w:lang w:val="en-US" w:eastAsia="zh-CN" w:bidi="ar-SA"/>
              </w:rPr>
            </w:pPr>
            <w:r>
              <w:rPr>
                <w:rFonts w:hint="default"/>
                <w:color w:val="auto"/>
                <w:lang w:val="en-US" w:eastAsia="zh-CN"/>
              </w:rPr>
              <w:t>0.505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氯化氢</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eastAsia"/>
                <w:color w:val="auto"/>
                <w:lang w:val="en-US" w:eastAsia="zh-CN"/>
              </w:rPr>
              <w:t>0.005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color w:val="auto"/>
                <w:lang w:val="en-US" w:eastAsia="zh-CN"/>
              </w:rPr>
            </w:pPr>
            <w:r>
              <w:rPr>
                <w:rFonts w:hint="eastAsia"/>
                <w:color w:val="auto"/>
                <w:lang w:val="en-US" w:eastAsia="zh-CN"/>
              </w:rPr>
              <w:t>0.005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restart"/>
            <w:vAlign w:val="center"/>
          </w:tcPr>
          <w:p>
            <w:pPr>
              <w:pStyle w:val="24"/>
              <w:adjustRightInd/>
              <w:snapToGrid/>
              <w:rPr>
                <w:b/>
                <w:color w:val="auto"/>
                <w:kern w:val="2"/>
                <w:szCs w:val="21"/>
              </w:rPr>
            </w:pPr>
            <w:r>
              <w:rPr>
                <w:rFonts w:hint="eastAsia"/>
                <w:b/>
                <w:color w:val="auto"/>
                <w:kern w:val="2"/>
                <w:szCs w:val="21"/>
              </w:rPr>
              <w:t>废水</w:t>
            </w: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废水量</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lang w:val="en-US" w:eastAsia="zh-CN"/>
              </w:rPr>
              <w:t>900.6</w:t>
            </w:r>
            <w:r>
              <w:rPr>
                <w:rFonts w:hint="eastAsia"/>
                <w:color w:val="auto"/>
              </w:rPr>
              <w:t>m</w:t>
            </w:r>
            <w:r>
              <w:rPr>
                <w:rFonts w:hint="eastAsia"/>
                <w:color w:val="auto"/>
                <w:vertAlign w:val="superscript"/>
              </w:rPr>
              <w:t>3</w:t>
            </w:r>
            <w:r>
              <w:rPr>
                <w:rFonts w:hint="eastAsia"/>
                <w:color w:val="auto"/>
              </w:rPr>
              <w: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lang w:val="en-US" w:eastAsia="zh-CN"/>
              </w:rPr>
              <w:t>900.6</w:t>
            </w:r>
            <w:r>
              <w:rPr>
                <w:rFonts w:hint="eastAsia"/>
                <w:color w:val="auto"/>
              </w:rPr>
              <w:t>m</w:t>
            </w:r>
            <w:r>
              <w:rPr>
                <w:rFonts w:hint="eastAsia"/>
                <w:color w:val="auto"/>
                <w:vertAlign w:val="superscript"/>
              </w:rPr>
              <w:t>3</w:t>
            </w:r>
            <w:r>
              <w:rPr>
                <w:rFonts w:hint="eastAsia"/>
                <w:color w:val="auto"/>
              </w:rPr>
              <w: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rPr>
              <w:t>COD</w:t>
            </w:r>
            <w:r>
              <w:rPr>
                <w:rFonts w:hint="eastAsia"/>
                <w:color w:val="auto"/>
                <w:vertAlign w:val="subscript"/>
                <w:lang w:val="en-US" w:eastAsia="zh-CN"/>
              </w:rPr>
              <w:t>cr</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w:t>
            </w:r>
            <w:r>
              <w:rPr>
                <w:rFonts w:hint="eastAsia"/>
                <w:color w:val="auto"/>
                <w:lang w:val="en-US" w:eastAsia="zh-CN"/>
              </w:rPr>
              <w:t>45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0.0</w:t>
            </w:r>
            <w:r>
              <w:rPr>
                <w:rFonts w:hint="eastAsia"/>
                <w:color w:val="auto"/>
                <w:lang w:val="en-US" w:eastAsia="zh-CN"/>
              </w:rPr>
              <w:t>45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BOD</w:t>
            </w:r>
            <w:r>
              <w:rPr>
                <w:rFonts w:hint="eastAsia"/>
                <w:color w:val="auto"/>
                <w:vertAlign w:val="subscript"/>
              </w:rPr>
              <w:t>5</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w:t>
            </w:r>
            <w:r>
              <w:rPr>
                <w:rFonts w:hint="eastAsia"/>
                <w:color w:val="auto"/>
                <w:lang w:val="en-US" w:eastAsia="zh-CN"/>
              </w:rPr>
              <w:t>09</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0.0</w:t>
            </w:r>
            <w:r>
              <w:rPr>
                <w:rFonts w:hint="eastAsia"/>
                <w:color w:val="auto"/>
                <w:lang w:val="en-US" w:eastAsia="zh-CN"/>
              </w:rPr>
              <w:t>09</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eastAsia="zh-CN"/>
              </w:rPr>
            </w:pPr>
            <w:r>
              <w:rPr>
                <w:rFonts w:hint="eastAsia"/>
                <w:color w:val="auto"/>
                <w:lang w:val="en-US" w:eastAsia="zh-CN"/>
              </w:rPr>
              <w:t>氨氮</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0.005t/a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0.005t/a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SS</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w:t>
            </w:r>
            <w:r>
              <w:rPr>
                <w:rFonts w:hint="eastAsia"/>
                <w:color w:val="auto"/>
                <w:lang w:val="en-US" w:eastAsia="zh-CN"/>
              </w:rPr>
              <w:t>09</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0.0</w:t>
            </w:r>
            <w:r>
              <w:rPr>
                <w:rFonts w:hint="eastAsia"/>
                <w:color w:val="auto"/>
                <w:lang w:val="en-US" w:eastAsia="zh-CN"/>
              </w:rPr>
              <w:t>09</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石油类</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0.001t/a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0.001t/a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总磷</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rPr>
            </w:pPr>
            <w:r>
              <w:rPr>
                <w:rFonts w:hint="eastAsia"/>
                <w:color w:val="auto"/>
                <w:lang w:val="en-US" w:eastAsia="zh-CN"/>
              </w:rPr>
              <w:t>0.0005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0.0005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总锌</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0.001</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0.001</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restart"/>
            <w:vAlign w:val="center"/>
          </w:tcPr>
          <w:p>
            <w:pPr>
              <w:pStyle w:val="24"/>
              <w:adjustRightInd/>
              <w:snapToGrid/>
              <w:rPr>
                <w:b/>
                <w:color w:val="auto"/>
                <w:kern w:val="2"/>
                <w:szCs w:val="21"/>
              </w:rPr>
            </w:pPr>
            <w:r>
              <w:rPr>
                <w:rFonts w:hint="eastAsia"/>
                <w:b/>
                <w:color w:val="auto"/>
                <w:kern w:val="2"/>
                <w:szCs w:val="21"/>
              </w:rPr>
              <w:t>一般工业</w:t>
            </w:r>
          </w:p>
          <w:p>
            <w:pPr>
              <w:pStyle w:val="24"/>
              <w:adjustRightInd/>
              <w:snapToGrid/>
              <w:rPr>
                <w:b/>
                <w:color w:val="auto"/>
                <w:kern w:val="2"/>
                <w:szCs w:val="21"/>
              </w:rPr>
            </w:pPr>
            <w:r>
              <w:rPr>
                <w:rFonts w:hint="eastAsia"/>
                <w:b/>
                <w:color w:val="auto"/>
                <w:kern w:val="2"/>
                <w:szCs w:val="21"/>
              </w:rPr>
              <w:t>固体废物</w:t>
            </w: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金属边角料</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30t/a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30t/a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不合格产品</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2t/a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2t/a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废包装材料</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0.2t/a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0.2t/a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收集的粉尘</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0.26</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rPr>
            </w:pPr>
            <w:r>
              <w:rPr>
                <w:rFonts w:hint="eastAsia"/>
                <w:color w:val="auto"/>
                <w:lang w:val="en-US" w:eastAsia="zh-CN"/>
              </w:rPr>
              <w:t>0.26</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rPr>
            </w:pPr>
            <w:r>
              <w:rPr>
                <w:rFonts w:hint="eastAsia"/>
                <w:color w:val="auto"/>
              </w:rPr>
              <w:t>生物质热风炉燃烧炉渣</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rPr>
            </w:pPr>
            <w:r>
              <w:rPr>
                <w:rFonts w:hint="eastAsia"/>
                <w:color w:val="auto"/>
                <w:lang w:val="en-US" w:eastAsia="zh-CN"/>
              </w:rPr>
              <w:t>50t</w:t>
            </w:r>
            <w:r>
              <w:rPr>
                <w:rFonts w:hint="eastAsia"/>
                <w:color w:val="auto"/>
              </w:rPr>
              <w: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rPr>
            </w:pPr>
            <w:r>
              <w:rPr>
                <w:rFonts w:hint="eastAsia"/>
                <w:color w:val="auto"/>
                <w:lang w:val="en-US" w:eastAsia="zh-CN"/>
              </w:rPr>
              <w:t>50t</w:t>
            </w:r>
            <w:r>
              <w:rPr>
                <w:rFonts w:hint="eastAsia"/>
                <w:color w:val="auto"/>
              </w:rPr>
              <w: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更换的布袋</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0.02t/a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0.02t/a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废滤芯</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0.03t/a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0.03t/a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restart"/>
            <w:vAlign w:val="center"/>
          </w:tcPr>
          <w:p>
            <w:pPr>
              <w:pStyle w:val="24"/>
              <w:adjustRightInd/>
              <w:snapToGrid/>
              <w:rPr>
                <w:b/>
                <w:color w:val="auto"/>
                <w:kern w:val="2"/>
                <w:szCs w:val="21"/>
              </w:rPr>
            </w:pPr>
            <w:r>
              <w:rPr>
                <w:rFonts w:hint="eastAsia"/>
                <w:b/>
                <w:color w:val="auto"/>
                <w:kern w:val="2"/>
                <w:szCs w:val="21"/>
              </w:rPr>
              <w:t>危险废物</w:t>
            </w: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含油手套抹布</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0.02t/a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0.02t/a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废化学品包装</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0.2t/a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0.2t/a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废机油</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0.5t/a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0.5t/a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废液压油</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0.5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0.5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废槽渣</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0.1t/a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0.1t/a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color w:val="auto"/>
                <w:lang w:val="en-US" w:eastAsia="zh-CN"/>
              </w:rPr>
            </w:pPr>
            <w:r>
              <w:rPr>
                <w:rFonts w:hint="eastAsia"/>
                <w:color w:val="auto"/>
                <w:lang w:val="en-US" w:eastAsia="zh-CN"/>
              </w:rPr>
              <w:t>污泥</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color w:val="auto"/>
                <w:lang w:val="en-US" w:eastAsia="zh-CN"/>
              </w:rPr>
            </w:pPr>
            <w:r>
              <w:rPr>
                <w:rFonts w:hint="eastAsia"/>
                <w:color w:val="auto"/>
                <w:lang w:val="en-US" w:eastAsia="zh-CN"/>
              </w:rPr>
              <w:t>3.2</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lang w:val="en-US" w:eastAsia="zh-CN"/>
              </w:rPr>
              <w:t>3.2</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Merge w:val="continue"/>
            <w:vAlign w:val="center"/>
          </w:tcPr>
          <w:p>
            <w:pPr>
              <w:pStyle w:val="24"/>
              <w:adjustRightInd/>
              <w:snapToGrid/>
              <w:rPr>
                <w:b/>
                <w:color w:val="auto"/>
                <w:kern w:val="2"/>
                <w:szCs w:val="21"/>
              </w:rPr>
            </w:pP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lang w:val="en-US" w:eastAsia="zh-CN"/>
              </w:rPr>
            </w:pPr>
            <w:r>
              <w:rPr>
                <w:rFonts w:hint="eastAsia"/>
                <w:color w:val="auto"/>
                <w:lang w:val="en-US" w:eastAsia="zh-CN"/>
              </w:rPr>
              <w:t>废槽液</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color w:val="auto"/>
                <w:lang w:val="en-US" w:eastAsia="zh-CN"/>
              </w:rPr>
            </w:pPr>
            <w:r>
              <w:rPr>
                <w:rFonts w:hint="eastAsia"/>
                <w:color w:val="auto"/>
                <w:lang w:val="en-US" w:eastAsia="zh-CN"/>
              </w:rPr>
              <w:t>151.5</w:t>
            </w:r>
            <w:r>
              <w:rPr>
                <w:rFonts w:hint="eastAsia"/>
                <w:color w:val="auto"/>
              </w:rPr>
              <w:t>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lang w:val="en-US" w:eastAsia="zh-CN"/>
              </w:rPr>
            </w:pPr>
            <w:r>
              <w:rPr>
                <w:rFonts w:hint="eastAsia"/>
                <w:color w:val="auto"/>
                <w:lang w:val="en-US" w:eastAsia="zh-CN"/>
              </w:rPr>
              <w:t>151.5</w:t>
            </w:r>
            <w:r>
              <w:rPr>
                <w:rFonts w:hint="eastAsia"/>
                <w:color w:val="auto"/>
              </w:rPr>
              <w:t>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Times New Roman" w:hAnsi="Times New Roman" w:eastAsia="宋体" w:cs="Times New Roman"/>
                <w:color w:val="auto"/>
                <w:kern w:val="0"/>
                <w:sz w:val="21"/>
                <w:szCs w:val="20"/>
                <w:lang w:val="en-US" w:eastAsia="zh-CN" w:bidi="ar-SA"/>
              </w:rPr>
            </w:pP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88" w:type="dxa"/>
            <w:vAlign w:val="center"/>
          </w:tcPr>
          <w:p>
            <w:pPr>
              <w:pStyle w:val="24"/>
              <w:adjustRightInd/>
              <w:snapToGrid/>
              <w:rPr>
                <w:b/>
                <w:color w:val="auto"/>
                <w:kern w:val="2"/>
                <w:szCs w:val="21"/>
              </w:rPr>
            </w:pPr>
            <w:r>
              <w:rPr>
                <w:rFonts w:hint="eastAsia"/>
                <w:b/>
                <w:color w:val="auto"/>
                <w:kern w:val="2"/>
                <w:szCs w:val="21"/>
              </w:rPr>
              <w:t>生活垃圾</w:t>
            </w:r>
          </w:p>
        </w:tc>
        <w:tc>
          <w:tcPr>
            <w:tcW w:w="141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生活垃圾</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276"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701"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42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3t/a</w:t>
            </w:r>
          </w:p>
        </w:tc>
        <w:tc>
          <w:tcPr>
            <w:tcW w:w="1660"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c>
          <w:tcPr>
            <w:tcW w:w="1698"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3t/a</w:t>
            </w:r>
          </w:p>
        </w:tc>
        <w:tc>
          <w:tcPr>
            <w:tcW w:w="1327" w:type="dxa"/>
            <w:shd w:val="clear" w:color="auto" w:fill="auto"/>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uto"/>
              <w:textAlignment w:val="auto"/>
              <w:rPr>
                <w:color w:val="auto"/>
              </w:rPr>
            </w:pPr>
            <w:r>
              <w:rPr>
                <w:rFonts w:hint="eastAsia"/>
                <w:color w:val="auto"/>
              </w:rPr>
              <w:t>/</w:t>
            </w:r>
          </w:p>
        </w:tc>
      </w:tr>
    </w:tbl>
    <w:p>
      <w:pPr>
        <w:pStyle w:val="24"/>
        <w:spacing w:before="192" w:beforeLines="80" w:after="24"/>
        <w:jc w:val="left"/>
        <w:rPr>
          <w:rFonts w:hint="eastAsia"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ind w:firstLine="480"/>
        <w:rPr>
          <w:rFonts w:hint="eastAsia" w:eastAsia="宋体"/>
          <w:lang w:val="en-US" w:eastAsia="zh-CN"/>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1"/>
        </w:numPr>
        <w:overflowPunct/>
        <w:snapToGrid/>
        <w:spacing w:before="120"/>
        <w:jc w:val="center"/>
        <w:rPr>
          <w:sz w:val="28"/>
          <w:szCs w:val="28"/>
        </w:rPr>
      </w:pPr>
      <w:bookmarkStart w:id="190" w:name="_Toc7301"/>
      <w:r>
        <w:rPr>
          <w:rFonts w:hint="eastAsia"/>
          <w:sz w:val="28"/>
          <w:szCs w:val="28"/>
        </w:rPr>
        <w:t xml:space="preserve"> </w:t>
      </w:r>
      <w:bookmarkStart w:id="191" w:name="_Toc31717"/>
      <w:r>
        <w:rPr>
          <w:rFonts w:hint="eastAsia"/>
          <w:sz w:val="28"/>
          <w:szCs w:val="28"/>
        </w:rPr>
        <w:t>建设项目地理位置图</w:t>
      </w:r>
      <w:bookmarkEnd w:id="190"/>
      <w:bookmarkEnd w:id="191"/>
    </w:p>
    <w:p>
      <w:pPr>
        <w:pStyle w:val="24"/>
        <w:bidi w:val="0"/>
      </w:pPr>
      <w:r>
        <w:rPr>
          <w:rFonts w:hint="eastAsia"/>
        </w:rPr>
        <w:drawing>
          <wp:inline distT="0" distB="0" distL="114300" distR="114300">
            <wp:extent cx="6814185" cy="4994910"/>
            <wp:effectExtent l="0" t="0" r="5715" b="15240"/>
            <wp:docPr id="10" name="图片 10" descr="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位置"/>
                    <pic:cNvPicPr>
                      <a:picLocks noChangeAspect="1"/>
                    </pic:cNvPicPr>
                  </pic:nvPicPr>
                  <pic:blipFill>
                    <a:blip r:embed="rId34"/>
                    <a:stretch>
                      <a:fillRect/>
                    </a:stretch>
                  </pic:blipFill>
                  <pic:spPr>
                    <a:xfrm>
                      <a:off x="0" y="0"/>
                      <a:ext cx="6814185" cy="4994910"/>
                    </a:xfrm>
                    <a:prstGeom prst="rect">
                      <a:avLst/>
                    </a:prstGeom>
                  </pic:spPr>
                </pic:pic>
              </a:graphicData>
            </a:graphic>
          </wp:inline>
        </w:drawing>
      </w:r>
      <w:r>
        <w:rPr>
          <w:rFonts w:hint="eastAsia"/>
        </w:rPr>
        <w:br w:type="page"/>
      </w:r>
    </w:p>
    <w:p>
      <w:pPr>
        <w:pStyle w:val="2"/>
        <w:keepLines/>
        <w:numPr>
          <w:ilvl w:val="0"/>
          <w:numId w:val="1"/>
        </w:numPr>
        <w:overflowPunct/>
        <w:snapToGrid/>
        <w:spacing w:before="120"/>
        <w:jc w:val="center"/>
        <w:rPr>
          <w:sz w:val="28"/>
          <w:szCs w:val="28"/>
        </w:rPr>
      </w:pPr>
      <w:r>
        <w:rPr>
          <w:rFonts w:hint="eastAsia"/>
          <w:sz w:val="28"/>
          <w:szCs w:val="28"/>
        </w:rPr>
        <w:t xml:space="preserve"> </w:t>
      </w:r>
      <w:bookmarkStart w:id="192" w:name="_Toc26746"/>
      <w:r>
        <w:rPr>
          <w:rFonts w:hint="eastAsia"/>
          <w:sz w:val="28"/>
          <w:szCs w:val="28"/>
        </w:rPr>
        <w:t>引用监测点位与项目位置关系图</w:t>
      </w:r>
      <w:bookmarkEnd w:id="192"/>
    </w:p>
    <w:p>
      <w:pPr>
        <w:ind w:firstLine="0" w:firstLineChars="0"/>
        <w:jc w:val="center"/>
        <w:rPr>
          <w:rFonts w:hint="eastAsia" w:ascii="宋体" w:hAnsi="宋体" w:eastAsia="黑体"/>
        </w:rPr>
      </w:pPr>
      <w:r>
        <w:rPr>
          <w:rFonts w:hint="eastAsia" w:eastAsia="宋体"/>
          <w:lang w:eastAsia="zh-CN"/>
        </w:rPr>
        <w:drawing>
          <wp:inline distT="0" distB="0" distL="114300" distR="114300">
            <wp:extent cx="6904990" cy="5076190"/>
            <wp:effectExtent l="0" t="0" r="10160" b="10160"/>
            <wp:docPr id="83" name="图片 83" descr="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补1"/>
                    <pic:cNvPicPr>
                      <a:picLocks noChangeAspect="1"/>
                    </pic:cNvPicPr>
                  </pic:nvPicPr>
                  <pic:blipFill>
                    <a:blip r:embed="rId35"/>
                    <a:stretch>
                      <a:fillRect/>
                    </a:stretch>
                  </pic:blipFill>
                  <pic:spPr>
                    <a:xfrm>
                      <a:off x="0" y="0"/>
                      <a:ext cx="6904990" cy="5076190"/>
                    </a:xfrm>
                    <a:prstGeom prst="rect">
                      <a:avLst/>
                    </a:prstGeom>
                  </pic:spPr>
                </pic:pic>
              </a:graphicData>
            </a:graphic>
          </wp:inline>
        </w:drawing>
      </w:r>
    </w:p>
    <w:p>
      <w:pPr>
        <w:ind w:left="0" w:leftChars="0" w:firstLine="0" w:firstLineChars="0"/>
        <w:rPr>
          <w:rFonts w:hint="eastAsia" w:ascii="宋体" w:hAnsi="宋体" w:eastAsia="黑体"/>
        </w:rPr>
        <w:sectPr>
          <w:footerReference r:id="rId10"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1"/>
        </w:numPr>
        <w:overflowPunct/>
        <w:snapToGrid/>
        <w:spacing w:before="120"/>
        <w:jc w:val="center"/>
        <w:rPr>
          <w:sz w:val="28"/>
          <w:szCs w:val="28"/>
        </w:rPr>
      </w:pPr>
      <w:bookmarkStart w:id="193" w:name="_Toc2858"/>
      <w:r>
        <w:rPr>
          <w:rFonts w:hint="eastAsia"/>
          <w:sz w:val="28"/>
          <w:szCs w:val="28"/>
        </w:rPr>
        <w:t xml:space="preserve"> </w:t>
      </w:r>
      <w:bookmarkStart w:id="194" w:name="_Toc8145"/>
      <w:r>
        <w:rPr>
          <w:rFonts w:hint="eastAsia"/>
          <w:sz w:val="28"/>
          <w:szCs w:val="28"/>
        </w:rPr>
        <w:t>项目与园区位置关系图</w:t>
      </w:r>
      <w:bookmarkEnd w:id="193"/>
      <w:bookmarkEnd w:id="194"/>
    </w:p>
    <w:p>
      <w:pPr>
        <w:ind w:firstLine="0" w:firstLineChars="0"/>
        <w:jc w:val="center"/>
        <w:rPr>
          <w:rFonts w:hint="eastAsia" w:ascii="宋体" w:hAnsi="宋体" w:eastAsia="黑体"/>
        </w:rPr>
      </w:pPr>
      <w:r>
        <w:rPr>
          <w:rFonts w:hint="eastAsia" w:ascii="宋体" w:hAnsi="宋体" w:eastAsia="黑体"/>
        </w:rPr>
        <w:drawing>
          <wp:inline distT="0" distB="0" distL="114300" distR="114300">
            <wp:extent cx="7574915" cy="4824095"/>
            <wp:effectExtent l="0" t="0" r="6985" b="14605"/>
            <wp:docPr id="25" name="图片 25" descr="园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园区"/>
                    <pic:cNvPicPr>
                      <a:picLocks noChangeAspect="1"/>
                    </pic:cNvPicPr>
                  </pic:nvPicPr>
                  <pic:blipFill>
                    <a:blip r:embed="rId36"/>
                    <a:stretch>
                      <a:fillRect/>
                    </a:stretch>
                  </pic:blipFill>
                  <pic:spPr>
                    <a:xfrm>
                      <a:off x="0" y="0"/>
                      <a:ext cx="7574915" cy="4824095"/>
                    </a:xfrm>
                    <a:prstGeom prst="rect">
                      <a:avLst/>
                    </a:prstGeom>
                  </pic:spPr>
                </pic:pic>
              </a:graphicData>
            </a:graphic>
          </wp:inline>
        </w:drawing>
      </w:r>
    </w:p>
    <w:p>
      <w:pPr>
        <w:ind w:firstLine="562"/>
        <w:rPr>
          <w:b/>
          <w:sz w:val="28"/>
          <w:szCs w:val="28"/>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195" w:name="_Toc7128"/>
      <w:r>
        <w:rPr>
          <w:rFonts w:hint="eastAsia"/>
          <w:b/>
          <w:sz w:val="28"/>
          <w:szCs w:val="28"/>
        </w:rPr>
        <w:br w:type="page"/>
      </w:r>
    </w:p>
    <w:p>
      <w:pPr>
        <w:pStyle w:val="2"/>
        <w:keepLines/>
        <w:numPr>
          <w:ilvl w:val="0"/>
          <w:numId w:val="1"/>
        </w:numPr>
        <w:overflowPunct/>
        <w:snapToGrid/>
        <w:spacing w:before="120"/>
        <w:jc w:val="center"/>
        <w:rPr>
          <w:sz w:val="28"/>
          <w:szCs w:val="28"/>
        </w:rPr>
      </w:pPr>
      <w:r>
        <w:rPr>
          <w:rFonts w:hint="eastAsia"/>
          <w:sz w:val="28"/>
          <w:szCs w:val="28"/>
        </w:rPr>
        <w:t xml:space="preserve"> </w:t>
      </w:r>
      <w:bookmarkStart w:id="196" w:name="_Toc29180"/>
      <w:r>
        <w:rPr>
          <w:rFonts w:hint="eastAsia"/>
          <w:sz w:val="28"/>
          <w:szCs w:val="28"/>
          <w:lang w:val="en-US" w:eastAsia="zh-CN"/>
        </w:rPr>
        <w:t>用地规划</w:t>
      </w:r>
      <w:r>
        <w:rPr>
          <w:rFonts w:hint="eastAsia"/>
          <w:sz w:val="28"/>
          <w:szCs w:val="28"/>
        </w:rPr>
        <w:t>图</w:t>
      </w:r>
      <w:bookmarkEnd w:id="196"/>
    </w:p>
    <w:p>
      <w:pPr>
        <w:pStyle w:val="24"/>
      </w:pPr>
      <w:r>
        <w:rPr>
          <w:rFonts w:hint="eastAsia"/>
        </w:rPr>
        <w:drawing>
          <wp:inline distT="0" distB="0" distL="114300" distR="114300">
            <wp:extent cx="8528050" cy="4917440"/>
            <wp:effectExtent l="0" t="0" r="6350" b="16510"/>
            <wp:docPr id="26" name="图片 26" descr="437240aa4f65c2ab1a60cd695bc7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37240aa4f65c2ab1a60cd695bc7744"/>
                    <pic:cNvPicPr>
                      <a:picLocks noChangeAspect="1"/>
                    </pic:cNvPicPr>
                  </pic:nvPicPr>
                  <pic:blipFill>
                    <a:blip r:embed="rId37"/>
                    <a:stretch>
                      <a:fillRect/>
                    </a:stretch>
                  </pic:blipFill>
                  <pic:spPr>
                    <a:xfrm>
                      <a:off x="0" y="0"/>
                      <a:ext cx="8528050" cy="4917440"/>
                    </a:xfrm>
                    <a:prstGeom prst="rect">
                      <a:avLst/>
                    </a:prstGeom>
                  </pic:spPr>
                </pic:pic>
              </a:graphicData>
            </a:graphic>
          </wp:inline>
        </w:drawing>
      </w:r>
    </w:p>
    <w:p>
      <w:pPr>
        <w:pStyle w:val="24"/>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1"/>
        </w:numPr>
        <w:overflowPunct/>
        <w:snapToGrid/>
        <w:spacing w:before="120"/>
        <w:jc w:val="center"/>
        <w:rPr>
          <w:sz w:val="28"/>
          <w:szCs w:val="28"/>
        </w:rPr>
      </w:pPr>
      <w:r>
        <w:rPr>
          <w:rFonts w:hint="eastAsia"/>
          <w:sz w:val="28"/>
          <w:szCs w:val="28"/>
        </w:rPr>
        <w:t xml:space="preserve"> </w:t>
      </w:r>
      <w:bookmarkStart w:id="197" w:name="_Toc1176"/>
      <w:r>
        <w:rPr>
          <w:rFonts w:hint="eastAsia"/>
          <w:sz w:val="28"/>
          <w:szCs w:val="28"/>
        </w:rPr>
        <w:t>项目总平面布置图</w:t>
      </w:r>
      <w:bookmarkEnd w:id="195"/>
      <w:bookmarkEnd w:id="197"/>
    </w:p>
    <w:p>
      <w:pPr>
        <w:ind w:firstLine="0" w:firstLineChars="0"/>
        <w:rPr>
          <w:b/>
          <w:bCs/>
        </w:rPr>
      </w:pPr>
      <w:r>
        <w:rPr>
          <w:rFonts w:hint="eastAsia"/>
          <w:b/>
          <w:bCs/>
        </w:rPr>
        <w:t>28栋1F五金加工平面布置图：</w:t>
      </w:r>
    </w:p>
    <w:p>
      <w:pPr>
        <w:ind w:firstLine="0" w:firstLineChars="0"/>
        <w:jc w:val="center"/>
        <w:rPr>
          <w:rFonts w:hint="eastAsia" w:eastAsia="宋体"/>
          <w:b/>
          <w:bCs/>
          <w:lang w:eastAsia="zh-CN"/>
        </w:rPr>
      </w:pPr>
      <w:r>
        <w:rPr>
          <w:rFonts w:hint="eastAsia" w:eastAsia="宋体"/>
          <w:b/>
          <w:bCs/>
          <w:lang w:eastAsia="zh-CN"/>
        </w:rPr>
        <w:drawing>
          <wp:inline distT="0" distB="0" distL="114300" distR="114300">
            <wp:extent cx="8108950" cy="3686810"/>
            <wp:effectExtent l="0" t="0" r="0" b="0"/>
            <wp:docPr id="73" name="图片 73" descr="28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8栋"/>
                    <pic:cNvPicPr>
                      <a:picLocks noChangeAspect="1"/>
                    </pic:cNvPicPr>
                  </pic:nvPicPr>
                  <pic:blipFill>
                    <a:blip r:embed="rId38"/>
                    <a:srcRect t="576" r="4865" b="17845"/>
                    <a:stretch>
                      <a:fillRect/>
                    </a:stretch>
                  </pic:blipFill>
                  <pic:spPr>
                    <a:xfrm>
                      <a:off x="0" y="0"/>
                      <a:ext cx="8108950" cy="3686810"/>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ind w:firstLine="0" w:firstLineChars="0"/>
        <w:rPr>
          <w:b/>
          <w:bCs/>
        </w:rPr>
      </w:pPr>
      <w:r>
        <w:rPr>
          <w:rFonts w:hint="eastAsia"/>
          <w:b/>
          <w:bCs/>
        </w:rPr>
        <w:t>23栋1F</w:t>
      </w:r>
      <w:r>
        <w:rPr>
          <w:rFonts w:hint="eastAsia"/>
          <w:b/>
          <w:bCs/>
          <w:lang w:val="en-US" w:eastAsia="zh-CN"/>
        </w:rPr>
        <w:t>喷粉</w:t>
      </w:r>
      <w:r>
        <w:rPr>
          <w:rFonts w:hint="eastAsia"/>
          <w:b/>
          <w:bCs/>
        </w:rPr>
        <w:t>车间平面布置图：</w:t>
      </w:r>
    </w:p>
    <w:p>
      <w:pPr>
        <w:ind w:firstLine="0" w:firstLineChars="0"/>
        <w:jc w:val="center"/>
        <w:rPr>
          <w:rFonts w:hint="eastAsia" w:ascii="宋体" w:hAnsi="宋体" w:eastAsia="黑体"/>
          <w:lang w:eastAsia="zh-CN"/>
        </w:rPr>
      </w:pPr>
      <w:r>
        <w:rPr>
          <w:rFonts w:hint="eastAsia" w:ascii="宋体" w:hAnsi="宋体" w:eastAsia="黑体"/>
          <w:lang w:eastAsia="zh-CN"/>
        </w:rPr>
        <w:drawing>
          <wp:inline distT="0" distB="0" distL="114300" distR="114300">
            <wp:extent cx="8207375" cy="3835400"/>
            <wp:effectExtent l="0" t="0" r="0" b="0"/>
            <wp:docPr id="74" name="图片 74" descr="23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23栋"/>
                    <pic:cNvPicPr>
                      <a:picLocks noChangeAspect="1"/>
                    </pic:cNvPicPr>
                  </pic:nvPicPr>
                  <pic:blipFill>
                    <a:blip r:embed="rId39"/>
                    <a:srcRect t="2585" r="3710" b="12547"/>
                    <a:stretch>
                      <a:fillRect/>
                    </a:stretch>
                  </pic:blipFill>
                  <pic:spPr>
                    <a:xfrm>
                      <a:off x="0" y="0"/>
                      <a:ext cx="8207375" cy="3835400"/>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pStyle w:val="2"/>
        <w:keepLines/>
        <w:numPr>
          <w:ilvl w:val="0"/>
          <w:numId w:val="1"/>
        </w:numPr>
        <w:overflowPunct/>
        <w:snapToGrid/>
        <w:spacing w:before="120"/>
        <w:jc w:val="center"/>
        <w:rPr>
          <w:sz w:val="28"/>
          <w:szCs w:val="28"/>
        </w:rPr>
      </w:pPr>
      <w:bookmarkStart w:id="198" w:name="_Toc22006"/>
      <w:bookmarkStart w:id="199" w:name="_Toc27536"/>
      <w:r>
        <w:rPr>
          <w:rFonts w:hint="eastAsia"/>
          <w:sz w:val="28"/>
          <w:szCs w:val="28"/>
        </w:rPr>
        <w:t xml:space="preserve"> </w:t>
      </w:r>
      <w:bookmarkStart w:id="200" w:name="_Toc7258"/>
      <w:r>
        <w:rPr>
          <w:rFonts w:hint="eastAsia"/>
          <w:sz w:val="28"/>
          <w:szCs w:val="28"/>
        </w:rPr>
        <w:t>废水排放路径图</w:t>
      </w:r>
      <w:bookmarkEnd w:id="198"/>
      <w:bookmarkEnd w:id="200"/>
    </w:p>
    <w:p>
      <w:pPr>
        <w:ind w:firstLine="0" w:firstLineChars="0"/>
        <w:jc w:val="center"/>
      </w:pPr>
      <w:r>
        <w:rPr>
          <w:rFonts w:hint="eastAsia" w:eastAsia="宋体"/>
          <w:lang w:eastAsia="zh-CN"/>
        </w:rPr>
        <w:drawing>
          <wp:inline distT="0" distB="0" distL="114300" distR="114300">
            <wp:extent cx="6317615" cy="4932045"/>
            <wp:effectExtent l="0" t="0" r="6985" b="1905"/>
            <wp:docPr id="3" name="图片 3" descr="图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例1"/>
                    <pic:cNvPicPr>
                      <a:picLocks noChangeAspect="1"/>
                    </pic:cNvPicPr>
                  </pic:nvPicPr>
                  <pic:blipFill>
                    <a:blip r:embed="rId40"/>
                    <a:stretch>
                      <a:fillRect/>
                    </a:stretch>
                  </pic:blipFill>
                  <pic:spPr>
                    <a:xfrm>
                      <a:off x="0" y="0"/>
                      <a:ext cx="6317615" cy="4932045"/>
                    </a:xfrm>
                    <a:prstGeom prst="rect">
                      <a:avLst/>
                    </a:prstGeom>
                  </pic:spPr>
                </pic:pic>
              </a:graphicData>
            </a:graphic>
          </wp:inline>
        </w:drawing>
      </w:r>
    </w:p>
    <w:p>
      <w:pPr>
        <w:ind w:firstLine="480"/>
      </w:pPr>
      <w:r>
        <w:rPr>
          <w:rFonts w:hint="eastAsia"/>
        </w:rPr>
        <w:br w:type="page"/>
      </w:r>
    </w:p>
    <w:p>
      <w:pPr>
        <w:pStyle w:val="2"/>
        <w:keepLines/>
        <w:numPr>
          <w:ilvl w:val="0"/>
          <w:numId w:val="1"/>
        </w:numPr>
        <w:overflowPunct/>
        <w:snapToGrid/>
        <w:spacing w:before="120"/>
        <w:jc w:val="center"/>
        <w:rPr>
          <w:sz w:val="28"/>
          <w:szCs w:val="28"/>
        </w:rPr>
      </w:pPr>
      <w:r>
        <w:rPr>
          <w:rFonts w:hint="eastAsia"/>
          <w:sz w:val="28"/>
          <w:szCs w:val="28"/>
        </w:rPr>
        <w:t xml:space="preserve"> </w:t>
      </w:r>
      <w:bookmarkStart w:id="201" w:name="_Toc25986"/>
      <w:r>
        <w:rPr>
          <w:rFonts w:hint="eastAsia"/>
          <w:sz w:val="28"/>
          <w:szCs w:val="28"/>
        </w:rPr>
        <w:t>区域水系图</w:t>
      </w:r>
      <w:bookmarkEnd w:id="199"/>
      <w:bookmarkEnd w:id="201"/>
    </w:p>
    <w:p>
      <w:pPr>
        <w:ind w:firstLine="0" w:firstLineChars="0"/>
        <w:rPr>
          <w:rFonts w:hint="eastAsia" w:ascii="宋体" w:hAnsi="宋体" w:eastAsia="黑体"/>
        </w:rPr>
      </w:pPr>
      <w:r>
        <w:rPr>
          <w:rFonts w:hint="eastAsia" w:ascii="宋体" w:hAnsi="宋体" w:eastAsia="黑体"/>
          <w:lang w:eastAsia="zh-CN"/>
        </w:rPr>
        <w:drawing>
          <wp:inline distT="0" distB="0" distL="114300" distR="114300">
            <wp:extent cx="8527415" cy="4351020"/>
            <wp:effectExtent l="0" t="0" r="6985" b="11430"/>
            <wp:docPr id="2" name="图片 2" descr="水域路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水域路径"/>
                    <pic:cNvPicPr>
                      <a:picLocks noChangeAspect="1"/>
                    </pic:cNvPicPr>
                  </pic:nvPicPr>
                  <pic:blipFill>
                    <a:blip r:embed="rId41"/>
                    <a:stretch>
                      <a:fillRect/>
                    </a:stretch>
                  </pic:blipFill>
                  <pic:spPr>
                    <a:xfrm>
                      <a:off x="0" y="0"/>
                      <a:ext cx="8527415" cy="4351020"/>
                    </a:xfrm>
                    <a:prstGeom prst="rect">
                      <a:avLst/>
                    </a:prstGeom>
                  </pic:spPr>
                </pic:pic>
              </a:graphicData>
            </a:graphic>
          </wp:inline>
        </w:drawing>
      </w:r>
    </w:p>
    <w:p>
      <w:pPr>
        <w:ind w:firstLine="480"/>
        <w:rPr>
          <w:rFonts w:hint="eastAsia" w:ascii="宋体" w:hAnsi="宋体" w:eastAsia="黑体"/>
        </w:rPr>
      </w:pPr>
    </w:p>
    <w:p>
      <w:pPr>
        <w:ind w:firstLine="480"/>
        <w:rPr>
          <w:rFonts w:hint="eastAsia" w:ascii="宋体" w:hAnsi="宋体" w:eastAsia="黑体"/>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1"/>
        </w:numPr>
        <w:overflowPunct/>
        <w:snapToGrid/>
        <w:spacing w:before="120"/>
        <w:jc w:val="center"/>
        <w:rPr>
          <w:sz w:val="28"/>
          <w:szCs w:val="28"/>
        </w:rPr>
      </w:pPr>
      <w:bookmarkStart w:id="202" w:name="_Toc28664"/>
      <w:r>
        <w:rPr>
          <w:rFonts w:hint="eastAsia"/>
          <w:sz w:val="28"/>
          <w:szCs w:val="28"/>
        </w:rPr>
        <w:t xml:space="preserve"> </w:t>
      </w:r>
      <w:bookmarkStart w:id="203" w:name="_Toc6962"/>
      <w:r>
        <w:rPr>
          <w:rFonts w:hint="eastAsia"/>
          <w:sz w:val="28"/>
          <w:szCs w:val="28"/>
        </w:rPr>
        <w:t>大气环境保护目标图</w:t>
      </w:r>
      <w:bookmarkEnd w:id="202"/>
      <w:bookmarkEnd w:id="203"/>
    </w:p>
    <w:p>
      <w:pPr>
        <w:ind w:firstLine="0" w:firstLineChars="0"/>
        <w:rPr>
          <w:rFonts w:hint="eastAsia" w:ascii="宋体" w:hAnsi="宋体" w:eastAsia="黑体"/>
        </w:rPr>
      </w:pPr>
      <w:r>
        <w:rPr>
          <w:rFonts w:hint="eastAsia" w:ascii="宋体" w:hAnsi="宋体" w:eastAsia="黑体"/>
        </w:rPr>
        <w:drawing>
          <wp:inline distT="0" distB="0" distL="114300" distR="114300">
            <wp:extent cx="5608955" cy="4402455"/>
            <wp:effectExtent l="0" t="0" r="10795" b="17145"/>
            <wp:docPr id="49" name="图片 49" descr="大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大气"/>
                    <pic:cNvPicPr>
                      <a:picLocks noChangeAspect="1"/>
                    </pic:cNvPicPr>
                  </pic:nvPicPr>
                  <pic:blipFill>
                    <a:blip r:embed="rId42"/>
                    <a:stretch>
                      <a:fillRect/>
                    </a:stretch>
                  </pic:blipFill>
                  <pic:spPr>
                    <a:xfrm>
                      <a:off x="0" y="0"/>
                      <a:ext cx="5608955" cy="4402455"/>
                    </a:xfrm>
                    <a:prstGeom prst="rect">
                      <a:avLst/>
                    </a:prstGeom>
                  </pic:spPr>
                </pic:pic>
              </a:graphicData>
            </a:graphic>
          </wp:inline>
        </w:drawing>
      </w:r>
    </w:p>
    <w:p>
      <w:pPr>
        <w:ind w:firstLine="480"/>
        <w:rPr>
          <w:rFonts w:hint="eastAsia" w:ascii="宋体" w:hAnsi="宋体" w:eastAsia="黑体"/>
        </w:rPr>
      </w:pPr>
    </w:p>
    <w:p>
      <w:pPr>
        <w:ind w:firstLine="480"/>
        <w:rPr>
          <w:rFonts w:hint="eastAsia" w:ascii="宋体" w:hAnsi="宋体" w:eastAsia="黑体"/>
        </w:rPr>
      </w:pPr>
      <w:r>
        <w:rPr>
          <w:rFonts w:ascii="宋体" w:hAnsi="宋体" w:eastAsia="黑体"/>
        </w:rPr>
        <w:br w:type="page"/>
      </w:r>
    </w:p>
    <w:p>
      <w:pPr>
        <w:pStyle w:val="2"/>
        <w:keepLines/>
        <w:numPr>
          <w:ilvl w:val="0"/>
          <w:numId w:val="1"/>
        </w:numPr>
        <w:overflowPunct/>
        <w:snapToGrid/>
        <w:spacing w:before="120"/>
        <w:jc w:val="center"/>
        <w:rPr>
          <w:sz w:val="28"/>
          <w:szCs w:val="28"/>
        </w:rPr>
      </w:pPr>
      <w:bookmarkStart w:id="204" w:name="_Toc3460"/>
      <w:r>
        <w:rPr>
          <w:rFonts w:hint="eastAsia"/>
          <w:sz w:val="28"/>
          <w:szCs w:val="28"/>
        </w:rPr>
        <w:t xml:space="preserve"> </w:t>
      </w:r>
      <w:bookmarkStart w:id="205" w:name="_Toc16222"/>
      <w:r>
        <w:rPr>
          <w:rFonts w:hint="eastAsia"/>
          <w:sz w:val="28"/>
          <w:szCs w:val="28"/>
        </w:rPr>
        <w:t>项目周边环境图</w:t>
      </w:r>
      <w:bookmarkEnd w:id="204"/>
      <w:bookmarkEnd w:id="205"/>
    </w:p>
    <w:tbl>
      <w:tblPr>
        <w:tblStyle w:val="19"/>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100"/>
        <w:gridCol w:w="41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61" w:type="dxa"/>
            <w:gridSpan w:val="2"/>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607310" cy="1957705"/>
                  <wp:effectExtent l="0" t="0" r="13970" b="8255"/>
                  <wp:docPr id="62" name="图片 62" descr="37732011156753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77320111567530535"/>
                          <pic:cNvPicPr>
                            <a:picLocks noChangeAspect="1"/>
                          </pic:cNvPicPr>
                        </pic:nvPicPr>
                        <pic:blipFill>
                          <a:blip r:embed="rId43"/>
                          <a:stretch>
                            <a:fillRect/>
                          </a:stretch>
                        </pic:blipFill>
                        <pic:spPr>
                          <a:xfrm>
                            <a:off x="0" y="0"/>
                            <a:ext cx="2607310" cy="1957705"/>
                          </a:xfrm>
                          <a:prstGeom prst="rect">
                            <a:avLst/>
                          </a:prstGeom>
                        </pic:spPr>
                      </pic:pic>
                    </a:graphicData>
                  </a:graphic>
                </wp:inline>
              </w:drawing>
            </w:r>
          </w:p>
        </w:tc>
        <w:tc>
          <w:tcPr>
            <w:tcW w:w="4161" w:type="dxa"/>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501900" cy="1878330"/>
                  <wp:effectExtent l="0" t="0" r="12700" b="11430"/>
                  <wp:docPr id="59" name="图片 59" descr="26633127106641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66331271066418303"/>
                          <pic:cNvPicPr>
                            <a:picLocks noChangeAspect="1"/>
                          </pic:cNvPicPr>
                        </pic:nvPicPr>
                        <pic:blipFill>
                          <a:blip r:embed="rId44"/>
                          <a:stretch>
                            <a:fillRect/>
                          </a:stretch>
                        </pic:blipFill>
                        <pic:spPr>
                          <a:xfrm>
                            <a:off x="0" y="0"/>
                            <a:ext cx="2501900" cy="187833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61" w:type="dxa"/>
            <w:gridSpan w:val="2"/>
            <w:vAlign w:val="center"/>
          </w:tcPr>
          <w:p>
            <w:pPr>
              <w:spacing w:line="240" w:lineRule="auto"/>
              <w:ind w:firstLine="0" w:firstLineChars="0"/>
              <w:jc w:val="center"/>
              <w:rPr>
                <w:sz w:val="21"/>
                <w:szCs w:val="22"/>
              </w:rPr>
            </w:pPr>
            <w:r>
              <w:rPr>
                <w:rFonts w:hint="eastAsia"/>
                <w:sz w:val="21"/>
                <w:szCs w:val="22"/>
              </w:rPr>
              <w:t>东侧</w:t>
            </w:r>
          </w:p>
        </w:tc>
        <w:tc>
          <w:tcPr>
            <w:tcW w:w="4161" w:type="dxa"/>
            <w:vAlign w:val="center"/>
          </w:tcPr>
          <w:p>
            <w:pPr>
              <w:spacing w:line="240" w:lineRule="auto"/>
              <w:ind w:firstLine="0" w:firstLineChars="0"/>
              <w:jc w:val="center"/>
              <w:rPr>
                <w:sz w:val="21"/>
                <w:szCs w:val="22"/>
              </w:rPr>
            </w:pPr>
            <w:r>
              <w:rPr>
                <w:rFonts w:hint="eastAsia"/>
                <w:sz w:val="21"/>
                <w:szCs w:val="22"/>
              </w:rPr>
              <w:t>西侧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61" w:type="dxa"/>
            <w:gridSpan w:val="2"/>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607310" cy="1957705"/>
                  <wp:effectExtent l="0" t="0" r="13970" b="8255"/>
                  <wp:docPr id="28" name="图片 28" descr="271445732629934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71445732629934074"/>
                          <pic:cNvPicPr>
                            <a:picLocks noChangeAspect="1"/>
                          </pic:cNvPicPr>
                        </pic:nvPicPr>
                        <pic:blipFill>
                          <a:blip r:embed="rId45"/>
                          <a:stretch>
                            <a:fillRect/>
                          </a:stretch>
                        </pic:blipFill>
                        <pic:spPr>
                          <a:xfrm>
                            <a:off x="0" y="0"/>
                            <a:ext cx="2607310" cy="1957705"/>
                          </a:xfrm>
                          <a:prstGeom prst="rect">
                            <a:avLst/>
                          </a:prstGeom>
                        </pic:spPr>
                      </pic:pic>
                    </a:graphicData>
                  </a:graphic>
                </wp:inline>
              </w:drawing>
            </w:r>
          </w:p>
        </w:tc>
        <w:tc>
          <w:tcPr>
            <w:tcW w:w="4161" w:type="dxa"/>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501900" cy="1878330"/>
                  <wp:effectExtent l="0" t="0" r="12700" b="11430"/>
                  <wp:docPr id="61" name="图片 61" descr="27433139047466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74331390474663241"/>
                          <pic:cNvPicPr>
                            <a:picLocks noChangeAspect="1"/>
                          </pic:cNvPicPr>
                        </pic:nvPicPr>
                        <pic:blipFill>
                          <a:blip r:embed="rId46"/>
                          <a:stretch>
                            <a:fillRect/>
                          </a:stretch>
                        </pic:blipFill>
                        <pic:spPr>
                          <a:xfrm>
                            <a:off x="0" y="0"/>
                            <a:ext cx="2501900" cy="187833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61" w:type="dxa"/>
            <w:gridSpan w:val="2"/>
            <w:vAlign w:val="center"/>
          </w:tcPr>
          <w:p>
            <w:pPr>
              <w:spacing w:line="240" w:lineRule="auto"/>
              <w:ind w:firstLine="0" w:firstLineChars="0"/>
              <w:jc w:val="center"/>
              <w:rPr>
                <w:sz w:val="21"/>
                <w:szCs w:val="22"/>
              </w:rPr>
            </w:pPr>
            <w:r>
              <w:rPr>
                <w:rFonts w:hint="eastAsia"/>
                <w:sz w:val="21"/>
                <w:szCs w:val="22"/>
              </w:rPr>
              <w:t>南侧</w:t>
            </w:r>
          </w:p>
        </w:tc>
        <w:tc>
          <w:tcPr>
            <w:tcW w:w="4161" w:type="dxa"/>
            <w:vAlign w:val="center"/>
          </w:tcPr>
          <w:p>
            <w:pPr>
              <w:spacing w:line="240" w:lineRule="auto"/>
              <w:ind w:firstLine="0" w:firstLineChars="0"/>
              <w:jc w:val="center"/>
              <w:rPr>
                <w:sz w:val="21"/>
                <w:szCs w:val="22"/>
              </w:rPr>
            </w:pPr>
            <w:r>
              <w:rPr>
                <w:rFonts w:hint="eastAsia"/>
                <w:sz w:val="21"/>
                <w:szCs w:val="22"/>
              </w:rPr>
              <w:t>北侧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536825" cy="2319655"/>
                  <wp:effectExtent l="0" t="0" r="8255" b="12065"/>
                  <wp:docPr id="65" name="图片 65" descr="887066242340659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887066242340659119"/>
                          <pic:cNvPicPr>
                            <a:picLocks noChangeAspect="1"/>
                          </pic:cNvPicPr>
                        </pic:nvPicPr>
                        <pic:blipFill>
                          <a:blip r:embed="rId47"/>
                          <a:stretch>
                            <a:fillRect/>
                          </a:stretch>
                        </pic:blipFill>
                        <pic:spPr>
                          <a:xfrm>
                            <a:off x="0" y="0"/>
                            <a:ext cx="2536825" cy="2319655"/>
                          </a:xfrm>
                          <a:prstGeom prst="rect">
                            <a:avLst/>
                          </a:prstGeom>
                        </pic:spPr>
                      </pic:pic>
                    </a:graphicData>
                  </a:graphic>
                </wp:inline>
              </w:drawing>
            </w:r>
          </w:p>
        </w:tc>
        <w:tc>
          <w:tcPr>
            <w:tcW w:w="4261" w:type="dxa"/>
            <w:gridSpan w:val="2"/>
            <w:vAlign w:val="center"/>
          </w:tcPr>
          <w:p>
            <w:pPr>
              <w:spacing w:line="240" w:lineRule="auto"/>
              <w:ind w:firstLine="0" w:firstLineChars="0"/>
              <w:jc w:val="center"/>
              <w:rPr>
                <w:sz w:val="21"/>
                <w:szCs w:val="22"/>
              </w:rPr>
            </w:pPr>
            <w:r>
              <w:rPr>
                <w:rFonts w:hint="eastAsia"/>
                <w:sz w:val="21"/>
                <w:szCs w:val="22"/>
              </w:rPr>
              <w:drawing>
                <wp:inline distT="0" distB="0" distL="114300" distR="114300">
                  <wp:extent cx="2571115" cy="2329180"/>
                  <wp:effectExtent l="0" t="0" r="0" b="0"/>
                  <wp:docPr id="60" name="图片 60" descr="微信图片_2024122716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41227165229"/>
                          <pic:cNvPicPr>
                            <a:picLocks noChangeAspect="1"/>
                          </pic:cNvPicPr>
                        </pic:nvPicPr>
                        <pic:blipFill>
                          <a:blip r:embed="rId48"/>
                          <a:srcRect l="-297" t="5756" r="50" b="26142"/>
                          <a:stretch>
                            <a:fillRect/>
                          </a:stretch>
                        </pic:blipFill>
                        <pic:spPr>
                          <a:xfrm>
                            <a:off x="0" y="0"/>
                            <a:ext cx="2571115" cy="232918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261" w:type="dxa"/>
            <w:vAlign w:val="center"/>
          </w:tcPr>
          <w:p>
            <w:pPr>
              <w:spacing w:line="240" w:lineRule="auto"/>
              <w:ind w:firstLine="0" w:firstLineChars="0"/>
              <w:jc w:val="center"/>
              <w:rPr>
                <w:sz w:val="21"/>
                <w:szCs w:val="22"/>
              </w:rPr>
            </w:pPr>
            <w:r>
              <w:rPr>
                <w:rFonts w:hint="eastAsia"/>
                <w:sz w:val="21"/>
                <w:szCs w:val="22"/>
              </w:rPr>
              <w:t>28栋一层</w:t>
            </w:r>
          </w:p>
        </w:tc>
        <w:tc>
          <w:tcPr>
            <w:tcW w:w="4261" w:type="dxa"/>
            <w:gridSpan w:val="2"/>
            <w:vAlign w:val="center"/>
          </w:tcPr>
          <w:p>
            <w:pPr>
              <w:spacing w:line="240" w:lineRule="auto"/>
              <w:ind w:firstLine="0" w:firstLineChars="0"/>
              <w:jc w:val="center"/>
              <w:rPr>
                <w:sz w:val="21"/>
                <w:szCs w:val="22"/>
              </w:rPr>
            </w:pPr>
            <w:r>
              <w:rPr>
                <w:rFonts w:hint="eastAsia"/>
                <w:sz w:val="21"/>
                <w:szCs w:val="22"/>
              </w:rPr>
              <w:t>23栋一层</w:t>
            </w:r>
          </w:p>
        </w:tc>
      </w:tr>
    </w:tbl>
    <w:p>
      <w:pPr>
        <w:ind w:firstLine="0" w:firstLineChars="0"/>
      </w:pPr>
    </w:p>
    <w:p>
      <w:pPr>
        <w:ind w:firstLine="480"/>
        <w:rPr>
          <w:rFonts w:hint="eastAsia" w:ascii="宋体" w:hAnsi="宋体" w:eastAsia="黑体"/>
        </w:rPr>
      </w:pPr>
      <w:r>
        <w:rPr>
          <w:rFonts w:ascii="宋体" w:hAnsi="宋体" w:eastAsia="黑体"/>
        </w:rPr>
        <w:br w:type="page"/>
      </w:r>
    </w:p>
    <w:p>
      <w:pPr>
        <w:pStyle w:val="2"/>
        <w:keepLines/>
        <w:numPr>
          <w:ilvl w:val="0"/>
          <w:numId w:val="2"/>
        </w:numPr>
        <w:overflowPunct/>
        <w:snapToGrid/>
        <w:spacing w:before="120"/>
        <w:jc w:val="left"/>
        <w:rPr>
          <w:sz w:val="28"/>
          <w:szCs w:val="28"/>
        </w:rPr>
      </w:pPr>
      <w:bookmarkStart w:id="206" w:name="_Toc19605"/>
      <w:r>
        <w:rPr>
          <w:rFonts w:hint="eastAsia"/>
          <w:sz w:val="28"/>
          <w:szCs w:val="28"/>
        </w:rPr>
        <w:t xml:space="preserve"> </w:t>
      </w:r>
      <w:bookmarkStart w:id="207" w:name="_Toc22804"/>
      <w:r>
        <w:rPr>
          <w:rFonts w:hint="eastAsia"/>
          <w:sz w:val="28"/>
          <w:szCs w:val="28"/>
        </w:rPr>
        <w:t>委托书</w:t>
      </w:r>
      <w:bookmarkEnd w:id="206"/>
      <w:bookmarkEnd w:id="207"/>
    </w:p>
    <w:p>
      <w:pPr>
        <w:ind w:firstLine="0" w:firstLineChars="0"/>
        <w:rPr>
          <w:rFonts w:hint="eastAsia" w:ascii="宋体" w:hAnsi="宋体" w:eastAsia="黑体"/>
          <w:lang w:eastAsia="zh-CN"/>
        </w:rPr>
      </w:pPr>
      <w:r>
        <w:rPr>
          <w:rFonts w:hint="eastAsia" w:ascii="宋体" w:hAnsi="宋体" w:eastAsia="黑体"/>
          <w:lang w:eastAsia="zh-CN"/>
        </w:rPr>
        <w:drawing>
          <wp:inline distT="0" distB="0" distL="114300" distR="114300">
            <wp:extent cx="5608320" cy="7924800"/>
            <wp:effectExtent l="0" t="0" r="11430" b="0"/>
            <wp:docPr id="55" name="图片 55"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委托书"/>
                    <pic:cNvPicPr>
                      <a:picLocks noChangeAspect="1"/>
                    </pic:cNvPicPr>
                  </pic:nvPicPr>
                  <pic:blipFill>
                    <a:blip r:embed="rId49"/>
                    <a:stretch>
                      <a:fillRect/>
                    </a:stretch>
                  </pic:blipFill>
                  <pic:spPr>
                    <a:xfrm>
                      <a:off x="0" y="0"/>
                      <a:ext cx="5608320" cy="7924800"/>
                    </a:xfrm>
                    <a:prstGeom prst="rect">
                      <a:avLst/>
                    </a:prstGeom>
                  </pic:spPr>
                </pic:pic>
              </a:graphicData>
            </a:graphic>
          </wp:inline>
        </w:drawing>
      </w:r>
    </w:p>
    <w:p>
      <w:pPr>
        <w:ind w:firstLine="480"/>
        <w:rPr>
          <w:rFonts w:hint="eastAsia" w:ascii="宋体" w:hAnsi="宋体" w:eastAsia="黑体"/>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2"/>
        </w:numPr>
        <w:overflowPunct/>
        <w:snapToGrid/>
        <w:spacing w:before="120"/>
        <w:jc w:val="left"/>
        <w:rPr>
          <w:sz w:val="28"/>
          <w:szCs w:val="28"/>
        </w:rPr>
      </w:pPr>
      <w:bookmarkStart w:id="208" w:name="_Toc30964"/>
      <w:r>
        <w:rPr>
          <w:rFonts w:hint="eastAsia"/>
          <w:sz w:val="28"/>
          <w:szCs w:val="28"/>
        </w:rPr>
        <w:t xml:space="preserve"> </w:t>
      </w:r>
      <w:bookmarkStart w:id="209" w:name="_Toc14195"/>
      <w:r>
        <w:rPr>
          <w:rFonts w:hint="eastAsia"/>
          <w:sz w:val="28"/>
          <w:szCs w:val="28"/>
        </w:rPr>
        <w:t>营业执照</w:t>
      </w:r>
      <w:bookmarkEnd w:id="208"/>
      <w:bookmarkEnd w:id="209"/>
    </w:p>
    <w:p>
      <w:pPr>
        <w:ind w:firstLine="0" w:firstLineChars="0"/>
        <w:jc w:val="center"/>
        <w:rPr>
          <w:rFonts w:hint="eastAsia" w:ascii="宋体" w:hAnsi="宋体" w:eastAsia="黑体"/>
        </w:rPr>
      </w:pPr>
    </w:p>
    <w:p>
      <w:pPr>
        <w:ind w:firstLine="0" w:firstLineChars="0"/>
        <w:jc w:val="center"/>
        <w:rPr>
          <w:rFonts w:hint="eastAsia" w:ascii="宋体" w:hAnsi="宋体" w:eastAsia="黑体"/>
        </w:rPr>
      </w:pPr>
      <w:r>
        <w:rPr>
          <w:rFonts w:hint="eastAsia" w:ascii="宋体" w:hAnsi="宋体" w:eastAsia="黑体"/>
        </w:rPr>
        <w:drawing>
          <wp:inline distT="0" distB="0" distL="114300" distR="114300">
            <wp:extent cx="6567805" cy="4572000"/>
            <wp:effectExtent l="0" t="0" r="4445" b="0"/>
            <wp:docPr id="33" name="图片 33" descr="微信图片_2024120910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图片_20241209104706"/>
                    <pic:cNvPicPr>
                      <a:picLocks noChangeAspect="1"/>
                    </pic:cNvPicPr>
                  </pic:nvPicPr>
                  <pic:blipFill>
                    <a:blip r:embed="rId50"/>
                    <a:srcRect t="3854"/>
                    <a:stretch>
                      <a:fillRect/>
                    </a:stretch>
                  </pic:blipFill>
                  <pic:spPr>
                    <a:xfrm>
                      <a:off x="0" y="0"/>
                      <a:ext cx="6567805" cy="4572000"/>
                    </a:xfrm>
                    <a:prstGeom prst="rect">
                      <a:avLst/>
                    </a:prstGeom>
                  </pic:spPr>
                </pic:pic>
              </a:graphicData>
            </a:graphic>
          </wp:inline>
        </w:drawing>
      </w:r>
    </w:p>
    <w:p>
      <w:pPr>
        <w:ind w:firstLine="480"/>
        <w:rPr>
          <w:rFonts w:hint="eastAsia" w:ascii="宋体" w:hAnsi="宋体" w:eastAsia="黑体"/>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
        <w:keepLines/>
        <w:numPr>
          <w:ilvl w:val="0"/>
          <w:numId w:val="2"/>
        </w:numPr>
        <w:overflowPunct/>
        <w:snapToGrid/>
        <w:spacing w:before="120"/>
        <w:jc w:val="left"/>
        <w:rPr>
          <w:sz w:val="28"/>
          <w:szCs w:val="28"/>
        </w:rPr>
      </w:pPr>
      <w:bookmarkStart w:id="210" w:name="_Toc836"/>
      <w:r>
        <w:rPr>
          <w:rFonts w:hint="eastAsia"/>
          <w:sz w:val="28"/>
          <w:szCs w:val="28"/>
        </w:rPr>
        <w:t xml:space="preserve"> </w:t>
      </w:r>
      <w:bookmarkStart w:id="211" w:name="_Toc7997"/>
      <w:r>
        <w:rPr>
          <w:rFonts w:hint="eastAsia"/>
          <w:sz w:val="28"/>
          <w:szCs w:val="28"/>
        </w:rPr>
        <w:t>生产项目备案证明</w:t>
      </w:r>
      <w:bookmarkEnd w:id="210"/>
      <w:bookmarkEnd w:id="211"/>
    </w:p>
    <w:p>
      <w:pPr>
        <w:ind w:firstLine="0" w:firstLineChars="0"/>
        <w:rPr>
          <w:rFonts w:hint="eastAsia" w:ascii="宋体" w:hAnsi="宋体" w:eastAsia="黑体"/>
        </w:rPr>
      </w:pPr>
      <w:r>
        <w:rPr>
          <w:rFonts w:hint="eastAsia" w:ascii="宋体" w:hAnsi="宋体" w:eastAsia="黑体"/>
        </w:rPr>
        <w:drawing>
          <wp:inline distT="0" distB="0" distL="114300" distR="114300">
            <wp:extent cx="5610225" cy="7924165"/>
            <wp:effectExtent l="0" t="0" r="9525" b="635"/>
            <wp:docPr id="37" name="图片 37" descr="小明备案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小明备案证明_00"/>
                    <pic:cNvPicPr>
                      <a:picLocks noChangeAspect="1"/>
                    </pic:cNvPicPr>
                  </pic:nvPicPr>
                  <pic:blipFill>
                    <a:blip r:embed="rId51"/>
                    <a:stretch>
                      <a:fillRect/>
                    </a:stretch>
                  </pic:blipFill>
                  <pic:spPr>
                    <a:xfrm>
                      <a:off x="0" y="0"/>
                      <a:ext cx="5610225" cy="7924165"/>
                    </a:xfrm>
                    <a:prstGeom prst="rect">
                      <a:avLst/>
                    </a:prstGeom>
                  </pic:spPr>
                </pic:pic>
              </a:graphicData>
            </a:graphic>
          </wp:inline>
        </w:drawing>
      </w:r>
      <w:r>
        <w:rPr>
          <w:rFonts w:hint="eastAsia" w:ascii="宋体" w:hAnsi="宋体" w:eastAsia="黑体"/>
        </w:rPr>
        <w:drawing>
          <wp:inline distT="0" distB="0" distL="114300" distR="114300">
            <wp:extent cx="5610225" cy="7924165"/>
            <wp:effectExtent l="0" t="0" r="9525" b="635"/>
            <wp:docPr id="36" name="图片 36" descr="小明备案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小明备案证明_01"/>
                    <pic:cNvPicPr>
                      <a:picLocks noChangeAspect="1"/>
                    </pic:cNvPicPr>
                  </pic:nvPicPr>
                  <pic:blipFill>
                    <a:blip r:embed="rId52"/>
                    <a:stretch>
                      <a:fillRect/>
                    </a:stretch>
                  </pic:blipFill>
                  <pic:spPr>
                    <a:xfrm>
                      <a:off x="0" y="0"/>
                      <a:ext cx="5610225" cy="7924165"/>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pStyle w:val="2"/>
        <w:keepLines/>
        <w:numPr>
          <w:ilvl w:val="0"/>
          <w:numId w:val="2"/>
        </w:numPr>
        <w:overflowPunct/>
        <w:snapToGrid/>
        <w:spacing w:before="120"/>
        <w:jc w:val="left"/>
        <w:rPr>
          <w:sz w:val="28"/>
          <w:szCs w:val="28"/>
        </w:rPr>
      </w:pPr>
      <w:bookmarkStart w:id="212" w:name="_Toc7808"/>
      <w:r>
        <w:rPr>
          <w:rFonts w:hint="eastAsia"/>
          <w:sz w:val="28"/>
          <w:szCs w:val="28"/>
        </w:rPr>
        <w:t xml:space="preserve"> </w:t>
      </w:r>
      <w:bookmarkStart w:id="213" w:name="_Toc3799"/>
      <w:r>
        <w:rPr>
          <w:rFonts w:hint="eastAsia"/>
          <w:sz w:val="28"/>
          <w:szCs w:val="28"/>
        </w:rPr>
        <w:t>厂房租赁合同</w:t>
      </w:r>
      <w:bookmarkEnd w:id="212"/>
      <w:bookmarkEnd w:id="213"/>
    </w:p>
    <w:p>
      <w:pPr>
        <w:ind w:firstLine="0" w:firstLineChars="0"/>
        <w:rPr>
          <w:rFonts w:hint="eastAsia" w:ascii="宋体" w:hAnsi="宋体" w:eastAsia="黑体"/>
        </w:rPr>
      </w:pPr>
      <w:r>
        <w:rPr>
          <w:rFonts w:hint="eastAsia" w:ascii="宋体" w:hAnsi="宋体" w:eastAsia="黑体"/>
        </w:rPr>
        <w:drawing>
          <wp:inline distT="0" distB="0" distL="114300" distR="114300">
            <wp:extent cx="5615305" cy="7935595"/>
            <wp:effectExtent l="0" t="0" r="4445" b="8255"/>
            <wp:docPr id="56" name="图片 56" descr="湖南衡阳西渡高新技术产业园区尔德康明电器生产项目【合同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湖南衡阳西渡高新技术产业园区尔德康明电器生产项目【合同书】_00"/>
                    <pic:cNvPicPr>
                      <a:picLocks noChangeAspect="1"/>
                    </pic:cNvPicPr>
                  </pic:nvPicPr>
                  <pic:blipFill>
                    <a:blip r:embed="rId53"/>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4670" cy="7934325"/>
            <wp:effectExtent l="0" t="0" r="5080" b="9525"/>
            <wp:docPr id="54" name="图片 54" descr="湖南衡阳西渡高新技术产业园区尔德康明电器生产项目【合同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湖南衡阳西渡高新技术产业园区尔德康明电器生产项目【合同书】_02"/>
                    <pic:cNvPicPr>
                      <a:picLocks noChangeAspect="1"/>
                    </pic:cNvPicPr>
                  </pic:nvPicPr>
                  <pic:blipFill>
                    <a:blip r:embed="rId54"/>
                    <a:stretch>
                      <a:fillRect/>
                    </a:stretch>
                  </pic:blipFill>
                  <pic:spPr>
                    <a:xfrm>
                      <a:off x="0" y="0"/>
                      <a:ext cx="5614670" cy="793432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53" name="图片 53" descr="湖南衡阳西渡高新技术产业园区尔德康明电器生产项目【合同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湖南衡阳西渡高新技术产业园区尔德康明电器生产项目【合同书】_03"/>
                    <pic:cNvPicPr>
                      <a:picLocks noChangeAspect="1"/>
                    </pic:cNvPicPr>
                  </pic:nvPicPr>
                  <pic:blipFill>
                    <a:blip r:embed="rId55"/>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52" name="图片 52" descr="湖南衡阳西渡高新技术产业园区尔德康明电器生产项目【合同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湖南衡阳西渡高新技术产业园区尔德康明电器生产项目【合同书】_04"/>
                    <pic:cNvPicPr>
                      <a:picLocks noChangeAspect="1"/>
                    </pic:cNvPicPr>
                  </pic:nvPicPr>
                  <pic:blipFill>
                    <a:blip r:embed="rId56"/>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51" name="图片 51" descr="湖南衡阳西渡高新技术产业园区尔德康明电器生产项目【合同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湖南衡阳西渡高新技术产业园区尔德康明电器生产项目【合同书】_05"/>
                    <pic:cNvPicPr>
                      <a:picLocks noChangeAspect="1"/>
                    </pic:cNvPicPr>
                  </pic:nvPicPr>
                  <pic:blipFill>
                    <a:blip r:embed="rId57"/>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50" name="图片 50" descr="湖南衡阳西渡高新技术产业园区尔德康明电器生产项目【合同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湖南衡阳西渡高新技术产业园区尔德康明电器生产项目【合同书】_06"/>
                    <pic:cNvPicPr>
                      <a:picLocks noChangeAspect="1"/>
                    </pic:cNvPicPr>
                  </pic:nvPicPr>
                  <pic:blipFill>
                    <a:blip r:embed="rId58"/>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38" name="图片 38" descr="湖南衡阳西渡高新技术产业园区尔德康明电器生产项目【合同书】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湖南衡阳西渡高新技术产业园区尔德康明电器生产项目【合同书】_07"/>
                    <pic:cNvPicPr>
                      <a:picLocks noChangeAspect="1"/>
                    </pic:cNvPicPr>
                  </pic:nvPicPr>
                  <pic:blipFill>
                    <a:blip r:embed="rId59"/>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35" name="图片 35" descr="湖南衡阳西渡高新技术产业园区尔德康明电器生产项目【合同书】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湖南衡阳西渡高新技术产业园区尔德康明电器生产项目【合同书】_08"/>
                    <pic:cNvPicPr>
                      <a:picLocks noChangeAspect="1"/>
                    </pic:cNvPicPr>
                  </pic:nvPicPr>
                  <pic:blipFill>
                    <a:blip r:embed="rId60"/>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34" name="图片 34" descr="湖南衡阳西渡高新技术产业园区尔德康明电器生产项目【合同书】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湖南衡阳西渡高新技术产业园区尔德康明电器生产项目【合同书】_09"/>
                    <pic:cNvPicPr>
                      <a:picLocks noChangeAspect="1"/>
                    </pic:cNvPicPr>
                  </pic:nvPicPr>
                  <pic:blipFill>
                    <a:blip r:embed="rId61"/>
                    <a:stretch>
                      <a:fillRect/>
                    </a:stretch>
                  </pic:blipFill>
                  <pic:spPr>
                    <a:xfrm>
                      <a:off x="0" y="0"/>
                      <a:ext cx="5615305" cy="7935595"/>
                    </a:xfrm>
                    <a:prstGeom prst="rect">
                      <a:avLst/>
                    </a:prstGeom>
                  </pic:spPr>
                </pic:pic>
              </a:graphicData>
            </a:graphic>
          </wp:inline>
        </w:drawing>
      </w:r>
      <w:r>
        <w:rPr>
          <w:rFonts w:hint="eastAsia" w:ascii="宋体" w:hAnsi="宋体" w:eastAsia="黑体"/>
        </w:rPr>
        <w:drawing>
          <wp:inline distT="0" distB="0" distL="114300" distR="114300">
            <wp:extent cx="5615305" cy="7935595"/>
            <wp:effectExtent l="0" t="0" r="4445" b="8255"/>
            <wp:docPr id="32" name="图片 32" descr="湖南衡阳西渡高新技术产业园区尔德康明电器生产项目【合同书】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湖南衡阳西渡高新技术产业园区尔德康明电器生产项目【合同书】_10"/>
                    <pic:cNvPicPr>
                      <a:picLocks noChangeAspect="1"/>
                    </pic:cNvPicPr>
                  </pic:nvPicPr>
                  <pic:blipFill>
                    <a:blip r:embed="rId62"/>
                    <a:stretch>
                      <a:fillRect/>
                    </a:stretch>
                  </pic:blipFill>
                  <pic:spPr>
                    <a:xfrm>
                      <a:off x="0" y="0"/>
                      <a:ext cx="5615305" cy="7935595"/>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pStyle w:val="2"/>
        <w:keepLines/>
        <w:numPr>
          <w:ilvl w:val="0"/>
          <w:numId w:val="2"/>
        </w:numPr>
        <w:overflowPunct/>
        <w:snapToGrid/>
        <w:spacing w:before="120"/>
        <w:jc w:val="left"/>
        <w:rPr>
          <w:sz w:val="28"/>
          <w:szCs w:val="28"/>
        </w:rPr>
      </w:pPr>
      <w:bookmarkStart w:id="214" w:name="_Toc21240"/>
      <w:r>
        <w:rPr>
          <w:rFonts w:hint="eastAsia"/>
          <w:sz w:val="28"/>
          <w:szCs w:val="28"/>
        </w:rPr>
        <w:t xml:space="preserve"> </w:t>
      </w:r>
      <w:bookmarkStart w:id="215" w:name="_Toc31764"/>
      <w:r>
        <w:rPr>
          <w:rFonts w:hint="eastAsia"/>
          <w:sz w:val="28"/>
          <w:szCs w:val="28"/>
        </w:rPr>
        <w:t>《原湖南省环境保护厅关于西渡经济开发区环境影响报告书的批复》（湘环评〔2013〕285号）</w:t>
      </w:r>
      <w:bookmarkEnd w:id="214"/>
      <w:bookmarkEnd w:id="215"/>
    </w:p>
    <w:p>
      <w:pPr>
        <w:ind w:firstLine="0" w:firstLineChars="0"/>
        <w:jc w:val="center"/>
        <w:rPr>
          <w:rFonts w:hint="eastAsia" w:ascii="宋体" w:hAnsi="宋体" w:eastAsia="黑体"/>
        </w:rPr>
      </w:pPr>
      <w:r>
        <w:rPr>
          <w:rFonts w:hint="eastAsia" w:ascii="宋体" w:hAnsi="宋体" w:eastAsia="黑体"/>
        </w:rPr>
        <w:drawing>
          <wp:inline distT="0" distB="0" distL="114300" distR="114300">
            <wp:extent cx="5015230" cy="7776210"/>
            <wp:effectExtent l="0" t="0" r="13970" b="15240"/>
            <wp:docPr id="17" name="图片 17"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批复1"/>
                    <pic:cNvPicPr>
                      <a:picLocks noChangeAspect="1"/>
                    </pic:cNvPicPr>
                  </pic:nvPicPr>
                  <pic:blipFill>
                    <a:blip r:embed="rId63"/>
                    <a:stretch>
                      <a:fillRect/>
                    </a:stretch>
                  </pic:blipFill>
                  <pic:spPr>
                    <a:xfrm>
                      <a:off x="0" y="0"/>
                      <a:ext cx="5015230" cy="7776210"/>
                    </a:xfrm>
                    <a:prstGeom prst="rect">
                      <a:avLst/>
                    </a:prstGeom>
                  </pic:spPr>
                </pic:pic>
              </a:graphicData>
            </a:graphic>
          </wp:inline>
        </w:drawing>
      </w:r>
      <w:r>
        <w:rPr>
          <w:rFonts w:hint="eastAsia" w:ascii="宋体" w:hAnsi="宋体" w:eastAsia="黑体"/>
        </w:rPr>
        <w:drawing>
          <wp:inline distT="0" distB="0" distL="114300" distR="114300">
            <wp:extent cx="5481955" cy="7919720"/>
            <wp:effectExtent l="0" t="0" r="4445" b="5080"/>
            <wp:docPr id="16" name="图片 16" descr="批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批复2png"/>
                    <pic:cNvPicPr>
                      <a:picLocks noChangeAspect="1"/>
                    </pic:cNvPicPr>
                  </pic:nvPicPr>
                  <pic:blipFill>
                    <a:blip r:embed="rId64"/>
                    <a:stretch>
                      <a:fillRect/>
                    </a:stretch>
                  </pic:blipFill>
                  <pic:spPr>
                    <a:xfrm>
                      <a:off x="0" y="0"/>
                      <a:ext cx="5481955" cy="7919720"/>
                    </a:xfrm>
                    <a:prstGeom prst="rect">
                      <a:avLst/>
                    </a:prstGeom>
                  </pic:spPr>
                </pic:pic>
              </a:graphicData>
            </a:graphic>
          </wp:inline>
        </w:drawing>
      </w:r>
      <w:r>
        <w:rPr>
          <w:rFonts w:hint="eastAsia" w:ascii="宋体" w:hAnsi="宋体" w:eastAsia="黑体"/>
        </w:rPr>
        <w:drawing>
          <wp:inline distT="0" distB="0" distL="114300" distR="114300">
            <wp:extent cx="5469255" cy="7919720"/>
            <wp:effectExtent l="0" t="0" r="17145" b="5080"/>
            <wp:docPr id="15" name="图片 15"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批复3"/>
                    <pic:cNvPicPr>
                      <a:picLocks noChangeAspect="1"/>
                    </pic:cNvPicPr>
                  </pic:nvPicPr>
                  <pic:blipFill>
                    <a:blip r:embed="rId65"/>
                    <a:stretch>
                      <a:fillRect/>
                    </a:stretch>
                  </pic:blipFill>
                  <pic:spPr>
                    <a:xfrm>
                      <a:off x="0" y="0"/>
                      <a:ext cx="5469255" cy="7919720"/>
                    </a:xfrm>
                    <a:prstGeom prst="rect">
                      <a:avLst/>
                    </a:prstGeom>
                  </pic:spPr>
                </pic:pic>
              </a:graphicData>
            </a:graphic>
          </wp:inline>
        </w:drawing>
      </w:r>
      <w:r>
        <w:rPr>
          <w:rFonts w:hint="eastAsia" w:ascii="宋体" w:hAnsi="宋体" w:eastAsia="黑体"/>
        </w:rPr>
        <w:drawing>
          <wp:inline distT="0" distB="0" distL="114300" distR="114300">
            <wp:extent cx="5309235" cy="7919720"/>
            <wp:effectExtent l="0" t="0" r="5715" b="5080"/>
            <wp:docPr id="64" name="图片 64" descr="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批复4"/>
                    <pic:cNvPicPr>
                      <a:picLocks noChangeAspect="1"/>
                    </pic:cNvPicPr>
                  </pic:nvPicPr>
                  <pic:blipFill>
                    <a:blip r:embed="rId66"/>
                    <a:stretch>
                      <a:fillRect/>
                    </a:stretch>
                  </pic:blipFill>
                  <pic:spPr>
                    <a:xfrm>
                      <a:off x="0" y="0"/>
                      <a:ext cx="5309235" cy="7919720"/>
                    </a:xfrm>
                    <a:prstGeom prst="rect">
                      <a:avLst/>
                    </a:prstGeom>
                  </pic:spPr>
                </pic:pic>
              </a:graphicData>
            </a:graphic>
          </wp:inline>
        </w:drawing>
      </w:r>
      <w:r>
        <w:rPr>
          <w:rFonts w:hint="eastAsia" w:ascii="宋体" w:hAnsi="宋体" w:eastAsia="黑体"/>
        </w:rPr>
        <w:drawing>
          <wp:inline distT="0" distB="0" distL="114300" distR="114300">
            <wp:extent cx="5480685" cy="7919720"/>
            <wp:effectExtent l="0" t="0" r="5715" b="5080"/>
            <wp:docPr id="13" name="图片 13" descr="批复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批复5"/>
                    <pic:cNvPicPr>
                      <a:picLocks noChangeAspect="1"/>
                    </pic:cNvPicPr>
                  </pic:nvPicPr>
                  <pic:blipFill>
                    <a:blip r:embed="rId67"/>
                    <a:stretch>
                      <a:fillRect/>
                    </a:stretch>
                  </pic:blipFill>
                  <pic:spPr>
                    <a:xfrm>
                      <a:off x="0" y="0"/>
                      <a:ext cx="5480685" cy="7919720"/>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pStyle w:val="2"/>
        <w:keepLines/>
        <w:numPr>
          <w:ilvl w:val="0"/>
          <w:numId w:val="2"/>
        </w:numPr>
        <w:overflowPunct/>
        <w:snapToGrid/>
        <w:spacing w:before="120"/>
        <w:jc w:val="left"/>
        <w:rPr>
          <w:sz w:val="28"/>
          <w:szCs w:val="28"/>
        </w:rPr>
      </w:pPr>
      <w:bookmarkStart w:id="216" w:name="_Toc11254"/>
      <w:r>
        <w:rPr>
          <w:rFonts w:hint="eastAsia"/>
          <w:sz w:val="28"/>
          <w:szCs w:val="28"/>
        </w:rPr>
        <w:t xml:space="preserve"> </w:t>
      </w:r>
      <w:bookmarkStart w:id="217" w:name="_Toc11632"/>
      <w:r>
        <w:rPr>
          <w:rFonts w:hint="eastAsia"/>
          <w:sz w:val="28"/>
          <w:szCs w:val="28"/>
        </w:rPr>
        <w:t>《湖南省生态环境厅关于湖南衡阳西渡高新技术产业园区环境影响跟踪评价工作意见的函》（湘环评函〔2022〕85号）</w:t>
      </w:r>
      <w:bookmarkEnd w:id="216"/>
      <w:bookmarkEnd w:id="217"/>
    </w:p>
    <w:p>
      <w:pPr>
        <w:ind w:firstLine="0" w:firstLineChars="0"/>
        <w:jc w:val="center"/>
        <w:rPr>
          <w:rFonts w:hint="eastAsia" w:ascii="宋体" w:hAnsi="宋体" w:eastAsia="黑体"/>
        </w:rPr>
      </w:pPr>
      <w:r>
        <w:rPr>
          <w:rFonts w:hint="eastAsia" w:ascii="宋体" w:hAnsi="宋体" w:eastAsia="黑体"/>
        </w:rPr>
        <w:drawing>
          <wp:inline distT="0" distB="0" distL="114300" distR="114300">
            <wp:extent cx="5532120" cy="7272020"/>
            <wp:effectExtent l="0" t="0" r="11430" b="5080"/>
            <wp:docPr id="23" name="图片 23" descr="跟踪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跟踪意见1"/>
                    <pic:cNvPicPr>
                      <a:picLocks noChangeAspect="1"/>
                    </pic:cNvPicPr>
                  </pic:nvPicPr>
                  <pic:blipFill>
                    <a:blip r:embed="rId68"/>
                    <a:stretch>
                      <a:fillRect/>
                    </a:stretch>
                  </pic:blipFill>
                  <pic:spPr>
                    <a:xfrm>
                      <a:off x="0" y="0"/>
                      <a:ext cx="5532120" cy="7272020"/>
                    </a:xfrm>
                    <a:prstGeom prst="rect">
                      <a:avLst/>
                    </a:prstGeom>
                  </pic:spPr>
                </pic:pic>
              </a:graphicData>
            </a:graphic>
          </wp:inline>
        </w:drawing>
      </w:r>
      <w:r>
        <w:rPr>
          <w:rFonts w:hint="eastAsia" w:ascii="宋体" w:hAnsi="宋体" w:eastAsia="黑体"/>
        </w:rPr>
        <w:drawing>
          <wp:inline distT="0" distB="0" distL="114300" distR="114300">
            <wp:extent cx="5610860" cy="7560310"/>
            <wp:effectExtent l="0" t="0" r="8890" b="2540"/>
            <wp:docPr id="22" name="图片 22" descr="跟踪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跟踪意见2"/>
                    <pic:cNvPicPr>
                      <a:picLocks noChangeAspect="1"/>
                    </pic:cNvPicPr>
                  </pic:nvPicPr>
                  <pic:blipFill>
                    <a:blip r:embed="rId69"/>
                    <a:stretch>
                      <a:fillRect/>
                    </a:stretch>
                  </pic:blipFill>
                  <pic:spPr>
                    <a:xfrm>
                      <a:off x="0" y="0"/>
                      <a:ext cx="5610860" cy="7560310"/>
                    </a:xfrm>
                    <a:prstGeom prst="rect">
                      <a:avLst/>
                    </a:prstGeom>
                  </pic:spPr>
                </pic:pic>
              </a:graphicData>
            </a:graphic>
          </wp:inline>
        </w:drawing>
      </w:r>
      <w:r>
        <w:rPr>
          <w:rFonts w:hint="eastAsia" w:ascii="宋体" w:hAnsi="宋体" w:eastAsia="黑体"/>
        </w:rPr>
        <w:drawing>
          <wp:inline distT="0" distB="0" distL="114300" distR="114300">
            <wp:extent cx="5535930" cy="7919720"/>
            <wp:effectExtent l="0" t="0" r="7620" b="5080"/>
            <wp:docPr id="21" name="图片 21" descr="跟踪意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跟踪意见3"/>
                    <pic:cNvPicPr>
                      <a:picLocks noChangeAspect="1"/>
                    </pic:cNvPicPr>
                  </pic:nvPicPr>
                  <pic:blipFill>
                    <a:blip r:embed="rId70"/>
                    <a:stretch>
                      <a:fillRect/>
                    </a:stretch>
                  </pic:blipFill>
                  <pic:spPr>
                    <a:xfrm>
                      <a:off x="0" y="0"/>
                      <a:ext cx="5535930" cy="7919720"/>
                    </a:xfrm>
                    <a:prstGeom prst="rect">
                      <a:avLst/>
                    </a:prstGeom>
                  </pic:spPr>
                </pic:pic>
              </a:graphicData>
            </a:graphic>
          </wp:inline>
        </w:drawing>
      </w:r>
      <w:r>
        <w:rPr>
          <w:rFonts w:hint="eastAsia" w:ascii="宋体" w:hAnsi="宋体" w:eastAsia="黑体"/>
        </w:rPr>
        <w:drawing>
          <wp:inline distT="0" distB="0" distL="114300" distR="114300">
            <wp:extent cx="5205095" cy="7919720"/>
            <wp:effectExtent l="0" t="0" r="14605" b="5080"/>
            <wp:docPr id="20" name="图片 20" descr="跟踪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跟踪意见4"/>
                    <pic:cNvPicPr>
                      <a:picLocks noChangeAspect="1"/>
                    </pic:cNvPicPr>
                  </pic:nvPicPr>
                  <pic:blipFill>
                    <a:blip r:embed="rId71"/>
                    <a:stretch>
                      <a:fillRect/>
                    </a:stretch>
                  </pic:blipFill>
                  <pic:spPr>
                    <a:xfrm>
                      <a:off x="0" y="0"/>
                      <a:ext cx="5205095" cy="7919720"/>
                    </a:xfrm>
                    <a:prstGeom prst="rect">
                      <a:avLst/>
                    </a:prstGeom>
                  </pic:spPr>
                </pic:pic>
              </a:graphicData>
            </a:graphic>
          </wp:inline>
        </w:drawing>
      </w:r>
      <w:r>
        <w:rPr>
          <w:rFonts w:hint="eastAsia" w:ascii="宋体" w:hAnsi="宋体" w:eastAsia="黑体"/>
        </w:rPr>
        <w:drawing>
          <wp:inline distT="0" distB="0" distL="114300" distR="114300">
            <wp:extent cx="5220335" cy="7919720"/>
            <wp:effectExtent l="0" t="0" r="18415" b="5080"/>
            <wp:docPr id="19" name="图片 19" descr="跟踪意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跟踪意见5"/>
                    <pic:cNvPicPr>
                      <a:picLocks noChangeAspect="1"/>
                    </pic:cNvPicPr>
                  </pic:nvPicPr>
                  <pic:blipFill>
                    <a:blip r:embed="rId72"/>
                    <a:stretch>
                      <a:fillRect/>
                    </a:stretch>
                  </pic:blipFill>
                  <pic:spPr>
                    <a:xfrm>
                      <a:off x="0" y="0"/>
                      <a:ext cx="5220335" cy="7919720"/>
                    </a:xfrm>
                    <a:prstGeom prst="rect">
                      <a:avLst/>
                    </a:prstGeom>
                  </pic:spPr>
                </pic:pic>
              </a:graphicData>
            </a:graphic>
          </wp:inline>
        </w:drawing>
      </w:r>
      <w:r>
        <w:rPr>
          <w:rFonts w:hint="eastAsia" w:ascii="宋体" w:hAnsi="宋体" w:eastAsia="黑体"/>
        </w:rPr>
        <w:drawing>
          <wp:inline distT="0" distB="0" distL="114300" distR="114300">
            <wp:extent cx="5530215" cy="7919720"/>
            <wp:effectExtent l="0" t="0" r="13335" b="5080"/>
            <wp:docPr id="18" name="图片 18" descr="跟踪意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跟踪意见6"/>
                    <pic:cNvPicPr>
                      <a:picLocks noChangeAspect="1"/>
                    </pic:cNvPicPr>
                  </pic:nvPicPr>
                  <pic:blipFill>
                    <a:blip r:embed="rId73"/>
                    <a:stretch>
                      <a:fillRect/>
                    </a:stretch>
                  </pic:blipFill>
                  <pic:spPr>
                    <a:xfrm>
                      <a:off x="0" y="0"/>
                      <a:ext cx="5530215" cy="7919720"/>
                    </a:xfrm>
                    <a:prstGeom prst="rect">
                      <a:avLst/>
                    </a:prstGeom>
                  </pic:spPr>
                </pic:pic>
              </a:graphicData>
            </a:graphic>
          </wp:inline>
        </w:drawing>
      </w:r>
    </w:p>
    <w:p>
      <w:pPr>
        <w:ind w:firstLine="480"/>
        <w:rPr>
          <w:rFonts w:hint="eastAsia" w:ascii="宋体" w:hAnsi="宋体" w:eastAsia="黑体"/>
        </w:rPr>
      </w:pPr>
      <w:r>
        <w:rPr>
          <w:rFonts w:ascii="宋体" w:hAnsi="宋体" w:eastAsia="黑体"/>
        </w:rPr>
        <w:br w:type="page"/>
      </w:r>
    </w:p>
    <w:p>
      <w:pPr>
        <w:pStyle w:val="2"/>
        <w:keepLines/>
        <w:numPr>
          <w:ilvl w:val="0"/>
          <w:numId w:val="2"/>
        </w:numPr>
        <w:overflowPunct/>
        <w:snapToGrid/>
        <w:spacing w:before="120"/>
        <w:jc w:val="left"/>
        <w:rPr>
          <w:sz w:val="28"/>
          <w:szCs w:val="28"/>
        </w:rPr>
      </w:pPr>
      <w:bookmarkStart w:id="218" w:name="_Toc25334"/>
      <w:bookmarkStart w:id="219" w:name="_Toc18556"/>
      <w:r>
        <w:rPr>
          <w:rFonts w:hint="eastAsia"/>
          <w:sz w:val="28"/>
          <w:szCs w:val="28"/>
        </w:rPr>
        <w:t xml:space="preserve"> </w:t>
      </w:r>
      <w:bookmarkStart w:id="220" w:name="_Toc26258"/>
      <w:r>
        <w:rPr>
          <w:rFonts w:hint="eastAsia"/>
          <w:sz w:val="28"/>
          <w:szCs w:val="28"/>
        </w:rPr>
        <w:t>西渡高新区环境质量检测报告</w:t>
      </w:r>
      <w:bookmarkEnd w:id="218"/>
      <w:bookmarkEnd w:id="220"/>
    </w:p>
    <w:p>
      <w:pPr>
        <w:ind w:firstLine="0" w:firstLineChars="0"/>
        <w:jc w:val="center"/>
        <w:rPr>
          <w:rFonts w:hint="eastAsia"/>
        </w:rPr>
        <w:sectPr>
          <w:footerReference r:id="rId11"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rPr>
        <w:drawing>
          <wp:inline distT="0" distB="0" distL="114300" distR="114300">
            <wp:extent cx="5615305" cy="7935595"/>
            <wp:effectExtent l="0" t="0" r="4445" b="8255"/>
            <wp:docPr id="48" name="图片 48" descr="2022122811285593658dklr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2122811285593658dklr_00"/>
                    <pic:cNvPicPr>
                      <a:picLocks noChangeAspect="1"/>
                    </pic:cNvPicPr>
                  </pic:nvPicPr>
                  <pic:blipFill>
                    <a:blip r:embed="rId74"/>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7" name="图片 47" descr="2022122811285593658dklr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22122811285593658dklr_01"/>
                    <pic:cNvPicPr>
                      <a:picLocks noChangeAspect="1"/>
                    </pic:cNvPicPr>
                  </pic:nvPicPr>
                  <pic:blipFill>
                    <a:blip r:embed="rId75"/>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6" name="图片 46" descr="2022122811285593658dklr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22122811285593658dklr_02"/>
                    <pic:cNvPicPr>
                      <a:picLocks noChangeAspect="1"/>
                    </pic:cNvPicPr>
                  </pic:nvPicPr>
                  <pic:blipFill>
                    <a:blip r:embed="rId76"/>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5" name="图片 45" descr="2022122811285593658dklr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022122811285593658dklr_03"/>
                    <pic:cNvPicPr>
                      <a:picLocks noChangeAspect="1"/>
                    </pic:cNvPicPr>
                  </pic:nvPicPr>
                  <pic:blipFill>
                    <a:blip r:embed="rId77"/>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4" name="图片 44" descr="2022122811285593658dklr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22122811285593658dklr_04"/>
                    <pic:cNvPicPr>
                      <a:picLocks noChangeAspect="1"/>
                    </pic:cNvPicPr>
                  </pic:nvPicPr>
                  <pic:blipFill>
                    <a:blip r:embed="rId78"/>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3" name="图片 43" descr="2022122811285593658dklr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22122811285593658dklr_05"/>
                    <pic:cNvPicPr>
                      <a:picLocks noChangeAspect="1"/>
                    </pic:cNvPicPr>
                  </pic:nvPicPr>
                  <pic:blipFill>
                    <a:blip r:embed="rId79"/>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2" name="图片 42" descr="2022122811285593658dklr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022122811285593658dklr_06"/>
                    <pic:cNvPicPr>
                      <a:picLocks noChangeAspect="1"/>
                    </pic:cNvPicPr>
                  </pic:nvPicPr>
                  <pic:blipFill>
                    <a:blip r:embed="rId80"/>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1" name="图片 41" descr="2022122811285593658dklr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22122811285593658dklr_07"/>
                    <pic:cNvPicPr>
                      <a:picLocks noChangeAspect="1"/>
                    </pic:cNvPicPr>
                  </pic:nvPicPr>
                  <pic:blipFill>
                    <a:blip r:embed="rId81"/>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40" name="图片 40" descr="2022122811285593658dklr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22122811285593658dklr_08"/>
                    <pic:cNvPicPr>
                      <a:picLocks noChangeAspect="1"/>
                    </pic:cNvPicPr>
                  </pic:nvPicPr>
                  <pic:blipFill>
                    <a:blip r:embed="rId82"/>
                    <a:stretch>
                      <a:fillRect/>
                    </a:stretch>
                  </pic:blipFill>
                  <pic:spPr>
                    <a:xfrm>
                      <a:off x="0" y="0"/>
                      <a:ext cx="5615305" cy="7935595"/>
                    </a:xfrm>
                    <a:prstGeom prst="rect">
                      <a:avLst/>
                    </a:prstGeom>
                  </pic:spPr>
                </pic:pic>
              </a:graphicData>
            </a:graphic>
          </wp:inline>
        </w:drawing>
      </w:r>
      <w:r>
        <w:rPr>
          <w:rFonts w:hint="eastAsia"/>
        </w:rPr>
        <w:drawing>
          <wp:inline distT="0" distB="0" distL="114300" distR="114300">
            <wp:extent cx="5615305" cy="7935595"/>
            <wp:effectExtent l="0" t="0" r="4445" b="8255"/>
            <wp:docPr id="39" name="图片 39" descr="2022122811285593658dklr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22122811285593658dklr_09"/>
                    <pic:cNvPicPr>
                      <a:picLocks noChangeAspect="1"/>
                    </pic:cNvPicPr>
                  </pic:nvPicPr>
                  <pic:blipFill>
                    <a:blip r:embed="rId83"/>
                    <a:stretch>
                      <a:fillRect/>
                    </a:stretch>
                  </pic:blipFill>
                  <pic:spPr>
                    <a:xfrm>
                      <a:off x="0" y="0"/>
                      <a:ext cx="5615305" cy="7935595"/>
                    </a:xfrm>
                    <a:prstGeom prst="rect">
                      <a:avLst/>
                    </a:prstGeom>
                  </pic:spPr>
                </pic:pic>
              </a:graphicData>
            </a:graphic>
          </wp:inline>
        </w:drawing>
      </w:r>
    </w:p>
    <w:p>
      <w:pPr>
        <w:pStyle w:val="2"/>
        <w:keepLines/>
        <w:numPr>
          <w:ilvl w:val="0"/>
          <w:numId w:val="2"/>
        </w:numPr>
        <w:overflowPunct/>
        <w:snapToGrid/>
        <w:spacing w:before="120"/>
        <w:jc w:val="left"/>
        <w:rPr>
          <w:sz w:val="28"/>
          <w:szCs w:val="28"/>
        </w:rPr>
      </w:pPr>
      <w:r>
        <w:rPr>
          <w:rFonts w:hint="eastAsia"/>
          <w:sz w:val="28"/>
          <w:szCs w:val="28"/>
        </w:rPr>
        <w:t xml:space="preserve"> </w:t>
      </w:r>
      <w:bookmarkStart w:id="221" w:name="_Toc27195"/>
      <w:r>
        <w:rPr>
          <w:rFonts w:hint="eastAsia"/>
          <w:sz w:val="28"/>
          <w:szCs w:val="28"/>
          <w:lang w:eastAsia="zh-CN"/>
        </w:rPr>
        <w:t>湖南坚利美超硬材料有限公司坚利美超硬材料建设项目监</w:t>
      </w:r>
      <w:r>
        <w:rPr>
          <w:rFonts w:hint="eastAsia"/>
          <w:sz w:val="28"/>
          <w:szCs w:val="28"/>
        </w:rPr>
        <w:t>测报告</w:t>
      </w:r>
      <w:bookmarkEnd w:id="221"/>
    </w:p>
    <w:p>
      <w:pPr>
        <w:ind w:left="0" w:leftChars="0" w:firstLine="0" w:firstLineChars="0"/>
        <w:rPr>
          <w:rFonts w:hint="eastAsia" w:ascii="宋体" w:hAnsi="宋体" w:eastAsia="黑体"/>
        </w:rPr>
      </w:pPr>
      <w:r>
        <w:rPr>
          <w:rFonts w:hint="eastAsia"/>
          <w:lang w:val="en-US" w:eastAsia="zh-CN"/>
        </w:rPr>
        <w:drawing>
          <wp:inline distT="0" distB="0" distL="114300" distR="114300">
            <wp:extent cx="5481320" cy="7752080"/>
            <wp:effectExtent l="0" t="0" r="5080" b="1270"/>
            <wp:docPr id="78" name="图片 4" descr="20230304112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descr="202303041127_00"/>
                    <pic:cNvPicPr>
                      <a:picLocks noChangeAspect="1"/>
                    </pic:cNvPicPr>
                  </pic:nvPicPr>
                  <pic:blipFill>
                    <a:blip r:embed="rId84"/>
                    <a:stretch>
                      <a:fillRect/>
                    </a:stretch>
                  </pic:blipFill>
                  <pic:spPr>
                    <a:xfrm>
                      <a:off x="0" y="0"/>
                      <a:ext cx="5481320" cy="7752080"/>
                    </a:xfrm>
                    <a:prstGeom prst="rect">
                      <a:avLst/>
                    </a:prstGeom>
                    <a:noFill/>
                    <a:ln>
                      <a:noFill/>
                    </a:ln>
                  </pic:spPr>
                </pic:pic>
              </a:graphicData>
            </a:graphic>
          </wp:inline>
        </w:drawing>
      </w:r>
      <w:r>
        <w:rPr>
          <w:rFonts w:hint="eastAsia"/>
          <w:lang w:val="en-US" w:eastAsia="zh-CN"/>
        </w:rPr>
        <w:drawing>
          <wp:inline distT="0" distB="0" distL="114300" distR="114300">
            <wp:extent cx="5610860" cy="7934960"/>
            <wp:effectExtent l="0" t="0" r="8890" b="8890"/>
            <wp:docPr id="79" name="图片 5" descr="20230304112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descr="202303041127_01"/>
                    <pic:cNvPicPr>
                      <a:picLocks noChangeAspect="1"/>
                    </pic:cNvPicPr>
                  </pic:nvPicPr>
                  <pic:blipFill>
                    <a:blip r:embed="rId85"/>
                    <a:stretch>
                      <a:fillRect/>
                    </a:stretch>
                  </pic:blipFill>
                  <pic:spPr>
                    <a:xfrm>
                      <a:off x="0" y="0"/>
                      <a:ext cx="5610860" cy="7934960"/>
                    </a:xfrm>
                    <a:prstGeom prst="rect">
                      <a:avLst/>
                    </a:prstGeom>
                    <a:noFill/>
                    <a:ln>
                      <a:noFill/>
                    </a:ln>
                  </pic:spPr>
                </pic:pic>
              </a:graphicData>
            </a:graphic>
          </wp:inline>
        </w:drawing>
      </w:r>
      <w:r>
        <w:rPr>
          <w:rFonts w:hint="eastAsia"/>
          <w:lang w:val="en-US" w:eastAsia="zh-CN"/>
        </w:rPr>
        <w:drawing>
          <wp:inline distT="0" distB="0" distL="114300" distR="114300">
            <wp:extent cx="5610860" cy="7934960"/>
            <wp:effectExtent l="0" t="0" r="8890" b="8890"/>
            <wp:docPr id="80" name="图片 6" descr="20230304112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descr="202303041127_02"/>
                    <pic:cNvPicPr>
                      <a:picLocks noChangeAspect="1"/>
                    </pic:cNvPicPr>
                  </pic:nvPicPr>
                  <pic:blipFill>
                    <a:blip r:embed="rId86"/>
                    <a:stretch>
                      <a:fillRect/>
                    </a:stretch>
                  </pic:blipFill>
                  <pic:spPr>
                    <a:xfrm>
                      <a:off x="0" y="0"/>
                      <a:ext cx="5610860" cy="7934960"/>
                    </a:xfrm>
                    <a:prstGeom prst="rect">
                      <a:avLst/>
                    </a:prstGeom>
                    <a:noFill/>
                    <a:ln>
                      <a:noFill/>
                    </a:ln>
                  </pic:spPr>
                </pic:pic>
              </a:graphicData>
            </a:graphic>
          </wp:inline>
        </w:drawing>
      </w:r>
      <w:r>
        <w:rPr>
          <w:rFonts w:hint="eastAsia"/>
          <w:lang w:val="en-US" w:eastAsia="zh-CN"/>
        </w:rPr>
        <w:drawing>
          <wp:inline distT="0" distB="0" distL="114300" distR="114300">
            <wp:extent cx="5610860" cy="7934960"/>
            <wp:effectExtent l="0" t="0" r="8890" b="8890"/>
            <wp:docPr id="81" name="图片 7" descr="20230304112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descr="202303041127_03"/>
                    <pic:cNvPicPr>
                      <a:picLocks noChangeAspect="1"/>
                    </pic:cNvPicPr>
                  </pic:nvPicPr>
                  <pic:blipFill>
                    <a:blip r:embed="rId87"/>
                    <a:stretch>
                      <a:fillRect/>
                    </a:stretch>
                  </pic:blipFill>
                  <pic:spPr>
                    <a:xfrm>
                      <a:off x="0" y="0"/>
                      <a:ext cx="5610860" cy="7934960"/>
                    </a:xfrm>
                    <a:prstGeom prst="rect">
                      <a:avLst/>
                    </a:prstGeom>
                    <a:noFill/>
                    <a:ln>
                      <a:noFill/>
                    </a:ln>
                  </pic:spPr>
                </pic:pic>
              </a:graphicData>
            </a:graphic>
          </wp:inline>
        </w:drawing>
      </w:r>
      <w:r>
        <w:rPr>
          <w:rFonts w:hint="default"/>
          <w:lang w:val="en-US" w:eastAsia="zh-CN"/>
        </w:rPr>
        <w:drawing>
          <wp:inline distT="0" distB="0" distL="114300" distR="114300">
            <wp:extent cx="5610860" cy="7934960"/>
            <wp:effectExtent l="0" t="0" r="8890" b="8890"/>
            <wp:docPr id="82" name="图片 8" descr="202303041127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descr="202303041127_04"/>
                    <pic:cNvPicPr>
                      <a:picLocks noChangeAspect="1"/>
                    </pic:cNvPicPr>
                  </pic:nvPicPr>
                  <pic:blipFill>
                    <a:blip r:embed="rId88"/>
                    <a:stretch>
                      <a:fillRect/>
                    </a:stretch>
                  </pic:blipFill>
                  <pic:spPr>
                    <a:xfrm>
                      <a:off x="0" y="0"/>
                      <a:ext cx="5610860" cy="7934960"/>
                    </a:xfrm>
                    <a:prstGeom prst="rect">
                      <a:avLst/>
                    </a:prstGeom>
                    <a:noFill/>
                    <a:ln>
                      <a:noFill/>
                    </a:ln>
                  </pic:spPr>
                </pic:pic>
              </a:graphicData>
            </a:graphic>
          </wp:inline>
        </w:drawing>
      </w:r>
      <w:r>
        <w:rPr>
          <w:rFonts w:hint="default"/>
          <w:lang w:val="en-US" w:eastAsia="zh-CN"/>
        </w:rPr>
        <w:drawing>
          <wp:inline distT="0" distB="0" distL="114300" distR="114300">
            <wp:extent cx="5610860" cy="7934960"/>
            <wp:effectExtent l="0" t="0" r="8890" b="8890"/>
            <wp:docPr id="71" name="图片 9" descr="202303041127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descr="202303041127_05"/>
                    <pic:cNvPicPr>
                      <a:picLocks noChangeAspect="1"/>
                    </pic:cNvPicPr>
                  </pic:nvPicPr>
                  <pic:blipFill>
                    <a:blip r:embed="rId89"/>
                    <a:stretch>
                      <a:fillRect/>
                    </a:stretch>
                  </pic:blipFill>
                  <pic:spPr>
                    <a:xfrm>
                      <a:off x="0" y="0"/>
                      <a:ext cx="5610860" cy="7934960"/>
                    </a:xfrm>
                    <a:prstGeom prst="rect">
                      <a:avLst/>
                    </a:prstGeom>
                    <a:noFill/>
                    <a:ln>
                      <a:noFill/>
                    </a:ln>
                  </pic:spPr>
                </pic:pic>
              </a:graphicData>
            </a:graphic>
          </wp:inline>
        </w:drawing>
      </w:r>
      <w:r>
        <w:rPr>
          <w:rFonts w:hint="default"/>
          <w:lang w:val="en-US" w:eastAsia="zh-CN"/>
        </w:rPr>
        <w:drawing>
          <wp:inline distT="0" distB="0" distL="114300" distR="114300">
            <wp:extent cx="5610860" cy="7934960"/>
            <wp:effectExtent l="0" t="0" r="8890" b="8890"/>
            <wp:docPr id="72" name="图片 10" descr="202303041127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0" descr="202303041127_06"/>
                    <pic:cNvPicPr>
                      <a:picLocks noChangeAspect="1"/>
                    </pic:cNvPicPr>
                  </pic:nvPicPr>
                  <pic:blipFill>
                    <a:blip r:embed="rId90"/>
                    <a:stretch>
                      <a:fillRect/>
                    </a:stretch>
                  </pic:blipFill>
                  <pic:spPr>
                    <a:xfrm>
                      <a:off x="0" y="0"/>
                      <a:ext cx="5610860" cy="7934960"/>
                    </a:xfrm>
                    <a:prstGeom prst="rect">
                      <a:avLst/>
                    </a:prstGeom>
                    <a:noFill/>
                    <a:ln>
                      <a:noFill/>
                    </a:ln>
                  </pic:spPr>
                </pic:pic>
              </a:graphicData>
            </a:graphic>
          </wp:inline>
        </w:drawing>
      </w:r>
    </w:p>
    <w:p>
      <w:pPr>
        <w:pStyle w:val="2"/>
        <w:keepNext/>
        <w:keepLines/>
        <w:pageBreakBefore w:val="0"/>
        <w:widowControl w:val="0"/>
        <w:numPr>
          <w:ilvl w:val="0"/>
          <w:numId w:val="2"/>
        </w:numPr>
        <w:kinsoku/>
        <w:wordWrap/>
        <w:overflowPunct/>
        <w:topLinePunct w:val="0"/>
        <w:autoSpaceDE/>
        <w:autoSpaceDN/>
        <w:bidi w:val="0"/>
        <w:adjustRightInd/>
        <w:snapToGrid/>
        <w:spacing w:line="360" w:lineRule="auto"/>
        <w:ind w:left="425" w:leftChars="0" w:hanging="425" w:firstLineChars="0"/>
        <w:jc w:val="left"/>
        <w:textAlignment w:val="auto"/>
        <w:outlineLvl w:val="0"/>
        <w:rPr>
          <w:rFonts w:hint="eastAsia" w:ascii="Times New Roman" w:hAnsi="Times New Roman" w:eastAsia="宋体"/>
          <w:b/>
          <w:sz w:val="28"/>
          <w:szCs w:val="28"/>
          <w:lang w:val="en-US" w:eastAsia="zh-CN"/>
        </w:rPr>
      </w:pPr>
      <w:r>
        <w:rPr>
          <w:rFonts w:hint="eastAsia" w:ascii="Times New Roman" w:hAnsi="Times New Roman" w:eastAsia="宋体"/>
          <w:b/>
          <w:sz w:val="28"/>
          <w:szCs w:val="28"/>
          <w:lang w:val="en-US" w:eastAsia="zh-CN"/>
        </w:rPr>
        <w:t xml:space="preserve"> </w:t>
      </w:r>
      <w:bookmarkStart w:id="222" w:name="_Toc29525"/>
      <w:bookmarkStart w:id="223" w:name="_Toc19972"/>
      <w:r>
        <w:rPr>
          <w:rFonts w:hint="eastAsia" w:ascii="Times New Roman" w:hAnsi="Times New Roman" w:eastAsia="宋体"/>
          <w:b/>
          <w:sz w:val="28"/>
          <w:szCs w:val="28"/>
          <w:lang w:val="en-US" w:eastAsia="zh-CN"/>
        </w:rPr>
        <w:t>专家意见</w:t>
      </w:r>
      <w:bookmarkEnd w:id="219"/>
      <w:bookmarkEnd w:id="222"/>
      <w:bookmarkEnd w:id="223"/>
    </w:p>
    <w:p>
      <w:pPr>
        <w:pStyle w:val="24"/>
        <w:bidi w:val="0"/>
        <w:rPr>
          <w:rFonts w:hint="eastAsia"/>
          <w:lang w:val="en-US" w:eastAsia="zh-CN"/>
        </w:rPr>
      </w:pPr>
      <w:r>
        <w:rPr>
          <w:rFonts w:hint="eastAsia" w:eastAsiaTheme="minorEastAsia"/>
          <w:lang w:eastAsia="zh-CN"/>
        </w:rPr>
        <w:drawing>
          <wp:inline distT="0" distB="0" distL="114300" distR="114300">
            <wp:extent cx="5564505" cy="7745095"/>
            <wp:effectExtent l="0" t="0" r="17145" b="8255"/>
            <wp:docPr id="68" name="图片 68"/>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91"/>
                    <a:srcRect t="5746" r="-104" b="7836"/>
                  </pic:blipFill>
                  <pic:spPr>
                    <a:xfrm>
                      <a:off x="0" y="0"/>
                      <a:ext cx="5564505" cy="7745095"/>
                    </a:xfrm>
                    <a:prstGeom prst="rect">
                      <a:avLst/>
                    </a:prstGeom>
                  </pic:spPr>
                </pic:pic>
              </a:graphicData>
            </a:graphic>
          </wp:inline>
        </w:drawing>
      </w:r>
      <w:r>
        <w:rPr>
          <w:rFonts w:hint="eastAsia" w:eastAsiaTheme="minorEastAsia"/>
          <w:lang w:eastAsia="zh-CN"/>
        </w:rPr>
        <w:drawing>
          <wp:inline distT="0" distB="0" distL="114300" distR="114300">
            <wp:extent cx="5565775" cy="7880350"/>
            <wp:effectExtent l="0" t="0" r="15875" b="6350"/>
            <wp:docPr id="69" name="图片 69"/>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92"/>
                    <a:srcRect t="3796" r="-488" b="4380"/>
                  </pic:blipFill>
                  <pic:spPr>
                    <a:xfrm>
                      <a:off x="0" y="0"/>
                      <a:ext cx="5565775" cy="7880350"/>
                    </a:xfrm>
                    <a:prstGeom prst="rect">
                      <a:avLst/>
                    </a:prstGeom>
                  </pic:spPr>
                </pic:pic>
              </a:graphicData>
            </a:graphic>
          </wp:inline>
        </w:drawing>
      </w:r>
      <w:r>
        <w:rPr>
          <w:rFonts w:hint="eastAsia" w:eastAsiaTheme="minorEastAsia"/>
          <w:lang w:eastAsia="zh-CN"/>
        </w:rPr>
        <w:drawing>
          <wp:inline distT="0" distB="0" distL="114300" distR="114300">
            <wp:extent cx="5626735" cy="7258685"/>
            <wp:effectExtent l="0" t="0" r="12065" b="18415"/>
            <wp:docPr id="70" name="图片 70"/>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93"/>
                    <a:srcRect r="-25" b="24350"/>
                  </pic:blipFill>
                  <pic:spPr>
                    <a:xfrm>
                      <a:off x="0" y="0"/>
                      <a:ext cx="5626735" cy="7258685"/>
                    </a:xfrm>
                    <a:prstGeom prst="rect">
                      <a:avLst/>
                    </a:prstGeom>
                  </pic:spPr>
                </pic:pic>
              </a:graphicData>
            </a:graphic>
          </wp:inline>
        </w:drawing>
      </w:r>
    </w:p>
    <w:p>
      <w:pPr>
        <w:rPr>
          <w:rFonts w:ascii="宋体" w:hAnsi="宋体" w:eastAsia="黑体"/>
        </w:rPr>
      </w:pPr>
      <w:r>
        <w:rPr>
          <w:rFonts w:ascii="宋体" w:hAnsi="宋体" w:eastAsia="黑体"/>
        </w:rPr>
        <w:br w:type="page"/>
      </w:r>
    </w:p>
    <w:p>
      <w:pPr>
        <w:pStyle w:val="2"/>
        <w:keepNext/>
        <w:keepLines/>
        <w:pageBreakBefore w:val="0"/>
        <w:widowControl w:val="0"/>
        <w:numPr>
          <w:ilvl w:val="0"/>
          <w:numId w:val="2"/>
        </w:numPr>
        <w:kinsoku/>
        <w:wordWrap/>
        <w:overflowPunct/>
        <w:topLinePunct w:val="0"/>
        <w:autoSpaceDE/>
        <w:autoSpaceDN/>
        <w:bidi w:val="0"/>
        <w:adjustRightInd/>
        <w:snapToGrid/>
        <w:spacing w:line="360" w:lineRule="auto"/>
        <w:ind w:left="425" w:leftChars="0" w:hanging="425" w:firstLineChars="0"/>
        <w:jc w:val="left"/>
        <w:textAlignment w:val="auto"/>
        <w:outlineLvl w:val="0"/>
        <w:rPr>
          <w:rFonts w:hint="eastAsia" w:ascii="Times New Roman" w:hAnsi="Times New Roman" w:eastAsia="宋体"/>
          <w:b/>
          <w:sz w:val="28"/>
          <w:szCs w:val="28"/>
          <w:lang w:val="en-US" w:eastAsia="zh-CN"/>
        </w:rPr>
      </w:pPr>
      <w:bookmarkStart w:id="224" w:name="_Toc18188"/>
      <w:r>
        <w:rPr>
          <w:rFonts w:hint="eastAsia"/>
          <w:b/>
          <w:sz w:val="28"/>
          <w:szCs w:val="28"/>
          <w:lang w:val="en-US" w:eastAsia="zh-CN"/>
        </w:rPr>
        <w:t xml:space="preserve"> </w:t>
      </w:r>
      <w:bookmarkStart w:id="225" w:name="_Toc17398"/>
      <w:bookmarkStart w:id="226" w:name="_Toc8842"/>
      <w:r>
        <w:rPr>
          <w:rFonts w:hint="eastAsia" w:ascii="Times New Roman" w:hAnsi="Times New Roman" w:eastAsia="宋体"/>
          <w:b/>
          <w:sz w:val="28"/>
          <w:szCs w:val="28"/>
          <w:lang w:val="en-US" w:eastAsia="zh-CN"/>
        </w:rPr>
        <w:t>专家签到表</w:t>
      </w:r>
      <w:bookmarkEnd w:id="224"/>
      <w:bookmarkEnd w:id="225"/>
      <w:bookmarkEnd w:id="226"/>
    </w:p>
    <w:p>
      <w:pPr>
        <w:pStyle w:val="24"/>
        <w:bidi w:val="0"/>
        <w:rPr>
          <w:rFonts w:hint="eastAsia"/>
        </w:rPr>
      </w:pPr>
      <w:r>
        <w:rPr>
          <w:rFonts w:hint="eastAsia" w:eastAsiaTheme="minorEastAsia"/>
          <w:lang w:eastAsia="zh-CN"/>
        </w:rPr>
        <w:drawing>
          <wp:inline distT="0" distB="0" distL="114300" distR="114300">
            <wp:extent cx="5480050" cy="7672705"/>
            <wp:effectExtent l="0" t="0" r="0" b="0"/>
            <wp:docPr id="67" name="图片 67"/>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94"/>
                    <a:srcRect t="4191" r="-85" b="5858"/>
                  </pic:blipFill>
                  <pic:spPr>
                    <a:xfrm>
                      <a:off x="0" y="0"/>
                      <a:ext cx="5480050" cy="7672705"/>
                    </a:xfrm>
                    <a:prstGeom prst="rect">
                      <a:avLst/>
                    </a:prstGeom>
                  </pic:spPr>
                </pic:pic>
              </a:graphicData>
            </a:graphic>
          </wp:inline>
        </w:drawing>
      </w:r>
    </w:p>
    <w:sectPr>
      <w:footerReference r:id="rId12"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1</w:t>
                          </w:r>
                          <w:r>
                            <w:fldChar w:fldCharType="end"/>
                          </w:r>
                        </w:p>
                      </w:txbxContent>
                    </wps:txbx>
                    <wps:bodyPr vert="horz" wrap="none" lIns="0" tIns="0" rIns="0" bIns="0" anchor="t" anchorCtr="0">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IQ7Oc/aAQAAtQMAAA4AAAAAAAAAAQAg&#10;AAAAHgEAAGRycy9lMm9Eb2MueG1sUEsFBgAAAAAGAAYAWQEAAGoFA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10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2</w:t>
                          </w:r>
                          <w:r>
                            <w:fldChar w:fldCharType="end"/>
                          </w:r>
                        </w:p>
                      </w:txbxContent>
                    </wps:txbx>
                    <wps:bodyPr vert="horz" wrap="none" lIns="0" tIns="0" rIns="0" bIns="0" anchor="t" anchorCtr="0">
                      <a:spAutoFit/>
                    </wps:bodyPr>
                  </wps:wsp>
                </a:graphicData>
              </a:graphic>
            </wp:anchor>
          </w:drawing>
        </mc:Choice>
        <mc:Fallback>
          <w:pict>
            <v:shape id="文本框 1033"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Bjusz/aAQAAtQMAAA4AAAAAAAAAAQAg&#10;AAAAHgEAAGRycy9lMm9Eb2MueG1sUEsFBgAAAAAGAAYAWQEAAGoFA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10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7</w:t>
                          </w:r>
                          <w:r>
                            <w:fldChar w:fldCharType="end"/>
                          </w:r>
                        </w:p>
                      </w:txbxContent>
                    </wps:txbx>
                    <wps:bodyPr vert="horz" wrap="none" lIns="0" tIns="0" rIns="0" bIns="0" anchor="t" anchorCtr="0">
                      <a:spAutoFit/>
                    </wps:bodyPr>
                  </wps:wsp>
                </a:graphicData>
              </a:graphic>
            </wp:anchor>
          </w:drawing>
        </mc:Choice>
        <mc:Fallback>
          <w:pict>
            <v:shape id="文本框 1034"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PFMyjbaAQAAtQMAAA4AAAAAAAAAAQAg&#10;AAAAHgEAAGRycy9lMm9Eb2MueG1sUEsFBgAAAAAGAAYAWQEAAGoFA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8</w:t>
                          </w:r>
                          <w:r>
                            <w:fldChar w:fldCharType="end"/>
                          </w:r>
                        </w:p>
                      </w:txbxContent>
                    </wps:txbx>
                    <wps:bodyPr vert="horz" wrap="none" lIns="0" tIns="0" rIns="0" bIns="0" anchor="t" anchorCtr="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zql5uc8AAAAFAQAADwAAAAAAAAABACAAAAAi&#10;AAAAZHJzL2Rvd25yZXYueG1sUEsBAhQAFAAAAAgAh07iQG2ZQMbaAQAAtQMAAA4AAAAAAAAAAQAg&#10;AAAAHgEAAGRycy9lMm9Eb2MueG1sUEsFBgAAAAAGAAYAWQEAAGoFA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8</w:t>
                          </w:r>
                          <w:r>
                            <w:fldChar w:fldCharType="end"/>
                          </w:r>
                        </w:p>
                      </w:txbxContent>
                    </wps:txbx>
                    <wps:bodyPr vert="horz" wrap="none" lIns="0" tIns="0" rIns="0" bIns="0" anchor="t" anchorCtr="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CSU8D62wEAALYDAAAOAAAAAAAAAAEA&#10;IAAAAB4BAABkcnMvZTJvRG9jLnhtbFBLBQYAAAAABgAGAFkBAABrBQ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ind w:firstLine="360"/>
                          </w:pPr>
                          <w:r>
                            <w:fldChar w:fldCharType="begin"/>
                          </w:r>
                          <w:r>
                            <w:instrText xml:space="preserve"> PAGE  \* MERGEFORMAT </w:instrText>
                          </w:r>
                          <w:r>
                            <w:fldChar w:fldCharType="separate"/>
                          </w:r>
                          <w:r>
                            <w:t>8</w:t>
                          </w:r>
                          <w:r>
                            <w:fldChar w:fldCharType="end"/>
                          </w:r>
                        </w:p>
                      </w:txbxContent>
                    </wps:txbx>
                    <wps:bodyPr vert="horz" wrap="none" lIns="0" tIns="0" rIns="0" bIns="0" anchor="t" anchorCtr="0">
                      <a:spAutoFit/>
                    </wps:bodyPr>
                  </wps:wsp>
                </a:graphicData>
              </a:graphic>
            </wp:anchor>
          </w:drawing>
        </mc:Choice>
        <mc:Fallback>
          <w:pict>
            <v:shape id="文本框 1035"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M6pebnPAAAABQEAAA8AAAAAAAAAAQAgAAAA&#10;IgAAAGRycy9kb3ducmV2LnhtbFBLAQIUABQAAAAIAIdO4kCeMxBN2wEAALYDAAAOAAAAAAAAAAEA&#10;IAAAAB4BAABkcnMvZTJvRG9jLnhtbFBLBQYAAAAABgAGAFkBAABrBQAAAAA=&#10;">
              <v:fill on="f" focussize="0,0"/>
              <v:stroke on="f"/>
              <v:imagedata o:title=""/>
              <o:lock v:ext="edit" aspectratio="f"/>
              <v:textbox inset="0mm,0mm,0mm,0mm" style="mso-fit-shape-to-text:t;">
                <w:txbxContent>
                  <w:p>
                    <w:pPr>
                      <w:pStyle w:val="11"/>
                      <w:ind w:firstLine="360"/>
                    </w:pPr>
                    <w:r>
                      <w:fldChar w:fldCharType="begin"/>
                    </w:r>
                    <w:r>
                      <w:instrText xml:space="preserve"> PAGE  \* MERGEFORMAT </w:instrText>
                    </w:r>
                    <w:r>
                      <w:fldChar w:fldCharType="separate"/>
                    </w:r>
                    <w:r>
                      <w:t>8</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F1E48E"/>
    <w:multiLevelType w:val="singleLevel"/>
    <w:tmpl w:val="AFF1E48E"/>
    <w:lvl w:ilvl="0" w:tentative="0">
      <w:start w:val="1"/>
      <w:numFmt w:val="decimal"/>
      <w:lvlText w:val="附件%1"/>
      <w:lvlJc w:val="left"/>
      <w:pPr>
        <w:tabs>
          <w:tab w:val="left" w:pos="420"/>
        </w:tabs>
        <w:ind w:left="425" w:hanging="425"/>
      </w:pPr>
      <w:rPr>
        <w:rFonts w:hint="default"/>
      </w:rPr>
    </w:lvl>
  </w:abstractNum>
  <w:abstractNum w:abstractNumId="1">
    <w:nsid w:val="C5BA778E"/>
    <w:multiLevelType w:val="singleLevel"/>
    <w:tmpl w:val="C5BA778E"/>
    <w:lvl w:ilvl="0" w:tentative="0">
      <w:start w:val="1"/>
      <w:numFmt w:val="decimal"/>
      <w:lvlText w:val="附图%1"/>
      <w:lvlJc w:val="left"/>
      <w:pPr>
        <w:tabs>
          <w:tab w:val="left" w:pos="420"/>
        </w:tabs>
        <w:ind w:left="425" w:hanging="425"/>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JjNmQxYjM4ZTM0ZjAwY2E5MzIxZDk1YTRhNGQ1OTQifQ=="/>
    <w:docVar w:name="KSO_WPS_MARK_KEY" w:val="67e89475-cee2-4919-bf59-0fcc6cdf465f"/>
  </w:docVars>
  <w:rsids>
    <w:rsidRoot w:val="00A14947"/>
    <w:rsid w:val="000060B3"/>
    <w:rsid w:val="0004364B"/>
    <w:rsid w:val="00061B1F"/>
    <w:rsid w:val="0006245A"/>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193"/>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478C4"/>
    <w:rsid w:val="002506BC"/>
    <w:rsid w:val="00254345"/>
    <w:rsid w:val="00264557"/>
    <w:rsid w:val="002805AB"/>
    <w:rsid w:val="00284204"/>
    <w:rsid w:val="0028494C"/>
    <w:rsid w:val="00291773"/>
    <w:rsid w:val="002A168C"/>
    <w:rsid w:val="002A3DC7"/>
    <w:rsid w:val="002B49E2"/>
    <w:rsid w:val="002B7B00"/>
    <w:rsid w:val="002B7C44"/>
    <w:rsid w:val="002C2B17"/>
    <w:rsid w:val="002C7511"/>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756CA"/>
    <w:rsid w:val="00381A72"/>
    <w:rsid w:val="00384676"/>
    <w:rsid w:val="00390857"/>
    <w:rsid w:val="003A4BF3"/>
    <w:rsid w:val="003B420D"/>
    <w:rsid w:val="003C6C16"/>
    <w:rsid w:val="003C6F75"/>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E7DA7"/>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5D4391"/>
    <w:rsid w:val="005F65CD"/>
    <w:rsid w:val="00617CC3"/>
    <w:rsid w:val="006377A6"/>
    <w:rsid w:val="00637A3D"/>
    <w:rsid w:val="006411EF"/>
    <w:rsid w:val="00670B65"/>
    <w:rsid w:val="006748B8"/>
    <w:rsid w:val="006775C3"/>
    <w:rsid w:val="00685C80"/>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04DE"/>
    <w:rsid w:val="007618C4"/>
    <w:rsid w:val="00767980"/>
    <w:rsid w:val="00770B19"/>
    <w:rsid w:val="0077463F"/>
    <w:rsid w:val="007836EA"/>
    <w:rsid w:val="00784CDA"/>
    <w:rsid w:val="007906C4"/>
    <w:rsid w:val="00793B1B"/>
    <w:rsid w:val="007940EA"/>
    <w:rsid w:val="007967E8"/>
    <w:rsid w:val="007A2170"/>
    <w:rsid w:val="007A22BF"/>
    <w:rsid w:val="007A3323"/>
    <w:rsid w:val="007A50A4"/>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953F8"/>
    <w:rsid w:val="008A2F68"/>
    <w:rsid w:val="008B4FA6"/>
    <w:rsid w:val="008B5282"/>
    <w:rsid w:val="008B7C17"/>
    <w:rsid w:val="008C2D01"/>
    <w:rsid w:val="008C40E6"/>
    <w:rsid w:val="008C53FD"/>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E4E5E"/>
    <w:rsid w:val="00AF0CBF"/>
    <w:rsid w:val="00AF257F"/>
    <w:rsid w:val="00AF33CF"/>
    <w:rsid w:val="00AF4D50"/>
    <w:rsid w:val="00AF6179"/>
    <w:rsid w:val="00B06E28"/>
    <w:rsid w:val="00B1295A"/>
    <w:rsid w:val="00B20A45"/>
    <w:rsid w:val="00B22C5C"/>
    <w:rsid w:val="00B24F30"/>
    <w:rsid w:val="00B31ABF"/>
    <w:rsid w:val="00B33BE3"/>
    <w:rsid w:val="00B53B5D"/>
    <w:rsid w:val="00B6055E"/>
    <w:rsid w:val="00B6317D"/>
    <w:rsid w:val="00B70DF5"/>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5A10"/>
    <w:rsid w:val="00CC0261"/>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D3B25"/>
    <w:rsid w:val="00DF2E12"/>
    <w:rsid w:val="00DF514A"/>
    <w:rsid w:val="00DF6690"/>
    <w:rsid w:val="00DF6804"/>
    <w:rsid w:val="00E00929"/>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22F9D"/>
    <w:rsid w:val="00F3383E"/>
    <w:rsid w:val="00F465A7"/>
    <w:rsid w:val="00F50B7C"/>
    <w:rsid w:val="00F52A8D"/>
    <w:rsid w:val="00F550E6"/>
    <w:rsid w:val="00F74345"/>
    <w:rsid w:val="00F80A0A"/>
    <w:rsid w:val="00F82B19"/>
    <w:rsid w:val="00F9212D"/>
    <w:rsid w:val="00F965DA"/>
    <w:rsid w:val="00FA406A"/>
    <w:rsid w:val="00FB503A"/>
    <w:rsid w:val="00FB516C"/>
    <w:rsid w:val="00FD0236"/>
    <w:rsid w:val="00FD18F4"/>
    <w:rsid w:val="00FD54DB"/>
    <w:rsid w:val="00FD619F"/>
    <w:rsid w:val="011C626C"/>
    <w:rsid w:val="01290F7E"/>
    <w:rsid w:val="015D1E09"/>
    <w:rsid w:val="016043AA"/>
    <w:rsid w:val="01611872"/>
    <w:rsid w:val="017E0CD4"/>
    <w:rsid w:val="01FE6796"/>
    <w:rsid w:val="021574DB"/>
    <w:rsid w:val="021A27AB"/>
    <w:rsid w:val="0222008D"/>
    <w:rsid w:val="02274EC8"/>
    <w:rsid w:val="023D46EC"/>
    <w:rsid w:val="02581525"/>
    <w:rsid w:val="025F5C5A"/>
    <w:rsid w:val="02697903"/>
    <w:rsid w:val="02876A75"/>
    <w:rsid w:val="02F474A0"/>
    <w:rsid w:val="02F56D74"/>
    <w:rsid w:val="02F70D3E"/>
    <w:rsid w:val="02F96569"/>
    <w:rsid w:val="031B2B5F"/>
    <w:rsid w:val="032064E7"/>
    <w:rsid w:val="03401E0E"/>
    <w:rsid w:val="03411FB9"/>
    <w:rsid w:val="034D6BB0"/>
    <w:rsid w:val="035D7DED"/>
    <w:rsid w:val="03A64BE8"/>
    <w:rsid w:val="03AC38D7"/>
    <w:rsid w:val="03D251BA"/>
    <w:rsid w:val="03D8339D"/>
    <w:rsid w:val="03EA7B21"/>
    <w:rsid w:val="03ED0F4A"/>
    <w:rsid w:val="03FC4697"/>
    <w:rsid w:val="03FD567C"/>
    <w:rsid w:val="040D00EE"/>
    <w:rsid w:val="041B6CAE"/>
    <w:rsid w:val="04265A40"/>
    <w:rsid w:val="0431202E"/>
    <w:rsid w:val="044B1342"/>
    <w:rsid w:val="049454EE"/>
    <w:rsid w:val="04E459B3"/>
    <w:rsid w:val="051536FE"/>
    <w:rsid w:val="0521388A"/>
    <w:rsid w:val="05461B09"/>
    <w:rsid w:val="05467D5B"/>
    <w:rsid w:val="05605FBA"/>
    <w:rsid w:val="056F5D81"/>
    <w:rsid w:val="05A131E3"/>
    <w:rsid w:val="05A5035D"/>
    <w:rsid w:val="05D9297D"/>
    <w:rsid w:val="05F6352F"/>
    <w:rsid w:val="05F83EAE"/>
    <w:rsid w:val="06131103"/>
    <w:rsid w:val="061816F7"/>
    <w:rsid w:val="06352B2D"/>
    <w:rsid w:val="06361B7E"/>
    <w:rsid w:val="063E7D85"/>
    <w:rsid w:val="0654535D"/>
    <w:rsid w:val="065B7836"/>
    <w:rsid w:val="066F6E3E"/>
    <w:rsid w:val="06B62CBE"/>
    <w:rsid w:val="06BF1B73"/>
    <w:rsid w:val="06C76C7A"/>
    <w:rsid w:val="06D03D80"/>
    <w:rsid w:val="06EB2968"/>
    <w:rsid w:val="07017BB4"/>
    <w:rsid w:val="070752C8"/>
    <w:rsid w:val="071874D5"/>
    <w:rsid w:val="072916E2"/>
    <w:rsid w:val="07293586"/>
    <w:rsid w:val="07295285"/>
    <w:rsid w:val="0753539D"/>
    <w:rsid w:val="075B159E"/>
    <w:rsid w:val="07636392"/>
    <w:rsid w:val="076E3F95"/>
    <w:rsid w:val="07770C56"/>
    <w:rsid w:val="0787745F"/>
    <w:rsid w:val="0789445F"/>
    <w:rsid w:val="07A9649B"/>
    <w:rsid w:val="07AB20F7"/>
    <w:rsid w:val="07C03DF5"/>
    <w:rsid w:val="07C93B68"/>
    <w:rsid w:val="07CD66E4"/>
    <w:rsid w:val="08275C22"/>
    <w:rsid w:val="08381BDD"/>
    <w:rsid w:val="084C778E"/>
    <w:rsid w:val="08564759"/>
    <w:rsid w:val="08A52FEB"/>
    <w:rsid w:val="08B33959"/>
    <w:rsid w:val="08EB05C3"/>
    <w:rsid w:val="092217DD"/>
    <w:rsid w:val="092E4D8E"/>
    <w:rsid w:val="093A7294"/>
    <w:rsid w:val="094742D9"/>
    <w:rsid w:val="09475E50"/>
    <w:rsid w:val="095525BE"/>
    <w:rsid w:val="097F13F3"/>
    <w:rsid w:val="09886B94"/>
    <w:rsid w:val="099A0675"/>
    <w:rsid w:val="09A17C56"/>
    <w:rsid w:val="09DE0562"/>
    <w:rsid w:val="0A263993"/>
    <w:rsid w:val="0A2C39C3"/>
    <w:rsid w:val="0A2D3AC2"/>
    <w:rsid w:val="0A334D52"/>
    <w:rsid w:val="0A784871"/>
    <w:rsid w:val="0A7A49BE"/>
    <w:rsid w:val="0A8D3D36"/>
    <w:rsid w:val="0AA755DF"/>
    <w:rsid w:val="0AB13EC9"/>
    <w:rsid w:val="0AFD4F98"/>
    <w:rsid w:val="0B016BFE"/>
    <w:rsid w:val="0B120D44"/>
    <w:rsid w:val="0B1F3EA8"/>
    <w:rsid w:val="0B331380"/>
    <w:rsid w:val="0B50723E"/>
    <w:rsid w:val="0B5605CC"/>
    <w:rsid w:val="0B664CB3"/>
    <w:rsid w:val="0B7808E4"/>
    <w:rsid w:val="0B8D58E3"/>
    <w:rsid w:val="0B9E444D"/>
    <w:rsid w:val="0BAC23B2"/>
    <w:rsid w:val="0BBE064B"/>
    <w:rsid w:val="0BC07254"/>
    <w:rsid w:val="0BC8157F"/>
    <w:rsid w:val="0BD245A8"/>
    <w:rsid w:val="0BD27BF6"/>
    <w:rsid w:val="0BE9648C"/>
    <w:rsid w:val="0C05627A"/>
    <w:rsid w:val="0C0B7609"/>
    <w:rsid w:val="0C0E5E00"/>
    <w:rsid w:val="0C250633"/>
    <w:rsid w:val="0C3B3C7D"/>
    <w:rsid w:val="0C3B7EEE"/>
    <w:rsid w:val="0C470BA5"/>
    <w:rsid w:val="0C474AE5"/>
    <w:rsid w:val="0C4A44D1"/>
    <w:rsid w:val="0C60081E"/>
    <w:rsid w:val="0C6E16F8"/>
    <w:rsid w:val="0C880C59"/>
    <w:rsid w:val="0C882A07"/>
    <w:rsid w:val="0C990996"/>
    <w:rsid w:val="0CA84E57"/>
    <w:rsid w:val="0CA912FB"/>
    <w:rsid w:val="0CAB2EAE"/>
    <w:rsid w:val="0CAE167D"/>
    <w:rsid w:val="0CB67574"/>
    <w:rsid w:val="0CE2480D"/>
    <w:rsid w:val="0CF269D9"/>
    <w:rsid w:val="0CF4009D"/>
    <w:rsid w:val="0D004C93"/>
    <w:rsid w:val="0D1027D8"/>
    <w:rsid w:val="0D351DEA"/>
    <w:rsid w:val="0D3F6225"/>
    <w:rsid w:val="0D4A5D4B"/>
    <w:rsid w:val="0D4C1C87"/>
    <w:rsid w:val="0D4E36CE"/>
    <w:rsid w:val="0D501777"/>
    <w:rsid w:val="0D52236C"/>
    <w:rsid w:val="0D5E7ADF"/>
    <w:rsid w:val="0D621C7D"/>
    <w:rsid w:val="0D6E66DF"/>
    <w:rsid w:val="0D7D4F91"/>
    <w:rsid w:val="0D7E7617"/>
    <w:rsid w:val="0D814901"/>
    <w:rsid w:val="0D86593E"/>
    <w:rsid w:val="0D8E62BD"/>
    <w:rsid w:val="0DAD47DF"/>
    <w:rsid w:val="0DD26630"/>
    <w:rsid w:val="0DE134E6"/>
    <w:rsid w:val="0DF04D08"/>
    <w:rsid w:val="0DFF4F4B"/>
    <w:rsid w:val="0E2A1FC8"/>
    <w:rsid w:val="0E470192"/>
    <w:rsid w:val="0E5A157F"/>
    <w:rsid w:val="0E697FB4"/>
    <w:rsid w:val="0E6B6260"/>
    <w:rsid w:val="0E73034D"/>
    <w:rsid w:val="0E8F4521"/>
    <w:rsid w:val="0EB70D5C"/>
    <w:rsid w:val="0EBB0DD1"/>
    <w:rsid w:val="0EBF0202"/>
    <w:rsid w:val="0ECE5049"/>
    <w:rsid w:val="0F032819"/>
    <w:rsid w:val="0F09799E"/>
    <w:rsid w:val="0F0F11BE"/>
    <w:rsid w:val="0F13775A"/>
    <w:rsid w:val="0F56503F"/>
    <w:rsid w:val="0F566DED"/>
    <w:rsid w:val="0F5F45FE"/>
    <w:rsid w:val="0F9A112B"/>
    <w:rsid w:val="0FC24482"/>
    <w:rsid w:val="0FFE370C"/>
    <w:rsid w:val="100625C1"/>
    <w:rsid w:val="103A67B1"/>
    <w:rsid w:val="10433815"/>
    <w:rsid w:val="104479AE"/>
    <w:rsid w:val="104B17E4"/>
    <w:rsid w:val="10543532"/>
    <w:rsid w:val="106D2F64"/>
    <w:rsid w:val="10800EB1"/>
    <w:rsid w:val="108E436C"/>
    <w:rsid w:val="10922EDC"/>
    <w:rsid w:val="10B63710"/>
    <w:rsid w:val="10F10820"/>
    <w:rsid w:val="111C2F7A"/>
    <w:rsid w:val="11215CDB"/>
    <w:rsid w:val="113E3FDC"/>
    <w:rsid w:val="11665CA1"/>
    <w:rsid w:val="11AC5C0D"/>
    <w:rsid w:val="11C444E1"/>
    <w:rsid w:val="11CB3AC2"/>
    <w:rsid w:val="11FE3E97"/>
    <w:rsid w:val="11FF376C"/>
    <w:rsid w:val="12225881"/>
    <w:rsid w:val="124A6835"/>
    <w:rsid w:val="12575356"/>
    <w:rsid w:val="12846B83"/>
    <w:rsid w:val="128B14A3"/>
    <w:rsid w:val="12A470E3"/>
    <w:rsid w:val="12B7114A"/>
    <w:rsid w:val="12B75DF4"/>
    <w:rsid w:val="12DE1434"/>
    <w:rsid w:val="130A061A"/>
    <w:rsid w:val="130C25E4"/>
    <w:rsid w:val="13201BEB"/>
    <w:rsid w:val="1351449B"/>
    <w:rsid w:val="135F095F"/>
    <w:rsid w:val="136A785E"/>
    <w:rsid w:val="138739B1"/>
    <w:rsid w:val="13951726"/>
    <w:rsid w:val="13C06F2A"/>
    <w:rsid w:val="13F40D6F"/>
    <w:rsid w:val="14016D22"/>
    <w:rsid w:val="14076907"/>
    <w:rsid w:val="140E5EE8"/>
    <w:rsid w:val="14164D9C"/>
    <w:rsid w:val="1419582F"/>
    <w:rsid w:val="14213D6B"/>
    <w:rsid w:val="14386437"/>
    <w:rsid w:val="14396509"/>
    <w:rsid w:val="1441006B"/>
    <w:rsid w:val="14427A8C"/>
    <w:rsid w:val="144731A8"/>
    <w:rsid w:val="144E2788"/>
    <w:rsid w:val="14757D15"/>
    <w:rsid w:val="148461AA"/>
    <w:rsid w:val="149E54BE"/>
    <w:rsid w:val="14C33176"/>
    <w:rsid w:val="14D347FC"/>
    <w:rsid w:val="14DA2F23"/>
    <w:rsid w:val="14DD2C3C"/>
    <w:rsid w:val="15170DCC"/>
    <w:rsid w:val="153C6A85"/>
    <w:rsid w:val="15487953"/>
    <w:rsid w:val="155874B2"/>
    <w:rsid w:val="156F49B3"/>
    <w:rsid w:val="156F6E5A"/>
    <w:rsid w:val="15891CCA"/>
    <w:rsid w:val="15B90A00"/>
    <w:rsid w:val="15E13B8B"/>
    <w:rsid w:val="15F555B1"/>
    <w:rsid w:val="15F85783"/>
    <w:rsid w:val="15FA4976"/>
    <w:rsid w:val="16087E1D"/>
    <w:rsid w:val="16363FFB"/>
    <w:rsid w:val="163D1B04"/>
    <w:rsid w:val="16486A55"/>
    <w:rsid w:val="165330A4"/>
    <w:rsid w:val="166242C9"/>
    <w:rsid w:val="16897AA8"/>
    <w:rsid w:val="169C77DB"/>
    <w:rsid w:val="16EA5D37"/>
    <w:rsid w:val="16FA0E09"/>
    <w:rsid w:val="17011D34"/>
    <w:rsid w:val="17237EDC"/>
    <w:rsid w:val="17263548"/>
    <w:rsid w:val="17375756"/>
    <w:rsid w:val="17471E3D"/>
    <w:rsid w:val="17593F98"/>
    <w:rsid w:val="17701D14"/>
    <w:rsid w:val="17735226"/>
    <w:rsid w:val="177B3DB7"/>
    <w:rsid w:val="17A56B63"/>
    <w:rsid w:val="17C074F9"/>
    <w:rsid w:val="17D64ACB"/>
    <w:rsid w:val="17E01949"/>
    <w:rsid w:val="17EB1275"/>
    <w:rsid w:val="17F56675"/>
    <w:rsid w:val="17FD074D"/>
    <w:rsid w:val="182B72B5"/>
    <w:rsid w:val="183D4783"/>
    <w:rsid w:val="183D6D9C"/>
    <w:rsid w:val="185C77E5"/>
    <w:rsid w:val="189F624C"/>
    <w:rsid w:val="18AE7C99"/>
    <w:rsid w:val="18BE612E"/>
    <w:rsid w:val="18CE3E98"/>
    <w:rsid w:val="18D80E1E"/>
    <w:rsid w:val="18DA2D71"/>
    <w:rsid w:val="190C374D"/>
    <w:rsid w:val="19297320"/>
    <w:rsid w:val="19950E87"/>
    <w:rsid w:val="1997072D"/>
    <w:rsid w:val="19B44DF8"/>
    <w:rsid w:val="19EC2827"/>
    <w:rsid w:val="1A0D1510"/>
    <w:rsid w:val="1A1C66C0"/>
    <w:rsid w:val="1A27385F"/>
    <w:rsid w:val="1A282932"/>
    <w:rsid w:val="1A42393B"/>
    <w:rsid w:val="1A442663"/>
    <w:rsid w:val="1A712941"/>
    <w:rsid w:val="1A734CF7"/>
    <w:rsid w:val="1A927ABA"/>
    <w:rsid w:val="1AAD45DE"/>
    <w:rsid w:val="1AB75856"/>
    <w:rsid w:val="1AEB04FD"/>
    <w:rsid w:val="1AFF47DC"/>
    <w:rsid w:val="1B046F80"/>
    <w:rsid w:val="1B094053"/>
    <w:rsid w:val="1B3267B5"/>
    <w:rsid w:val="1B40161D"/>
    <w:rsid w:val="1B441859"/>
    <w:rsid w:val="1B5A1A13"/>
    <w:rsid w:val="1B5C39DD"/>
    <w:rsid w:val="1B6606B1"/>
    <w:rsid w:val="1B7E7DF7"/>
    <w:rsid w:val="1B80591D"/>
    <w:rsid w:val="1B830F69"/>
    <w:rsid w:val="1B9D23D8"/>
    <w:rsid w:val="1BA772C5"/>
    <w:rsid w:val="1BC40A88"/>
    <w:rsid w:val="1BF70B23"/>
    <w:rsid w:val="1C071B9A"/>
    <w:rsid w:val="1C5E7925"/>
    <w:rsid w:val="1C65480C"/>
    <w:rsid w:val="1C674EC9"/>
    <w:rsid w:val="1C744EE3"/>
    <w:rsid w:val="1C8E7BC6"/>
    <w:rsid w:val="1CD203FA"/>
    <w:rsid w:val="1CE53B13"/>
    <w:rsid w:val="1CF02D64"/>
    <w:rsid w:val="1CFD070F"/>
    <w:rsid w:val="1D52056E"/>
    <w:rsid w:val="1D525097"/>
    <w:rsid w:val="1D560659"/>
    <w:rsid w:val="1D5F6196"/>
    <w:rsid w:val="1D6132A5"/>
    <w:rsid w:val="1D671C2F"/>
    <w:rsid w:val="1D6D4665"/>
    <w:rsid w:val="1D72263D"/>
    <w:rsid w:val="1D8317BC"/>
    <w:rsid w:val="1D8B67FB"/>
    <w:rsid w:val="1D8E56D5"/>
    <w:rsid w:val="1D970CFC"/>
    <w:rsid w:val="1D9C3384"/>
    <w:rsid w:val="1D9E15BC"/>
    <w:rsid w:val="1D9F5E03"/>
    <w:rsid w:val="1DA02E9B"/>
    <w:rsid w:val="1DC15D79"/>
    <w:rsid w:val="1DC26554"/>
    <w:rsid w:val="1DE660C7"/>
    <w:rsid w:val="1DEF4C81"/>
    <w:rsid w:val="1E0839A8"/>
    <w:rsid w:val="1E2D1AE2"/>
    <w:rsid w:val="1E511310"/>
    <w:rsid w:val="1E7502C0"/>
    <w:rsid w:val="1E7A43DA"/>
    <w:rsid w:val="1ECD25BB"/>
    <w:rsid w:val="1EE078C3"/>
    <w:rsid w:val="1EE12B77"/>
    <w:rsid w:val="1EFA2F0E"/>
    <w:rsid w:val="1F0F207A"/>
    <w:rsid w:val="1F2C1918"/>
    <w:rsid w:val="1F470500"/>
    <w:rsid w:val="1F60701A"/>
    <w:rsid w:val="1F680BA2"/>
    <w:rsid w:val="1F6D2073"/>
    <w:rsid w:val="1F6D440A"/>
    <w:rsid w:val="1F9F4EB9"/>
    <w:rsid w:val="1FAD2A59"/>
    <w:rsid w:val="1FAD438C"/>
    <w:rsid w:val="1FC55FF4"/>
    <w:rsid w:val="1FE7539E"/>
    <w:rsid w:val="1FF95C9E"/>
    <w:rsid w:val="1FFB3609"/>
    <w:rsid w:val="20234AC9"/>
    <w:rsid w:val="202C0064"/>
    <w:rsid w:val="20643E96"/>
    <w:rsid w:val="20671BE0"/>
    <w:rsid w:val="20963CB8"/>
    <w:rsid w:val="20A81A1B"/>
    <w:rsid w:val="20A83220"/>
    <w:rsid w:val="20B07FB6"/>
    <w:rsid w:val="20B646FB"/>
    <w:rsid w:val="20D3029D"/>
    <w:rsid w:val="20D919B5"/>
    <w:rsid w:val="20DD2ECA"/>
    <w:rsid w:val="20DE38A4"/>
    <w:rsid w:val="20DE42C3"/>
    <w:rsid w:val="20E16435"/>
    <w:rsid w:val="20EF0E4F"/>
    <w:rsid w:val="20FA1CCE"/>
    <w:rsid w:val="21025026"/>
    <w:rsid w:val="211D59BC"/>
    <w:rsid w:val="21262AC3"/>
    <w:rsid w:val="213B74B1"/>
    <w:rsid w:val="21472A39"/>
    <w:rsid w:val="214A3CC8"/>
    <w:rsid w:val="215A09BE"/>
    <w:rsid w:val="215A2310"/>
    <w:rsid w:val="219A700D"/>
    <w:rsid w:val="21B81C91"/>
    <w:rsid w:val="21BE5453"/>
    <w:rsid w:val="21C475AB"/>
    <w:rsid w:val="21D504DB"/>
    <w:rsid w:val="21DE318A"/>
    <w:rsid w:val="21ED538F"/>
    <w:rsid w:val="21EF0569"/>
    <w:rsid w:val="21EF5B80"/>
    <w:rsid w:val="22143D48"/>
    <w:rsid w:val="223C27C4"/>
    <w:rsid w:val="224A05B8"/>
    <w:rsid w:val="22576990"/>
    <w:rsid w:val="225916E1"/>
    <w:rsid w:val="2263417D"/>
    <w:rsid w:val="22714212"/>
    <w:rsid w:val="22731B81"/>
    <w:rsid w:val="228E36DF"/>
    <w:rsid w:val="229171F3"/>
    <w:rsid w:val="2298179E"/>
    <w:rsid w:val="22AD24F0"/>
    <w:rsid w:val="22C45A5A"/>
    <w:rsid w:val="22C81958"/>
    <w:rsid w:val="22CB7D75"/>
    <w:rsid w:val="22F47480"/>
    <w:rsid w:val="230B6414"/>
    <w:rsid w:val="232840B7"/>
    <w:rsid w:val="235D02F2"/>
    <w:rsid w:val="23825FAA"/>
    <w:rsid w:val="238B4E5F"/>
    <w:rsid w:val="238E494F"/>
    <w:rsid w:val="239D4143"/>
    <w:rsid w:val="239E30F8"/>
    <w:rsid w:val="23A512B6"/>
    <w:rsid w:val="23B24AE2"/>
    <w:rsid w:val="23B819CC"/>
    <w:rsid w:val="23C40371"/>
    <w:rsid w:val="23CC6B24"/>
    <w:rsid w:val="23DE1C48"/>
    <w:rsid w:val="240210CD"/>
    <w:rsid w:val="241A4435"/>
    <w:rsid w:val="244B05E4"/>
    <w:rsid w:val="24637B8A"/>
    <w:rsid w:val="246758CC"/>
    <w:rsid w:val="248A3369"/>
    <w:rsid w:val="248D0500"/>
    <w:rsid w:val="24A0493A"/>
    <w:rsid w:val="24A73F1B"/>
    <w:rsid w:val="24BF09F7"/>
    <w:rsid w:val="24C21763"/>
    <w:rsid w:val="24C26FA6"/>
    <w:rsid w:val="24D80578"/>
    <w:rsid w:val="250E0906"/>
    <w:rsid w:val="251B4D73"/>
    <w:rsid w:val="252D53FE"/>
    <w:rsid w:val="253E5DD7"/>
    <w:rsid w:val="25455E14"/>
    <w:rsid w:val="254820A3"/>
    <w:rsid w:val="25553977"/>
    <w:rsid w:val="256E3E5A"/>
    <w:rsid w:val="258304C7"/>
    <w:rsid w:val="258C2F43"/>
    <w:rsid w:val="259756BC"/>
    <w:rsid w:val="259B3353"/>
    <w:rsid w:val="25CB3C39"/>
    <w:rsid w:val="25D14278"/>
    <w:rsid w:val="25EC2D81"/>
    <w:rsid w:val="25F85083"/>
    <w:rsid w:val="25FC0296"/>
    <w:rsid w:val="26282E39"/>
    <w:rsid w:val="262F2B7F"/>
    <w:rsid w:val="264E7CD3"/>
    <w:rsid w:val="268442D5"/>
    <w:rsid w:val="268D5392"/>
    <w:rsid w:val="269404CF"/>
    <w:rsid w:val="26B44D93"/>
    <w:rsid w:val="26D1527F"/>
    <w:rsid w:val="26E2748C"/>
    <w:rsid w:val="26FD42C6"/>
    <w:rsid w:val="27007912"/>
    <w:rsid w:val="27167136"/>
    <w:rsid w:val="27247AA4"/>
    <w:rsid w:val="272E26D1"/>
    <w:rsid w:val="2734673D"/>
    <w:rsid w:val="27420C2D"/>
    <w:rsid w:val="27693709"/>
    <w:rsid w:val="277057A2"/>
    <w:rsid w:val="27E74C55"/>
    <w:rsid w:val="27F65394"/>
    <w:rsid w:val="27FA25B3"/>
    <w:rsid w:val="282D2989"/>
    <w:rsid w:val="283E5914"/>
    <w:rsid w:val="285D2AB3"/>
    <w:rsid w:val="285D64CE"/>
    <w:rsid w:val="287A6E1A"/>
    <w:rsid w:val="287F7F91"/>
    <w:rsid w:val="28942A08"/>
    <w:rsid w:val="28D80186"/>
    <w:rsid w:val="28E026ED"/>
    <w:rsid w:val="291A315C"/>
    <w:rsid w:val="2920429C"/>
    <w:rsid w:val="29206EB8"/>
    <w:rsid w:val="294F456F"/>
    <w:rsid w:val="29595666"/>
    <w:rsid w:val="29831402"/>
    <w:rsid w:val="29874881"/>
    <w:rsid w:val="29AD615C"/>
    <w:rsid w:val="29E325E0"/>
    <w:rsid w:val="29E928DF"/>
    <w:rsid w:val="2A2E0815"/>
    <w:rsid w:val="2A2F0444"/>
    <w:rsid w:val="2A367122"/>
    <w:rsid w:val="2A443FBA"/>
    <w:rsid w:val="2A452503"/>
    <w:rsid w:val="2A497822"/>
    <w:rsid w:val="2A762885"/>
    <w:rsid w:val="2A8D5961"/>
    <w:rsid w:val="2A8F2A91"/>
    <w:rsid w:val="2AAA1A7F"/>
    <w:rsid w:val="2AEF1079"/>
    <w:rsid w:val="2AF10F5C"/>
    <w:rsid w:val="2AF34828"/>
    <w:rsid w:val="2B04158B"/>
    <w:rsid w:val="2B0A0D5F"/>
    <w:rsid w:val="2B1240B8"/>
    <w:rsid w:val="2B241043"/>
    <w:rsid w:val="2B522706"/>
    <w:rsid w:val="2B6C37C8"/>
    <w:rsid w:val="2B6D7540"/>
    <w:rsid w:val="2B844556"/>
    <w:rsid w:val="2B8F74B6"/>
    <w:rsid w:val="2B990335"/>
    <w:rsid w:val="2B9F7028"/>
    <w:rsid w:val="2BA936A8"/>
    <w:rsid w:val="2BA95E0A"/>
    <w:rsid w:val="2C071743"/>
    <w:rsid w:val="2C274940"/>
    <w:rsid w:val="2C2D0C58"/>
    <w:rsid w:val="2C315A5A"/>
    <w:rsid w:val="2C3D6F12"/>
    <w:rsid w:val="2C424529"/>
    <w:rsid w:val="2C4464F3"/>
    <w:rsid w:val="2C4B1C25"/>
    <w:rsid w:val="2C4F416E"/>
    <w:rsid w:val="2C5E0615"/>
    <w:rsid w:val="2C663D4D"/>
    <w:rsid w:val="2C697D08"/>
    <w:rsid w:val="2C956D4E"/>
    <w:rsid w:val="2CA46828"/>
    <w:rsid w:val="2CE33F5E"/>
    <w:rsid w:val="2D053ED4"/>
    <w:rsid w:val="2D12214D"/>
    <w:rsid w:val="2D31241A"/>
    <w:rsid w:val="2D562AFF"/>
    <w:rsid w:val="2D7C2A10"/>
    <w:rsid w:val="2D9E56F5"/>
    <w:rsid w:val="2DA03343"/>
    <w:rsid w:val="2DE245BF"/>
    <w:rsid w:val="2E080A74"/>
    <w:rsid w:val="2E1F2D74"/>
    <w:rsid w:val="2E277E7A"/>
    <w:rsid w:val="2E3005D3"/>
    <w:rsid w:val="2E4722CA"/>
    <w:rsid w:val="2E656DDA"/>
    <w:rsid w:val="2E667F96"/>
    <w:rsid w:val="2E6A3AEB"/>
    <w:rsid w:val="2E7F1A64"/>
    <w:rsid w:val="2E8226AB"/>
    <w:rsid w:val="2EA0307F"/>
    <w:rsid w:val="2EE44A4F"/>
    <w:rsid w:val="2EE956D7"/>
    <w:rsid w:val="2EF61A1D"/>
    <w:rsid w:val="2EFC4E63"/>
    <w:rsid w:val="2F0401BB"/>
    <w:rsid w:val="2F37233F"/>
    <w:rsid w:val="2F3A598B"/>
    <w:rsid w:val="2F5702EB"/>
    <w:rsid w:val="2F8512FC"/>
    <w:rsid w:val="2F8E588B"/>
    <w:rsid w:val="2F8E6038"/>
    <w:rsid w:val="2FA86931"/>
    <w:rsid w:val="2FB35E69"/>
    <w:rsid w:val="2FCA3FBC"/>
    <w:rsid w:val="2FD065E6"/>
    <w:rsid w:val="2FD10C28"/>
    <w:rsid w:val="2FD96870"/>
    <w:rsid w:val="2FDB53C0"/>
    <w:rsid w:val="2FDC679B"/>
    <w:rsid w:val="2FFB336C"/>
    <w:rsid w:val="303167EA"/>
    <w:rsid w:val="30523FB0"/>
    <w:rsid w:val="30580BC9"/>
    <w:rsid w:val="3075311F"/>
    <w:rsid w:val="3075464C"/>
    <w:rsid w:val="30907F59"/>
    <w:rsid w:val="30B85FAC"/>
    <w:rsid w:val="30C3032E"/>
    <w:rsid w:val="30D140CD"/>
    <w:rsid w:val="310444A3"/>
    <w:rsid w:val="311E2ED7"/>
    <w:rsid w:val="315619EE"/>
    <w:rsid w:val="315A40C3"/>
    <w:rsid w:val="315C449C"/>
    <w:rsid w:val="316118F5"/>
    <w:rsid w:val="31681811"/>
    <w:rsid w:val="316C6A6B"/>
    <w:rsid w:val="31903F88"/>
    <w:rsid w:val="31912658"/>
    <w:rsid w:val="3196159F"/>
    <w:rsid w:val="31B269F5"/>
    <w:rsid w:val="31B82709"/>
    <w:rsid w:val="31C63750"/>
    <w:rsid w:val="31D05482"/>
    <w:rsid w:val="31EA3699"/>
    <w:rsid w:val="3216623C"/>
    <w:rsid w:val="32400B34"/>
    <w:rsid w:val="326C67A3"/>
    <w:rsid w:val="32756E5F"/>
    <w:rsid w:val="32780CA4"/>
    <w:rsid w:val="32894C60"/>
    <w:rsid w:val="329E6876"/>
    <w:rsid w:val="32C97752"/>
    <w:rsid w:val="32E225C2"/>
    <w:rsid w:val="32F50547"/>
    <w:rsid w:val="32FA1FF2"/>
    <w:rsid w:val="32FE2A32"/>
    <w:rsid w:val="33171638"/>
    <w:rsid w:val="333015F2"/>
    <w:rsid w:val="333A23FE"/>
    <w:rsid w:val="334376C2"/>
    <w:rsid w:val="334B6320"/>
    <w:rsid w:val="33582884"/>
    <w:rsid w:val="33792F26"/>
    <w:rsid w:val="33835B53"/>
    <w:rsid w:val="339C09C3"/>
    <w:rsid w:val="33A04349"/>
    <w:rsid w:val="33AA6517"/>
    <w:rsid w:val="33AA7583"/>
    <w:rsid w:val="33AD0E22"/>
    <w:rsid w:val="33B2468A"/>
    <w:rsid w:val="33C341A1"/>
    <w:rsid w:val="33CF2B46"/>
    <w:rsid w:val="33D416F9"/>
    <w:rsid w:val="33D934D4"/>
    <w:rsid w:val="33FE2F6A"/>
    <w:rsid w:val="340E07E5"/>
    <w:rsid w:val="341622F8"/>
    <w:rsid w:val="3423408B"/>
    <w:rsid w:val="34235BF7"/>
    <w:rsid w:val="34390907"/>
    <w:rsid w:val="343D03F7"/>
    <w:rsid w:val="344B03C3"/>
    <w:rsid w:val="345F3619"/>
    <w:rsid w:val="345F4C06"/>
    <w:rsid w:val="34723867"/>
    <w:rsid w:val="34767465"/>
    <w:rsid w:val="348267E8"/>
    <w:rsid w:val="34831B82"/>
    <w:rsid w:val="34C91C8B"/>
    <w:rsid w:val="34E977F7"/>
    <w:rsid w:val="34FD1935"/>
    <w:rsid w:val="35132F06"/>
    <w:rsid w:val="352C0262"/>
    <w:rsid w:val="35374E47"/>
    <w:rsid w:val="35411BE2"/>
    <w:rsid w:val="355344E3"/>
    <w:rsid w:val="355C665B"/>
    <w:rsid w:val="356D0868"/>
    <w:rsid w:val="358C5FA8"/>
    <w:rsid w:val="35AB6F96"/>
    <w:rsid w:val="35B93AAE"/>
    <w:rsid w:val="35BA60CE"/>
    <w:rsid w:val="35C15DF1"/>
    <w:rsid w:val="35E328D9"/>
    <w:rsid w:val="35EA3ADE"/>
    <w:rsid w:val="35EB5C31"/>
    <w:rsid w:val="36074A7F"/>
    <w:rsid w:val="365D08DD"/>
    <w:rsid w:val="36631C6B"/>
    <w:rsid w:val="36923549"/>
    <w:rsid w:val="36AF3103"/>
    <w:rsid w:val="36B75FBF"/>
    <w:rsid w:val="36BD0C45"/>
    <w:rsid w:val="36C04993"/>
    <w:rsid w:val="36CC4181"/>
    <w:rsid w:val="36EA7100"/>
    <w:rsid w:val="36FB56F1"/>
    <w:rsid w:val="372F1B4E"/>
    <w:rsid w:val="37376BC9"/>
    <w:rsid w:val="375B53DF"/>
    <w:rsid w:val="37D20E57"/>
    <w:rsid w:val="37E00298"/>
    <w:rsid w:val="37E8067A"/>
    <w:rsid w:val="3810372D"/>
    <w:rsid w:val="38156F95"/>
    <w:rsid w:val="38264635"/>
    <w:rsid w:val="384427B1"/>
    <w:rsid w:val="386F5818"/>
    <w:rsid w:val="38801610"/>
    <w:rsid w:val="388E7B79"/>
    <w:rsid w:val="38A04AB1"/>
    <w:rsid w:val="38AA5930"/>
    <w:rsid w:val="38B302F9"/>
    <w:rsid w:val="38B7004D"/>
    <w:rsid w:val="38B8629F"/>
    <w:rsid w:val="38DF7CCF"/>
    <w:rsid w:val="38F12CD3"/>
    <w:rsid w:val="38F94775"/>
    <w:rsid w:val="391F6A49"/>
    <w:rsid w:val="392971ED"/>
    <w:rsid w:val="39325651"/>
    <w:rsid w:val="39524B12"/>
    <w:rsid w:val="397877DC"/>
    <w:rsid w:val="39916AF0"/>
    <w:rsid w:val="39941F91"/>
    <w:rsid w:val="3996231A"/>
    <w:rsid w:val="39A405D1"/>
    <w:rsid w:val="39C82395"/>
    <w:rsid w:val="39CF0079"/>
    <w:rsid w:val="3A3A0F35"/>
    <w:rsid w:val="3A476B07"/>
    <w:rsid w:val="3A520D6A"/>
    <w:rsid w:val="3A694FC4"/>
    <w:rsid w:val="3A872856"/>
    <w:rsid w:val="3AA53232"/>
    <w:rsid w:val="3AA80D25"/>
    <w:rsid w:val="3AAA09E5"/>
    <w:rsid w:val="3AB74334"/>
    <w:rsid w:val="3AC56A51"/>
    <w:rsid w:val="3ADD1FEC"/>
    <w:rsid w:val="3AF86E26"/>
    <w:rsid w:val="3B0D21A6"/>
    <w:rsid w:val="3B141786"/>
    <w:rsid w:val="3B2319C9"/>
    <w:rsid w:val="3B253993"/>
    <w:rsid w:val="3B3763D1"/>
    <w:rsid w:val="3B3836C7"/>
    <w:rsid w:val="3B63170C"/>
    <w:rsid w:val="3BA24FE4"/>
    <w:rsid w:val="3BAC19BF"/>
    <w:rsid w:val="3BBA232E"/>
    <w:rsid w:val="3BD80A06"/>
    <w:rsid w:val="3BE72DFA"/>
    <w:rsid w:val="3BF21AC7"/>
    <w:rsid w:val="3C09404C"/>
    <w:rsid w:val="3C0B2B89"/>
    <w:rsid w:val="3C2F13DA"/>
    <w:rsid w:val="3C2F6E1E"/>
    <w:rsid w:val="3C4F64BA"/>
    <w:rsid w:val="3C546E5B"/>
    <w:rsid w:val="3C7A7CE6"/>
    <w:rsid w:val="3C8A3F15"/>
    <w:rsid w:val="3CD747F2"/>
    <w:rsid w:val="3CDA245A"/>
    <w:rsid w:val="3CFB0E50"/>
    <w:rsid w:val="3D1E06B7"/>
    <w:rsid w:val="3D2A34E3"/>
    <w:rsid w:val="3D4520CB"/>
    <w:rsid w:val="3D4F6262"/>
    <w:rsid w:val="3D5959A9"/>
    <w:rsid w:val="3D672041"/>
    <w:rsid w:val="3D9B618F"/>
    <w:rsid w:val="3DA23079"/>
    <w:rsid w:val="3DB50031"/>
    <w:rsid w:val="3DCE20C0"/>
    <w:rsid w:val="3DF338D5"/>
    <w:rsid w:val="3DF73F22"/>
    <w:rsid w:val="3DFD7010"/>
    <w:rsid w:val="3E1201FF"/>
    <w:rsid w:val="3E3F2FBE"/>
    <w:rsid w:val="3E524A9F"/>
    <w:rsid w:val="3E6447D3"/>
    <w:rsid w:val="3E6C1B59"/>
    <w:rsid w:val="3E7964D0"/>
    <w:rsid w:val="3E7C6CB7"/>
    <w:rsid w:val="3EA80B63"/>
    <w:rsid w:val="3EAB53F0"/>
    <w:rsid w:val="3EAD43CC"/>
    <w:rsid w:val="3EB62F71"/>
    <w:rsid w:val="3EBF6F4A"/>
    <w:rsid w:val="3EC351BD"/>
    <w:rsid w:val="3EDA0523"/>
    <w:rsid w:val="3F1B1335"/>
    <w:rsid w:val="3F23643C"/>
    <w:rsid w:val="3F31347F"/>
    <w:rsid w:val="3F3C419E"/>
    <w:rsid w:val="3F4D34B9"/>
    <w:rsid w:val="3F5115CA"/>
    <w:rsid w:val="3F532376"/>
    <w:rsid w:val="3F7950FB"/>
    <w:rsid w:val="3FB926FD"/>
    <w:rsid w:val="3FBA0B4E"/>
    <w:rsid w:val="3FDD29D3"/>
    <w:rsid w:val="3FEB6F5A"/>
    <w:rsid w:val="3FEF0CE2"/>
    <w:rsid w:val="3FFF2BA0"/>
    <w:rsid w:val="40010407"/>
    <w:rsid w:val="40750F19"/>
    <w:rsid w:val="407A6407"/>
    <w:rsid w:val="407F76A2"/>
    <w:rsid w:val="408B4299"/>
    <w:rsid w:val="40A4535A"/>
    <w:rsid w:val="40A9471F"/>
    <w:rsid w:val="40B32D2D"/>
    <w:rsid w:val="40D304EF"/>
    <w:rsid w:val="412B43C0"/>
    <w:rsid w:val="412D5703"/>
    <w:rsid w:val="41395AA3"/>
    <w:rsid w:val="41676AB4"/>
    <w:rsid w:val="41CD7C80"/>
    <w:rsid w:val="41CE08E1"/>
    <w:rsid w:val="41D57A4E"/>
    <w:rsid w:val="41F52311"/>
    <w:rsid w:val="41F93484"/>
    <w:rsid w:val="4200449D"/>
    <w:rsid w:val="42011B3A"/>
    <w:rsid w:val="420A743F"/>
    <w:rsid w:val="4220064C"/>
    <w:rsid w:val="42312C1E"/>
    <w:rsid w:val="423A3BCC"/>
    <w:rsid w:val="424E37D0"/>
    <w:rsid w:val="424E57D2"/>
    <w:rsid w:val="425012F6"/>
    <w:rsid w:val="42507548"/>
    <w:rsid w:val="425E61F3"/>
    <w:rsid w:val="426923B8"/>
    <w:rsid w:val="426D5376"/>
    <w:rsid w:val="42777531"/>
    <w:rsid w:val="427F58AB"/>
    <w:rsid w:val="42A038DB"/>
    <w:rsid w:val="42A33B1C"/>
    <w:rsid w:val="42AD1BC0"/>
    <w:rsid w:val="42B26C49"/>
    <w:rsid w:val="42BF269C"/>
    <w:rsid w:val="42BF630F"/>
    <w:rsid w:val="42C35F6C"/>
    <w:rsid w:val="42DA32B5"/>
    <w:rsid w:val="42E61C5A"/>
    <w:rsid w:val="430622FC"/>
    <w:rsid w:val="43130464"/>
    <w:rsid w:val="432B1D63"/>
    <w:rsid w:val="432D49BA"/>
    <w:rsid w:val="433A6FE6"/>
    <w:rsid w:val="433A794E"/>
    <w:rsid w:val="43454BD3"/>
    <w:rsid w:val="43480868"/>
    <w:rsid w:val="4350713C"/>
    <w:rsid w:val="435979DC"/>
    <w:rsid w:val="436037BB"/>
    <w:rsid w:val="43643AB0"/>
    <w:rsid w:val="436653E0"/>
    <w:rsid w:val="436B215F"/>
    <w:rsid w:val="438A3C39"/>
    <w:rsid w:val="43C4431A"/>
    <w:rsid w:val="43C875B2"/>
    <w:rsid w:val="43FA0115"/>
    <w:rsid w:val="43FC1874"/>
    <w:rsid w:val="44250560"/>
    <w:rsid w:val="44305883"/>
    <w:rsid w:val="443469F5"/>
    <w:rsid w:val="443A5086"/>
    <w:rsid w:val="44557097"/>
    <w:rsid w:val="44857224"/>
    <w:rsid w:val="449D7702"/>
    <w:rsid w:val="44A65B1F"/>
    <w:rsid w:val="44B84CD5"/>
    <w:rsid w:val="44B951CC"/>
    <w:rsid w:val="44B97745"/>
    <w:rsid w:val="44BB4E50"/>
    <w:rsid w:val="44BF3F68"/>
    <w:rsid w:val="44BF6C07"/>
    <w:rsid w:val="44C9538F"/>
    <w:rsid w:val="44CD14E0"/>
    <w:rsid w:val="44E477F6"/>
    <w:rsid w:val="44F03307"/>
    <w:rsid w:val="44F20B0B"/>
    <w:rsid w:val="450B59A8"/>
    <w:rsid w:val="451A208F"/>
    <w:rsid w:val="452E5F4C"/>
    <w:rsid w:val="454C09CE"/>
    <w:rsid w:val="45612018"/>
    <w:rsid w:val="458946E9"/>
    <w:rsid w:val="45A47C0E"/>
    <w:rsid w:val="45CC3389"/>
    <w:rsid w:val="45D109A0"/>
    <w:rsid w:val="45EF121D"/>
    <w:rsid w:val="45EF4282"/>
    <w:rsid w:val="46146ADE"/>
    <w:rsid w:val="461D3BE5"/>
    <w:rsid w:val="461E170B"/>
    <w:rsid w:val="46252A99"/>
    <w:rsid w:val="46276812"/>
    <w:rsid w:val="462F3918"/>
    <w:rsid w:val="464E1FF0"/>
    <w:rsid w:val="465670F7"/>
    <w:rsid w:val="46577FD6"/>
    <w:rsid w:val="465B4F47"/>
    <w:rsid w:val="46654C1B"/>
    <w:rsid w:val="4665733A"/>
    <w:rsid w:val="4670640B"/>
    <w:rsid w:val="46827EEC"/>
    <w:rsid w:val="469822EB"/>
    <w:rsid w:val="46A2308B"/>
    <w:rsid w:val="46AA7D30"/>
    <w:rsid w:val="46C22806"/>
    <w:rsid w:val="46D955A7"/>
    <w:rsid w:val="46DC22BA"/>
    <w:rsid w:val="46E90767"/>
    <w:rsid w:val="46F81F5C"/>
    <w:rsid w:val="470923BB"/>
    <w:rsid w:val="47133957"/>
    <w:rsid w:val="471825FE"/>
    <w:rsid w:val="473E2065"/>
    <w:rsid w:val="474433F3"/>
    <w:rsid w:val="474A1A9A"/>
    <w:rsid w:val="4766182E"/>
    <w:rsid w:val="47700ADD"/>
    <w:rsid w:val="47721D0E"/>
    <w:rsid w:val="47A07E0C"/>
    <w:rsid w:val="47A76297"/>
    <w:rsid w:val="47C14A44"/>
    <w:rsid w:val="47C562E2"/>
    <w:rsid w:val="47CD66DB"/>
    <w:rsid w:val="47D66741"/>
    <w:rsid w:val="47E94C70"/>
    <w:rsid w:val="47F606A9"/>
    <w:rsid w:val="47FC5A7C"/>
    <w:rsid w:val="480706A9"/>
    <w:rsid w:val="480C2163"/>
    <w:rsid w:val="48142DC6"/>
    <w:rsid w:val="4832149E"/>
    <w:rsid w:val="4839282C"/>
    <w:rsid w:val="48403BBB"/>
    <w:rsid w:val="484F0430"/>
    <w:rsid w:val="4851401A"/>
    <w:rsid w:val="4870272E"/>
    <w:rsid w:val="48790E7B"/>
    <w:rsid w:val="488779EF"/>
    <w:rsid w:val="4889130E"/>
    <w:rsid w:val="48934632"/>
    <w:rsid w:val="489D3EF9"/>
    <w:rsid w:val="48A028AB"/>
    <w:rsid w:val="48E22EC4"/>
    <w:rsid w:val="48E409EA"/>
    <w:rsid w:val="48E7457D"/>
    <w:rsid w:val="49025314"/>
    <w:rsid w:val="491017DF"/>
    <w:rsid w:val="49315AE0"/>
    <w:rsid w:val="4953095D"/>
    <w:rsid w:val="49943B56"/>
    <w:rsid w:val="49A91AF9"/>
    <w:rsid w:val="49D56585"/>
    <w:rsid w:val="49D92519"/>
    <w:rsid w:val="49DB1DED"/>
    <w:rsid w:val="49DC7715"/>
    <w:rsid w:val="49EA0282"/>
    <w:rsid w:val="49EC6CF1"/>
    <w:rsid w:val="4A023139"/>
    <w:rsid w:val="4A1C41B3"/>
    <w:rsid w:val="4A220947"/>
    <w:rsid w:val="4A286FFC"/>
    <w:rsid w:val="4A3868ED"/>
    <w:rsid w:val="4A7037FB"/>
    <w:rsid w:val="4A7B576F"/>
    <w:rsid w:val="4AA9128C"/>
    <w:rsid w:val="4AB64608"/>
    <w:rsid w:val="4ABA40F8"/>
    <w:rsid w:val="4ADB5E1D"/>
    <w:rsid w:val="4AE608DD"/>
    <w:rsid w:val="4AF561A9"/>
    <w:rsid w:val="4B2E0F4D"/>
    <w:rsid w:val="4B37109B"/>
    <w:rsid w:val="4B577B99"/>
    <w:rsid w:val="4B685902"/>
    <w:rsid w:val="4B6E6C91"/>
    <w:rsid w:val="4B7306DE"/>
    <w:rsid w:val="4B820CB8"/>
    <w:rsid w:val="4B8B7843"/>
    <w:rsid w:val="4B904130"/>
    <w:rsid w:val="4B9F509C"/>
    <w:rsid w:val="4BAA0689"/>
    <w:rsid w:val="4BBE19C6"/>
    <w:rsid w:val="4BC36FDC"/>
    <w:rsid w:val="4BC44B03"/>
    <w:rsid w:val="4BC82845"/>
    <w:rsid w:val="4BCE14DD"/>
    <w:rsid w:val="4BD80D86"/>
    <w:rsid w:val="4BE40D01"/>
    <w:rsid w:val="4BEB7BAC"/>
    <w:rsid w:val="4BF13DDF"/>
    <w:rsid w:val="4C033A49"/>
    <w:rsid w:val="4C194381"/>
    <w:rsid w:val="4C2C4B82"/>
    <w:rsid w:val="4C4A0649"/>
    <w:rsid w:val="4C5B7B83"/>
    <w:rsid w:val="4C6836E0"/>
    <w:rsid w:val="4C6A38FC"/>
    <w:rsid w:val="4C7451B5"/>
    <w:rsid w:val="4C7E5ECA"/>
    <w:rsid w:val="4C876AA5"/>
    <w:rsid w:val="4CCB6EF7"/>
    <w:rsid w:val="4CCC0113"/>
    <w:rsid w:val="4CD20516"/>
    <w:rsid w:val="4CE52F83"/>
    <w:rsid w:val="4CEA67EB"/>
    <w:rsid w:val="4D034E31"/>
    <w:rsid w:val="4D0E00FB"/>
    <w:rsid w:val="4D176606"/>
    <w:rsid w:val="4D1A2C2C"/>
    <w:rsid w:val="4D1E3404"/>
    <w:rsid w:val="4D3335ED"/>
    <w:rsid w:val="4D36558C"/>
    <w:rsid w:val="4D58469D"/>
    <w:rsid w:val="4D616AAD"/>
    <w:rsid w:val="4D90081A"/>
    <w:rsid w:val="4DA84634"/>
    <w:rsid w:val="4DAB5F7A"/>
    <w:rsid w:val="4DB43081"/>
    <w:rsid w:val="4DE44FE8"/>
    <w:rsid w:val="4DEC4FB0"/>
    <w:rsid w:val="4DFE6397"/>
    <w:rsid w:val="4E075D8A"/>
    <w:rsid w:val="4E130248"/>
    <w:rsid w:val="4E241889"/>
    <w:rsid w:val="4E3221F7"/>
    <w:rsid w:val="4E406E7E"/>
    <w:rsid w:val="4E546612"/>
    <w:rsid w:val="4E7C647C"/>
    <w:rsid w:val="4E873CA6"/>
    <w:rsid w:val="4EAE0BB7"/>
    <w:rsid w:val="4EC00FAD"/>
    <w:rsid w:val="4EF02E4A"/>
    <w:rsid w:val="4EFE1FFE"/>
    <w:rsid w:val="4F196F13"/>
    <w:rsid w:val="4F277882"/>
    <w:rsid w:val="4F2A2ECF"/>
    <w:rsid w:val="4F301E6C"/>
    <w:rsid w:val="4F363F69"/>
    <w:rsid w:val="4F4B17C3"/>
    <w:rsid w:val="4F675ED1"/>
    <w:rsid w:val="4F6C1739"/>
    <w:rsid w:val="4F7E2395"/>
    <w:rsid w:val="4F9843DC"/>
    <w:rsid w:val="4FB8497E"/>
    <w:rsid w:val="4FB9555E"/>
    <w:rsid w:val="4FC62A8C"/>
    <w:rsid w:val="4FCA2BA9"/>
    <w:rsid w:val="4FE20F0D"/>
    <w:rsid w:val="4FE51552"/>
    <w:rsid w:val="5015483E"/>
    <w:rsid w:val="5023629C"/>
    <w:rsid w:val="50324731"/>
    <w:rsid w:val="50354221"/>
    <w:rsid w:val="50504C4B"/>
    <w:rsid w:val="50606B85"/>
    <w:rsid w:val="50616DC4"/>
    <w:rsid w:val="507B1F96"/>
    <w:rsid w:val="509C6E7C"/>
    <w:rsid w:val="50DA0F9D"/>
    <w:rsid w:val="50E81293"/>
    <w:rsid w:val="50F00963"/>
    <w:rsid w:val="510936E3"/>
    <w:rsid w:val="51275918"/>
    <w:rsid w:val="51542747"/>
    <w:rsid w:val="51575BFE"/>
    <w:rsid w:val="515C2DD9"/>
    <w:rsid w:val="515E1EA4"/>
    <w:rsid w:val="5162104E"/>
    <w:rsid w:val="516721B8"/>
    <w:rsid w:val="51E510BC"/>
    <w:rsid w:val="51FE19F0"/>
    <w:rsid w:val="5206792F"/>
    <w:rsid w:val="524F2B79"/>
    <w:rsid w:val="52554706"/>
    <w:rsid w:val="52575205"/>
    <w:rsid w:val="526B217C"/>
    <w:rsid w:val="527821A3"/>
    <w:rsid w:val="529C2AAB"/>
    <w:rsid w:val="52A116FA"/>
    <w:rsid w:val="52BE22AC"/>
    <w:rsid w:val="52C146DF"/>
    <w:rsid w:val="52CA50F4"/>
    <w:rsid w:val="52F1189B"/>
    <w:rsid w:val="534A3B3F"/>
    <w:rsid w:val="53536E98"/>
    <w:rsid w:val="535B5D4C"/>
    <w:rsid w:val="535D7D17"/>
    <w:rsid w:val="5386726D"/>
    <w:rsid w:val="539179C0"/>
    <w:rsid w:val="53A039CC"/>
    <w:rsid w:val="53A1505A"/>
    <w:rsid w:val="53A5521A"/>
    <w:rsid w:val="53C25DCC"/>
    <w:rsid w:val="53D0673A"/>
    <w:rsid w:val="53D855EF"/>
    <w:rsid w:val="54063E08"/>
    <w:rsid w:val="54070618"/>
    <w:rsid w:val="540E7DEA"/>
    <w:rsid w:val="543437E8"/>
    <w:rsid w:val="54370568"/>
    <w:rsid w:val="54413D28"/>
    <w:rsid w:val="545428EA"/>
    <w:rsid w:val="545509EE"/>
    <w:rsid w:val="547E09F5"/>
    <w:rsid w:val="548412D3"/>
    <w:rsid w:val="54AD6A7C"/>
    <w:rsid w:val="54B576DE"/>
    <w:rsid w:val="54BA2B3C"/>
    <w:rsid w:val="54F14606"/>
    <w:rsid w:val="54F73313"/>
    <w:rsid w:val="54F80955"/>
    <w:rsid w:val="54FB0ADA"/>
    <w:rsid w:val="5503044A"/>
    <w:rsid w:val="5516017D"/>
    <w:rsid w:val="55195EBF"/>
    <w:rsid w:val="552C5BF2"/>
    <w:rsid w:val="55456CB4"/>
    <w:rsid w:val="555170A7"/>
    <w:rsid w:val="5587536D"/>
    <w:rsid w:val="55942C21"/>
    <w:rsid w:val="559B174B"/>
    <w:rsid w:val="55A8310A"/>
    <w:rsid w:val="55AD05A3"/>
    <w:rsid w:val="55CD70F3"/>
    <w:rsid w:val="55CE0CF4"/>
    <w:rsid w:val="55F935FB"/>
    <w:rsid w:val="56156174"/>
    <w:rsid w:val="561A44BB"/>
    <w:rsid w:val="56220DA3"/>
    <w:rsid w:val="562E70CC"/>
    <w:rsid w:val="563034C0"/>
    <w:rsid w:val="56423E2D"/>
    <w:rsid w:val="564A08E3"/>
    <w:rsid w:val="56522A22"/>
    <w:rsid w:val="56660C90"/>
    <w:rsid w:val="56925F29"/>
    <w:rsid w:val="56B22A9C"/>
    <w:rsid w:val="570566FB"/>
    <w:rsid w:val="57087F99"/>
    <w:rsid w:val="57525BEE"/>
    <w:rsid w:val="576F546F"/>
    <w:rsid w:val="57715B3F"/>
    <w:rsid w:val="57A06424"/>
    <w:rsid w:val="57B50E63"/>
    <w:rsid w:val="57B72A76"/>
    <w:rsid w:val="57C2269C"/>
    <w:rsid w:val="57C3426C"/>
    <w:rsid w:val="57CE1F93"/>
    <w:rsid w:val="57CE5874"/>
    <w:rsid w:val="57D367F9"/>
    <w:rsid w:val="57E91B79"/>
    <w:rsid w:val="57EF2F07"/>
    <w:rsid w:val="580E04B8"/>
    <w:rsid w:val="58306484"/>
    <w:rsid w:val="584816DE"/>
    <w:rsid w:val="58583A70"/>
    <w:rsid w:val="58602599"/>
    <w:rsid w:val="586076AA"/>
    <w:rsid w:val="586631C9"/>
    <w:rsid w:val="588115A0"/>
    <w:rsid w:val="588743D1"/>
    <w:rsid w:val="5887701A"/>
    <w:rsid w:val="58A61818"/>
    <w:rsid w:val="58C93758"/>
    <w:rsid w:val="58D77C23"/>
    <w:rsid w:val="58E32A6C"/>
    <w:rsid w:val="58E81E30"/>
    <w:rsid w:val="59252097"/>
    <w:rsid w:val="59457283"/>
    <w:rsid w:val="59486D73"/>
    <w:rsid w:val="595079D6"/>
    <w:rsid w:val="597E4543"/>
    <w:rsid w:val="59A87812"/>
    <w:rsid w:val="59B843A4"/>
    <w:rsid w:val="59C0439F"/>
    <w:rsid w:val="59DF004B"/>
    <w:rsid w:val="59E52A0A"/>
    <w:rsid w:val="59F502E5"/>
    <w:rsid w:val="5A0A4610"/>
    <w:rsid w:val="5A4B3A12"/>
    <w:rsid w:val="5A4C214E"/>
    <w:rsid w:val="5A9F2765"/>
    <w:rsid w:val="5AAC6D3A"/>
    <w:rsid w:val="5AB126F6"/>
    <w:rsid w:val="5ABE2233"/>
    <w:rsid w:val="5ADD5EE0"/>
    <w:rsid w:val="5AE9665E"/>
    <w:rsid w:val="5B612747"/>
    <w:rsid w:val="5B801186"/>
    <w:rsid w:val="5B9718EC"/>
    <w:rsid w:val="5BA04C44"/>
    <w:rsid w:val="5BA74A5A"/>
    <w:rsid w:val="5BB45000"/>
    <w:rsid w:val="5BD24811"/>
    <w:rsid w:val="5BDF5D95"/>
    <w:rsid w:val="5BFE7528"/>
    <w:rsid w:val="5C0D47D8"/>
    <w:rsid w:val="5C4C338D"/>
    <w:rsid w:val="5C5477DD"/>
    <w:rsid w:val="5C5D2B35"/>
    <w:rsid w:val="5C6A7000"/>
    <w:rsid w:val="5C910A31"/>
    <w:rsid w:val="5CA16EC6"/>
    <w:rsid w:val="5CB22E1D"/>
    <w:rsid w:val="5CCF2361"/>
    <w:rsid w:val="5CE54410"/>
    <w:rsid w:val="5CFE5241"/>
    <w:rsid w:val="5D221689"/>
    <w:rsid w:val="5D2E6280"/>
    <w:rsid w:val="5D327B1E"/>
    <w:rsid w:val="5D3F4885"/>
    <w:rsid w:val="5D4B5EB1"/>
    <w:rsid w:val="5D513C37"/>
    <w:rsid w:val="5D870900"/>
    <w:rsid w:val="5D881E34"/>
    <w:rsid w:val="5D9C32C7"/>
    <w:rsid w:val="5DBC7D30"/>
    <w:rsid w:val="5DBF512A"/>
    <w:rsid w:val="5DDE1A54"/>
    <w:rsid w:val="5E047C68"/>
    <w:rsid w:val="5E2467F1"/>
    <w:rsid w:val="5E3873B6"/>
    <w:rsid w:val="5E875C48"/>
    <w:rsid w:val="5E992621"/>
    <w:rsid w:val="5EB97DCB"/>
    <w:rsid w:val="5EBE57E6"/>
    <w:rsid w:val="5EDA046D"/>
    <w:rsid w:val="5EE16408"/>
    <w:rsid w:val="5EEF1AE9"/>
    <w:rsid w:val="5F047C1E"/>
    <w:rsid w:val="5F117C07"/>
    <w:rsid w:val="5F1A2B43"/>
    <w:rsid w:val="5F36141C"/>
    <w:rsid w:val="5F5C5FB8"/>
    <w:rsid w:val="5F694068"/>
    <w:rsid w:val="5F797C86"/>
    <w:rsid w:val="5F8305AA"/>
    <w:rsid w:val="5FAA6092"/>
    <w:rsid w:val="5FB837BB"/>
    <w:rsid w:val="5FBB23A9"/>
    <w:rsid w:val="5FCA04E2"/>
    <w:rsid w:val="5FD4310E"/>
    <w:rsid w:val="5FE476A4"/>
    <w:rsid w:val="5FED0E44"/>
    <w:rsid w:val="600734E4"/>
    <w:rsid w:val="60255718"/>
    <w:rsid w:val="6036770C"/>
    <w:rsid w:val="603E3301"/>
    <w:rsid w:val="604D2EC1"/>
    <w:rsid w:val="605902F9"/>
    <w:rsid w:val="607C1130"/>
    <w:rsid w:val="608C39E9"/>
    <w:rsid w:val="60CC405A"/>
    <w:rsid w:val="60EE0200"/>
    <w:rsid w:val="60F303B0"/>
    <w:rsid w:val="60F63558"/>
    <w:rsid w:val="612754C0"/>
    <w:rsid w:val="614222FA"/>
    <w:rsid w:val="614C4F26"/>
    <w:rsid w:val="615E35D8"/>
    <w:rsid w:val="615F476F"/>
    <w:rsid w:val="616E4F90"/>
    <w:rsid w:val="61776447"/>
    <w:rsid w:val="61971A36"/>
    <w:rsid w:val="61C372D5"/>
    <w:rsid w:val="61E215D8"/>
    <w:rsid w:val="61E3588B"/>
    <w:rsid w:val="61E909C7"/>
    <w:rsid w:val="620D2908"/>
    <w:rsid w:val="621B3775"/>
    <w:rsid w:val="622B0FD1"/>
    <w:rsid w:val="62364782"/>
    <w:rsid w:val="6239194F"/>
    <w:rsid w:val="623B56C7"/>
    <w:rsid w:val="6245462F"/>
    <w:rsid w:val="62465E1A"/>
    <w:rsid w:val="62483940"/>
    <w:rsid w:val="62516C98"/>
    <w:rsid w:val="62555998"/>
    <w:rsid w:val="626D15F8"/>
    <w:rsid w:val="62714155"/>
    <w:rsid w:val="62726C0F"/>
    <w:rsid w:val="62727215"/>
    <w:rsid w:val="62AC0373"/>
    <w:rsid w:val="62BE3C02"/>
    <w:rsid w:val="62CB2EC3"/>
    <w:rsid w:val="62EE07E6"/>
    <w:rsid w:val="63250F34"/>
    <w:rsid w:val="635103EA"/>
    <w:rsid w:val="63556314"/>
    <w:rsid w:val="637013A0"/>
    <w:rsid w:val="63760872"/>
    <w:rsid w:val="6394356A"/>
    <w:rsid w:val="639826A5"/>
    <w:rsid w:val="63B133E3"/>
    <w:rsid w:val="63B3128D"/>
    <w:rsid w:val="63C35974"/>
    <w:rsid w:val="63C61B2C"/>
    <w:rsid w:val="63C72ED2"/>
    <w:rsid w:val="63CF2B03"/>
    <w:rsid w:val="63D40BE9"/>
    <w:rsid w:val="63E12B6D"/>
    <w:rsid w:val="63E50CEC"/>
    <w:rsid w:val="63FF44D2"/>
    <w:rsid w:val="64102431"/>
    <w:rsid w:val="64422D83"/>
    <w:rsid w:val="647E6B93"/>
    <w:rsid w:val="6493084C"/>
    <w:rsid w:val="64A5243A"/>
    <w:rsid w:val="64D968CD"/>
    <w:rsid w:val="64F531DE"/>
    <w:rsid w:val="64F63B27"/>
    <w:rsid w:val="64F80794"/>
    <w:rsid w:val="651421FF"/>
    <w:rsid w:val="651C27E6"/>
    <w:rsid w:val="65367856"/>
    <w:rsid w:val="65373578"/>
    <w:rsid w:val="654E5711"/>
    <w:rsid w:val="658B028D"/>
    <w:rsid w:val="659D0447"/>
    <w:rsid w:val="65A45331"/>
    <w:rsid w:val="65C3218F"/>
    <w:rsid w:val="65CE23AE"/>
    <w:rsid w:val="65DA0D53"/>
    <w:rsid w:val="65E25E59"/>
    <w:rsid w:val="65F938CF"/>
    <w:rsid w:val="660364FC"/>
    <w:rsid w:val="66046268"/>
    <w:rsid w:val="66145B1E"/>
    <w:rsid w:val="66233F8F"/>
    <w:rsid w:val="66251881"/>
    <w:rsid w:val="66391F1D"/>
    <w:rsid w:val="664B7760"/>
    <w:rsid w:val="66546D57"/>
    <w:rsid w:val="66682803"/>
    <w:rsid w:val="66765096"/>
    <w:rsid w:val="66774BB5"/>
    <w:rsid w:val="66806931"/>
    <w:rsid w:val="66844EBF"/>
    <w:rsid w:val="668604A0"/>
    <w:rsid w:val="66884C53"/>
    <w:rsid w:val="668F7D8F"/>
    <w:rsid w:val="6693675B"/>
    <w:rsid w:val="66C04922"/>
    <w:rsid w:val="66D75412"/>
    <w:rsid w:val="6703254D"/>
    <w:rsid w:val="67184A8C"/>
    <w:rsid w:val="671F124A"/>
    <w:rsid w:val="673553B8"/>
    <w:rsid w:val="6763375C"/>
    <w:rsid w:val="676E5BF7"/>
    <w:rsid w:val="677A33C6"/>
    <w:rsid w:val="677B6565"/>
    <w:rsid w:val="679118E5"/>
    <w:rsid w:val="67B337C5"/>
    <w:rsid w:val="67BA708E"/>
    <w:rsid w:val="67CC6DC1"/>
    <w:rsid w:val="67D41540"/>
    <w:rsid w:val="67E11A70"/>
    <w:rsid w:val="67F3390B"/>
    <w:rsid w:val="6809591F"/>
    <w:rsid w:val="681B504E"/>
    <w:rsid w:val="681F6961"/>
    <w:rsid w:val="683E7032"/>
    <w:rsid w:val="684479D5"/>
    <w:rsid w:val="685C5028"/>
    <w:rsid w:val="68610A2F"/>
    <w:rsid w:val="687C2595"/>
    <w:rsid w:val="68805514"/>
    <w:rsid w:val="688E2417"/>
    <w:rsid w:val="689A7DBD"/>
    <w:rsid w:val="689B6EBF"/>
    <w:rsid w:val="689D1EB7"/>
    <w:rsid w:val="68B53A5A"/>
    <w:rsid w:val="68C31F72"/>
    <w:rsid w:val="68CF6B69"/>
    <w:rsid w:val="68E20858"/>
    <w:rsid w:val="68E5013A"/>
    <w:rsid w:val="68EE3711"/>
    <w:rsid w:val="69082D96"/>
    <w:rsid w:val="69232A11"/>
    <w:rsid w:val="692B5EE9"/>
    <w:rsid w:val="69316E2F"/>
    <w:rsid w:val="69431305"/>
    <w:rsid w:val="694D5CE0"/>
    <w:rsid w:val="694E2071"/>
    <w:rsid w:val="695D5F23"/>
    <w:rsid w:val="695E4102"/>
    <w:rsid w:val="6964603B"/>
    <w:rsid w:val="69766163"/>
    <w:rsid w:val="69794D27"/>
    <w:rsid w:val="697A3B33"/>
    <w:rsid w:val="699658D9"/>
    <w:rsid w:val="69AE2C22"/>
    <w:rsid w:val="69B53153"/>
    <w:rsid w:val="69B63885"/>
    <w:rsid w:val="69CE0BCF"/>
    <w:rsid w:val="69D44760"/>
    <w:rsid w:val="69D45077"/>
    <w:rsid w:val="69E72E95"/>
    <w:rsid w:val="69F9496F"/>
    <w:rsid w:val="6A010FA4"/>
    <w:rsid w:val="6A0C54B9"/>
    <w:rsid w:val="6A1F142A"/>
    <w:rsid w:val="6A2E3D63"/>
    <w:rsid w:val="6A447855"/>
    <w:rsid w:val="6A45074A"/>
    <w:rsid w:val="6A4845E5"/>
    <w:rsid w:val="6A520EC7"/>
    <w:rsid w:val="6A753740"/>
    <w:rsid w:val="6A7C4ACE"/>
    <w:rsid w:val="6A90412B"/>
    <w:rsid w:val="6AA162E3"/>
    <w:rsid w:val="6AA47B81"/>
    <w:rsid w:val="6AAF6C52"/>
    <w:rsid w:val="6AB73D58"/>
    <w:rsid w:val="6AF87E20"/>
    <w:rsid w:val="6B014FD4"/>
    <w:rsid w:val="6B322639"/>
    <w:rsid w:val="6B355FB4"/>
    <w:rsid w:val="6B6B4524"/>
    <w:rsid w:val="6B923E7E"/>
    <w:rsid w:val="6B96396E"/>
    <w:rsid w:val="6BAF2C82"/>
    <w:rsid w:val="6BB67B6C"/>
    <w:rsid w:val="6BB71FC2"/>
    <w:rsid w:val="6BF16DF6"/>
    <w:rsid w:val="6C101972"/>
    <w:rsid w:val="6C164AAF"/>
    <w:rsid w:val="6C4126F5"/>
    <w:rsid w:val="6C4433CA"/>
    <w:rsid w:val="6C44786E"/>
    <w:rsid w:val="6C5A499B"/>
    <w:rsid w:val="6C636C38"/>
    <w:rsid w:val="6C6A22F4"/>
    <w:rsid w:val="6C8E2897"/>
    <w:rsid w:val="6CBF6BD5"/>
    <w:rsid w:val="6D4A2C62"/>
    <w:rsid w:val="6D512242"/>
    <w:rsid w:val="6D604233"/>
    <w:rsid w:val="6D611D5A"/>
    <w:rsid w:val="6D7B2E1B"/>
    <w:rsid w:val="6D825C71"/>
    <w:rsid w:val="6D865EAD"/>
    <w:rsid w:val="6D940381"/>
    <w:rsid w:val="6D942FD7"/>
    <w:rsid w:val="6DA46816"/>
    <w:rsid w:val="6DAF2107"/>
    <w:rsid w:val="6DB34098"/>
    <w:rsid w:val="6DB453DD"/>
    <w:rsid w:val="6DB545B6"/>
    <w:rsid w:val="6DC40145"/>
    <w:rsid w:val="6DE02FB4"/>
    <w:rsid w:val="6E0A419F"/>
    <w:rsid w:val="6E1D6D57"/>
    <w:rsid w:val="6E3D6323"/>
    <w:rsid w:val="6E514CED"/>
    <w:rsid w:val="6E6B2E90"/>
    <w:rsid w:val="6E79398C"/>
    <w:rsid w:val="6E922B12"/>
    <w:rsid w:val="6EB563D5"/>
    <w:rsid w:val="6ED92677"/>
    <w:rsid w:val="6EDF562C"/>
    <w:rsid w:val="6EE30296"/>
    <w:rsid w:val="6EFD5AB2"/>
    <w:rsid w:val="6F225983"/>
    <w:rsid w:val="6F2A68E4"/>
    <w:rsid w:val="6F572DF1"/>
    <w:rsid w:val="6F6F69B0"/>
    <w:rsid w:val="6F773AB6"/>
    <w:rsid w:val="6FA66146"/>
    <w:rsid w:val="6FAB7BD8"/>
    <w:rsid w:val="6FAD445D"/>
    <w:rsid w:val="6FDE3B35"/>
    <w:rsid w:val="6FE74798"/>
    <w:rsid w:val="6FF03779"/>
    <w:rsid w:val="6FF922DA"/>
    <w:rsid w:val="6FFC5590"/>
    <w:rsid w:val="70073D71"/>
    <w:rsid w:val="70362219"/>
    <w:rsid w:val="706D1DD0"/>
    <w:rsid w:val="70856B87"/>
    <w:rsid w:val="70B4422E"/>
    <w:rsid w:val="70BF3967"/>
    <w:rsid w:val="70D50A94"/>
    <w:rsid w:val="70D527EE"/>
    <w:rsid w:val="70DA60AB"/>
    <w:rsid w:val="70F353BF"/>
    <w:rsid w:val="70F67E40"/>
    <w:rsid w:val="70F90D22"/>
    <w:rsid w:val="71102665"/>
    <w:rsid w:val="7111087F"/>
    <w:rsid w:val="711F61B4"/>
    <w:rsid w:val="71277B50"/>
    <w:rsid w:val="712D7C5D"/>
    <w:rsid w:val="713D70E6"/>
    <w:rsid w:val="715B5300"/>
    <w:rsid w:val="717402AD"/>
    <w:rsid w:val="717D77DC"/>
    <w:rsid w:val="71B96245"/>
    <w:rsid w:val="71C546DD"/>
    <w:rsid w:val="71D27F8A"/>
    <w:rsid w:val="71D92806"/>
    <w:rsid w:val="71EE2518"/>
    <w:rsid w:val="71F50BC5"/>
    <w:rsid w:val="72054EC0"/>
    <w:rsid w:val="72181989"/>
    <w:rsid w:val="72255A4C"/>
    <w:rsid w:val="722F0678"/>
    <w:rsid w:val="72423204"/>
    <w:rsid w:val="7245528A"/>
    <w:rsid w:val="72553024"/>
    <w:rsid w:val="72861020"/>
    <w:rsid w:val="72AC06C2"/>
    <w:rsid w:val="72B6087F"/>
    <w:rsid w:val="72BF37AA"/>
    <w:rsid w:val="72D134DE"/>
    <w:rsid w:val="72DA6836"/>
    <w:rsid w:val="72E92D8F"/>
    <w:rsid w:val="72F319D6"/>
    <w:rsid w:val="72FB4DE8"/>
    <w:rsid w:val="72FD2525"/>
    <w:rsid w:val="73027B3B"/>
    <w:rsid w:val="73122968"/>
    <w:rsid w:val="731F5D5E"/>
    <w:rsid w:val="73375A36"/>
    <w:rsid w:val="733A1083"/>
    <w:rsid w:val="733C304D"/>
    <w:rsid w:val="73694C54"/>
    <w:rsid w:val="7386251A"/>
    <w:rsid w:val="73AB3D2F"/>
    <w:rsid w:val="73C51AD5"/>
    <w:rsid w:val="73D634A1"/>
    <w:rsid w:val="73F43E35"/>
    <w:rsid w:val="73FA4F92"/>
    <w:rsid w:val="741E793C"/>
    <w:rsid w:val="74213FF1"/>
    <w:rsid w:val="745E3944"/>
    <w:rsid w:val="7460720F"/>
    <w:rsid w:val="74647000"/>
    <w:rsid w:val="74652E24"/>
    <w:rsid w:val="74947276"/>
    <w:rsid w:val="74A470FC"/>
    <w:rsid w:val="74B3733F"/>
    <w:rsid w:val="74B84955"/>
    <w:rsid w:val="74C72DEA"/>
    <w:rsid w:val="74D26985"/>
    <w:rsid w:val="74F345A0"/>
    <w:rsid w:val="74FF0DD0"/>
    <w:rsid w:val="751402A4"/>
    <w:rsid w:val="751C5464"/>
    <w:rsid w:val="75680129"/>
    <w:rsid w:val="75A153E9"/>
    <w:rsid w:val="75C86E1A"/>
    <w:rsid w:val="75CD2682"/>
    <w:rsid w:val="75D014D5"/>
    <w:rsid w:val="75F226D9"/>
    <w:rsid w:val="760D2A7F"/>
    <w:rsid w:val="76127420"/>
    <w:rsid w:val="76312EEE"/>
    <w:rsid w:val="7635099D"/>
    <w:rsid w:val="76361FD5"/>
    <w:rsid w:val="76A40747"/>
    <w:rsid w:val="76A5715B"/>
    <w:rsid w:val="76A63920"/>
    <w:rsid w:val="76AC606C"/>
    <w:rsid w:val="76C54F44"/>
    <w:rsid w:val="76C770D1"/>
    <w:rsid w:val="76D36824"/>
    <w:rsid w:val="76DE4C32"/>
    <w:rsid w:val="76F31C74"/>
    <w:rsid w:val="76FF6E69"/>
    <w:rsid w:val="77093781"/>
    <w:rsid w:val="771B741D"/>
    <w:rsid w:val="772938E8"/>
    <w:rsid w:val="77387FCF"/>
    <w:rsid w:val="77462A41"/>
    <w:rsid w:val="775546DD"/>
    <w:rsid w:val="775841CD"/>
    <w:rsid w:val="775966CB"/>
    <w:rsid w:val="77710268"/>
    <w:rsid w:val="77762421"/>
    <w:rsid w:val="77771470"/>
    <w:rsid w:val="77B56B1F"/>
    <w:rsid w:val="77C11D73"/>
    <w:rsid w:val="780F09F4"/>
    <w:rsid w:val="78136603"/>
    <w:rsid w:val="782A2652"/>
    <w:rsid w:val="78866B18"/>
    <w:rsid w:val="78A51A5E"/>
    <w:rsid w:val="78A747DB"/>
    <w:rsid w:val="78A90480"/>
    <w:rsid w:val="78AA2807"/>
    <w:rsid w:val="78AA797A"/>
    <w:rsid w:val="78BF6AF9"/>
    <w:rsid w:val="78C050C4"/>
    <w:rsid w:val="78C8128D"/>
    <w:rsid w:val="78D35282"/>
    <w:rsid w:val="790318CB"/>
    <w:rsid w:val="7914455E"/>
    <w:rsid w:val="79167A5C"/>
    <w:rsid w:val="791D122B"/>
    <w:rsid w:val="797A667D"/>
    <w:rsid w:val="799A0ACD"/>
    <w:rsid w:val="79AC0800"/>
    <w:rsid w:val="79BA2F1D"/>
    <w:rsid w:val="79C0084C"/>
    <w:rsid w:val="79C76E36"/>
    <w:rsid w:val="79D06E6C"/>
    <w:rsid w:val="7A364017"/>
    <w:rsid w:val="7A3E03B2"/>
    <w:rsid w:val="7A560E98"/>
    <w:rsid w:val="7A6A49BE"/>
    <w:rsid w:val="7A8265E1"/>
    <w:rsid w:val="7A9E45ED"/>
    <w:rsid w:val="7AAF05A8"/>
    <w:rsid w:val="7AAF67FA"/>
    <w:rsid w:val="7AD924E7"/>
    <w:rsid w:val="7AF661D7"/>
    <w:rsid w:val="7B07295D"/>
    <w:rsid w:val="7B08042F"/>
    <w:rsid w:val="7B09015B"/>
    <w:rsid w:val="7B114DBF"/>
    <w:rsid w:val="7B214B23"/>
    <w:rsid w:val="7B3314D2"/>
    <w:rsid w:val="7B3A04D4"/>
    <w:rsid w:val="7B686D42"/>
    <w:rsid w:val="7B785A13"/>
    <w:rsid w:val="7B841746"/>
    <w:rsid w:val="7BAB5214"/>
    <w:rsid w:val="7BAF03A7"/>
    <w:rsid w:val="7BEE6807"/>
    <w:rsid w:val="7BF344C5"/>
    <w:rsid w:val="7C0E57A2"/>
    <w:rsid w:val="7C1903CF"/>
    <w:rsid w:val="7C1F52BA"/>
    <w:rsid w:val="7C4C1148"/>
    <w:rsid w:val="7C6447CF"/>
    <w:rsid w:val="7C6C5AC7"/>
    <w:rsid w:val="7C773348"/>
    <w:rsid w:val="7C7B7A15"/>
    <w:rsid w:val="7CB023B6"/>
    <w:rsid w:val="7CC6544B"/>
    <w:rsid w:val="7D0239FF"/>
    <w:rsid w:val="7D097C47"/>
    <w:rsid w:val="7D1E37C3"/>
    <w:rsid w:val="7D344D95"/>
    <w:rsid w:val="7D405340"/>
    <w:rsid w:val="7D594473"/>
    <w:rsid w:val="7D5E40CD"/>
    <w:rsid w:val="7D676F18"/>
    <w:rsid w:val="7D8E0949"/>
    <w:rsid w:val="7DB23C8A"/>
    <w:rsid w:val="7DCD56F2"/>
    <w:rsid w:val="7E064983"/>
    <w:rsid w:val="7E21356B"/>
    <w:rsid w:val="7E22425C"/>
    <w:rsid w:val="7E8E6727"/>
    <w:rsid w:val="7E9755DB"/>
    <w:rsid w:val="7E9E3805"/>
    <w:rsid w:val="7EAD6D86"/>
    <w:rsid w:val="7EB30231"/>
    <w:rsid w:val="7EBD578D"/>
    <w:rsid w:val="7EE34CC4"/>
    <w:rsid w:val="7F001CE7"/>
    <w:rsid w:val="7F3C5960"/>
    <w:rsid w:val="7F4C286A"/>
    <w:rsid w:val="7F671451"/>
    <w:rsid w:val="7F6A7194"/>
    <w:rsid w:val="7F7B2EF8"/>
    <w:rsid w:val="7FB27282"/>
    <w:rsid w:val="7FE47E50"/>
    <w:rsid w:val="7FE90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locked/>
    <w:uiPriority w:val="99"/>
    <w:pPr>
      <w:keepNext/>
      <w:overflowPunct w:val="0"/>
      <w:snapToGrid w:val="0"/>
      <w:spacing w:before="50" w:beforeLines="50"/>
      <w:ind w:firstLine="0" w:firstLineChars="0"/>
      <w:outlineLvl w:val="0"/>
    </w:pPr>
    <w:rPr>
      <w:b/>
      <w:bCs/>
      <w:color w:val="000000"/>
      <w:kern w:val="44"/>
      <w:szCs w:val="30"/>
    </w:rPr>
  </w:style>
  <w:style w:type="paragraph" w:styleId="3">
    <w:name w:val="heading 2"/>
    <w:basedOn w:val="2"/>
    <w:next w:val="1"/>
    <w:link w:val="39"/>
    <w:unhideWhenUsed/>
    <w:qFormat/>
    <w:locked/>
    <w:uiPriority w:val="0"/>
    <w:pPr>
      <w:keepLines/>
      <w:spacing w:before="20" w:beforeLines="0" w:after="20"/>
      <w:ind w:firstLine="720" w:firstLineChars="200"/>
      <w:outlineLvl w:val="1"/>
    </w:pPr>
  </w:style>
  <w:style w:type="paragraph" w:styleId="4">
    <w:name w:val="heading 3"/>
    <w:basedOn w:val="1"/>
    <w:next w:val="1"/>
    <w:link w:val="38"/>
    <w:unhideWhenUsed/>
    <w:qFormat/>
    <w:locked/>
    <w:uiPriority w:val="0"/>
    <w:pPr>
      <w:keepNext/>
      <w:keepLines/>
      <w:outlineLvl w:val="2"/>
    </w:pPr>
    <w:rPr>
      <w:b/>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26"/>
    <w:qFormat/>
    <w:uiPriority w:val="0"/>
    <w:pPr>
      <w:jc w:val="left"/>
    </w:pPr>
    <w:rPr>
      <w:kern w:val="0"/>
      <w:szCs w:val="20"/>
    </w:rPr>
  </w:style>
  <w:style w:type="paragraph" w:styleId="6">
    <w:name w:val="Body Text"/>
    <w:basedOn w:val="1"/>
    <w:link w:val="27"/>
    <w:qFormat/>
    <w:uiPriority w:val="0"/>
    <w:pPr>
      <w:widowControl/>
      <w:snapToGrid w:val="0"/>
      <w:spacing w:before="60" w:after="160" w:line="259" w:lineRule="auto"/>
      <w:ind w:right="113"/>
    </w:pPr>
    <w:rPr>
      <w:kern w:val="0"/>
      <w:sz w:val="18"/>
      <w:szCs w:val="20"/>
    </w:rPr>
  </w:style>
  <w:style w:type="paragraph" w:styleId="7">
    <w:name w:val="Body Text Indent"/>
    <w:basedOn w:val="1"/>
    <w:link w:val="28"/>
    <w:qFormat/>
    <w:uiPriority w:val="0"/>
    <w:pPr>
      <w:spacing w:after="120"/>
      <w:ind w:left="420" w:leftChars="200"/>
    </w:pPr>
    <w:rPr>
      <w:kern w:val="0"/>
      <w:szCs w:val="20"/>
    </w:rPr>
  </w:style>
  <w:style w:type="paragraph" w:styleId="8">
    <w:name w:val="toc 3"/>
    <w:basedOn w:val="1"/>
    <w:next w:val="1"/>
    <w:qFormat/>
    <w:locked/>
    <w:uiPriority w:val="0"/>
    <w:pPr>
      <w:ind w:left="840" w:leftChars="400"/>
    </w:pPr>
  </w:style>
  <w:style w:type="paragraph" w:styleId="9">
    <w:name w:val="Date"/>
    <w:basedOn w:val="1"/>
    <w:next w:val="1"/>
    <w:link w:val="29"/>
    <w:qFormat/>
    <w:uiPriority w:val="0"/>
    <w:pPr>
      <w:ind w:left="100" w:leftChars="2500"/>
    </w:pPr>
    <w:rPr>
      <w:kern w:val="0"/>
      <w:szCs w:val="20"/>
    </w:rPr>
  </w:style>
  <w:style w:type="paragraph" w:styleId="10">
    <w:name w:val="Balloon Text"/>
    <w:basedOn w:val="1"/>
    <w:link w:val="30"/>
    <w:semiHidden/>
    <w:qFormat/>
    <w:uiPriority w:val="0"/>
    <w:rPr>
      <w:kern w:val="0"/>
      <w:sz w:val="18"/>
      <w:szCs w:val="20"/>
    </w:rPr>
  </w:style>
  <w:style w:type="paragraph" w:styleId="11">
    <w:name w:val="footer"/>
    <w:basedOn w:val="1"/>
    <w:link w:val="31"/>
    <w:qFormat/>
    <w:uiPriority w:val="99"/>
    <w:pPr>
      <w:tabs>
        <w:tab w:val="center" w:pos="4153"/>
        <w:tab w:val="right" w:pos="8306"/>
      </w:tabs>
      <w:snapToGrid w:val="0"/>
      <w:jc w:val="left"/>
    </w:pPr>
    <w:rPr>
      <w:kern w:val="0"/>
      <w:sz w:val="18"/>
      <w:szCs w:val="20"/>
    </w:rPr>
  </w:style>
  <w:style w:type="paragraph" w:styleId="12">
    <w:name w:val="header"/>
    <w:basedOn w:val="1"/>
    <w:link w:val="32"/>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toc 1"/>
    <w:basedOn w:val="1"/>
    <w:next w:val="1"/>
    <w:qFormat/>
    <w:locked/>
    <w:uiPriority w:val="0"/>
  </w:style>
  <w:style w:type="paragraph" w:styleId="14">
    <w:name w:val="toc 2"/>
    <w:basedOn w:val="1"/>
    <w:next w:val="1"/>
    <w:qFormat/>
    <w:locked/>
    <w:uiPriority w:val="0"/>
    <w:pPr>
      <w:ind w:left="420" w:leftChars="200"/>
    </w:pPr>
  </w:style>
  <w:style w:type="paragraph" w:styleId="15">
    <w:name w:val="Normal (Web)"/>
    <w:basedOn w:val="1"/>
    <w:link w:val="33"/>
    <w:qFormat/>
    <w:uiPriority w:val="0"/>
    <w:pPr>
      <w:widowControl/>
      <w:spacing w:beforeAutospacing="1" w:afterAutospacing="1"/>
      <w:ind w:firstLine="0" w:firstLineChars="0"/>
      <w:jc w:val="left"/>
    </w:pPr>
    <w:rPr>
      <w:rFonts w:ascii="宋体" w:hAnsi="宋体"/>
      <w:kern w:val="0"/>
      <w:szCs w:val="20"/>
    </w:rPr>
  </w:style>
  <w:style w:type="paragraph" w:styleId="16">
    <w:name w:val="annotation subject"/>
    <w:basedOn w:val="5"/>
    <w:next w:val="5"/>
    <w:link w:val="34"/>
    <w:semiHidden/>
    <w:qFormat/>
    <w:uiPriority w:val="0"/>
    <w:rPr>
      <w:b/>
    </w:rPr>
  </w:style>
  <w:style w:type="paragraph" w:styleId="17">
    <w:name w:val="Body Text First Indent 2"/>
    <w:basedOn w:val="7"/>
    <w:next w:val="1"/>
    <w:qFormat/>
    <w:locked/>
    <w:uiPriority w:val="0"/>
    <w:pPr>
      <w:tabs>
        <w:tab w:val="left" w:pos="540"/>
      </w:tabs>
      <w:ind w:firstLine="420" w:firstLineChars="200"/>
    </w:pPr>
    <w:rPr>
      <w:rFonts w:ascii="Times New Roman" w:hAnsi="Times New Roman"/>
    </w:rPr>
  </w:style>
  <w:style w:type="table" w:styleId="19">
    <w:name w:val="Table Grid"/>
    <w:basedOn w:val="1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locked/>
    <w:uiPriority w:val="0"/>
  </w:style>
  <w:style w:type="character" w:styleId="22">
    <w:name w:val="annotation reference"/>
    <w:semiHidden/>
    <w:qFormat/>
    <w:uiPriority w:val="0"/>
    <w:rPr>
      <w:sz w:val="21"/>
    </w:rPr>
  </w:style>
  <w:style w:type="paragraph" w:customStyle="1" w:styleId="23">
    <w:name w:val="纯文本1"/>
    <w:basedOn w:val="1"/>
    <w:qFormat/>
    <w:uiPriority w:val="0"/>
    <w:rPr>
      <w:rFonts w:ascii="宋体" w:hAnsi="Courier New"/>
    </w:rPr>
  </w:style>
  <w:style w:type="paragraph" w:customStyle="1" w:styleId="24">
    <w:name w:val="表格"/>
    <w:basedOn w:val="1"/>
    <w:next w:val="1"/>
    <w:link w:val="25"/>
    <w:qFormat/>
    <w:uiPriority w:val="0"/>
    <w:pPr>
      <w:adjustRightInd w:val="0"/>
      <w:snapToGrid w:val="0"/>
      <w:spacing w:line="288" w:lineRule="auto"/>
      <w:ind w:firstLine="0" w:firstLineChars="0"/>
      <w:jc w:val="center"/>
    </w:pPr>
    <w:rPr>
      <w:kern w:val="0"/>
      <w:sz w:val="21"/>
      <w:szCs w:val="20"/>
    </w:rPr>
  </w:style>
  <w:style w:type="character" w:customStyle="1" w:styleId="25">
    <w:name w:val="表格 Char"/>
    <w:link w:val="24"/>
    <w:qFormat/>
    <w:locked/>
    <w:uiPriority w:val="0"/>
    <w:rPr>
      <w:rFonts w:ascii="Times New Roman" w:hAnsi="Times New Roman" w:eastAsia="宋体"/>
      <w:sz w:val="21"/>
    </w:rPr>
  </w:style>
  <w:style w:type="character" w:customStyle="1" w:styleId="26">
    <w:name w:val="批注文字 字符"/>
    <w:link w:val="5"/>
    <w:qFormat/>
    <w:locked/>
    <w:uiPriority w:val="0"/>
    <w:rPr>
      <w:rFonts w:ascii="Times New Roman" w:hAnsi="Times New Roman" w:eastAsia="宋体"/>
      <w:sz w:val="24"/>
    </w:rPr>
  </w:style>
  <w:style w:type="character" w:customStyle="1" w:styleId="27">
    <w:name w:val="正文文本 字符"/>
    <w:link w:val="6"/>
    <w:qFormat/>
    <w:locked/>
    <w:uiPriority w:val="0"/>
    <w:rPr>
      <w:sz w:val="18"/>
    </w:rPr>
  </w:style>
  <w:style w:type="character" w:customStyle="1" w:styleId="28">
    <w:name w:val="正文文本缩进 字符"/>
    <w:link w:val="7"/>
    <w:semiHidden/>
    <w:qFormat/>
    <w:locked/>
    <w:uiPriority w:val="0"/>
    <w:rPr>
      <w:rFonts w:ascii="Times New Roman" w:hAnsi="Times New Roman" w:eastAsia="宋体"/>
      <w:sz w:val="24"/>
    </w:rPr>
  </w:style>
  <w:style w:type="character" w:customStyle="1" w:styleId="29">
    <w:name w:val="日期 字符"/>
    <w:link w:val="9"/>
    <w:qFormat/>
    <w:locked/>
    <w:uiPriority w:val="0"/>
    <w:rPr>
      <w:rFonts w:ascii="Times New Roman" w:hAnsi="Times New Roman" w:eastAsia="宋体"/>
      <w:sz w:val="24"/>
    </w:rPr>
  </w:style>
  <w:style w:type="character" w:customStyle="1" w:styleId="30">
    <w:name w:val="批注框文本 字符"/>
    <w:link w:val="10"/>
    <w:semiHidden/>
    <w:qFormat/>
    <w:locked/>
    <w:uiPriority w:val="0"/>
    <w:rPr>
      <w:rFonts w:ascii="Times New Roman" w:hAnsi="Times New Roman" w:eastAsia="宋体"/>
      <w:sz w:val="18"/>
    </w:rPr>
  </w:style>
  <w:style w:type="character" w:customStyle="1" w:styleId="31">
    <w:name w:val="页脚 字符1"/>
    <w:link w:val="11"/>
    <w:qFormat/>
    <w:locked/>
    <w:uiPriority w:val="99"/>
    <w:rPr>
      <w:sz w:val="18"/>
    </w:rPr>
  </w:style>
  <w:style w:type="character" w:customStyle="1" w:styleId="32">
    <w:name w:val="页眉 字符"/>
    <w:link w:val="12"/>
    <w:qFormat/>
    <w:locked/>
    <w:uiPriority w:val="0"/>
    <w:rPr>
      <w:sz w:val="18"/>
    </w:rPr>
  </w:style>
  <w:style w:type="character" w:customStyle="1" w:styleId="33">
    <w:name w:val="普通(网站) 字符"/>
    <w:link w:val="15"/>
    <w:qFormat/>
    <w:locked/>
    <w:uiPriority w:val="0"/>
    <w:rPr>
      <w:rFonts w:ascii="宋体" w:hAnsi="宋体" w:eastAsia="宋体"/>
      <w:sz w:val="24"/>
    </w:rPr>
  </w:style>
  <w:style w:type="character" w:customStyle="1" w:styleId="34">
    <w:name w:val="批注主题 字符"/>
    <w:link w:val="16"/>
    <w:semiHidden/>
    <w:qFormat/>
    <w:locked/>
    <w:uiPriority w:val="0"/>
    <w:rPr>
      <w:rFonts w:ascii="Times New Roman" w:hAnsi="Times New Roman" w:eastAsia="宋体"/>
      <w:b/>
      <w:kern w:val="2"/>
      <w:sz w:val="24"/>
    </w:rPr>
  </w:style>
  <w:style w:type="character" w:customStyle="1" w:styleId="35">
    <w:name w:val="页脚 字符"/>
    <w:basedOn w:val="20"/>
    <w:qFormat/>
    <w:uiPriority w:val="99"/>
  </w:style>
  <w:style w:type="character" w:customStyle="1" w:styleId="36">
    <w:name w:val="批注文字 字符1"/>
    <w:semiHidden/>
    <w:qFormat/>
    <w:uiPriority w:val="0"/>
    <w:rPr>
      <w:rFonts w:ascii="Times New Roman" w:hAnsi="Times New Roman" w:eastAsia="宋体"/>
      <w:sz w:val="24"/>
    </w:rPr>
  </w:style>
  <w:style w:type="paragraph" w:customStyle="1" w:styleId="37">
    <w:name w:val="表头"/>
    <w:basedOn w:val="1"/>
    <w:link w:val="40"/>
    <w:qFormat/>
    <w:uiPriority w:val="0"/>
    <w:pPr>
      <w:spacing w:before="30" w:beforeLines="30" w:after="50" w:afterLines="50" w:line="240" w:lineRule="auto"/>
      <w:ind w:firstLine="0" w:firstLineChars="0"/>
      <w:jc w:val="center"/>
    </w:pPr>
    <w:rPr>
      <w:rFonts w:hint="eastAsia"/>
      <w:b/>
      <w:sz w:val="21"/>
    </w:rPr>
  </w:style>
  <w:style w:type="character" w:customStyle="1" w:styleId="38">
    <w:name w:val="标题 3 字符"/>
    <w:link w:val="4"/>
    <w:qFormat/>
    <w:uiPriority w:val="0"/>
    <w:rPr>
      <w:rFonts w:ascii="Times New Roman" w:hAnsi="Times New Roman" w:eastAsia="宋体"/>
      <w:b/>
      <w:sz w:val="24"/>
    </w:rPr>
  </w:style>
  <w:style w:type="character" w:customStyle="1" w:styleId="39">
    <w:name w:val="标题 2 字符"/>
    <w:link w:val="3"/>
    <w:qFormat/>
    <w:uiPriority w:val="0"/>
    <w:rPr>
      <w:rFonts w:ascii="Times New Roman" w:hAnsi="Times New Roman" w:eastAsia="宋体"/>
    </w:rPr>
  </w:style>
  <w:style w:type="character" w:customStyle="1" w:styleId="40">
    <w:name w:val="表头 Char"/>
    <w:link w:val="37"/>
    <w:qFormat/>
    <w:uiPriority w:val="0"/>
    <w:rPr>
      <w:rFonts w:hint="eastAsia"/>
      <w:b/>
      <w:sz w:val="21"/>
    </w:rPr>
  </w:style>
  <w:style w:type="paragraph" w:customStyle="1" w:styleId="41">
    <w:name w:val="Default"/>
    <w:basedOn w:val="23"/>
    <w:next w:val="17"/>
    <w:qFormat/>
    <w:uiPriority w:val="0"/>
    <w:pPr>
      <w:autoSpaceDE w:val="0"/>
      <w:autoSpaceDN w:val="0"/>
      <w:adjustRightInd w:val="0"/>
    </w:pPr>
    <w:rPr>
      <w:rFonts w:ascii="Calibri" w:hAnsi="Calibri" w:cs="Calibri"/>
      <w:color w:val="000000"/>
      <w:kern w:val="0"/>
      <w:sz w:val="24"/>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2.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4.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footer" Target="footer3.xml"/><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2.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1.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jpe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header" Target="header1.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jpe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wmf"/><Relationship Id="rId31" Type="http://schemas.openxmlformats.org/officeDocument/2006/relationships/oleObject" Target="embeddings/oleObject3.bin"/><Relationship Id="rId30" Type="http://schemas.openxmlformats.org/officeDocument/2006/relationships/image" Target="media/image15.wmf"/><Relationship Id="rId3" Type="http://schemas.openxmlformats.org/officeDocument/2006/relationships/footnotes" Target="footnotes.xml"/><Relationship Id="rId29" Type="http://schemas.openxmlformats.org/officeDocument/2006/relationships/oleObject" Target="embeddings/oleObject2.bin"/><Relationship Id="rId28" Type="http://schemas.openxmlformats.org/officeDocument/2006/relationships/image" Target="media/image14.wmf"/><Relationship Id="rId27" Type="http://schemas.openxmlformats.org/officeDocument/2006/relationships/oleObject" Target="embeddings/oleObject1.bin"/><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U4NzM3MTgxNDE4IiwKCSJHcm91cElkIiA6ICI3MjUwMzk0MDgiLAoJIkltYWdlIiA6ICJpVkJPUncwS0dnb0FBQUFOU1VoRVVnQUFCSElBQUFNV0NBWUFBQUNkaWFFdUFBQUFBWE5TUjBJQXJzNGM2UUFBSUFCSlJFRlVlSnpzM1hsWVZOWC9CL0QzdVRPRG9LRGd2cUNTWUxpaE0rTnU5VFd6MG16VFhDcExVeXV0M0VxejFDeXRYKzZaUzVwYldxSnBaYXRiWmU3bWlqQXNLcHFLcUtTeUNDZ29DRFAzL1A3QXVUSE9nS2dvSU8vWDgvUUlaN2x6cnZtWnVmTzU1NTRERU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VG4zL0Q0TkwxTmtqbU43REFBQUFBRWxGVGtTdVFtQ0MiLAoJIlRoZW1lIiA6ICIiLAoJIlR5cGUiIDogImZsb3ciLAoJIlVzZXJJZCIgOiAiNjQ3MDQ4NzQxIiwKCSJWZXJzaW9uIiA6ICIiCn0K"/>
    </extobj>
    <extobj name="ECB019B1-382A-4266-B25C-5B523AA43C14-2">
      <extobjdata type="ECB019B1-382A-4266-B25C-5B523AA43C14" data="ewoJIkZpbGVJZCIgOiAiMzU4ODgxNzc1NzU5IiwKCSJHcm91cElkIiA6ICI3MjUwMzk0MDgiLAoJIkltYWdlIiA6ICJpVkJPUncwS0dnb0FBQUFOU1VoRVVnQUFCVzBBQUFKdENBWUFBQUJOTUZJOUFBQUFBWE5TUjBJQXJzNGM2UUFBSUFCSlJFRlVlSnpzM1htY0hFWDVQL0RQVXoyek84a21tMndna09DcXE2d21UcEtkcmhwQjhBc0NIc2g5ZUlFSFgwSGxVTUVMRUVSRlJGUTh3UU5GRGdHL2lpQUlpSUFIaWdjcUNFNTM3eVJaaVM2NjZtSVNRc2hGa2oxbSt2bjlzVDF4TXBrOWtteUN1Ny9QKy9YS2EyZXFxcXVyZTVMMDlqUFZUd0Z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UQvM3g0Y0VnQUFBQUFJK3YvYUd3WUFBQUFBQUFBQUFBQUFBQUFBQUFBQUFBQUFBQUFBQUFBQUFBQUFBQUFBQUFBQUFBQUFBQUFBQUFBQUFBQUFBQUFBQUFBQUFBQUFBQUFBQUFBQUFBQUFBQUFBQUFBQUFBQUFBQUFBQUFBQUFBQUFBQUFBQUFBQUFBQUFBQUFBQUFBQUFBQUFBQUFBQUFBQUFBQUFPQWlyZTNhV0xoRVZaUUFBQUFCSlJVNUVya0pnZ2c9PSIsCgkiVGhlbWUiIDogIiIsCgkiVHlwZSIgOiAiZmxvdyIsCgkiVXNlcklkIiA6ICI2NDcwNDg3NDEiLAoJIlZlcnNpb24iIDogIiIKfQo="/>
    </extobj>
    <extobj name="ECB019B1-382A-4266-B25C-5B523AA43C14-3">
      <extobjdata type="ECB019B1-382A-4266-B25C-5B523AA43C14" data="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"/>
    </extobj>
    <extobj name="ECB019B1-382A-4266-B25C-5B523AA43C14-4">
      <extobjdata type="ECB019B1-382A-4266-B25C-5B523AA43C14" data="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"/>
    </extobj>
    <extobj name="ECB019B1-382A-4266-B25C-5B523AA43C14-5">
      <extobjdata type="ECB019B1-382A-4266-B25C-5B523AA43C14" data="ewoJIkZpbGVJZCIgOiAiMzU4OTY5MzcyMDYxIiwKCSJHcm91cElkIiA6ICI3MjUwMzk0MDgiLAoJIkltYWdlIiA6ICJpVkJPUncwS0dnb0FBQUFOU1VoRVVnQUFCaVVBQUFDSUNBWUFBQUNJcWVod0FBQUFBWE5TUjBJQXJzNGM2UUFBSUFCSlJFRlVlSnp0M1hkNFZGWGl4dkYzSmdOcGRDSWdSVG9haW9BYUVCQUJGVFNDNHVxeUtDby9hVW9UVm9vZ0VxcUNzclJRcElpQTZDTE5SU0tnZ0FKS0I1ZUFTQ0lnSm9TUTBGc0NKR1NTK2YweE8xY21NMmxBK3ZmelBQc3NjKys1ZDg3c3pwc3o5NTV6ejVF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RaNC84QlM0YlJsVTVocGNJQUFBQUFTVVZPUks1Q1lJST0iLAoJIlRoZW1lIiA6ICIiLAoJIlR5cGUiIDogImZsb3ciLAoJIlVzZXJJZCIgOiAiNjQ3MDQ4NzQxIiwKCSJWZXJzaW9uIiA6ICIiCn0K"/>
    </extobj>
    <extobj name="ECB019B1-382A-4266-B25C-5B523AA43C14-6">
      <extobjdata type="ECB019B1-382A-4266-B25C-5B523AA43C14" data="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"/>
    </extobj>
    <extobj name="ECB019B1-382A-4266-B25C-5B523AA43C14-7">
      <extobjdata type="ECB019B1-382A-4266-B25C-5B523AA43C14" data="ewoJIkZpbGVJZCIgOiAiMzY1NjA3NDg4OTgxIiwKCSJHcm91cElkIiA6ICI3MjUwMzk0MDgiLAoJIkltYWdlIiA6ICJpVkJPUncwS0dnb0FBQUFOU1VoRVVnQUFCQU1BQUFDTkNBWUFBQURDUzdPVkFBQUFBWE5TUjBJQXJzNGM2UUFBSUFCSlJFRlVlSnpzM1hkY0ZNZjdCL0RQM2gzSFVSU3dhN0RGQW5ZaFltS3NhRFRXYU96R0dJMUdvMktKTFdyMGk2aXhsMWdUTlJFeEJyRWtHRVd4SVlvRlJSUlFGRVZGVVVCUVFPbGMzOThmdVB1NzR3cEhKL0s4WDYrOEFuZTdlM040T3pmenpNd3pB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"/>
    </extobj>
    <extobj name="ECB019B1-382A-4266-B25C-5B523AA43C14-8">
      <extobjdata type="ECB019B1-382A-4266-B25C-5B523AA43C14" data="ewoJIkZpbGVJZCIgOiAiMzU4Mjg2MTExMjYzIiwKCSJHcm91cElkIiA6ICI3MjUwMzk0MDgiLAoJIkltYWdlIiA6ICJpVkJPUncwS0dnb0FBQUFOU1VoRVVnQUFCWHdBQUFDUkNBWUFBQUJ3azNDZ0FBQUFBWE5TUjBJQXJzNGM2UUFBSUFCSlJFRlVlSnpzM1hkWVZNZlhCL0R2M1YycUVNQUdLbGJFRmtVeEdydXhOeExzTldJM0ZsVHNvckdMaVNWMkVjR3UyQ01SQzdHWEdGUkVpb0FnWWdHbHFVaVRzc0R1M3ZjUHZQZkhzcFVtaHZkOG5pZFAyTnYyZ3J0elo4N01uQUV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NBU3VqL0E2TUw3SDBwQXppMUFBQUFBRWxGVGtTdVFtQ0MiLAoJIlRoZW1lIiA6ICIiLAoJIlR5cGUiIDogImZsb3ciLAoJIlZlcnNpb24iIDogIiIKfQo="/>
    </extobj>
    <extobj name="ECB019B1-382A-4266-B25C-5B523AA43C14-9">
      <extobjdata type="ECB019B1-382A-4266-B25C-5B523AA43C14" data="ewoJIkZpbGVJZCIgOiAiMzU4Mjg3NDQwNzA5IiwKCSJHcm91cElkIiA6ICI3MjUwMzk0MDgiLAoJIkltYWdlIiA6ICJpVkJPUncwS0dnb0FBQUFOU1VoRVVnQUFCTG9BQUFDVENBWUFBQUNKZEhDTkFBQUFBWE5TUjBJQXJzNGM2UUFBSUFCSlJFRlVlSnpzM1hsY1Rmbi9CL0RYWGRyVG9pTEVSR01JSVdRZmhySHp4UzlMeGhLRFljZ3lHRnZXR0V2Mkd2cytNNG14SlB2SUpBbXBrSlMxVUVxS1NzdXRidDNsL1A3b2U4NzMzdTdTVFRWRzNzL0hZeDdEdmVlY2UrNTE3K2Vjei92ei9ydy9B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aOWYvUU1PZk1MV29RMndBQUFBQkpSVTVFcmtKZ2dnPT0iLAoJIlRoZW1lIiA6ICIiLAoJIlR5cGUiIDogImZsb3ciLAoJIlVzZXJJZCIgOiAiNjQ3MDQ4NzQxIiwKCSJWZXJzaW9uIiA6ICIiCn0K"/>
    </extobj>
    <extobj name="ECB019B1-382A-4266-B25C-5B523AA43C14-10">
      <extobjdata type="ECB019B1-382A-4266-B25C-5B523AA43C14" data="ewoJIkZpbGVJZCIgOiAiMzU5MDk5MjY4NzYxIiwKCSJHcm91cElkIiA6ICI3MjUwMzk0MDgiLAoJIkltYWdlIiA6ICJpVkJPUncwS0dnb0FBQUFOU1VoRVVnQUFCTGNBQUFDSENBWUFBQURremJ1d0FBQUFBWE5TUjBJQXJzNGM2UUFBSUFCSlJFRlVlSnp0M1hsNFU4WDZCL0R2bkNUZFdBcWxMRUtGSWdXaDBqWkpGV1ZSNE1wMlJSUkJVRUZBdVFJdXdCWFJxL3lRSFZFVUZVVUVGRkFXVWJpS0Z4QmwwWUlzc3BRMnRZVkNvVUJaQkZvS2RGK1RNNzgvMHNTbVRicEFTMm41ZnA3SGgvU2NPZWRNWWlhVHZHZm1IWU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JS3ZRL29BQUFBSVNVUkJWRGZtL3dIKzNuTkZPNTd3TmdBQUFBQkpSVTVFcmtKZ2dnPT0iLAoJIlRoZW1lIiA6ICIiLAoJIlR5cGUiIDogImZsb3ciLAoJIlVzZXJJZCIgOiAiIiwKCSJWZXJzaW9uIiA6ICIiCn0K"/>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6F8B19-9DFF-4FCD-B966-E0ECDA1B82B0}">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147</Pages>
  <Words>51408</Words>
  <Characters>59620</Characters>
  <Lines>388</Lines>
  <Paragraphs>109</Paragraphs>
  <TotalTime>4</TotalTime>
  <ScaleCrop>false</ScaleCrop>
  <LinksUpToDate>false</LinksUpToDate>
  <CharactersWithSpaces>60018</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蒋阔</cp:lastModifiedBy>
  <cp:lastPrinted>2025-02-17T08:17:00Z</cp:lastPrinted>
  <dcterms:modified xsi:type="dcterms:W3CDTF">2025-02-26T00:45:34Z</dcterms:modified>
  <dc:title>附件2</dc:title>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387490982D7C40328978E141FE4AE7D6_13</vt:lpwstr>
  </property>
  <property fmtid="{D5CDD505-2E9C-101B-9397-08002B2CF9AE}" pid="4" name="KSOTemplateDocerSaveRecord">
    <vt:lpwstr>eyJoZGlkIjoiZTZiMmJlYTM4YjdjMTgwYzBhNzFhYzkzZDQ1YTNjZjYiLCJ1c2VySWQiOiI2NDcwNDg3NDEifQ==</vt:lpwstr>
  </property>
</Properties>
</file>