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统战部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pStyle w:val="7"/>
        <w:widowControl/>
        <w:spacing w:line="60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衡阳县科学技术协会为正科级群团组织，内设办公室，普及部，协会部。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衡阳县科学技术协会本级的主要职责是：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宣传党和国家的科技方针、政策和法律、法规，增强全民科技意识。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团结和动员科学技术工作者以经济建设为中心，坚持科学技术是第一生产力的思想，实施科技兴双战略和创新驱动发展战略，促进科学技术的繁荣和发展，为社会主义物质文明和精神文明建设服务。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促进科学技术的普及和推广，促进科学技术人才的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成长和提高，弘扬科学精神，普及科学知识，传播科学思想和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科学方法，推广先进技术，开展技术教育和技术培训，为科技工作者更新知识服务。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开展学术交流、研讨以及科技咨询服务活动，承担受委托科技项目的评估及科技成果鉴定工作。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组织实施《全民科学素质行动计划纲要》，以提升“四大重点人群”科学素质为目标，组织实施未成年人科学素质行动、农民科学素质行动、城镇劳动者科学素质行动、领导干部和公务员科学素质行动。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开展青少年科技教育，培养科技后备人才。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对所属学会（协会）进行协调、指导和管理，加强自然科学和社会科学之间的联系，对乡（镇）科协和农村专业技术协会进行业务指导。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开展横向联系和协调工作，促进县内外科学技术团体和科技工作者的友好交往及信息交流。反映科技人员的意见、愿望和要求，维护科技工作者的合法权益，成为广大科技工作者整体利益的忠实代表，充分发挥桥梁和纽带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完成县委、县人民政府和市科协交办的其他任务。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 </w:t>
      </w:r>
    </w:p>
    <w:p>
      <w:pPr>
        <w:pStyle w:val="7"/>
        <w:widowControl/>
        <w:numPr>
          <w:ilvl w:val="0"/>
          <w:numId w:val="1"/>
        </w:numPr>
        <w:spacing w:line="600" w:lineRule="exact"/>
        <w:ind w:left="21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人员编制情况</w:t>
      </w:r>
    </w:p>
    <w:p>
      <w:pPr>
        <w:pStyle w:val="7"/>
        <w:widowControl/>
        <w:numPr>
          <w:ilvl w:val="0"/>
          <w:numId w:val="0"/>
        </w:numPr>
        <w:spacing w:line="600" w:lineRule="exact"/>
        <w:ind w:left="64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共有人员编制9名，其中：行政编制9名，事业编制0名；实有在职人员8人，其中：行政人员8人，事业编0人。退休人员7人。</w:t>
      </w:r>
    </w:p>
    <w:p>
      <w:pPr>
        <w:pStyle w:val="7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7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77.26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100.28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中途预算调整及追加指标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7.54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三、部门整体支出绩效情况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县科协充分履行职责职能,严格按财经法规及制度使用、管理资金,成效明显,主要体现在以下方面：</w:t>
      </w:r>
    </w:p>
    <w:p>
      <w:pPr>
        <w:pStyle w:val="2"/>
        <w:numPr>
          <w:numId w:val="0"/>
        </w:numPr>
        <w:bidi w:val="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健全完善了组织体系。从教育、农业、卫生、工业战线选拔了优秀科技工作者到</w:t>
      </w:r>
      <w:r>
        <w:rPr>
          <w:rFonts w:hint="eastAsia" w:ascii="仿宋" w:hAnsi="仿宋" w:eastAsia="仿宋" w:cs="仿宋"/>
          <w:lang w:val="en-US" w:eastAsia="zh-CN"/>
        </w:rPr>
        <w:t>基层服务</w:t>
      </w:r>
      <w:r>
        <w:rPr>
          <w:rFonts w:hint="eastAsia" w:ascii="仿宋" w:hAnsi="仿宋" w:eastAsia="仿宋" w:cs="仿宋"/>
        </w:rPr>
        <w:t>。全面加强了党的建设。充分发挥科协作为党联系科技工作者的桥梁和纽带，努力推进全县科技进步、科学普及工作。 积极开展各项科普活动。每年结合科技三下乡、气象日、防灾减灾日、环保日、科普日等组织科普成员单位认真开展科普主题宣传活动。推进科普信息化建设。将“科普中国”APP信息员下载注册纳入全县120多个文明单位申报、复评考核的重要内容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部门整体支出绩效评价综合评价得分为9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val="en-US" w:eastAsia="zh-CN"/>
        </w:rPr>
        <w:t>7.98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分。其中，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产出指标38分、效益指标20分、成本指标20分、满意度指标10分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，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年度资金总额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9.98分。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综合绩效级别为“优”。 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（二）评价指标分析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1、年度资金总额。权重10分，得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9.98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年初预算数为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103.27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万元，全年预算数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108.9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万元，全年执行数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108.46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万元，执行率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99.75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%。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2、产出指标。权重40分，得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分别设置数量指标、质量指标和时效指标3个二级指标，以评价县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2023年度部门职责的履行情况。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（1）数量指标。满分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按照中央、省、市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工作的部署，圆满完成2023年度的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工作任务。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（2）质量指标。满分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2023年我单位在全体干部职工的共同努力下，基本完成各项工作目标和任务。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（3）时效指标。满分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本在绩效目标确定的时限内完成了各项工作。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3、效益指标。权重20分，得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eastAsia" w:eastAsia="楷体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推动中央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省市的科协工作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决策部署的落地，对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县科协工作的问题作出了贡献。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4、满意度指标。权重10分，得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社会效益明显有所提高，得到了社会大众的肯定和好评，力争服务对象非常满意，确保满意。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5.成本指标。满分20分，得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对各项目成本控制要求科学管理，做到专款专用。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</w:p>
    <w:p>
      <w:pPr>
        <w:pStyle w:val="7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4A4A4A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1、细化预算编制工作，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进一步加强内部机构的预算管理意识，严格按照预算编制的相关制度和要求，本着“勤俭节约、保障运转”的原则进行预算的编制；编制范围尽可能的全面、不漏项，进一步提高预算编制的科学性、合理性、严谨性和可控性。2、在日常预算管理过程中，进一步加强预算支出的审核、跟踪及预算执行情况分析。3、完善管理制度，进一步加强资产管理 。进一步贯彻落实中央“八项规定”和湖南省委“九条规定”，严格按照《固定资产管理办法》的规定加强固定资产管理，及时登记、更新台账，加强资产卡片管理，年终前对各类实物资产进行全面盘点，确保账账、账实相符。</w:t>
      </w:r>
    </w:p>
    <w:p>
      <w:pPr>
        <w:pStyle w:val="7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widowControl/>
        <w:numPr>
          <w:ilvl w:val="0"/>
          <w:numId w:val="0"/>
        </w:numPr>
        <w:spacing w:line="600" w:lineRule="exact"/>
        <w:ind w:left="1285" w:leftChars="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黑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Arial Unicode MS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54098367">
    <w:nsid w:val="2106DEBF"/>
    <w:multiLevelType w:val="singleLevel"/>
    <w:tmpl w:val="2106DEBF"/>
    <w:lvl w:ilvl="0" w:tentative="1">
      <w:start w:val="2"/>
      <w:numFmt w:val="chineseCounting"/>
      <w:suff w:val="nothing"/>
      <w:lvlText w:val="（%1）"/>
      <w:lvlJc w:val="left"/>
      <w:pPr>
        <w:ind w:left="-430"/>
      </w:pPr>
      <w:rPr>
        <w:rFonts w:hint="eastAsia"/>
      </w:rPr>
    </w:lvl>
  </w:abstractNum>
  <w:num w:numId="1">
    <w:abstractNumId w:val="5540983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DE4NzQ0NmI3ZTZhZTliNTNjNWMzODM5OWUyMTQifQ=="/>
    <w:docVar w:name="KSO_WPS_MARK_KEY" w:val="7d942399-6340-47f7-a5f1-6387195a8f6a"/>
  </w:docVars>
  <w:rsids>
    <w:rsidRoot w:val="4C43681B"/>
    <w:rsid w:val="02D67969"/>
    <w:rsid w:val="068B5B47"/>
    <w:rsid w:val="09146FE7"/>
    <w:rsid w:val="1A086B2F"/>
    <w:rsid w:val="1DE275E2"/>
    <w:rsid w:val="1DEF1689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C0B6651"/>
    <w:rsid w:val="3D0160AB"/>
    <w:rsid w:val="3E2D187A"/>
    <w:rsid w:val="4C43681B"/>
    <w:rsid w:val="4C923160"/>
    <w:rsid w:val="4E54656B"/>
    <w:rsid w:val="515651ED"/>
    <w:rsid w:val="519A5C81"/>
    <w:rsid w:val="530A6BC2"/>
    <w:rsid w:val="55944FFF"/>
    <w:rsid w:val="57822FC7"/>
    <w:rsid w:val="58EA42F7"/>
    <w:rsid w:val="592917C1"/>
    <w:rsid w:val="5DDF7AE8"/>
    <w:rsid w:val="60067FC1"/>
    <w:rsid w:val="60A52F4C"/>
    <w:rsid w:val="636E0C34"/>
    <w:rsid w:val="65FF6A17"/>
    <w:rsid w:val="6778080A"/>
    <w:rsid w:val="687115B5"/>
    <w:rsid w:val="6C2E7CD3"/>
    <w:rsid w:val="6CB461FC"/>
    <w:rsid w:val="6DC431FB"/>
    <w:rsid w:val="6EDB565C"/>
    <w:rsid w:val="776C076D"/>
    <w:rsid w:val="7B88713B"/>
    <w:rsid w:val="7FA148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912</Characters>
  <Lines>0</Lines>
  <Paragraphs>0</Paragraphs>
  <ScaleCrop>false</ScaleCrop>
  <LinksUpToDate>false</LinksUpToDate>
  <CharactersWithSpaces>921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Administrator</cp:lastModifiedBy>
  <cp:lastPrinted>2024-05-07T09:27:00Z</cp:lastPrinted>
  <dcterms:modified xsi:type="dcterms:W3CDTF">2024-05-08T01:53:25Z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02D5061B768C420784F0E3588E6A3D0A</vt:lpwstr>
  </property>
</Properties>
</file>