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  <w:lang w:eastAsia="zh-CN"/>
        </w:rPr>
      </w:pPr>
      <w:bookmarkStart w:id="0" w:name="bookmark0"/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衡阳县部门整体支出绩效自评报告</w:t>
      </w:r>
    </w:p>
    <w:p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 20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</w:t>
      </w:r>
      <w:r>
        <w:rPr>
          <w:rFonts w:hint="default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年度 ）</w:t>
      </w:r>
    </w:p>
    <w:p/>
    <w:p/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部门(单位)名称：  </w:t>
      </w:r>
      <w:r>
        <w:rPr>
          <w:rFonts w:hint="eastAsia" w:ascii="仿宋_GB2312" w:eastAsia="仿宋_GB2312"/>
          <w:sz w:val="32"/>
          <w:szCs w:val="32"/>
          <w:lang w:eastAsia="zh-CN"/>
        </w:rPr>
        <w:t>衡阳县医疗保障局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预算编码：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704001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评价方式：部门（单位）自评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中介机构评价□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评价机构：部门（单位）评价组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中介机构□</w:t>
      </w:r>
    </w:p>
    <w:p/>
    <w:p/>
    <w:p/>
    <w:p/>
    <w:p/>
    <w:p/>
    <w:p/>
    <w:p/>
    <w:p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报告日期：    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 年 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3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3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p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衡阳县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医疗保障局202</w:t>
      </w:r>
      <w:r>
        <w:rPr>
          <w:rFonts w:hint="default" w:ascii="方正小标宋_GBK" w:eastAsia="方正小标宋_GBK"/>
          <w:sz w:val="40"/>
          <w:szCs w:val="40"/>
          <w:lang w:val="en-US" w:eastAsia="zh-CN"/>
        </w:rPr>
        <w:t>3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年</w:t>
      </w:r>
      <w:r>
        <w:rPr>
          <w:rFonts w:hint="eastAsia" w:ascii="方正小标宋_GBK" w:eastAsia="方正小标宋_GBK"/>
          <w:sz w:val="40"/>
          <w:szCs w:val="40"/>
        </w:rPr>
        <w:t>部门整体支出</w:t>
      </w:r>
    </w:p>
    <w:p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绩效自评报告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pStyle w:val="10"/>
        <w:spacing w:line="605" w:lineRule="exact"/>
        <w:ind w:firstLine="801" w:firstLineChars="266"/>
        <w:jc w:val="both"/>
      </w:pPr>
      <w:r>
        <w:rPr>
          <w:b/>
          <w:bCs/>
        </w:rPr>
        <w:t>一</w:t>
      </w:r>
      <w:bookmarkEnd w:id="0"/>
      <w:r>
        <w:rPr>
          <w:b/>
          <w:bCs/>
        </w:rPr>
        <w:t>、</w:t>
      </w:r>
      <w:r>
        <w:rPr>
          <w:rFonts w:hint="eastAsia"/>
          <w:b/>
          <w:bCs/>
          <w:lang w:eastAsia="zh-CN"/>
        </w:rPr>
        <w:t>单位</w:t>
      </w:r>
      <w:r>
        <w:rPr>
          <w:b/>
          <w:bCs/>
        </w:rPr>
        <w:t>基本情况</w:t>
      </w:r>
    </w:p>
    <w:p>
      <w:pPr>
        <w:spacing w:line="60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1" w:name="bookmark1"/>
      <w:r>
        <w:rPr>
          <w:rFonts w:hint="eastAsia" w:ascii="楷体" w:hAnsi="楷体" w:eastAsia="楷体" w:cs="楷体"/>
          <w:sz w:val="32"/>
          <w:szCs w:val="32"/>
        </w:rPr>
        <w:t>（一）机构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设置情况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1、局</w:t>
      </w:r>
      <w:r>
        <w:rPr>
          <w:rFonts w:hint="eastAsia" w:ascii="仿宋" w:hAnsi="仿宋" w:eastAsia="仿宋" w:cs="仿宋"/>
          <w:sz w:val="32"/>
          <w:szCs w:val="32"/>
        </w:rPr>
        <w:t>机关共有内设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个：办公室、规划财务股、待遇保障股、医疗价格服务管理股、基金监管股、组织人事股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2、局</w:t>
      </w:r>
      <w:r>
        <w:rPr>
          <w:rFonts w:hint="eastAsia" w:ascii="仿宋" w:hAnsi="仿宋" w:eastAsia="仿宋" w:cs="仿宋"/>
          <w:sz w:val="32"/>
          <w:szCs w:val="32"/>
        </w:rPr>
        <w:t>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下属二级</w:t>
      </w:r>
      <w:r>
        <w:rPr>
          <w:rFonts w:hint="eastAsia" w:ascii="仿宋" w:hAnsi="仿宋" w:eastAsia="仿宋" w:cs="仿宋"/>
          <w:sz w:val="32"/>
          <w:szCs w:val="32"/>
        </w:rPr>
        <w:t>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：衡阳县医疗保障事务中心（副科级）。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3、受监管机构：衡阳县人民政府。</w:t>
      </w:r>
    </w:p>
    <w:p>
      <w:pPr>
        <w:pStyle w:val="2"/>
        <w:rPr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 w:bidi="en-US"/>
        </w:rPr>
        <w:t>（二）人员编制情况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编制人数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人，在职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人，其中：医保局机关在职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人，医保基金监管中心在职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人，医疗保障信息中心在职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人。医保局机关退休人员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人。</w:t>
      </w:r>
    </w:p>
    <w:p>
      <w:pPr>
        <w:spacing w:line="600" w:lineRule="exact"/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（三）主要职责职能</w:t>
      </w:r>
    </w:p>
    <w:bookmarkEnd w:id="1"/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1、贯彻执行国家、省、市有关职工、城乡居民、生育、医疗救助的法律法规和政策，并组织实施。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2、建立健全医疗保障基金安全防控机制，推进医疗保障基金支付方式改革。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3、执行和配合国家、省、市药品和医用耗材的采购以及医疗服务项目、医疗服务设施的定价，对医疗机构的设备设施招标采购的监督。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4、指导和监督经办机构开展医疗保障业务工作。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5、推进医疗、医保、医药“三医联动”改革，保障人民群众就医要求，减轻医药费负担。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6、完成县委、政府及上级主管部门交办的其他任务。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（四）绩效目标设定情况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在本年度收支预算内，确保完成以下整体目标：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1、抓征缴，巩固提高参保率。城乡居民医保参保人数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0000人，贫困人员参保人数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000人，城镇职工医保参保人数52490人。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2、深化医保支付方式改革。</w:t>
      </w:r>
    </w:p>
    <w:p>
      <w:pPr>
        <w:spacing w:line="60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3、加强医保基金监管。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4、抓保障，维护参保群众利益。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年实际完成情况：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目标1：全部完成。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目标2：药品集采、新版药品目录及医用耗材集采工作、医疗服务价格修订和支付改革政策全部完成。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目标3：积极开展了“打击欺诈骗保套保挪用贪占医保基金集中整治”活动，效果明显。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目标4：全面落实医保待遇，确保参保群众应享尽享；巩固拓展医保扶贫，有效衔接乡村振兴战略。</w:t>
      </w:r>
    </w:p>
    <w:p>
      <w:pPr>
        <w:spacing w:line="60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一般公共预算支出情况</w:t>
      </w:r>
    </w:p>
    <w:p>
      <w:pPr>
        <w:spacing w:line="60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经批复的预、决算情况</w:t>
      </w:r>
    </w:p>
    <w:p>
      <w:pPr>
        <w:spacing w:line="600" w:lineRule="exact"/>
        <w:ind w:firstLine="643" w:firstLineChars="2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1.部门预算收支情况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年，本部门年初预算收入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233.11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万元，其中：一般公共预算财政拨款收入年初预算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233.11</w:t>
      </w:r>
      <w:r>
        <w:rPr>
          <w:rFonts w:hint="eastAsia" w:ascii="仿宋" w:hAnsi="仿宋" w:eastAsia="仿宋" w:cs="仿宋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；202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年年中调整部分指标增拨一般财政拨款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372.1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万元，其他收入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4.9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年当年收入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610.11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万元；上年度财政指标结转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万元；全年收入总计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610.11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万元。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年，本部门年初预算支出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233.11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万元，其中：基本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支出</w:t>
      </w:r>
      <w:r>
        <w:rPr>
          <w:rFonts w:hint="eastAsia" w:ascii="仿宋" w:hAnsi="仿宋" w:eastAsia="仿宋" w:cs="仿宋"/>
          <w:bCs/>
          <w:sz w:val="32"/>
          <w:szCs w:val="32"/>
        </w:rPr>
        <w:t>年初预算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233.11</w:t>
      </w:r>
      <w:r>
        <w:rPr>
          <w:rFonts w:hint="eastAsia" w:ascii="仿宋" w:hAnsi="仿宋" w:eastAsia="仿宋" w:cs="仿宋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，无项目支出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年全年支出总计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610.11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年末一般公共预算财政拨款结余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3" w:firstLineChars="2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2.部门决算情况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年收入</w:t>
      </w:r>
      <w:bookmarkStart w:id="2" w:name="OLE_LINK1"/>
      <w:r>
        <w:rPr>
          <w:rFonts w:hint="eastAsia" w:ascii="仿宋" w:hAnsi="仿宋" w:eastAsia="仿宋" w:cs="仿宋"/>
          <w:bCs/>
          <w:sz w:val="32"/>
          <w:szCs w:val="32"/>
        </w:rPr>
        <w:t>实际</w:t>
      </w:r>
      <w:bookmarkEnd w:id="2"/>
      <w:r>
        <w:rPr>
          <w:rFonts w:hint="eastAsia" w:ascii="仿宋" w:hAnsi="仿宋" w:eastAsia="仿宋" w:cs="仿宋"/>
          <w:bCs/>
          <w:sz w:val="32"/>
          <w:szCs w:val="32"/>
        </w:rPr>
        <w:t>完成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610.11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万元，其中：一般公共预算财政拨款收入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605.21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万元，其他收入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4.9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上年度财政指标结转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</w:p>
    <w:p>
      <w:pPr>
        <w:numPr>
          <w:ilvl w:val="0"/>
          <w:numId w:val="1"/>
        </w:numPr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部门预算执行情况</w:t>
      </w:r>
    </w:p>
    <w:p>
      <w:pPr>
        <w:spacing w:line="600" w:lineRule="exact"/>
        <w:ind w:firstLine="480" w:firstLineChars="20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本年度基本支出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610.11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经费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230.92</w:t>
      </w:r>
      <w:r>
        <w:rPr>
          <w:rFonts w:hint="eastAsia" w:ascii="仿宋" w:hAnsi="仿宋" w:eastAsia="仿宋" w:cs="仿宋"/>
          <w:bCs/>
          <w:sz w:val="32"/>
          <w:szCs w:val="32"/>
        </w:rPr>
        <w:t>万元，日常公用经费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379.19</w:t>
      </w:r>
      <w:r>
        <w:rPr>
          <w:rFonts w:hint="eastAsia" w:ascii="仿宋" w:hAnsi="仿宋" w:eastAsia="仿宋" w:cs="仿宋"/>
          <w:bCs/>
          <w:sz w:val="32"/>
          <w:szCs w:val="32"/>
        </w:rPr>
        <w:t>万元。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具体情况为：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年，本部门实际支出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610.11</w:t>
      </w:r>
      <w:r>
        <w:rPr>
          <w:rFonts w:hint="eastAsia" w:ascii="仿宋" w:hAnsi="仿宋" w:eastAsia="仿宋" w:cs="仿宋"/>
          <w:bCs/>
          <w:sz w:val="32"/>
          <w:szCs w:val="32"/>
        </w:rPr>
        <w:t>万元，按</w:t>
      </w:r>
      <w:r>
        <w:rPr>
          <w:rFonts w:ascii="仿宋" w:hAnsi="仿宋" w:eastAsia="仿宋" w:cs="仿宋"/>
          <w:bCs/>
          <w:sz w:val="32"/>
          <w:szCs w:val="32"/>
        </w:rPr>
        <w:t>支出</w:t>
      </w:r>
      <w:r>
        <w:rPr>
          <w:rFonts w:hint="eastAsia" w:ascii="仿宋" w:hAnsi="仿宋" w:eastAsia="仿宋" w:cs="仿宋"/>
          <w:bCs/>
          <w:sz w:val="32"/>
          <w:szCs w:val="32"/>
        </w:rPr>
        <w:t>资金</w:t>
      </w:r>
      <w:r>
        <w:rPr>
          <w:rFonts w:ascii="仿宋" w:hAnsi="仿宋" w:eastAsia="仿宋" w:cs="仿宋"/>
          <w:bCs/>
          <w:sz w:val="32"/>
          <w:szCs w:val="32"/>
        </w:rPr>
        <w:t>分类</w:t>
      </w:r>
      <w:r>
        <w:rPr>
          <w:rFonts w:hint="eastAsia" w:ascii="仿宋" w:hAnsi="仿宋" w:eastAsia="仿宋" w:cs="仿宋"/>
          <w:bCs/>
          <w:sz w:val="32"/>
          <w:szCs w:val="32"/>
        </w:rPr>
        <w:t>：基本支出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610.11</w:t>
      </w:r>
      <w:r>
        <w:rPr>
          <w:rFonts w:hint="eastAsia" w:ascii="仿宋" w:hAnsi="仿宋" w:eastAsia="仿宋" w:cs="仿宋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，无经营支出；</w:t>
      </w:r>
      <w:r>
        <w:rPr>
          <w:rFonts w:hint="eastAsia" w:ascii="仿宋" w:hAnsi="仿宋" w:eastAsia="仿宋" w:cs="仿宋"/>
          <w:bCs/>
          <w:sz w:val="32"/>
          <w:szCs w:val="32"/>
        </w:rPr>
        <w:t>按支出明细分类：</w:t>
      </w:r>
      <w:r>
        <w:rPr>
          <w:rFonts w:ascii="仿宋" w:hAnsi="仿宋" w:eastAsia="仿宋"/>
          <w:bCs/>
          <w:sz w:val="32"/>
          <w:szCs w:val="32"/>
        </w:rPr>
        <w:t>工资福利支出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230.92</w:t>
      </w:r>
      <w:r>
        <w:rPr>
          <w:rFonts w:ascii="仿宋" w:hAnsi="仿宋" w:eastAsia="仿宋"/>
          <w:bCs/>
          <w:sz w:val="32"/>
          <w:szCs w:val="32"/>
        </w:rPr>
        <w:t>万元，商品和服务支出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379.19</w:t>
      </w:r>
      <w:r>
        <w:rPr>
          <w:rFonts w:ascii="仿宋" w:hAnsi="仿宋" w:eastAsia="仿宋"/>
          <w:bCs/>
          <w:sz w:val="32"/>
          <w:szCs w:val="32"/>
        </w:rPr>
        <w:t>万元，对个人和家庭的补助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Cs/>
          <w:sz w:val="32"/>
          <w:szCs w:val="32"/>
        </w:rPr>
        <w:t>万元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年末结转和结余情况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年年初结转结余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末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结转结余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“三公”经费使用和管理情况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“三公”经费年初预算</w:t>
      </w:r>
      <w:bookmarkStart w:id="3" w:name="OLE_LINK2"/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TW"/>
        </w:rPr>
        <w:t>0.89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万元</w:t>
      </w:r>
      <w:bookmarkEnd w:id="3"/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，实际支出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  <w:t>0.89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TW" w:eastAsia="zh-CN" w:bidi="zh-TW"/>
          <w14:textFill>
            <w14:solidFill>
              <w14:schemeClr w14:val="tx1"/>
            </w14:solidFill>
          </w14:textFill>
        </w:rPr>
        <w:t>万元（其中：公务接待费支出</w:t>
      </w:r>
      <w:r>
        <w:rPr>
          <w:rFonts w:hint="default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0.89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，本单位无公车，无因公出国费用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“三公”经费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预算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2.49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万元，“三公”经费实际支出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2.49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。年初预算本年数与上年数比降低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64.26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%，实际支出本年数与上年数比减少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64.26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%，严格执行中央八项规定，严控“三公经费”支出。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支出：</w:t>
      </w:r>
      <w:r>
        <w:rPr>
          <w:rFonts w:hint="eastAsia" w:ascii="仿宋" w:hAnsi="仿宋" w:eastAsia="仿宋" w:cs="仿宋"/>
          <w:bCs/>
          <w:sz w:val="32"/>
          <w:szCs w:val="32"/>
        </w:rPr>
        <w:t>本单位无项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bCs/>
          <w:sz w:val="32"/>
          <w:szCs w:val="32"/>
        </w:rPr>
        <w:t>资金。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3.部门（单位）专项组织实施情况。本单位无专项资金。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4.经营支出</w:t>
      </w:r>
      <w:r>
        <w:rPr>
          <w:rFonts w:ascii="仿宋" w:hAnsi="仿宋" w:eastAsia="仿宋" w:cs="仿宋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本单位无经营支出</w:t>
      </w:r>
      <w:r>
        <w:rPr>
          <w:rFonts w:ascii="仿宋" w:hAnsi="仿宋" w:eastAsia="仿宋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5、其他收入支出：本年度其他收入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4.9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万元；无其他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支出</w:t>
      </w:r>
      <w:r>
        <w:rPr>
          <w:rFonts w:ascii="仿宋" w:hAnsi="仿宋" w:eastAsia="仿宋" w:cs="仿宋"/>
          <w:bCs/>
          <w:sz w:val="32"/>
          <w:szCs w:val="32"/>
        </w:rPr>
        <w:t>。</w:t>
      </w:r>
    </w:p>
    <w:p>
      <w:pPr>
        <w:pStyle w:val="10"/>
        <w:spacing w:line="608" w:lineRule="exact"/>
        <w:ind w:firstLine="0"/>
        <w:jc w:val="both"/>
        <w:rPr>
          <w:rFonts w:ascii="黑体" w:hAnsi="黑体" w:eastAsia="黑体" w:cs="黑体"/>
          <w:sz w:val="32"/>
          <w:szCs w:val="32"/>
        </w:rPr>
      </w:pPr>
      <w:bookmarkStart w:id="4" w:name="bookmark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 xml:space="preserve">  </w:t>
      </w:r>
      <w:bookmarkEnd w:id="4"/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>（五）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部门整体支出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>管理与制度建设情况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制定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预算绩效管理的相关制度和办法，成立了绩效管理工作领导小组，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党组书记唐春晖总揽，王保国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任组长，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麻晓林、邓华龙、邹运庚任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副组长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，王娟、谢显银、邹才兵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等人为成员，负责制定预算绩效管理办法，管理事业经费、行政经费、编制预算、决算，对执行和绩效情况实行监督管理；协调有关部门对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医保工作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经费使用实行监管并组织资金绩效评估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。各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股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室全程参与、协调预算绩效管理工作，同时提供开展预算绩效管理所需的相关执行数据和情况。配合牵头部</w:t>
      </w:r>
      <w:r>
        <w:rPr>
          <w:rFonts w:hint="eastAsia" w:ascii="仿宋" w:hAnsi="仿宋" w:eastAsia="仿宋" w:cs="仿宋"/>
          <w:color w:val="000000"/>
          <w:spacing w:val="1"/>
          <w:sz w:val="33"/>
          <w:szCs w:val="33"/>
          <w:lang w:val="en-US" w:eastAsia="en-US" w:bidi="ar-SA"/>
        </w:rPr>
        <w:t>门做好单位的绩效目标、绩效跟踪、绩效评价和结果运用等管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理工作。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做到了管理制度健全、资金使用合规，并且预决算和基础信息在衡阳县党政门户网上公开。</w:t>
      </w:r>
    </w:p>
    <w:p>
      <w:pPr>
        <w:numPr>
          <w:ilvl w:val="0"/>
          <w:numId w:val="0"/>
        </w:numPr>
        <w:snapToGrid w:val="0"/>
        <w:spacing w:line="520" w:lineRule="exact"/>
        <w:ind w:left="640" w:left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三、</w:t>
      </w:r>
      <w:r>
        <w:rPr>
          <w:rFonts w:hint="eastAsia" w:eastAsia="黑体"/>
          <w:sz w:val="32"/>
          <w:szCs w:val="32"/>
        </w:rPr>
        <w:t>政府性基金预算支出情况</w:t>
      </w:r>
    </w:p>
    <w:p>
      <w:pPr>
        <w:numPr>
          <w:ilvl w:val="0"/>
          <w:numId w:val="0"/>
        </w:numPr>
        <w:snapToGrid w:val="0"/>
        <w:spacing w:line="520" w:lineRule="exact"/>
        <w:ind w:left="64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snapToGrid w:val="0"/>
        <w:spacing w:line="520" w:lineRule="exact"/>
        <w:ind w:left="640" w:leftChars="0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四、国有资本经营预算支出情况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napToGrid w:val="0"/>
        <w:spacing w:line="520" w:lineRule="exact"/>
        <w:ind w:left="640" w:left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社会保险基金预算支出情况</w:t>
      </w:r>
    </w:p>
    <w:p>
      <w:pPr>
        <w:snapToGrid w:val="0"/>
        <w:spacing w:line="52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napToGrid w:val="0"/>
        <w:spacing w:line="520" w:lineRule="exact"/>
        <w:ind w:left="640" w:leftChars="0" w:firstLine="0" w:firstLine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部门整体支出绩效情况</w:t>
      </w:r>
    </w:p>
    <w:p>
      <w:pPr>
        <w:pStyle w:val="6"/>
        <w:spacing w:before="196" w:line="222" w:lineRule="auto"/>
        <w:outlineLvl w:val="0"/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b/>
          <w:bCs/>
          <w:spacing w:val="6"/>
        </w:rPr>
        <w:t>(一)综合评价结论</w:t>
      </w:r>
    </w:p>
    <w:p>
      <w:pPr>
        <w:pStyle w:val="6"/>
        <w:spacing w:before="205" w:line="330" w:lineRule="auto"/>
        <w:ind w:right="123"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 xml:space="preserve">经过绩效管理小组自评，本部门年初预算收入233.11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万元，年中调整部分指标增拨一般财政拨款372.09万元， 其他收入4.9万元，2023年当年收入610.1万元；上年度财政指标结转0万元；全年收入总计610.1元。2023年全年支出总计610.1万元。执行率100%,得分10分；各项绩效指标反映在数量、质量、时效、成本方面指标值上均达到我局年初制定的计划数，得分80分；在社会公众或服务对象满 意度指标值上，我局做到了服务质量好、工作水平高，社会 公众或服务对象满意度达到95%以上，得分9分；自评总得分99分，评价等级为优秀。</w:t>
      </w:r>
    </w:p>
    <w:p>
      <w:pPr>
        <w:pStyle w:val="6"/>
        <w:spacing w:before="196" w:line="222" w:lineRule="auto"/>
        <w:ind w:firstLine="643" w:firstLineChars="200"/>
        <w:outlineLvl w:val="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en-US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en-US"/>
        </w:rPr>
        <w:t>(二)综合评价指标分析</w:t>
      </w:r>
    </w:p>
    <w:p>
      <w:pPr>
        <w:pStyle w:val="6"/>
        <w:spacing w:before="205" w:line="330" w:lineRule="auto"/>
        <w:ind w:right="123"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1、部门资金情况总分10分，得分10分。年度资金金 额610.11万元，执行率为100%。</w:t>
      </w:r>
    </w:p>
    <w:p>
      <w:pPr>
        <w:pStyle w:val="6"/>
        <w:spacing w:before="205" w:line="330" w:lineRule="auto"/>
        <w:ind w:left="107" w:right="123" w:firstLine="959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sectPr>
          <w:pgSz w:w="12080" w:h="16950"/>
          <w:pgMar w:top="1440" w:right="1735" w:bottom="1440" w:left="1812" w:header="0" w:footer="0" w:gutter="0"/>
          <w:cols w:space="720" w:num="1"/>
        </w:sectPr>
      </w:pPr>
    </w:p>
    <w:p>
      <w:pPr>
        <w:pStyle w:val="6"/>
        <w:spacing w:before="205" w:line="330" w:lineRule="auto"/>
        <w:ind w:right="123"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2、产出及效益指标总分为90分，得分89分，主要情况如下：</w:t>
      </w:r>
    </w:p>
    <w:p>
      <w:pPr>
        <w:pStyle w:val="6"/>
        <w:spacing w:before="205" w:line="330" w:lineRule="auto"/>
        <w:ind w:right="123" w:firstLine="640" w:firstLineChars="200"/>
        <w:rPr>
          <w:rFonts w:hint="default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(1)产出指标</w:t>
      </w:r>
      <w:r>
        <w:rPr>
          <w:rFonts w:hint="eastAsia" w:cs="仿宋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成本指标总分为</w:t>
      </w:r>
      <w:r>
        <w:rPr>
          <w:rFonts w:hint="default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50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分，得分</w:t>
      </w:r>
      <w:r>
        <w:rPr>
          <w:rFonts w:hint="default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5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0分。一是数量指标3 个均完成指标值；二是质量指标2个均完成指标值；三是时效指标1个均完成指标值。</w:t>
      </w:r>
      <w:r>
        <w:rPr>
          <w:rFonts w:hint="eastAsia" w:cs="仿宋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>四是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经济成本指标的经济总成本 均控制在预算内，未突破预算。</w:t>
      </w:r>
    </w:p>
    <w:p>
      <w:pPr>
        <w:pStyle w:val="6"/>
        <w:spacing w:before="205" w:line="330" w:lineRule="auto"/>
        <w:ind w:right="123"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(2)效益指标总分</w:t>
      </w:r>
      <w:r>
        <w:rPr>
          <w:rFonts w:hint="default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3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0分，得分</w:t>
      </w:r>
      <w:r>
        <w:rPr>
          <w:rFonts w:hint="default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3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0分。一是经济效益方面， 维持了基金收支平衡，略有结余。二是社会效益方面，保障 了广大参保人员的医疗待遇，维护了社会的稳定。三是可持续影响指标方面，体现政策导向，长期保障工作平稳运行。</w:t>
      </w:r>
    </w:p>
    <w:p>
      <w:pPr>
        <w:pStyle w:val="6"/>
        <w:spacing w:before="205" w:line="330" w:lineRule="auto"/>
        <w:ind w:right="123"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</w:pPr>
      <w:r>
        <w:rPr>
          <w:rFonts w:hint="eastAsia" w:cs="仿宋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>（</w:t>
      </w:r>
      <w:r>
        <w:rPr>
          <w:rFonts w:hint="default" w:cs="仿宋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>3</w:t>
      </w:r>
      <w:r>
        <w:rPr>
          <w:rFonts w:hint="eastAsia" w:cs="仿宋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满意度指标总分为10分，得分9分。我们一是简化精 减办事环节。二是明确规定办结时限。三是锐减群众办事成 本。推行“一条龙服务”、“一站式办结”、“一次式办完”, 让群众少跑腿，让信息多跑路。四是实行节假日窗口经办服 务“不打烊”,真正方便了办事群众，深受社会广泛赞誉，被国家医保局选为经典案例。做到服务群众“加时”、节假 日“加班”。节假日医保经办服务加班、值班“不打烊”,  如元旦、春节、清明、五一、端午、国庆、中秋等节假日安 排窗口工作人员轮流值班上班，后再补休。解决群众平常无 时间来办事，节假日有时间而政务中心又无人办事的问题； 五是政务服务“加速”。群众可以通过电话、微信、短信、 网上预约，窗口工作人员可以根据群众预约的事项在次日上班前或周六、周日进行办理。全心全意优化服务，提升了参保群众幸福指数。</w:t>
      </w:r>
    </w:p>
    <w:p>
      <w:pPr>
        <w:pStyle w:val="10"/>
        <w:spacing w:after="60" w:line="603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10"/>
        <w:spacing w:after="60" w:line="603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、存在的主要问题</w:t>
      </w:r>
    </w:p>
    <w:p>
      <w:pPr>
        <w:pStyle w:val="7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bookmarkStart w:id="5" w:name="bookmark12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、由于工作经费下达较晚，绩效管理中存在支出不均衡，存在集中</w:t>
      </w:r>
      <w:bookmarkStart w:id="8" w:name="_GoBack"/>
      <w:bookmarkEnd w:id="8"/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在某一段时间支出的情况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>
      <w:pPr>
        <w:pStyle w:val="7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局一般公共预算太</w:t>
      </w:r>
      <w:r>
        <w:rPr>
          <w:rFonts w:hint="eastAsia" w:ascii="仿宋" w:hAnsi="仿宋" w:eastAsia="仿宋" w:cs="仿宋"/>
          <w:kern w:val="2"/>
          <w:sz w:val="32"/>
          <w:szCs w:val="32"/>
        </w:rPr>
        <w:t>低，特别是一般性公用支出部分的基数标准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低；专项工作经费没有纳入财政年初预算；</w:t>
      </w:r>
      <w:r>
        <w:rPr>
          <w:rFonts w:hint="eastAsia" w:ascii="仿宋" w:hAnsi="仿宋" w:eastAsia="仿宋" w:cs="仿宋"/>
          <w:kern w:val="2"/>
          <w:sz w:val="32"/>
          <w:szCs w:val="32"/>
        </w:rPr>
        <w:t>公用经费控制有一定难度，基本为刚性支出。</w:t>
      </w:r>
    </w:p>
    <w:bookmarkEnd w:id="5"/>
    <w:p>
      <w:pPr>
        <w:pStyle w:val="10"/>
        <w:tabs>
          <w:tab w:val="left" w:pos="1258"/>
        </w:tabs>
        <w:spacing w:line="598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、下一步改进措施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>
      <w:pPr>
        <w:pStyle w:val="7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bookmarkStart w:id="6" w:name="bookmark13"/>
      <w:r>
        <w:rPr>
          <w:rFonts w:hint="eastAsia" w:ascii="仿宋" w:hAnsi="仿宋" w:eastAsia="仿宋" w:cs="仿宋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加强对单位财务人员的培训力度，充实业务知识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pStyle w:val="7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在原有的财政部门预算基础上适当调高我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kern w:val="2"/>
          <w:sz w:val="32"/>
          <w:szCs w:val="32"/>
        </w:rPr>
        <w:t>的行政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kern w:val="2"/>
          <w:sz w:val="32"/>
          <w:szCs w:val="32"/>
        </w:rPr>
        <w:t>经费基数标准，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将打击欺诈骗取医保基金行为</w:t>
      </w:r>
      <w:r>
        <w:rPr>
          <w:rFonts w:hint="eastAsia" w:ascii="仿宋" w:hAnsi="仿宋" w:eastAsia="仿宋" w:cs="仿宋"/>
          <w:kern w:val="2"/>
          <w:sz w:val="32"/>
          <w:szCs w:val="32"/>
        </w:rPr>
        <w:t>等相关工作经费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纳入财政年初预算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bookmarkEnd w:id="6"/>
    <w:p>
      <w:pPr>
        <w:pStyle w:val="10"/>
        <w:tabs>
          <w:tab w:val="left" w:pos="1258"/>
        </w:tabs>
        <w:spacing w:line="599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其他需要说明的情况</w:t>
      </w:r>
    </w:p>
    <w:p>
      <w:pPr>
        <w:pStyle w:val="10"/>
        <w:spacing w:line="598" w:lineRule="exact"/>
        <w:ind w:firstLine="62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pStyle w:val="10"/>
        <w:spacing w:line="598" w:lineRule="exact"/>
        <w:ind w:firstLine="62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10"/>
        <w:spacing w:line="598" w:lineRule="exact"/>
        <w:ind w:firstLine="6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</w:t>
      </w:r>
      <w:r>
        <w:rPr>
          <w:rFonts w:hint="eastAsia" w:ascii="仿宋" w:hAnsi="仿宋" w:eastAsia="仿宋" w:cs="仿宋"/>
          <w:sz w:val="32"/>
          <w:szCs w:val="32"/>
        </w:rPr>
        <w:t>、部门整体支出绩效评价基础数据表</w:t>
      </w:r>
      <w:bookmarkStart w:id="7" w:name="bookmark14"/>
    </w:p>
    <w:p>
      <w:pPr>
        <w:pStyle w:val="10"/>
        <w:spacing w:line="600" w:lineRule="exact"/>
        <w:ind w:firstLine="113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1-</w:t>
      </w:r>
      <w:r>
        <w:rPr>
          <w:rFonts w:hint="eastAsia" w:ascii="仿宋" w:hAnsi="仿宋" w:eastAsia="仿宋" w:cs="仿宋"/>
          <w:sz w:val="32"/>
          <w:szCs w:val="32"/>
        </w:rPr>
        <w:t>2</w:t>
      </w:r>
      <w:bookmarkEnd w:id="7"/>
      <w:r>
        <w:rPr>
          <w:rFonts w:hint="eastAsia" w:ascii="仿宋" w:hAnsi="仿宋" w:eastAsia="仿宋" w:cs="仿宋"/>
          <w:sz w:val="32"/>
          <w:szCs w:val="32"/>
        </w:rPr>
        <w:t>、部门整体支出绩效自评表</w:t>
      </w:r>
    </w:p>
    <w:p>
      <w:pPr>
        <w:pStyle w:val="6"/>
        <w:spacing w:before="107" w:line="329" w:lineRule="auto"/>
        <w:ind w:left="228" w:right="176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en-US" w:bidi="en-US"/>
        </w:rPr>
        <w:sectPr>
          <w:pgSz w:w="12410" w:h="17180"/>
          <w:pgMar w:top="1460" w:right="1861" w:bottom="0" w:left="1861" w:header="0" w:footer="0" w:gutter="0"/>
          <w:cols w:space="720" w:num="1"/>
        </w:sectPr>
      </w:pPr>
    </w:p>
    <w:p>
      <w:pPr>
        <w:ind w:left="1280" w:hanging="1280" w:hangingChars="400"/>
        <w:rPr>
          <w:rFonts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eastAsia="仿宋"/>
          <w:sz w:val="32"/>
          <w:szCs w:val="32"/>
          <w:lang w:eastAsia="zh-CN"/>
        </w:rPr>
        <w:t xml:space="preserve">1-1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 xml:space="preserve">                                                                                                                     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hint="default" w:eastAsia="仿宋_GB2312"/>
          <w:sz w:val="20"/>
          <w:szCs w:val="20"/>
          <w:lang w:val="en-US"/>
        </w:rPr>
      </w:pPr>
      <w:r>
        <w:rPr>
          <w:rFonts w:hint="eastAsia"/>
          <w:sz w:val="20"/>
          <w:szCs w:val="20"/>
        </w:rPr>
        <w:t>填报单位：</w:t>
      </w:r>
      <w:r>
        <w:rPr>
          <w:rFonts w:hint="eastAsia"/>
          <w:sz w:val="20"/>
          <w:szCs w:val="20"/>
          <w:lang w:eastAsia="zh-CN"/>
        </w:rPr>
        <w:t>衡阳县医疗保障局</w:t>
      </w:r>
      <w:r>
        <w:rPr>
          <w:rFonts w:hint="eastAsia"/>
          <w:sz w:val="20"/>
          <w:szCs w:val="20"/>
        </w:rPr>
        <w:tab/>
      </w:r>
      <w:r>
        <w:rPr>
          <w:rFonts w:hint="eastAsia" w:eastAsia="宋体"/>
          <w:sz w:val="20"/>
          <w:szCs w:val="20"/>
          <w:lang w:val="en-US" w:eastAsia="zh-CN"/>
        </w:rPr>
        <w:t xml:space="preserve">  </w:t>
      </w:r>
      <w:r>
        <w:rPr>
          <w:rFonts w:eastAsia="PMingLiU"/>
          <w:sz w:val="20"/>
          <w:szCs w:val="20"/>
        </w:rPr>
        <w:tab/>
      </w:r>
      <w:r>
        <w:rPr>
          <w:rFonts w:hint="eastAsia" w:eastAsia="PMingLiU"/>
          <w:sz w:val="20"/>
          <w:szCs w:val="20"/>
        </w:rPr>
        <w:t>填报时间：</w:t>
      </w:r>
      <w:r>
        <w:rPr>
          <w:rFonts w:eastAsia="PMingLiU"/>
          <w:sz w:val="20"/>
          <w:szCs w:val="20"/>
        </w:rPr>
        <w:tab/>
      </w:r>
      <w:r>
        <w:rPr>
          <w:rFonts w:hint="eastAsia" w:eastAsia="宋体"/>
          <w:sz w:val="20"/>
          <w:szCs w:val="20"/>
          <w:lang w:val="en-US" w:eastAsia="zh-CN"/>
        </w:rPr>
        <w:t>202</w:t>
      </w:r>
      <w:r>
        <w:rPr>
          <w:rFonts w:hint="default" w:eastAsia="宋体"/>
          <w:sz w:val="20"/>
          <w:szCs w:val="20"/>
          <w:lang w:val="en-US" w:eastAsia="zh-CN"/>
        </w:rPr>
        <w:t>3</w:t>
      </w:r>
      <w:r>
        <w:rPr>
          <w:rFonts w:hint="eastAsia" w:eastAsia="宋体"/>
          <w:sz w:val="20"/>
          <w:szCs w:val="20"/>
          <w:lang w:val="en-US" w:eastAsia="zh-CN"/>
        </w:rPr>
        <w:t>.</w:t>
      </w:r>
      <w:r>
        <w:rPr>
          <w:rFonts w:hint="default" w:eastAsia="宋体"/>
          <w:sz w:val="20"/>
          <w:szCs w:val="20"/>
          <w:lang w:val="en-US" w:eastAsia="zh-CN"/>
        </w:rPr>
        <w:t>8</w:t>
      </w:r>
      <w:r>
        <w:rPr>
          <w:rFonts w:hint="eastAsia" w:eastAsia="宋体"/>
          <w:sz w:val="20"/>
          <w:szCs w:val="20"/>
          <w:lang w:val="en-US" w:eastAsia="zh-CN"/>
        </w:rPr>
        <w:t>.</w:t>
      </w:r>
      <w:r>
        <w:rPr>
          <w:rFonts w:hint="default" w:eastAsia="宋体"/>
          <w:sz w:val="20"/>
          <w:szCs w:val="20"/>
          <w:lang w:val="en-US" w:eastAsia="zh-CN"/>
        </w:rPr>
        <w:t>18</w:t>
      </w:r>
    </w:p>
    <w:tbl>
      <w:tblPr>
        <w:tblStyle w:val="8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709"/>
        <w:gridCol w:w="2339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编制数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年实际在职人数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22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</w:rPr>
              <w:t>年决算数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610.11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610.11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default" w:eastAsia="仿宋_GB2312"/>
                <w:sz w:val="20"/>
                <w:szCs w:val="20"/>
                <w:lang w:val="en-US" w:eastAsia="zh-CN"/>
              </w:rPr>
              <w:t>610.11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其中：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rFonts w:hint="eastAsia"/>
                <w:sz w:val="20"/>
                <w:szCs w:val="20"/>
              </w:rPr>
              <w:t>、压缩一般性支出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2、三公经费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2.49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2.49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sz w:val="20"/>
                <w:szCs w:val="20"/>
                <w:lang w:val="en-US"/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出国经费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二、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其他收入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经营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sz w:val="20"/>
                <w:szCs w:val="20"/>
              </w:rPr>
              <w:t>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>
              <w:rPr>
                <w:rFonts w:hint="eastAsia"/>
                <w:sz w:val="20"/>
                <w:szCs w:val="20"/>
              </w:rPr>
              <w:t>、业务工作专项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一个项目一行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0" w:firstLineChars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>
              <w:rPr>
                <w:rFonts w:hint="eastAsia"/>
                <w:sz w:val="20"/>
                <w:szCs w:val="20"/>
              </w:rPr>
              <w:t>、运行维护专项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一个项目一行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      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、县级专项资金（一个专项一行）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       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五、公用经费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656.58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233.11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373.04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政府采购金额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制定内控制度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spacing w:beforeLines="20"/>
        <w:rPr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公用经费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>填报基本支出中的一般商品和服务支出；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项目支出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>需要填报基本支出以外的所有项目支出情况，包括业务工作项目、运行维护项目和县级专项资金等。</w:t>
      </w:r>
    </w:p>
    <w:p>
      <w:pPr>
        <w:spacing w:beforeLines="50" w:line="300" w:lineRule="exac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cs="宋体"/>
          <w:sz w:val="20"/>
          <w:szCs w:val="20"/>
        </w:rPr>
        <w:t>填表人：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王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利</w:t>
      </w:r>
      <w:r>
        <w:rPr>
          <w:rFonts w:hint="eastAsia" w:ascii="宋体" w:hAnsi="宋体" w:cs="宋体"/>
          <w:sz w:val="20"/>
          <w:szCs w:val="20"/>
        </w:rPr>
        <w:t xml:space="preserve">          联系电话： 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0734）6656858</w:t>
      </w:r>
      <w:r>
        <w:rPr>
          <w:rFonts w:hint="eastAsia" w:ascii="宋体" w:hAnsi="宋体" w:cs="宋体"/>
          <w:sz w:val="20"/>
          <w:szCs w:val="20"/>
        </w:rPr>
        <w:t xml:space="preserve">           单位负责人签字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</w:p>
    <w:p>
      <w:pPr>
        <w:spacing w:beforeLines="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 xml:space="preserve">1-2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（</w:t>
      </w:r>
      <w:r>
        <w:rPr>
          <w:rFonts w:ascii="方正小标宋_GBK" w:eastAsia="方正小标宋_GBK"/>
          <w:sz w:val="28"/>
          <w:szCs w:val="28"/>
        </w:rPr>
        <w:t xml:space="preserve"> </w:t>
      </w:r>
      <w:r>
        <w:rPr>
          <w:rFonts w:hint="eastAsia" w:ascii="方正小标宋_GBK" w:eastAsia="方正小标宋_GBK"/>
          <w:sz w:val="28"/>
          <w:szCs w:val="28"/>
          <w:lang w:eastAsia="zh-CN"/>
        </w:rPr>
        <w:t>202</w:t>
      </w:r>
      <w:r>
        <w:rPr>
          <w:rFonts w:hint="default" w:ascii="方正小标宋_GBK" w:eastAsia="方正小标宋_GBK"/>
          <w:sz w:val="28"/>
          <w:szCs w:val="28"/>
          <w:lang w:val="en-US" w:eastAsia="zh-CN"/>
        </w:rPr>
        <w:t>3</w:t>
      </w:r>
      <w:r>
        <w:rPr>
          <w:rFonts w:ascii="方正小标宋_GBK" w:eastAsia="方正小标宋_GBK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年度</w:t>
      </w:r>
      <w:r>
        <w:rPr>
          <w:rFonts w:hint="eastAsia" w:ascii="方正小标宋_GBK" w:eastAsia="方正小标宋_GBK"/>
          <w:sz w:val="28"/>
          <w:szCs w:val="28"/>
        </w:rPr>
        <w:t>）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填报单位（盖章）：</w:t>
      </w:r>
      <w:r>
        <w:rPr>
          <w:rFonts w:hint="eastAsia"/>
          <w:sz w:val="20"/>
          <w:szCs w:val="20"/>
          <w:lang w:eastAsia="zh-CN"/>
        </w:rPr>
        <w:t>衡阳县医疗保障局</w:t>
      </w:r>
      <w:r>
        <w:rPr>
          <w:rFonts w:ascii="宋体"/>
          <w:sz w:val="20"/>
          <w:szCs w:val="20"/>
        </w:rPr>
        <w:t xml:space="preserve">                 </w:t>
      </w:r>
      <w:r>
        <w:rPr>
          <w:rFonts w:hint="eastAsia" w:ascii="宋体" w:eastAsia="宋体"/>
          <w:sz w:val="20"/>
          <w:szCs w:val="20"/>
          <w:lang w:eastAsia="zh-CN"/>
        </w:rPr>
        <w:t xml:space="preserve"> </w:t>
      </w:r>
      <w:r>
        <w:rPr>
          <w:rFonts w:ascii="宋体"/>
          <w:sz w:val="20"/>
          <w:szCs w:val="20"/>
        </w:rPr>
        <w:t xml:space="preserve"> </w:t>
      </w:r>
      <w:r>
        <w:rPr>
          <w:rFonts w:hint="eastAsia" w:ascii="宋体"/>
          <w:sz w:val="20"/>
          <w:szCs w:val="20"/>
        </w:rPr>
        <w:t xml:space="preserve"> 填报时间：</w:t>
      </w:r>
      <w:r>
        <w:rPr>
          <w:rFonts w:hint="eastAsia" w:eastAsia="宋体"/>
          <w:sz w:val="20"/>
          <w:szCs w:val="20"/>
          <w:lang w:val="en-US" w:eastAsia="zh-CN"/>
        </w:rPr>
        <w:t>202</w:t>
      </w:r>
      <w:r>
        <w:rPr>
          <w:rFonts w:hint="default" w:eastAsia="宋体"/>
          <w:sz w:val="20"/>
          <w:szCs w:val="20"/>
          <w:lang w:val="en-US" w:eastAsia="zh-CN"/>
        </w:rPr>
        <w:t>3</w:t>
      </w:r>
      <w:r>
        <w:rPr>
          <w:rFonts w:hint="eastAsia" w:eastAsia="宋体"/>
          <w:sz w:val="20"/>
          <w:szCs w:val="20"/>
          <w:lang w:val="en-US" w:eastAsia="zh-CN"/>
        </w:rPr>
        <w:t>.</w:t>
      </w:r>
      <w:r>
        <w:rPr>
          <w:rFonts w:hint="default" w:eastAsia="宋体"/>
          <w:sz w:val="20"/>
          <w:szCs w:val="20"/>
          <w:lang w:val="en-US" w:eastAsia="zh-CN"/>
        </w:rPr>
        <w:t>8.1</w:t>
      </w:r>
      <w:r>
        <w:rPr>
          <w:rFonts w:hint="eastAsia" w:eastAsia="宋体"/>
          <w:sz w:val="20"/>
          <w:szCs w:val="20"/>
          <w:lang w:val="en-US" w:eastAsia="zh-CN"/>
        </w:rPr>
        <w:t>8</w:t>
      </w:r>
    </w:p>
    <w:tbl>
      <w:tblPr>
        <w:tblStyle w:val="8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01"/>
        <w:gridCol w:w="399"/>
        <w:gridCol w:w="741"/>
        <w:gridCol w:w="609"/>
        <w:gridCol w:w="1335"/>
        <w:gridCol w:w="1290"/>
        <w:gridCol w:w="1110"/>
        <w:gridCol w:w="825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部门资金（万元）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年初预算数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全年预算数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全年执行数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执行率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分值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年度资金总额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231.11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610.11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610.11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按收入性质分</w:t>
            </w:r>
          </w:p>
        </w:tc>
        <w:tc>
          <w:tcPr>
            <w:tcW w:w="42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按支出性质分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其中：一般公共预算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605.2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基本支出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政府性基金拨款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其中：人员经费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230.92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纳入管理的非税收入拨款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ind w:firstLine="400" w:firstLineChars="20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公用经费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379.19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其他资金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/>
              </w:rPr>
              <w:t>4.9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项目支出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年度总体目标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年初预期（设定）目标　</w:t>
            </w:r>
          </w:p>
        </w:tc>
        <w:tc>
          <w:tcPr>
            <w:tcW w:w="42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深化医保支付方式改革。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加强医保基金监管。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抓保障，维护参保群众利益。</w:t>
            </w:r>
          </w:p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4.抓征缴，巩固提高参保率。</w:t>
            </w:r>
          </w:p>
        </w:tc>
        <w:tc>
          <w:tcPr>
            <w:tcW w:w="42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已完成年度总体目标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绩效指标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一级指标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二级指标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三级指标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指标值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完成值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分值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（50分）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数量指标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城乡居民医保参保人数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88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0000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886577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贫困人员参保人数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45000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71632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城镇职工医保参保人数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52490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52497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各项工作完成达标率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对协议医疗机构稽查率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时效指标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各项工作及时完成率</w:t>
            </w: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不超过预算数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未超预算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绩效指标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（30分）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经济效益指标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维持基金收支平衡，略有结余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平衡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基本平衡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社会效益指标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通过项目的实施，确保资金使用效率，保障各项工作顺利开展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平稳运行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平稳运行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保障广大参保人员的医疗待遇，维护社会的稳定。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保障广大参保人员的医疗待遇，维护社会的稳定。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保障广大参保人员的医疗待遇，维护社会的稳定。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可持续影响指标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体现政策导向，长期保障工作平稳进行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（10分）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社会公众或服务对象满意度指标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参保人员满意度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30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综合评定等级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优秀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  分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9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</w:tr>
    </w:tbl>
    <w:p>
      <w:pPr>
        <w:spacing w:beforeLines="100" w:line="300" w:lineRule="exac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填表人：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王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利</w:t>
      </w:r>
      <w:r>
        <w:rPr>
          <w:rFonts w:hint="eastAsia" w:ascii="宋体" w:hAnsi="宋体" w:cs="宋体"/>
          <w:sz w:val="20"/>
          <w:szCs w:val="20"/>
        </w:rPr>
        <w:t xml:space="preserve">        联系电话：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0734）6656858</w:t>
      </w:r>
      <w:r>
        <w:rPr>
          <w:rFonts w:hint="eastAsia" w:ascii="宋体" w:hAnsi="宋体" w:cs="宋体"/>
          <w:sz w:val="20"/>
          <w:szCs w:val="20"/>
        </w:rPr>
        <w:t xml:space="preserve">         单位负责人签字：</w:t>
      </w:r>
    </w:p>
    <w:p>
      <w:pPr>
        <w:spacing w:line="300" w:lineRule="exact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说明：1.评价等级分为优秀（S≥90）、良好（90＞S≥80）、较差（80＞S≥60）、 </w:t>
      </w:r>
    </w:p>
    <w:p>
      <w:pPr>
        <w:spacing w:line="300" w:lineRule="exact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差（S＜60）</w:t>
      </w:r>
      <w:r>
        <w:rPr>
          <w:rFonts w:hint="eastAsia" w:eastAsia="仿宋_GB2312"/>
          <w:sz w:val="20"/>
          <w:szCs w:val="20"/>
        </w:rPr>
        <w:t>。</w:t>
      </w:r>
    </w:p>
    <w:p>
      <w:pPr>
        <w:spacing w:line="300" w:lineRule="exact"/>
        <w:rPr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2.三级绩效指标按需自行增减行。不涉及的二级指标可删除不要。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swiss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9890125</wp:posOffset>
              </wp:positionV>
              <wp:extent cx="317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109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2.2pt;margin-top:778.75pt;height:8.65pt;width:2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QhtV3XAAAADQEAAA8AAAAAAAAAAQAgAAAAIgAAAGRycy9kb3ducmV2&#10;LnhtbFBLAQIUABQAAAAIAIdO4kA72SjqxAEAAKcDAAAOAAAAAAAAAAEAIAAAACYBAABkcnMvZTJv&#10;RG9jLnhtbFBLBQYAAAAABgAGAFkBAABc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4655D"/>
    <w:multiLevelType w:val="singleLevel"/>
    <w:tmpl w:val="4D04655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C6CFB1"/>
    <w:multiLevelType w:val="singleLevel"/>
    <w:tmpl w:val="5FC6CF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734868"/>
    <w:multiLevelType w:val="singleLevel"/>
    <w:tmpl w:val="62734868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F6146"/>
    <w:rsid w:val="000A3647"/>
    <w:rsid w:val="000B2F20"/>
    <w:rsid w:val="001372A3"/>
    <w:rsid w:val="00166A3F"/>
    <w:rsid w:val="002150C4"/>
    <w:rsid w:val="0062613B"/>
    <w:rsid w:val="006832BA"/>
    <w:rsid w:val="006E3516"/>
    <w:rsid w:val="007470CC"/>
    <w:rsid w:val="00793554"/>
    <w:rsid w:val="009A733F"/>
    <w:rsid w:val="009B4CDC"/>
    <w:rsid w:val="00B61B65"/>
    <w:rsid w:val="00C77BC1"/>
    <w:rsid w:val="00D173D0"/>
    <w:rsid w:val="019604A9"/>
    <w:rsid w:val="020F463A"/>
    <w:rsid w:val="021C6183"/>
    <w:rsid w:val="02742095"/>
    <w:rsid w:val="02EB5557"/>
    <w:rsid w:val="02EC1E1C"/>
    <w:rsid w:val="037B73C5"/>
    <w:rsid w:val="038C1AB9"/>
    <w:rsid w:val="041F0287"/>
    <w:rsid w:val="042C3965"/>
    <w:rsid w:val="04475814"/>
    <w:rsid w:val="049703BA"/>
    <w:rsid w:val="04F25310"/>
    <w:rsid w:val="050104C5"/>
    <w:rsid w:val="05595040"/>
    <w:rsid w:val="058D22A7"/>
    <w:rsid w:val="065A3F7A"/>
    <w:rsid w:val="067370A2"/>
    <w:rsid w:val="06766A1D"/>
    <w:rsid w:val="06BF5FB2"/>
    <w:rsid w:val="06DE514C"/>
    <w:rsid w:val="07115CA7"/>
    <w:rsid w:val="072D591F"/>
    <w:rsid w:val="074D5B0C"/>
    <w:rsid w:val="0789466C"/>
    <w:rsid w:val="078B7B6F"/>
    <w:rsid w:val="07FD6770"/>
    <w:rsid w:val="08E46EA7"/>
    <w:rsid w:val="08EF7436"/>
    <w:rsid w:val="08F93189"/>
    <w:rsid w:val="090D69E6"/>
    <w:rsid w:val="092C0ECC"/>
    <w:rsid w:val="092D4D1C"/>
    <w:rsid w:val="09A24CDB"/>
    <w:rsid w:val="0A2A393B"/>
    <w:rsid w:val="0AF05C82"/>
    <w:rsid w:val="0B1E54CC"/>
    <w:rsid w:val="0B223ED3"/>
    <w:rsid w:val="0B7329D8"/>
    <w:rsid w:val="0B742D3E"/>
    <w:rsid w:val="0BB50EC3"/>
    <w:rsid w:val="0C3A39D7"/>
    <w:rsid w:val="0C6C17F5"/>
    <w:rsid w:val="0CF41FF2"/>
    <w:rsid w:val="0DC51F28"/>
    <w:rsid w:val="0EE56BF8"/>
    <w:rsid w:val="0EEC778C"/>
    <w:rsid w:val="0F4D7E31"/>
    <w:rsid w:val="0FD57709"/>
    <w:rsid w:val="107B27A5"/>
    <w:rsid w:val="10A81C60"/>
    <w:rsid w:val="11356731"/>
    <w:rsid w:val="11383ACD"/>
    <w:rsid w:val="11454358"/>
    <w:rsid w:val="121730A0"/>
    <w:rsid w:val="124F71D2"/>
    <w:rsid w:val="125C25AB"/>
    <w:rsid w:val="12845CEE"/>
    <w:rsid w:val="12A904AC"/>
    <w:rsid w:val="13806E8A"/>
    <w:rsid w:val="13885A50"/>
    <w:rsid w:val="14132B4A"/>
    <w:rsid w:val="143E3DC5"/>
    <w:rsid w:val="14640782"/>
    <w:rsid w:val="154D4B82"/>
    <w:rsid w:val="16165BCA"/>
    <w:rsid w:val="162A30C2"/>
    <w:rsid w:val="16652160"/>
    <w:rsid w:val="16802D44"/>
    <w:rsid w:val="16CB43F4"/>
    <w:rsid w:val="16ED48B0"/>
    <w:rsid w:val="17244A82"/>
    <w:rsid w:val="174552D3"/>
    <w:rsid w:val="17765045"/>
    <w:rsid w:val="17A05D49"/>
    <w:rsid w:val="17BB757F"/>
    <w:rsid w:val="18494076"/>
    <w:rsid w:val="186F4AA4"/>
    <w:rsid w:val="187334AB"/>
    <w:rsid w:val="18A03075"/>
    <w:rsid w:val="19623A89"/>
    <w:rsid w:val="1A8C3B1A"/>
    <w:rsid w:val="1AF731C9"/>
    <w:rsid w:val="1B535AE1"/>
    <w:rsid w:val="1B772807"/>
    <w:rsid w:val="1BEE7E1F"/>
    <w:rsid w:val="1C7A3345"/>
    <w:rsid w:val="1CA862F7"/>
    <w:rsid w:val="1D0C45DD"/>
    <w:rsid w:val="1D1B77EF"/>
    <w:rsid w:val="1D297C66"/>
    <w:rsid w:val="1D7C63EB"/>
    <w:rsid w:val="1DA41B2E"/>
    <w:rsid w:val="1DDE029B"/>
    <w:rsid w:val="1DE86D9F"/>
    <w:rsid w:val="1E9E304B"/>
    <w:rsid w:val="1F0A6DE6"/>
    <w:rsid w:val="1F184F13"/>
    <w:rsid w:val="204F718E"/>
    <w:rsid w:val="20940C60"/>
    <w:rsid w:val="20B117B1"/>
    <w:rsid w:val="21733A6D"/>
    <w:rsid w:val="2203115E"/>
    <w:rsid w:val="22077B64"/>
    <w:rsid w:val="225A62E9"/>
    <w:rsid w:val="226755FF"/>
    <w:rsid w:val="2278331B"/>
    <w:rsid w:val="23007D7C"/>
    <w:rsid w:val="233D435E"/>
    <w:rsid w:val="23C977C5"/>
    <w:rsid w:val="23DC5161"/>
    <w:rsid w:val="24362377"/>
    <w:rsid w:val="24710ED7"/>
    <w:rsid w:val="247F3A70"/>
    <w:rsid w:val="24821172"/>
    <w:rsid w:val="249F6523"/>
    <w:rsid w:val="254F5042"/>
    <w:rsid w:val="25733F7D"/>
    <w:rsid w:val="258C4EA7"/>
    <w:rsid w:val="25D6079F"/>
    <w:rsid w:val="2612581C"/>
    <w:rsid w:val="26683591"/>
    <w:rsid w:val="267C3FE9"/>
    <w:rsid w:val="26E044D4"/>
    <w:rsid w:val="277A46D2"/>
    <w:rsid w:val="279D398E"/>
    <w:rsid w:val="27B91672"/>
    <w:rsid w:val="282412E8"/>
    <w:rsid w:val="283B0F0D"/>
    <w:rsid w:val="28CC07FC"/>
    <w:rsid w:val="28D72411"/>
    <w:rsid w:val="29030351"/>
    <w:rsid w:val="2914771C"/>
    <w:rsid w:val="296A4C04"/>
    <w:rsid w:val="29D63286"/>
    <w:rsid w:val="2A0F162A"/>
    <w:rsid w:val="2A365850"/>
    <w:rsid w:val="2A5C58A1"/>
    <w:rsid w:val="2A66059D"/>
    <w:rsid w:val="2A68716D"/>
    <w:rsid w:val="2A6C5D2A"/>
    <w:rsid w:val="2ACB6415"/>
    <w:rsid w:val="2B966A1E"/>
    <w:rsid w:val="2BDE1084"/>
    <w:rsid w:val="2BFC151F"/>
    <w:rsid w:val="2C013BC2"/>
    <w:rsid w:val="2D2A6B27"/>
    <w:rsid w:val="2D373C3F"/>
    <w:rsid w:val="2D863045"/>
    <w:rsid w:val="2D976F75"/>
    <w:rsid w:val="2DA1586C"/>
    <w:rsid w:val="2DC25DA1"/>
    <w:rsid w:val="2DF43FF2"/>
    <w:rsid w:val="2E40086E"/>
    <w:rsid w:val="2E886A64"/>
    <w:rsid w:val="2EF47418"/>
    <w:rsid w:val="2EFD2155"/>
    <w:rsid w:val="2EFE7D27"/>
    <w:rsid w:val="2EFF57A9"/>
    <w:rsid w:val="2F7666EC"/>
    <w:rsid w:val="2FBE2364"/>
    <w:rsid w:val="2FD25781"/>
    <w:rsid w:val="2FE85726"/>
    <w:rsid w:val="3076337E"/>
    <w:rsid w:val="312E7E64"/>
    <w:rsid w:val="316226DC"/>
    <w:rsid w:val="31740730"/>
    <w:rsid w:val="31930FE5"/>
    <w:rsid w:val="321F6146"/>
    <w:rsid w:val="32491A0D"/>
    <w:rsid w:val="32AC1B81"/>
    <w:rsid w:val="32B2363B"/>
    <w:rsid w:val="33387117"/>
    <w:rsid w:val="340B70F0"/>
    <w:rsid w:val="346F6E14"/>
    <w:rsid w:val="36116540"/>
    <w:rsid w:val="36273EC1"/>
    <w:rsid w:val="36374201"/>
    <w:rsid w:val="364144FE"/>
    <w:rsid w:val="364E3E27"/>
    <w:rsid w:val="365B56BB"/>
    <w:rsid w:val="3726190B"/>
    <w:rsid w:val="373867FA"/>
    <w:rsid w:val="377F1F9A"/>
    <w:rsid w:val="37F66761"/>
    <w:rsid w:val="38022573"/>
    <w:rsid w:val="380E0584"/>
    <w:rsid w:val="38FC4989"/>
    <w:rsid w:val="397316E7"/>
    <w:rsid w:val="39EE3018"/>
    <w:rsid w:val="3ACB78F1"/>
    <w:rsid w:val="3B142DFB"/>
    <w:rsid w:val="3B266598"/>
    <w:rsid w:val="3B7971F6"/>
    <w:rsid w:val="3BFD733B"/>
    <w:rsid w:val="3C3641D7"/>
    <w:rsid w:val="3C635FA0"/>
    <w:rsid w:val="3CDF336B"/>
    <w:rsid w:val="3CF41895"/>
    <w:rsid w:val="3D6136EA"/>
    <w:rsid w:val="3D8D7FE7"/>
    <w:rsid w:val="3DB633CE"/>
    <w:rsid w:val="3DC52364"/>
    <w:rsid w:val="3E791AB2"/>
    <w:rsid w:val="3FF53C7D"/>
    <w:rsid w:val="408718B0"/>
    <w:rsid w:val="41284F74"/>
    <w:rsid w:val="412D71FD"/>
    <w:rsid w:val="41E44E04"/>
    <w:rsid w:val="41EE1268"/>
    <w:rsid w:val="42CF43AB"/>
    <w:rsid w:val="42EE2BA6"/>
    <w:rsid w:val="42F02361"/>
    <w:rsid w:val="432263B4"/>
    <w:rsid w:val="43D76DDC"/>
    <w:rsid w:val="43D90F6E"/>
    <w:rsid w:val="43F819C7"/>
    <w:rsid w:val="44027C20"/>
    <w:rsid w:val="44146C41"/>
    <w:rsid w:val="4431076F"/>
    <w:rsid w:val="443B57AC"/>
    <w:rsid w:val="448D7804"/>
    <w:rsid w:val="44E05090"/>
    <w:rsid w:val="451F3BFF"/>
    <w:rsid w:val="455E7EDC"/>
    <w:rsid w:val="45847A13"/>
    <w:rsid w:val="458B1CA5"/>
    <w:rsid w:val="45D536C7"/>
    <w:rsid w:val="46CB4054"/>
    <w:rsid w:val="46D22475"/>
    <w:rsid w:val="470E1E21"/>
    <w:rsid w:val="475F6BEF"/>
    <w:rsid w:val="484A350E"/>
    <w:rsid w:val="48E01D1C"/>
    <w:rsid w:val="495E03EC"/>
    <w:rsid w:val="49E4194A"/>
    <w:rsid w:val="49E515CA"/>
    <w:rsid w:val="4A1108C4"/>
    <w:rsid w:val="4A1A65A1"/>
    <w:rsid w:val="4A542F03"/>
    <w:rsid w:val="4AF64C8A"/>
    <w:rsid w:val="4B095EA9"/>
    <w:rsid w:val="4B471C6C"/>
    <w:rsid w:val="4BB61845"/>
    <w:rsid w:val="4BCD146B"/>
    <w:rsid w:val="4BD4104F"/>
    <w:rsid w:val="4BE56B11"/>
    <w:rsid w:val="4CD77F5D"/>
    <w:rsid w:val="4CF335C0"/>
    <w:rsid w:val="4DEC1465"/>
    <w:rsid w:val="4E4740FD"/>
    <w:rsid w:val="4E566916"/>
    <w:rsid w:val="4E730444"/>
    <w:rsid w:val="4E7B1FCD"/>
    <w:rsid w:val="4EB449D9"/>
    <w:rsid w:val="4ED02D5C"/>
    <w:rsid w:val="4EEA241A"/>
    <w:rsid w:val="4F1008F0"/>
    <w:rsid w:val="4F133A3F"/>
    <w:rsid w:val="4F791EF0"/>
    <w:rsid w:val="4FA61ABB"/>
    <w:rsid w:val="4FA871BC"/>
    <w:rsid w:val="4FC000E6"/>
    <w:rsid w:val="501F5F01"/>
    <w:rsid w:val="5026588C"/>
    <w:rsid w:val="50473843"/>
    <w:rsid w:val="505C5D66"/>
    <w:rsid w:val="50E720C7"/>
    <w:rsid w:val="51156ACC"/>
    <w:rsid w:val="514A216C"/>
    <w:rsid w:val="51B43D99"/>
    <w:rsid w:val="521F5647"/>
    <w:rsid w:val="528D5C7B"/>
    <w:rsid w:val="52AA302D"/>
    <w:rsid w:val="52B72BAA"/>
    <w:rsid w:val="52E03507"/>
    <w:rsid w:val="53556033"/>
    <w:rsid w:val="537A0D50"/>
    <w:rsid w:val="53CE790C"/>
    <w:rsid w:val="54327630"/>
    <w:rsid w:val="545C6276"/>
    <w:rsid w:val="549B63C9"/>
    <w:rsid w:val="549D6CE0"/>
    <w:rsid w:val="54B21203"/>
    <w:rsid w:val="551B75AE"/>
    <w:rsid w:val="556E63D7"/>
    <w:rsid w:val="55EF19B9"/>
    <w:rsid w:val="55F31810"/>
    <w:rsid w:val="56443B98"/>
    <w:rsid w:val="56C96374"/>
    <w:rsid w:val="56D51E02"/>
    <w:rsid w:val="56E755A0"/>
    <w:rsid w:val="57514FCF"/>
    <w:rsid w:val="57871058"/>
    <w:rsid w:val="57EC2C72"/>
    <w:rsid w:val="57F03918"/>
    <w:rsid w:val="57F91F65"/>
    <w:rsid w:val="58175C92"/>
    <w:rsid w:val="58200B20"/>
    <w:rsid w:val="588D6F55"/>
    <w:rsid w:val="598A2556"/>
    <w:rsid w:val="5A6E5FFC"/>
    <w:rsid w:val="5A7B6781"/>
    <w:rsid w:val="5B5B0B3C"/>
    <w:rsid w:val="5B64594E"/>
    <w:rsid w:val="5B742467"/>
    <w:rsid w:val="5B7966A3"/>
    <w:rsid w:val="5B9B2CA8"/>
    <w:rsid w:val="5BD844BF"/>
    <w:rsid w:val="5C183C23"/>
    <w:rsid w:val="5CAB020A"/>
    <w:rsid w:val="5CC10BB9"/>
    <w:rsid w:val="5CD171F5"/>
    <w:rsid w:val="5E3D5A5F"/>
    <w:rsid w:val="5E51004B"/>
    <w:rsid w:val="5E5350B8"/>
    <w:rsid w:val="5E766F86"/>
    <w:rsid w:val="5E77028A"/>
    <w:rsid w:val="5F6709DC"/>
    <w:rsid w:val="5F8416C1"/>
    <w:rsid w:val="5FA93813"/>
    <w:rsid w:val="60C06FCE"/>
    <w:rsid w:val="60C55551"/>
    <w:rsid w:val="614F1C31"/>
    <w:rsid w:val="61E459C1"/>
    <w:rsid w:val="61FF1DD5"/>
    <w:rsid w:val="62127771"/>
    <w:rsid w:val="63033C02"/>
    <w:rsid w:val="632772B9"/>
    <w:rsid w:val="637473B8"/>
    <w:rsid w:val="63A47F08"/>
    <w:rsid w:val="64305158"/>
    <w:rsid w:val="64312FEF"/>
    <w:rsid w:val="6444325A"/>
    <w:rsid w:val="64C21053"/>
    <w:rsid w:val="652012EF"/>
    <w:rsid w:val="6536289C"/>
    <w:rsid w:val="65812DE3"/>
    <w:rsid w:val="65CF57F0"/>
    <w:rsid w:val="65D06F05"/>
    <w:rsid w:val="66014146"/>
    <w:rsid w:val="66277C26"/>
    <w:rsid w:val="66BD5B9B"/>
    <w:rsid w:val="66C14421"/>
    <w:rsid w:val="66C33328"/>
    <w:rsid w:val="66CA7430"/>
    <w:rsid w:val="66FE7B44"/>
    <w:rsid w:val="676B6BA4"/>
    <w:rsid w:val="676B6FB9"/>
    <w:rsid w:val="677C4CD5"/>
    <w:rsid w:val="67976142"/>
    <w:rsid w:val="67A07417"/>
    <w:rsid w:val="687F107F"/>
    <w:rsid w:val="68BE32F8"/>
    <w:rsid w:val="68C77275"/>
    <w:rsid w:val="693B39B1"/>
    <w:rsid w:val="69475245"/>
    <w:rsid w:val="69B05949"/>
    <w:rsid w:val="6A664E41"/>
    <w:rsid w:val="6A894958"/>
    <w:rsid w:val="6AD12B4E"/>
    <w:rsid w:val="6B007E19"/>
    <w:rsid w:val="6B0525B9"/>
    <w:rsid w:val="6B6C2003"/>
    <w:rsid w:val="6B8A4544"/>
    <w:rsid w:val="6BE11867"/>
    <w:rsid w:val="6D6F471B"/>
    <w:rsid w:val="6DB07703"/>
    <w:rsid w:val="6DD30BBC"/>
    <w:rsid w:val="6E2A15CB"/>
    <w:rsid w:val="6E3147D9"/>
    <w:rsid w:val="6EC12DC3"/>
    <w:rsid w:val="6F590441"/>
    <w:rsid w:val="6F77126D"/>
    <w:rsid w:val="701B1D7B"/>
    <w:rsid w:val="70394BAE"/>
    <w:rsid w:val="70D54F03"/>
    <w:rsid w:val="711C51A1"/>
    <w:rsid w:val="71876A4E"/>
    <w:rsid w:val="71A27D9E"/>
    <w:rsid w:val="71B02310"/>
    <w:rsid w:val="72255653"/>
    <w:rsid w:val="72AA6777"/>
    <w:rsid w:val="72AF68AE"/>
    <w:rsid w:val="72B64388"/>
    <w:rsid w:val="734D0939"/>
    <w:rsid w:val="736175D9"/>
    <w:rsid w:val="74B72109"/>
    <w:rsid w:val="752121F5"/>
    <w:rsid w:val="753A255D"/>
    <w:rsid w:val="758F7BEE"/>
    <w:rsid w:val="760807B1"/>
    <w:rsid w:val="767F74F6"/>
    <w:rsid w:val="769B7F52"/>
    <w:rsid w:val="76E13D18"/>
    <w:rsid w:val="772E0594"/>
    <w:rsid w:val="77BA39FB"/>
    <w:rsid w:val="77BE5C84"/>
    <w:rsid w:val="78555DF8"/>
    <w:rsid w:val="785F7EFA"/>
    <w:rsid w:val="79217ACA"/>
    <w:rsid w:val="79EA7513"/>
    <w:rsid w:val="79FC487B"/>
    <w:rsid w:val="7A3F6E68"/>
    <w:rsid w:val="7A603663"/>
    <w:rsid w:val="7AA9084B"/>
    <w:rsid w:val="7AE322EF"/>
    <w:rsid w:val="7AF122C4"/>
    <w:rsid w:val="7BDA4600"/>
    <w:rsid w:val="7BDF08C7"/>
    <w:rsid w:val="7BF079AA"/>
    <w:rsid w:val="7BF604ED"/>
    <w:rsid w:val="7C7A0AC6"/>
    <w:rsid w:val="7C8932DF"/>
    <w:rsid w:val="7CBE5D37"/>
    <w:rsid w:val="7CC23CA0"/>
    <w:rsid w:val="7D27319B"/>
    <w:rsid w:val="7D4C0FC7"/>
    <w:rsid w:val="7D8B1ADA"/>
    <w:rsid w:val="7DC43066"/>
    <w:rsid w:val="7DD86484"/>
    <w:rsid w:val="7DDF5E0F"/>
    <w:rsid w:val="7E7A3A8F"/>
    <w:rsid w:val="7EB217BB"/>
    <w:rsid w:val="7EF16F50"/>
    <w:rsid w:val="7F47795F"/>
    <w:rsid w:val="7F7B6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hint="default" w:ascii="Cambria" w:hAnsi="Cambria" w:eastAsia="宋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7">
    <w:name w:val="Normal (Web)"/>
    <w:basedOn w:val="1"/>
    <w:qFormat/>
    <w:uiPriority w:val="99"/>
    <w:pPr>
      <w:spacing w:beforeAutospacing="1" w:afterAutospacing="1"/>
    </w:pPr>
  </w:style>
  <w:style w:type="paragraph" w:customStyle="1" w:styleId="10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2">
    <w:name w:val="04正文"/>
    <w:basedOn w:val="1"/>
    <w:qFormat/>
    <w:uiPriority w:val="0"/>
    <w:pPr>
      <w:keepNext w:val="0"/>
      <w:keepLines w:val="0"/>
      <w:widowControl/>
      <w:adjustRightInd w:val="0"/>
      <w:snapToGrid w:val="0"/>
      <w:spacing w:before="0" w:after="0" w:line="360" w:lineRule="auto"/>
      <w:ind w:firstLine="200" w:firstLineChars="200"/>
      <w:jc w:val="both"/>
      <w:outlineLvl w:val="9"/>
    </w:pPr>
    <w:rPr>
      <w:rFonts w:ascii="Times New Roman" w:hAnsi="Times New Roman" w:eastAsia="仿宋" w:cs="Times New Roman"/>
      <w:color w:val="auto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1205</Words>
  <Characters>6873</Characters>
  <Lines>57</Lines>
  <Paragraphs>16</Paragraphs>
  <TotalTime>7</TotalTime>
  <ScaleCrop>false</ScaleCrop>
  <LinksUpToDate>false</LinksUpToDate>
  <CharactersWithSpaces>8062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2021-05-14T02:03:00Z</dcterms:created>
  <dc:creator>糖糖</dc:creator>
  <cp:lastModifiedBy>YI BAO JU</cp:lastModifiedBy>
  <cp:lastPrinted>2022-04-01T01:34:00Z</cp:lastPrinted>
  <dcterms:modified xsi:type="dcterms:W3CDTF">2024-10-22T01:43:56Z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68CFAB2B527E490F81B632D48B2894DB</vt:lpwstr>
  </property>
</Properties>
</file>