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_GBK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/>
          <w:sz w:val="52"/>
          <w:szCs w:val="52"/>
          <w:lang w:eastAsia="zh-CN"/>
        </w:rPr>
        <w:t>衡阳县库宗桥镇人民政府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2023年</w:t>
      </w:r>
      <w:r>
        <w:rPr>
          <w:rFonts w:ascii="Times New Roman" w:hAnsi="Times New Roman" w:eastAsia="方正小标宋_GBK"/>
          <w:sz w:val="52"/>
          <w:szCs w:val="52"/>
        </w:rPr>
        <w:t>部门整体支出绩效自评报告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机构设置情况</w:t>
      </w:r>
    </w:p>
    <w:p>
      <w:pPr>
        <w:pStyle w:val="10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根据职责，我镇内设机构1个，所属事业单位3中心1大队。内设机构是</w:t>
      </w:r>
      <w:r>
        <w:rPr>
          <w:rFonts w:hint="eastAsia" w:ascii="仿宋_GB2312" w:eastAsia="仿宋_GB2312"/>
          <w:sz w:val="32"/>
          <w:szCs w:val="32"/>
          <w:lang w:eastAsia="zh-CN"/>
        </w:rPr>
        <w:t>库宗桥</w:t>
      </w:r>
      <w:r>
        <w:rPr>
          <w:rFonts w:hint="eastAsia" w:ascii="仿宋_GB2312" w:eastAsia="仿宋_GB2312"/>
          <w:sz w:val="32"/>
          <w:szCs w:val="32"/>
        </w:rPr>
        <w:t>镇机关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所属事业单位分别是社会事业综合服务中心、农业综合服务中心、政务服务中心、综合行政执法大队。</w:t>
      </w:r>
    </w:p>
    <w:p>
      <w:pPr>
        <w:pStyle w:val="9"/>
        <w:widowControl/>
        <w:numPr>
          <w:ilvl w:val="0"/>
          <w:numId w:val="2"/>
        </w:numPr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人员编制情况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我镇核定编制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114</w:t>
      </w:r>
      <w:r>
        <w:rPr>
          <w:rFonts w:hint="eastAsia" w:ascii="仿宋_GB2312" w:hAnsi="Times New Roman" w:eastAsia="仿宋_GB2312"/>
          <w:sz w:val="32"/>
          <w:szCs w:val="32"/>
        </w:rPr>
        <w:t>名，其中：行政编制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38</w:t>
      </w:r>
      <w:r>
        <w:rPr>
          <w:rFonts w:hint="eastAsia" w:ascii="仿宋_GB2312" w:hAnsi="Times New Roman" w:eastAsia="仿宋_GB2312"/>
          <w:sz w:val="32"/>
          <w:szCs w:val="32"/>
        </w:rPr>
        <w:t>名，实有在职人员3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人；工勤编制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名，实有在职人数1人；事业编制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74</w:t>
      </w:r>
      <w:r>
        <w:rPr>
          <w:rFonts w:hint="eastAsia" w:ascii="仿宋_GB2312" w:hAnsi="Times New Roman" w:eastAsia="仿宋_GB2312"/>
          <w:sz w:val="32"/>
          <w:szCs w:val="32"/>
        </w:rPr>
        <w:t>名，实有在职人员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61</w:t>
      </w:r>
      <w:r>
        <w:rPr>
          <w:rFonts w:hint="eastAsia" w:ascii="仿宋_GB2312" w:hAnsi="Times New Roman" w:eastAsia="仿宋_GB2312"/>
          <w:sz w:val="32"/>
          <w:szCs w:val="32"/>
        </w:rPr>
        <w:t>人。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>
      <w:pPr>
        <w:pStyle w:val="9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部门</w:t>
      </w:r>
      <w:r>
        <w:rPr>
          <w:rFonts w:eastAsia="楷体_GB2312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1.部门预算情况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2023年年初预算安排收入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1919.08</w:t>
      </w:r>
      <w:r>
        <w:rPr>
          <w:rFonts w:ascii="仿宋_GB2312" w:hAnsi="Times New Roman" w:eastAsia="仿宋_GB2312"/>
          <w:sz w:val="32"/>
          <w:szCs w:val="32"/>
        </w:rPr>
        <w:t>万元，其中一般公共财政拨款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1527.07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，年初结转和结余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392.01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ascii="仿宋_GB2312" w:hAnsi="Times New Roman" w:eastAsia="仿宋_GB2312"/>
          <w:sz w:val="32"/>
          <w:szCs w:val="32"/>
        </w:rPr>
        <w:t>；2023年年初预算安排支出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1919.08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其中：基本支出</w:t>
      </w:r>
      <w:r>
        <w:rPr>
          <w:rFonts w:hint="eastAsia" w:ascii="仿宋_GB2312" w:hAnsi="Times New Roman" w:eastAsia="仿宋_GB2312"/>
          <w:sz w:val="32"/>
          <w:szCs w:val="32"/>
        </w:rPr>
        <w:t xml:space="preserve"> 1012.43</w:t>
      </w:r>
      <w:r>
        <w:rPr>
          <w:rFonts w:ascii="仿宋_GB2312" w:hAnsi="Times New Roman" w:eastAsia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/>
          <w:sz w:val="32"/>
          <w:szCs w:val="32"/>
        </w:rPr>
        <w:t>906.65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2023年决算总收入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3168.02</w:t>
      </w:r>
      <w:r>
        <w:rPr>
          <w:rFonts w:ascii="仿宋_GB2312" w:hAnsi="Times New Roman" w:eastAsia="仿宋_GB2312"/>
          <w:sz w:val="32"/>
          <w:szCs w:val="32"/>
        </w:rPr>
        <w:t>万元，较预算增加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1248.94</w:t>
      </w:r>
      <w:r>
        <w:rPr>
          <w:rFonts w:ascii="仿宋_GB2312" w:hAnsi="Times New Roman" w:eastAsia="仿宋_GB2312"/>
          <w:sz w:val="32"/>
          <w:szCs w:val="32"/>
        </w:rPr>
        <w:t>万元，总支出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3168.02</w:t>
      </w:r>
      <w:r>
        <w:rPr>
          <w:rFonts w:ascii="仿宋_GB2312" w:hAnsi="Times New Roman" w:eastAsia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1846.21</w:t>
      </w:r>
      <w:r>
        <w:rPr>
          <w:rFonts w:ascii="仿宋_GB2312" w:hAnsi="Times New Roman" w:eastAsia="仿宋_GB2312"/>
          <w:sz w:val="32"/>
          <w:szCs w:val="32"/>
        </w:rPr>
        <w:t>万元，占总支出的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58.3</w:t>
      </w:r>
      <w:r>
        <w:rPr>
          <w:rFonts w:ascii="仿宋_GB2312" w:hAnsi="Times New Roman" w:eastAsia="仿宋_GB2312"/>
          <w:sz w:val="32"/>
          <w:szCs w:val="32"/>
        </w:rPr>
        <w:t>％；项目支出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1321.81</w:t>
      </w:r>
      <w:r>
        <w:rPr>
          <w:rFonts w:ascii="仿宋_GB2312" w:hAnsi="Times New Roman" w:eastAsia="仿宋_GB2312"/>
          <w:sz w:val="32"/>
          <w:szCs w:val="32"/>
        </w:rPr>
        <w:t>万元，占总支出的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/>
          <w:sz w:val="32"/>
          <w:szCs w:val="32"/>
        </w:rPr>
        <w:t>.7</w:t>
      </w:r>
      <w:r>
        <w:rPr>
          <w:rFonts w:ascii="仿宋_GB2312" w:hAnsi="Times New Roman" w:eastAsia="仿宋_GB2312"/>
          <w:sz w:val="32"/>
          <w:szCs w:val="32"/>
        </w:rPr>
        <w:t>％。差异产生的主要原因是</w:t>
      </w:r>
      <w:r>
        <w:rPr>
          <w:rFonts w:hint="eastAsia" w:ascii="仿宋_GB2312" w:hAnsi="Times New Roman" w:eastAsia="仿宋_GB2312"/>
          <w:sz w:val="32"/>
          <w:szCs w:val="32"/>
        </w:rPr>
        <w:t>年中指标调整，增加了预算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（二）部门预算执行情况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经费预算数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13.51</w:t>
      </w:r>
      <w:r>
        <w:rPr>
          <w:rFonts w:ascii="仿宋_GB2312" w:hAnsi="Times New Roman" w:eastAsia="仿宋_GB2312"/>
          <w:sz w:val="32"/>
          <w:szCs w:val="32"/>
        </w:rPr>
        <w:t>万元，其中：因公出国（境）费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万元，公务用车购置及运行维护费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1.77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11.74</w:t>
      </w:r>
      <w:r>
        <w:rPr>
          <w:rFonts w:ascii="仿宋_GB2312" w:hAnsi="Times New Roman" w:eastAsia="仿宋_GB2312"/>
          <w:sz w:val="32"/>
          <w:szCs w:val="32"/>
        </w:rPr>
        <w:t>万元。“三公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经费决算数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13.51</w:t>
      </w:r>
      <w:r>
        <w:rPr>
          <w:rFonts w:ascii="仿宋_GB2312" w:hAnsi="Times New Roman" w:eastAsia="仿宋_GB2312"/>
          <w:sz w:val="32"/>
          <w:szCs w:val="32"/>
        </w:rPr>
        <w:t>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万元，公务用车运行维护费</w:t>
      </w: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11.74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.政府采购执行情况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2023年度政府采购支出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32.75</w:t>
      </w:r>
      <w:r>
        <w:rPr>
          <w:rFonts w:ascii="仿宋_GB2312" w:hAnsi="Times New Roman" w:eastAsia="仿宋_GB2312"/>
          <w:sz w:val="32"/>
          <w:szCs w:val="32"/>
        </w:rPr>
        <w:t>万元，其中：货物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5.07</w:t>
      </w:r>
      <w:r>
        <w:rPr>
          <w:rFonts w:hint="eastAsia" w:ascii="仿宋_GB2312" w:hAnsi="Times New Roman" w:eastAsia="仿宋_GB2312"/>
          <w:sz w:val="32"/>
          <w:szCs w:val="32"/>
        </w:rPr>
        <w:t>万</w:t>
      </w:r>
      <w:r>
        <w:rPr>
          <w:rFonts w:ascii="仿宋_GB2312" w:hAnsi="Times New Roman" w:eastAsia="仿宋_GB2312"/>
          <w:sz w:val="32"/>
          <w:szCs w:val="32"/>
        </w:rPr>
        <w:t>元，服务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27.68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.资产管理情况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2023年年末资产总额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4297.06</w:t>
      </w:r>
      <w:r>
        <w:rPr>
          <w:rFonts w:ascii="仿宋_GB2312" w:hAnsi="Times New Roman" w:eastAsia="仿宋_GB2312"/>
          <w:sz w:val="32"/>
          <w:szCs w:val="32"/>
        </w:rPr>
        <w:t>万元，负债总额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2932.71</w:t>
      </w:r>
      <w:r>
        <w:rPr>
          <w:rFonts w:ascii="仿宋_GB2312" w:hAnsi="Times New Roman" w:eastAsia="仿宋_GB2312"/>
          <w:sz w:val="32"/>
          <w:szCs w:val="32"/>
        </w:rPr>
        <w:t>万元，净资产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1364.35</w:t>
      </w:r>
      <w:r>
        <w:rPr>
          <w:rFonts w:ascii="仿宋_GB2312" w:hAnsi="Times New Roman" w:eastAsia="仿宋_GB2312"/>
          <w:sz w:val="32"/>
          <w:szCs w:val="32"/>
        </w:rPr>
        <w:t>万元。截至2023年12月31日，固定资产账面原值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165.86</w:t>
      </w:r>
      <w:r>
        <w:rPr>
          <w:rFonts w:ascii="仿宋_GB2312" w:hAnsi="Times New Roman" w:eastAsia="仿宋_GB2312"/>
          <w:sz w:val="32"/>
          <w:szCs w:val="32"/>
        </w:rPr>
        <w:t>万元，在用资产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165.86</w:t>
      </w:r>
      <w:r>
        <w:rPr>
          <w:rFonts w:ascii="仿宋_GB2312" w:hAnsi="Times New Roman" w:eastAsia="仿宋_GB2312"/>
          <w:sz w:val="32"/>
          <w:szCs w:val="32"/>
        </w:rPr>
        <w:t>万元，资产使用率</w:t>
      </w:r>
      <w:r>
        <w:rPr>
          <w:rFonts w:hint="eastAsia" w:ascii="仿宋_GB2312" w:hAnsi="Times New Roman" w:eastAsia="仿宋_GB2312"/>
          <w:sz w:val="32"/>
          <w:szCs w:val="32"/>
        </w:rPr>
        <w:t>100</w:t>
      </w:r>
      <w:r>
        <w:rPr>
          <w:rFonts w:ascii="仿宋_GB2312" w:hAnsi="Times New Roman" w:eastAsia="仿宋_GB2312"/>
          <w:sz w:val="32"/>
          <w:szCs w:val="32"/>
        </w:rPr>
        <w:t>%。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三、部门整体支出绩效情况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（一）综合评价结论。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2023年对照《</w:t>
      </w:r>
      <w:r>
        <w:rPr>
          <w:rFonts w:hint="eastAsia" w:ascii="仿宋_GB2312" w:eastAsia="仿宋_GB2312"/>
          <w:sz w:val="32"/>
          <w:szCs w:val="32"/>
          <w:lang w:eastAsia="zh-CN"/>
        </w:rPr>
        <w:t>库宗桥</w:t>
      </w:r>
      <w:r>
        <w:rPr>
          <w:rFonts w:hint="eastAsia" w:ascii="仿宋_GB2312" w:eastAsia="仿宋_GB2312"/>
          <w:sz w:val="32"/>
          <w:szCs w:val="32"/>
        </w:rPr>
        <w:t>镇人民政府2023年度部门整体支出绩效评价指标评分表》等方面具体指标综合评分，得分为9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分，综合评价等级分为优秀。</w:t>
      </w:r>
    </w:p>
    <w:p>
      <w:pPr>
        <w:pStyle w:val="9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评价指标分析。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1.部门资金情况总分1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分，得分1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分。年度资金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3168.02</w:t>
      </w:r>
      <w:r>
        <w:rPr>
          <w:rFonts w:hint="eastAsia" w:ascii="仿宋_GB2312" w:eastAsia="仿宋_GB2312"/>
          <w:sz w:val="32"/>
          <w:szCs w:val="32"/>
        </w:rPr>
        <w:t>万元，执行率为1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2.产出指标总分为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（1）数量指标2个均已完成指标值。落实2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个村（社区）数的粮食生产战略；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12734</w:t>
      </w:r>
      <w:r>
        <w:rPr>
          <w:rFonts w:hint="eastAsia" w:ascii="仿宋_GB2312" w:eastAsia="仿宋_GB2312"/>
          <w:sz w:val="32"/>
          <w:szCs w:val="32"/>
        </w:rPr>
        <w:t>户一卡通惠农补贴及时发放。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）质量指标2个均已完成指标值。</w:t>
      </w:r>
      <w:r>
        <w:rPr>
          <w:rFonts w:hint="eastAsia" w:ascii="仿宋_GB2312" w:eastAsia="仿宋_GB2312"/>
          <w:sz w:val="32"/>
          <w:szCs w:val="32"/>
          <w:lang w:eastAsia="zh-CN"/>
        </w:rPr>
        <w:t>完成早稻种植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14908亩，一季稻11093亩，晚稻16362亩</w:t>
      </w:r>
      <w:r>
        <w:rPr>
          <w:rFonts w:hint="eastAsia" w:ascii="仿宋_GB2312" w:eastAsia="仿宋_GB2312"/>
          <w:sz w:val="32"/>
          <w:szCs w:val="32"/>
        </w:rPr>
        <w:t>；一卡通惠农资金准确发放率100%。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时效指标1个已完成指标值。工作按时办结100%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3.效益指标总分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（1）经济效益指标</w:t>
      </w:r>
      <w:r>
        <w:rPr>
          <w:rFonts w:hint="eastAsia" w:ascii="仿宋_GB2312" w:hAnsi="Times New Roman" w:eastAsia="仿宋_GB2312"/>
          <w:sz w:val="32"/>
          <w:szCs w:val="32"/>
        </w:rPr>
        <w:t>2个均已完成指标值</w:t>
      </w:r>
      <w:r>
        <w:rPr>
          <w:rFonts w:hint="eastAsia" w:ascii="仿宋_GB2312" w:eastAsia="仿宋_GB2312"/>
          <w:sz w:val="32"/>
          <w:szCs w:val="32"/>
          <w:lang w:eastAsia="zh-CN"/>
        </w:rPr>
        <w:t>。我镇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协助国富生物与“古汉养生精”生产企业启迪古汉集团签订淫羊藿采购协议，引导135家家居企业更新工艺、抱团发展。全镇家具产业年产值达2亿元，实现32位乡贤返乡创业，创造就业岗位2000多个，村均集体经济收入20万元以上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（2）社会效益指标2个均已完成指标值。特殊及困难人群的基本生活有所保障；稳步提升城镇化水平，提高居民生活幸福指数。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（3）生态效益指标完成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Times New Roman" w:eastAsia="仿宋_GB2312"/>
          <w:sz w:val="32"/>
          <w:szCs w:val="32"/>
        </w:rPr>
        <w:t>指标值。2023年我镇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全民义务植树活动种植各类花草树木5.7万株，铺设草坪1.3万平方米。镇区人均公共绿地面积增加到6.2平方米，覆盖率达到26.2%。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（4）可持续影响指标1个已完成指标值。增强了政府的服务职能，提高了办事效率和政府公信力；坚持统筹城乡发展、稳步发展战略。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4.满意度指标总分为10分，得分10分。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在2023年度工作中，我镇坚持“以民为本”的工作理念，干部职工满意度100%，社会公众或服务对象满意度95%，均已完成指标值。</w:t>
      </w:r>
    </w:p>
    <w:p>
      <w:pPr>
        <w:pStyle w:val="2"/>
        <w:tabs>
          <w:tab w:val="left" w:pos="312"/>
        </w:tabs>
        <w:ind w:left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5.成本指标</w:t>
      </w:r>
      <w:r>
        <w:rPr>
          <w:rFonts w:ascii="仿宋_GB2312" w:hAnsi="Times New Roman" w:eastAsia="仿宋_GB2312"/>
          <w:b w:val="0"/>
          <w:kern w:val="2"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分，得分1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在2023年的工作中，我镇严格按照预算指标执行，但由于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业务量增加，人员变动。</w:t>
      </w:r>
      <w:r>
        <w:rPr>
          <w:rFonts w:hint="eastAsia" w:ascii="仿宋_GB2312" w:hAnsi="Times New Roman" w:eastAsia="仿宋_GB2312"/>
          <w:sz w:val="32"/>
          <w:szCs w:val="32"/>
        </w:rPr>
        <w:t>年中预算有调整，公用经费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、人员经费</w:t>
      </w:r>
      <w:r>
        <w:rPr>
          <w:rFonts w:hint="eastAsia" w:ascii="仿宋_GB2312" w:hAnsi="Times New Roman" w:eastAsia="仿宋_GB2312"/>
          <w:sz w:val="32"/>
          <w:szCs w:val="32"/>
        </w:rPr>
        <w:t>部分支出突破预算，导致超支预算，该项指标扣3分；全年我镇严格控制三公经费支出，三公经费没有突破预算，完成了指标值。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、项目绩效目标完成情况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eastAsia="黑体"/>
          <w:sz w:val="32"/>
          <w:szCs w:val="32"/>
        </w:rPr>
        <w:t>存在问题原因分析</w:t>
      </w:r>
      <w:r>
        <w:rPr>
          <w:rFonts w:hint="eastAsia" w:eastAsia="黑体"/>
          <w:sz w:val="32"/>
          <w:szCs w:val="32"/>
        </w:rPr>
        <w:t>及</w:t>
      </w:r>
      <w:r>
        <w:rPr>
          <w:rFonts w:eastAsia="黑体"/>
          <w:sz w:val="32"/>
          <w:szCs w:val="32"/>
        </w:rPr>
        <w:t>改进措施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3.“三公经费”控制不足，有超支风险。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（二）原因分析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1.对预算管理的学习和理解不够透彻。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2.“三公经费”控制有一定难度，基本为刚性支出。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3.财务制度方面不够规范、人员分工不明等原因造成的财务工作的拖延和滞后。</w:t>
      </w:r>
    </w:p>
    <w:p>
      <w:pPr>
        <w:pStyle w:val="2"/>
        <w:ind w:firstLine="642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（三）下一步改进措施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细化预算编制工作，认真做好预算的编制。进一步加强内设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完善资产管理，抓好"三公经费"控制。严格编制政府采购年初预算和计划，规范各类资产的购置审批制度、资产采购制度、使用管理制度、资产处置和报废审批制度、资产管理岗位职责制度等，加强单位内部的资产管理工作。提升会计信息化水平，进一步规范和加强各类资产的会计核算，夯实资产核算的各项基础工作，强化资产账实相符，确保资产信息的全面性、完整性和准确性。严格控制"三公经费"的规模和比例，把关"三公经费"支出的审核、审批，杜绝挪用和挤占其他预算资金行为；进一步细化"三公经费"的管理，合理压缩"三公经费"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4.完善岗位设置，配备财政队伍，并对相关财务人员进一步加强学习，特别要针对《预算法》、《新政府会计制度》学习，规范部门预算收支核算，切实提高部门预算管理水平。</w:t>
      </w:r>
    </w:p>
    <w:p>
      <w:pPr>
        <w:widowControl/>
        <w:numPr>
          <w:ilvl w:val="0"/>
          <w:numId w:val="3"/>
        </w:numPr>
        <w:spacing w:line="600" w:lineRule="exact"/>
        <w:ind w:left="64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其他需要说明的情况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衡阳县库宗桥镇人民政府</w:t>
      </w:r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2024年5月14日</w:t>
      </w:r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30820"/>
    <w:multiLevelType w:val="singleLevel"/>
    <w:tmpl w:val="9FD308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C765B6"/>
    <w:multiLevelType w:val="singleLevel"/>
    <w:tmpl w:val="BBC765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156304"/>
    <w:multiLevelType w:val="multilevel"/>
    <w:tmpl w:val="3B156304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FmYjExZDk2OGQ1OGE4MzJkNmI5MTAyODJjODcifQ=="/>
  </w:docVars>
  <w:rsids>
    <w:rsidRoot w:val="4C43681B"/>
    <w:rsid w:val="001A2EC3"/>
    <w:rsid w:val="00313139"/>
    <w:rsid w:val="003309A5"/>
    <w:rsid w:val="00373D9C"/>
    <w:rsid w:val="00483D66"/>
    <w:rsid w:val="00592AAA"/>
    <w:rsid w:val="005B6ECC"/>
    <w:rsid w:val="005C223B"/>
    <w:rsid w:val="00602F6B"/>
    <w:rsid w:val="00653BF4"/>
    <w:rsid w:val="007561CB"/>
    <w:rsid w:val="00765A39"/>
    <w:rsid w:val="008A7E7B"/>
    <w:rsid w:val="00A67B32"/>
    <w:rsid w:val="00C57D15"/>
    <w:rsid w:val="00C6489E"/>
    <w:rsid w:val="00C709FD"/>
    <w:rsid w:val="00C979A0"/>
    <w:rsid w:val="00CE5AE9"/>
    <w:rsid w:val="00DB32D5"/>
    <w:rsid w:val="00DF3643"/>
    <w:rsid w:val="00EA6BF6"/>
    <w:rsid w:val="00ED338C"/>
    <w:rsid w:val="00F70A68"/>
    <w:rsid w:val="00FB12C3"/>
    <w:rsid w:val="00FE202D"/>
    <w:rsid w:val="02D67969"/>
    <w:rsid w:val="068B5B47"/>
    <w:rsid w:val="09146FE7"/>
    <w:rsid w:val="10DF4B81"/>
    <w:rsid w:val="11C95E3A"/>
    <w:rsid w:val="14B178C7"/>
    <w:rsid w:val="1A086B2F"/>
    <w:rsid w:val="1DE275E2"/>
    <w:rsid w:val="1DEF1689"/>
    <w:rsid w:val="1DEF3337"/>
    <w:rsid w:val="1E4D4E74"/>
    <w:rsid w:val="1E6E543A"/>
    <w:rsid w:val="22155519"/>
    <w:rsid w:val="223165BD"/>
    <w:rsid w:val="22674BBC"/>
    <w:rsid w:val="25B739C8"/>
    <w:rsid w:val="26FB2636"/>
    <w:rsid w:val="27DA3663"/>
    <w:rsid w:val="2A2A1053"/>
    <w:rsid w:val="2A6D41ED"/>
    <w:rsid w:val="2B854A2B"/>
    <w:rsid w:val="2BDB7330"/>
    <w:rsid w:val="34A72A00"/>
    <w:rsid w:val="37EC26F5"/>
    <w:rsid w:val="3C0B6651"/>
    <w:rsid w:val="3D0160AB"/>
    <w:rsid w:val="3E0A0853"/>
    <w:rsid w:val="3E2D187A"/>
    <w:rsid w:val="41330089"/>
    <w:rsid w:val="443D1D4E"/>
    <w:rsid w:val="4C43681B"/>
    <w:rsid w:val="4C923160"/>
    <w:rsid w:val="4E54656B"/>
    <w:rsid w:val="515651ED"/>
    <w:rsid w:val="519A5C81"/>
    <w:rsid w:val="54322682"/>
    <w:rsid w:val="55944FFF"/>
    <w:rsid w:val="58EA42F7"/>
    <w:rsid w:val="592917C1"/>
    <w:rsid w:val="5DDF7AE8"/>
    <w:rsid w:val="60067FC1"/>
    <w:rsid w:val="60A52F4C"/>
    <w:rsid w:val="6778080A"/>
    <w:rsid w:val="687115B5"/>
    <w:rsid w:val="6C2E7CD3"/>
    <w:rsid w:val="6CB461FC"/>
    <w:rsid w:val="6DC431FB"/>
    <w:rsid w:val="6F795A80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微软雅黑" w:hAnsi="微软雅黑" w:eastAsia="微软雅黑"/>
      <w:b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adjustRightInd w:val="0"/>
      <w:snapToGrid w:val="0"/>
      <w:spacing w:beforeLines="5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379</Words>
  <Characters>2166</Characters>
  <Lines>18</Lines>
  <Paragraphs>5</Paragraphs>
  <TotalTime>8</TotalTime>
  <ScaleCrop>false</ScaleCrop>
  <LinksUpToDate>false</LinksUpToDate>
  <CharactersWithSpaces>2540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cp:lastPrinted>2024-05-14T08:48:42Z</cp:lastPrinted>
  <dcterms:modified xsi:type="dcterms:W3CDTF">2024-05-14T08:55:08Z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02D5061B768C420784F0E3588E6A3D0A</vt:lpwstr>
  </property>
</Properties>
</file>