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color w:val="FF0000"/>
          <w:sz w:val="109"/>
          <w:lang w:val="en-US" w:eastAsia="zh-CN"/>
        </w:rPr>
      </w:pP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衡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</w:rPr>
        <w:t>阳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</w:rPr>
        <w:t>县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井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头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镇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人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民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政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府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5257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0.65pt;height:0pt;width:414pt;z-index:251659264;mso-width-relative:page;mso-height-relative:page;" filled="f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NiLFdEAAAAFAQAADwAAAAAAAAABACAAAAAiAAAAZHJzL2Rvd25yZXYueG1sUEsBAhQAFAAA&#10;AAgAh07iQBwn3gL2AQAA5QMAAA4AAAAAAAAAAQAgAAAAIAEAAGRycy9lMm9Eb2MueG1sUEsFBgAA&#10;AAAGAAYAWQEAAIg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部门整体支出绩效自评报告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一、部门、单位基本情况</w:t>
      </w:r>
    </w:p>
    <w:p>
      <w:pPr>
        <w:pStyle w:val="9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（一）机构设置情况</w:t>
      </w:r>
    </w:p>
    <w:p>
      <w:pPr>
        <w:pStyle w:val="9"/>
        <w:widowControl/>
        <w:spacing w:line="600" w:lineRule="exac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" w:eastAsia="zh-CN"/>
        </w:rPr>
        <w:t>根据职责，我镇内设机构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lang w:val="en" w:eastAsia="zh-CN"/>
        </w:rPr>
        <w:t>个，所属事业单位3中心1大队。内设机构是党政综合办公室、经济发展办公室、社会事务办公室、自然资源和生态环境办公室、社会治安综合治理和应急管理办公室、基层党建工作办公室；所属事业单位分别是社会事业综合服务中心、农业综合服务中心、政务服务中心、综合行政执法大队。</w:t>
      </w:r>
    </w:p>
    <w:p>
      <w:pPr>
        <w:pStyle w:val="9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人员编制情况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" w:eastAsia="zh-CN"/>
        </w:rPr>
        <w:t>我镇核定编制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143</w:t>
      </w:r>
      <w:r>
        <w:rPr>
          <w:rFonts w:hint="eastAsia" w:ascii="仿宋_GB2312" w:hAnsi="Times New Roman" w:eastAsia="仿宋_GB2312" w:cs="Times New Roman"/>
          <w:sz w:val="32"/>
          <w:szCs w:val="32"/>
          <w:lang w:val="en" w:eastAsia="zh-CN"/>
        </w:rPr>
        <w:t>名，其中：行政编制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52</w:t>
      </w:r>
      <w:r>
        <w:rPr>
          <w:rFonts w:hint="eastAsia" w:ascii="仿宋_GB2312" w:hAnsi="Times New Roman" w:eastAsia="仿宋_GB2312" w:cs="Times New Roman"/>
          <w:sz w:val="32"/>
          <w:szCs w:val="32"/>
          <w:lang w:val="en" w:eastAsia="zh-CN"/>
        </w:rPr>
        <w:t>名，实有在职人员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37</w:t>
      </w:r>
      <w:r>
        <w:rPr>
          <w:rFonts w:hint="eastAsia" w:ascii="仿宋_GB2312" w:hAnsi="Times New Roman" w:eastAsia="仿宋_GB2312" w:cs="Times New Roman"/>
          <w:sz w:val="32"/>
          <w:szCs w:val="32"/>
          <w:lang w:val="en" w:eastAsia="zh-CN"/>
        </w:rPr>
        <w:t>人；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工勤编制3名，实有在职人数2人；</w:t>
      </w:r>
      <w:r>
        <w:rPr>
          <w:rFonts w:hint="eastAsia" w:ascii="仿宋_GB2312" w:hAnsi="Times New Roman" w:eastAsia="仿宋_GB2312" w:cs="Times New Roman"/>
          <w:sz w:val="32"/>
          <w:szCs w:val="32"/>
          <w:lang w:val="en" w:eastAsia="zh-CN"/>
        </w:rPr>
        <w:t>事业编制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88</w:t>
      </w:r>
      <w:r>
        <w:rPr>
          <w:rFonts w:hint="eastAsia" w:ascii="仿宋_GB2312" w:hAnsi="Times New Roman" w:eastAsia="仿宋_GB2312" w:cs="Times New Roman"/>
          <w:sz w:val="32"/>
          <w:szCs w:val="32"/>
          <w:lang w:val="en" w:eastAsia="zh-CN"/>
        </w:rPr>
        <w:t>名，实有在职人员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62</w:t>
      </w:r>
      <w:r>
        <w:rPr>
          <w:rFonts w:hint="eastAsia" w:ascii="仿宋_GB2312" w:hAnsi="Times New Roman" w:eastAsia="仿宋_GB2312" w:cs="Times New Roman"/>
          <w:sz w:val="32"/>
          <w:szCs w:val="32"/>
          <w:lang w:val="en" w:eastAsia="zh-CN"/>
        </w:rPr>
        <w:t>人；退休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66</w:t>
      </w:r>
      <w:r>
        <w:rPr>
          <w:rFonts w:hint="eastAsia" w:ascii="仿宋_GB2312" w:hAnsi="Times New Roman" w:eastAsia="仿宋_GB2312" w:cs="Times New Roman"/>
          <w:sz w:val="32"/>
          <w:szCs w:val="32"/>
          <w:lang w:val="en" w:eastAsia="zh-CN"/>
        </w:rPr>
        <w:t>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二、预算支出情况</w:t>
      </w:r>
    </w:p>
    <w:p>
      <w:pPr>
        <w:pStyle w:val="9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2532.08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1855.69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年初结转和结余676.40万元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；2023年年初预算安排支出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2532.08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1180.84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1423.24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3672.45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1140.37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3672.45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3291.35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89.62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381.10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10.38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％。差异产生的主要原因是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年中指标调整，增加了预算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11.18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1.97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11.18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1.97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362.15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93.85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141.90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126.40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.资产管理情况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2023年年末资产总额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1180.99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万元，负债总额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488.05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万元，净资产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692.94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万元。截至2023年12月31日，固定资产账面原值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446.24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万元，在用资产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446.24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万元，资产使用率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三、部门整体支出绩效情况</w:t>
      </w:r>
    </w:p>
    <w:p>
      <w:pPr>
        <w:pStyle w:val="9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（一）综合评价结论。</w:t>
      </w:r>
    </w:p>
    <w:p>
      <w:pPr>
        <w:pStyle w:val="9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年对照《井头镇人民政府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年度部门整体支出绩效评价指标评分表》等方面具体指标综合评分，得分为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94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分，综合评价等级分为优秀。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评价指标分析。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部门资金情况总分10分，得分10分。</w:t>
      </w:r>
    </w:p>
    <w:p>
      <w:pPr>
        <w:pStyle w:val="9"/>
        <w:widowControl/>
        <w:numPr>
          <w:ilvl w:val="0"/>
          <w:numId w:val="0"/>
        </w:numPr>
        <w:spacing w:line="600" w:lineRule="exac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年度资金金额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3672.45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万元，执行率为100%。</w:t>
      </w:r>
    </w:p>
    <w:p>
      <w:pPr>
        <w:pStyle w:val="9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产出指标总分为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0分，得分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分。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（1）数量指标3个均完成指标值。落实32个村（社区）数的粮食生产战略；扶持村集体经济发展，巩固脱贫攻坚；保障村（社区）正常运转。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（2）质量指标完成2个指标值。双季稻同比增长高于5%；监测户返贫率为0。</w:t>
      </w:r>
    </w:p>
    <w:p>
      <w:pPr>
        <w:pStyle w:val="6"/>
        <w:numPr>
          <w:ilvl w:val="0"/>
          <w:numId w:val="2"/>
        </w:numP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时效指标1个已完成指标值。工作按时办结100%。</w:t>
      </w:r>
    </w:p>
    <w:p>
      <w:pPr>
        <w:pStyle w:val="9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效益指标总分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0分，得分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分。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1）经济效益指标3个均未完成指标值。2023年我镇运输成本较去年同比相差不大，该项指标扣分1分；农民收入水平较去年持平，该项指标扣分1分；井头镇经济增长与去年持平，该项指标扣分1分，造成原因为：因疫情影响，阻碍生产力的发展，导致井头镇经济增长、农民增收未能达到预计标准。改善措施：积极招商引资，多渠道提升企业、群众增收方式，促进井头镇经济稳步增长，保障农民收入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（2）社会效益指标3个均已完成指标值。基础民生有所保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障；道路基础设施建设有所优化；社会安定和谐。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（3）生态效益指标1个已完成指标值。营造了良好的节能环保型社会环境，有效地推进了生态建设。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（4）可持续影响指标2个已完成指标值。增强了政府的服务职能，提高了办事效率和政府公信力；坚持统筹城乡发展、稳步发展战略。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满意度指标总分为10分，得分10分。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在2023年度工作中，我镇坚持“以民为本”的工作理念，干部职工满意度95%，社会公众或服务对象满意度95%，均已完成指标值。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  <w:t>成本指标20分，得分17分。</w:t>
      </w:r>
    </w:p>
    <w:p>
      <w:pPr>
        <w:widowControl/>
        <w:numPr>
          <w:ilvl w:val="0"/>
          <w:numId w:val="0"/>
        </w:numPr>
        <w:spacing w:line="60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在2023年的工作中，我镇严格按照预算指标执行，但由于年中预算有调整，公用经费部分支出突破预算，调整金额298.08万元，调整率85.67%，导致超支预算，该项指标扣3分；全年我镇严格控制三公经费支出，三公经费较去年减少5%，完成了指标值。</w:t>
      </w:r>
    </w:p>
    <w:p>
      <w:pPr>
        <w:pStyle w:val="9"/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、项目绩效目标完成情况</w:t>
      </w: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无</w:t>
      </w:r>
    </w:p>
    <w:p>
      <w:pPr>
        <w:pStyle w:val="9"/>
        <w:widowControl/>
        <w:numPr>
          <w:ilvl w:val="0"/>
          <w:numId w:val="4"/>
        </w:numPr>
        <w:spacing w:line="600" w:lineRule="exact"/>
        <w:ind w:left="64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存在问题原因分析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1.预算编制不够明确和细化，预算编制的合理性需要提高，预算执行力度还要进一步加强。资金使用效益有待进一步提高，绩效目标设立不够明确、细化和量化。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2.因业务水平有限，年初预算的编制支出类别上理解不够，比如基本支出和项目支出，在日常业务操作时容易出错。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3.“三公经费”控制不足，有超支风险。</w:t>
      </w:r>
    </w:p>
    <w:p>
      <w:pPr>
        <w:widowControl/>
        <w:spacing w:line="600" w:lineRule="exact"/>
        <w:ind w:firstLine="645"/>
        <w:jc w:val="left"/>
        <w:rPr>
          <w:rFonts w:hint="eastAsia" w:ascii="楷体_GB2312" w:hAnsi="楷体" w:eastAsia="楷体_GB2312" w:cs="楷体"/>
          <w:bCs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bCs/>
          <w:sz w:val="32"/>
          <w:szCs w:val="32"/>
          <w:lang w:val="en-US" w:eastAsia="zh-CN"/>
        </w:rPr>
        <w:t>（二）原因分析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1.对预算管理的学习和理解不够透彻。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2.“三公经费”控制有一定难度，基本为刚性支出。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3.财务制度方面不够规范、人员分工不明等原因造成的财务工作的拖延和滞后。</w:t>
      </w:r>
    </w:p>
    <w:p>
      <w:pPr>
        <w:pStyle w:val="2"/>
        <w:ind w:firstLine="642"/>
        <w:rPr>
          <w:rFonts w:hint="eastAsia" w:ascii="楷体_GB2312" w:hAnsi="楷体" w:eastAsia="楷体_GB2312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 w:val="0"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" w:eastAsia="楷体_GB2312" w:cs="楷体"/>
          <w:b w:val="0"/>
          <w:bCs/>
          <w:kern w:val="2"/>
          <w:sz w:val="32"/>
          <w:szCs w:val="32"/>
          <w:lang w:val="en-US" w:eastAsia="zh-CN" w:bidi="ar-SA"/>
        </w:rPr>
        <w:t>下一步改进措施</w:t>
      </w:r>
    </w:p>
    <w:p>
      <w:pPr>
        <w:numPr>
          <w:numId w:val="0"/>
        </w:numPr>
        <w:ind w:left="0" w:leftChars="0" w:firstLine="739" w:firstLineChars="231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.细化预算编制工作，认真做好预算的编制。进一步加强内设机构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numPr>
          <w:numId w:val="0"/>
        </w:numPr>
        <w:ind w:left="0" w:leftChars="0" w:firstLine="739" w:firstLineChars="231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.加强财务管理，严格财务审核。加强单位财务管理，健全单位财务管理制度体系，规范单位财务行为。在费用报账支付时，按照预算规定的费用项目和用途进行资金使用审核、财务严格核算，杜绝超支现象的发生</w:t>
      </w:r>
    </w:p>
    <w:p>
      <w:pPr>
        <w:numPr>
          <w:numId w:val="0"/>
        </w:numPr>
        <w:ind w:left="0" w:leftChars="0" w:firstLine="739" w:firstLineChars="231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3.完善资产管理，抓好"三公经费"控制。严格编制政府采购年初预算和计划，规范各类资产的购置审批制度、资产采购制度、使用管理制度、资产处置和报废审批制度、资产管理岗位职责制度等，加强单位内部的资产管理工作。提升会计信息化水平，进一步规范和加强各类资产的会计核算，夯实资产核算的各项基础工作，强化资产账实相符，确保资产信息的全面性、完整性和准确性。严格控制"三公经费"的规模和比例，把关"三公经费"支出的审核、审批，杜绝挪用和挤占其他预算资金行为；进一步细化"三公经费"的管理，合理压缩"三公经费"支出。</w:t>
      </w:r>
    </w:p>
    <w:p>
      <w:pPr>
        <w:numPr>
          <w:numId w:val="0"/>
        </w:numPr>
        <w:ind w:firstLine="960" w:firstLineChars="3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4.完善岗位设置，配备财政队伍，并对相关财务人员进一步加强学习，特别要针对《预算法》、《新政府会计制度》学习，规范部门预算收支核算，切实提高部门预算管理水平。</w:t>
      </w:r>
      <w:bookmarkStart w:id="0" w:name="_GoBack"/>
      <w:bookmarkEnd w:id="0"/>
    </w:p>
    <w:p>
      <w:pPr>
        <w:widowControl/>
        <w:numPr>
          <w:ilvl w:val="0"/>
          <w:numId w:val="4"/>
        </w:numPr>
        <w:spacing w:line="600" w:lineRule="exact"/>
        <w:ind w:left="64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其他需要说明的情况</w:t>
      </w: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30820"/>
    <w:multiLevelType w:val="singleLevel"/>
    <w:tmpl w:val="9FD308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C765B6"/>
    <w:multiLevelType w:val="singleLevel"/>
    <w:tmpl w:val="BBC765B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8FA68F1"/>
    <w:multiLevelType w:val="singleLevel"/>
    <w:tmpl w:val="D8FA68F1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F4AE7DC0"/>
    <w:multiLevelType w:val="singleLevel"/>
    <w:tmpl w:val="F4AE7DC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jFmYjExZDk2OGQ1OGE4MzJkNmI5MTAyODJjODcifQ=="/>
  </w:docVars>
  <w:rsids>
    <w:rsidRoot w:val="4C43681B"/>
    <w:rsid w:val="02D67969"/>
    <w:rsid w:val="068B5B47"/>
    <w:rsid w:val="09146FE7"/>
    <w:rsid w:val="11C95E3A"/>
    <w:rsid w:val="1A086B2F"/>
    <w:rsid w:val="1DE275E2"/>
    <w:rsid w:val="1DEF1689"/>
    <w:rsid w:val="1E6E543A"/>
    <w:rsid w:val="22155519"/>
    <w:rsid w:val="223165BD"/>
    <w:rsid w:val="22674BBC"/>
    <w:rsid w:val="25B739C8"/>
    <w:rsid w:val="27DA3663"/>
    <w:rsid w:val="2A2A1053"/>
    <w:rsid w:val="2A6D41ED"/>
    <w:rsid w:val="2B854A2B"/>
    <w:rsid w:val="2BDB7330"/>
    <w:rsid w:val="34A72A00"/>
    <w:rsid w:val="37EC26F5"/>
    <w:rsid w:val="3C0B6651"/>
    <w:rsid w:val="3D0160AB"/>
    <w:rsid w:val="3E2D187A"/>
    <w:rsid w:val="41330089"/>
    <w:rsid w:val="443D1D4E"/>
    <w:rsid w:val="4C43681B"/>
    <w:rsid w:val="4C923160"/>
    <w:rsid w:val="4E54656B"/>
    <w:rsid w:val="515651ED"/>
    <w:rsid w:val="519A5C81"/>
    <w:rsid w:val="54322682"/>
    <w:rsid w:val="55944FFF"/>
    <w:rsid w:val="58EA42F7"/>
    <w:rsid w:val="592917C1"/>
    <w:rsid w:val="5DDF7AE8"/>
    <w:rsid w:val="60067FC1"/>
    <w:rsid w:val="60A52F4C"/>
    <w:rsid w:val="6778080A"/>
    <w:rsid w:val="687115B5"/>
    <w:rsid w:val="6C2E7CD3"/>
    <w:rsid w:val="6CB461FC"/>
    <w:rsid w:val="6DC431FB"/>
    <w:rsid w:val="6F795A80"/>
    <w:rsid w:val="776C076D"/>
    <w:rsid w:val="7B88713B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adjustRightInd w:val="0"/>
      <w:snapToGrid w:val="0"/>
      <w:spacing w:beforeLines="50" w:after="0"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邓威 null</cp:lastModifiedBy>
  <dcterms:modified xsi:type="dcterms:W3CDTF">2024-04-24T08:20:05Z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02D5061B768C420784F0E3588E6A3D0A</vt:lpwstr>
  </property>
</Properties>
</file>