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西渡镇2023年度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部门整体支出绩效自评报告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衡阳县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西渡镇</w:t>
      </w:r>
      <w:r>
        <w:rPr>
          <w:rFonts w:hint="eastAsia" w:ascii="仿宋" w:hAnsi="仿宋" w:eastAsia="仿宋" w:cs="仿宋"/>
          <w:sz w:val="32"/>
          <w:szCs w:val="32"/>
        </w:rPr>
        <w:t>人民政府为正科级全额拨款行政单位。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根据编委核定，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西渡镇</w:t>
      </w:r>
      <w:r>
        <w:rPr>
          <w:rFonts w:hint="eastAsia" w:ascii="仿宋" w:hAnsi="仿宋" w:eastAsia="仿宋" w:cs="仿宋"/>
          <w:sz w:val="32"/>
          <w:szCs w:val="32"/>
        </w:rPr>
        <w:t>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中心一大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内设机构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分别为政务服务中心、农业综合服务中心、综合执法大队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。全部纳入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2023年部门预算编制范围。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6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204</w:t>
      </w:r>
      <w:r>
        <w:rPr>
          <w:rFonts w:hint="eastAsia" w:ascii="仿宋_GB2312" w:eastAsia="仿宋_GB2312"/>
          <w:sz w:val="32"/>
          <w:szCs w:val="32"/>
        </w:rPr>
        <w:t>名，其中：行政编制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</w:t>
      </w:r>
      <w:r>
        <w:rPr>
          <w:rFonts w:hint="eastAsia" w:ascii="仿宋_GB2312" w:eastAsia="仿宋_GB2312"/>
          <w:sz w:val="32"/>
          <w:szCs w:val="32"/>
        </w:rPr>
        <w:t>名；实有在职人员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204</w:t>
      </w:r>
      <w:r>
        <w:rPr>
          <w:rFonts w:hint="eastAsia" w:ascii="仿宋_GB2312" w:eastAsia="仿宋_GB2312"/>
          <w:sz w:val="32"/>
          <w:szCs w:val="32"/>
        </w:rPr>
        <w:t>人，其中：行政及参照公务员管理人员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人，非参公事业人员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142人</w:t>
      </w:r>
      <w:r>
        <w:rPr>
          <w:rFonts w:hint="eastAsia" w:ascii="仿宋_GB2312" w:eastAsia="仿宋_GB2312"/>
          <w:sz w:val="32"/>
          <w:szCs w:val="32"/>
        </w:rPr>
        <w:t>；另有退休人员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pStyle w:val="6"/>
        <w:widowControl/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3599.24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784.64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社会保障和就业支出647.19万元，卫生支出108.49万元，城乡社区支出27.75万元，农林水支出1884.03万元，住房保障支出147.14万元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3599.24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1920.11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1679.13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12365.01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9476.3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12365.01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1934.39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15.64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10430.61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84.36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行账账记账省厅考核，往来资金也必须预算平行记账作收入支出，造成收入支出过大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8.69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1.45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8.69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1.45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761.81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71.93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98.38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591.5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8748.2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10319.26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-1571.06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1035.77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1035.77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年度，从年初工作计划和年度整体支出情况来看，一是预算执行情况较好，支出把关较严，量力而行，量财办事；二是农村产业结构调整较好，低效常规农作物种植率较低；三是廉政建设执行率较好。自评得分92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.56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分，评价等级优秀。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left="640" w:leftChars="0" w:firstLine="0" w:firstLineChars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评价指标分析（或综合评价情况）。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根据前面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年度部门整体支出状况的概述和分析，我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部门整体支出绩效情况如下：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1.本年预算配置控制较好，财政供养人员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控制在预算编制以内，实际在职人员数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略大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于编制数。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2.预算执行方面，支出总额控制在预算总额内，除专项预算的追加和政策性工资绩效预算的追加外，本部门预算未进行预算相关事项调整。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3.预算管理方面，制定了切实有效的内部财务、资产管理等制度，执行总体较为有效。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4.较好地完成了年度工作任务，各项绩效目标完成度均在95%以上。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5.举全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之力振兴乡村经济，深入开展污染防治攻坚战。今年我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进行人居环境卫生改革，按照“党委抓总、村级负责、属地管理”的原则，明确行政村是人居环境卫生的主体责任，通过改革实现全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居环境卫生保洁常态化。坚持把优化营商环境作为招商引资的前提，努力打造投资洼地，服务高地，提升投资环境竞争力。切实落实“种地得补贴，不种地不得补贴”的要求，提高农民种粮积极性。推广植树造林，开展荒山植绿和复绿行动，建好青山绿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民生保障再上新台阶，不断增强民生福祉。全面落实养老保障待遇核查“回头看”工作。组建工作专班，组织领导各村村干部下沉到每一村、每一户，严格落实“两个全覆盖”和“五个搞清楚”要求，推进养老保障待遇核查“回头看”工作。核查中，注重加强政银联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打通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数据堡垒，加强信息共享，确保数据真实准确。进一步增强农村文化软实力，加强村级公共文化服务中心、农家书屋的投入与管理，发展培育基层文化骨干。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7.政府自身建设不断加强。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政府自觉接受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人大和群众监督，继续推行政务公开，严格执行“八项规定”和“六项禁令”，坚决反对“四风”实现“一站式”服务；拓展村级服务站，简化办事程序，政府效能和执行力稳步提高。</w:t>
      </w:r>
    </w:p>
    <w:p>
      <w:pPr>
        <w:pStyle w:val="6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>
      <w:pPr>
        <w:pStyle w:val="6"/>
        <w:widowControl/>
        <w:spacing w:line="600" w:lineRule="exact"/>
        <w:ind w:left="640" w:firstLine="0" w:firstLineChars="0"/>
        <w:jc w:val="left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无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不足和问题，主要体现在以下几个方面：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1.预算编制不够准确。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主要是部分资金未纳入年初预算范围，造成追加预算部分金额较多，影响整体预算编制的准确率，预算编制准确率有待进一步提高。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2.财政工作水平有待提高。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财政工作按部就班，缺乏创新，在精度和深度上欠缺，还需要进一步完善，尤其是要做到专款专用。</w:t>
      </w:r>
    </w:p>
    <w:p>
      <w:pPr>
        <w:pStyle w:val="6"/>
        <w:widowControl/>
        <w:spacing w:line="600" w:lineRule="exact"/>
        <w:ind w:left="64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3.对绩效评价认识不足。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没有建立健全的制度，对制度的执行力度不够，对绩效评价业务仍有不熟悉的地方。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针对以上存在的问题，应把握以下重点：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1.准确编制预算。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细化预算编制工作，认真做好预算的编制。进一步加强单位内部机构各站所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2.加强财务管理，认真学习政策。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要加强单位财务管理，健全单位财务管理制度体系，规范单位财务行为。在费用报账支付时，按照预算规定的费用项目和用途进行资金使用审核、列报支付、财务核算，杜绝超支现象的发生。二是建议加强政策学习，提高思想认识。组织相关人员认真学习《会计法》、《预算法》等相关法规、制度，提高单位领导对学习财务管理政策的重视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3.履行绩效评价建设建设职能。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进一步完善内部管理制度，提升管理效能，更好地履行生态文明建设职能。组织相关人员进行绩效培训，并在单位宣传绩效评价的重要性与意识，为绩效评价工作夯实基础。</w:t>
      </w:r>
    </w:p>
    <w:p>
      <w:pPr>
        <w:widowControl/>
        <w:numPr>
          <w:ilvl w:val="0"/>
          <w:numId w:val="2"/>
        </w:numPr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widowControl/>
        <w:numPr>
          <w:ilvl w:val="0"/>
          <w:numId w:val="0"/>
        </w:numPr>
        <w:spacing w:line="600" w:lineRule="exact"/>
        <w:ind w:leftChars="200" w:firstLine="320" w:firstLineChars="1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pacing w:line="600" w:lineRule="exact"/>
        <w:ind w:left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tabs>
          <w:tab w:val="left" w:pos="5636"/>
        </w:tabs>
        <w:spacing w:line="600" w:lineRule="exact"/>
        <w:ind w:leftChars="20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西渡镇人民政府</w:t>
      </w:r>
    </w:p>
    <w:p>
      <w:pPr>
        <w:widowControl/>
        <w:numPr>
          <w:ilvl w:val="0"/>
          <w:numId w:val="0"/>
        </w:numPr>
        <w:tabs>
          <w:tab w:val="left" w:pos="5636"/>
        </w:tabs>
        <w:spacing w:line="600" w:lineRule="exact"/>
        <w:ind w:leftChars="20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     2024年5月14日</w:t>
      </w:r>
    </w:p>
    <w:p>
      <w:pPr>
        <w:widowControl/>
        <w:numPr>
          <w:ilvl w:val="0"/>
          <w:numId w:val="0"/>
        </w:numPr>
        <w:spacing w:line="600" w:lineRule="exact"/>
        <w:ind w:left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600" w:lineRule="exact"/>
        <w:ind w:left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600" w:lineRule="exact"/>
        <w:ind w:leftChars="20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15C25"/>
    <w:multiLevelType w:val="singleLevel"/>
    <w:tmpl w:val="2DB15C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63C148"/>
    <w:multiLevelType w:val="singleLevel"/>
    <w:tmpl w:val="6963C1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YjUyMmI3MTZkNWFkNGM2ODQ3YmM3MjgzMGExZTgifQ=="/>
  </w:docVars>
  <w:rsids>
    <w:rsidRoot w:val="4C43681B"/>
    <w:rsid w:val="02D67969"/>
    <w:rsid w:val="068B5B47"/>
    <w:rsid w:val="09146FE7"/>
    <w:rsid w:val="1A086B2F"/>
    <w:rsid w:val="1DE275E2"/>
    <w:rsid w:val="1DEF1689"/>
    <w:rsid w:val="1E6E543A"/>
    <w:rsid w:val="22155519"/>
    <w:rsid w:val="223165BD"/>
    <w:rsid w:val="22674BBC"/>
    <w:rsid w:val="25B739C8"/>
    <w:rsid w:val="27DA3663"/>
    <w:rsid w:val="2A2A1053"/>
    <w:rsid w:val="2A6D41ED"/>
    <w:rsid w:val="2B854A2B"/>
    <w:rsid w:val="2BDB7330"/>
    <w:rsid w:val="34A72A00"/>
    <w:rsid w:val="3C0B6651"/>
    <w:rsid w:val="3D0160AB"/>
    <w:rsid w:val="3E2D187A"/>
    <w:rsid w:val="44EF5147"/>
    <w:rsid w:val="4C43681B"/>
    <w:rsid w:val="4C923160"/>
    <w:rsid w:val="4E54656B"/>
    <w:rsid w:val="515651ED"/>
    <w:rsid w:val="519A5C81"/>
    <w:rsid w:val="521C2651"/>
    <w:rsid w:val="52AF7B03"/>
    <w:rsid w:val="55944FFF"/>
    <w:rsid w:val="58EA42F7"/>
    <w:rsid w:val="592917C1"/>
    <w:rsid w:val="5A4B6183"/>
    <w:rsid w:val="5DDF7AE8"/>
    <w:rsid w:val="60067FC1"/>
    <w:rsid w:val="60A52F4C"/>
    <w:rsid w:val="636E0C34"/>
    <w:rsid w:val="6778080A"/>
    <w:rsid w:val="687115B5"/>
    <w:rsid w:val="6C2E7CD3"/>
    <w:rsid w:val="6CB461FC"/>
    <w:rsid w:val="6DC431FB"/>
    <w:rsid w:val="776C076D"/>
    <w:rsid w:val="7B88713B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衡阳县财政局</cp:lastModifiedBy>
  <dcterms:modified xsi:type="dcterms:W3CDTF">2024-05-17T02:04:03Z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AB5560B479944767B381AD5F9021AF24_13</vt:lpwstr>
  </property>
</Properties>
</file>