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FF0000"/>
          <w:sz w:val="109"/>
        </w:rPr>
      </w:pP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</w:rPr>
        <w:t xml:space="preserve">阳 县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板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市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  <w:lang w:eastAsia="zh-CN"/>
        </w:rPr>
        <w:t>乡</w:t>
      </w:r>
      <w:r>
        <w:rPr>
          <w:rFonts w:hint="eastAsia" w:ascii="方正小标宋_GBK" w:eastAsia="方正小标宋_GBK"/>
          <w:color w:val="FF0000"/>
          <w:w w:val="50"/>
          <w:kern w:val="0"/>
          <w:sz w:val="109"/>
        </w:rPr>
        <w:t xml:space="preserve"> 人 民 政 府</w:t>
      </w:r>
    </w:p>
    <w:p>
      <w:pPr>
        <w:rPr>
          <w:rFonts w:ascii="Times New Roman" w:hAnsi="Times New Roman"/>
        </w:rPr>
      </w:pPr>
      <w:r>
        <w:pict>
          <v:line id="_x0000_s1026" o:spid="_x0000_s1026" o:spt="20" style="position:absolute;left:0pt;margin-left:0.65pt;margin-top:0.65pt;height:0pt;width:414pt;z-index:251659264;mso-width-relative:page;mso-height-relative:page;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NiLFdEAAAAFAQAADwAAAAAAAAABACAAAAAiAAAAZHJzL2Rvd25yZXYueG1sUEsBAhQAFAAA&#10;AAgAh07iQBwn3gL2AQAA5QMAAA4AAAAAAAAAAQAgAAAAIAEAAGRycy9lMm9Eb2MueG1sUEsFBgAA&#10;AAAGAAYAWQEAAIgFAAAAAA=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部门整体支出绩效自评报告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9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一、部门、单位基本情况</w:t>
      </w:r>
    </w:p>
    <w:p>
      <w:pPr>
        <w:pStyle w:val="9"/>
        <w:widowControl/>
        <w:numPr>
          <w:ilvl w:val="0"/>
          <w:numId w:val="1"/>
        </w:numPr>
        <w:spacing w:line="600" w:lineRule="exact"/>
        <w:ind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机构设置情况</w:t>
      </w:r>
    </w:p>
    <w:p>
      <w:pPr>
        <w:pStyle w:val="10"/>
        <w:widowControl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根据职责，我内设机构1个，所属事业单位3中心1大队。内设机构是</w:t>
      </w:r>
      <w:r>
        <w:rPr>
          <w:rFonts w:hint="eastAsia" w:ascii="仿宋_GB2312" w:eastAsia="仿宋_GB2312"/>
          <w:sz w:val="32"/>
          <w:szCs w:val="32"/>
          <w:lang w:eastAsia="zh-CN"/>
        </w:rPr>
        <w:t>板市</w:t>
      </w:r>
      <w:r>
        <w:rPr>
          <w:rFonts w:hint="eastAsia" w:ascii="仿宋_GB2312" w:eastAsia="仿宋_GB2312"/>
          <w:sz w:val="32"/>
          <w:szCs w:val="32"/>
        </w:rPr>
        <w:t>机关。所属事业单位分别是社会事业综合服务中心、农业综合服务中心、政务服务中心、综合行政执法大队。</w:t>
      </w:r>
    </w:p>
    <w:p>
      <w:pPr>
        <w:pStyle w:val="9"/>
        <w:widowControl/>
        <w:numPr>
          <w:ilvl w:val="0"/>
          <w:numId w:val="2"/>
        </w:numPr>
        <w:spacing w:line="600" w:lineRule="exact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人员编制情况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乡</w:t>
      </w:r>
      <w:r>
        <w:rPr>
          <w:rFonts w:hint="eastAsia" w:ascii="仿宋_GB2312" w:hAnsi="Times New Roman" w:eastAsia="仿宋_GB2312"/>
          <w:sz w:val="32"/>
          <w:szCs w:val="32"/>
        </w:rPr>
        <w:t>核定编制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Times New Roman" w:eastAsia="仿宋_GB2312"/>
          <w:sz w:val="32"/>
          <w:szCs w:val="32"/>
        </w:rPr>
        <w:t>名，其中：行政编制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/>
          <w:sz w:val="32"/>
          <w:szCs w:val="32"/>
        </w:rPr>
        <w:t>名，实有在职人员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/>
          <w:sz w:val="32"/>
          <w:szCs w:val="32"/>
        </w:rPr>
        <w:t>人；事业编制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/>
          <w:sz w:val="32"/>
          <w:szCs w:val="32"/>
        </w:rPr>
        <w:t>名，实有在职人员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/>
          <w:sz w:val="32"/>
          <w:szCs w:val="32"/>
        </w:rPr>
        <w:t>人。</w:t>
      </w:r>
    </w:p>
    <w:p>
      <w:pPr>
        <w:pStyle w:val="9"/>
        <w:widowControl/>
        <w:spacing w:line="60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二、预算支出情况</w:t>
      </w:r>
    </w:p>
    <w:p>
      <w:pPr>
        <w:pStyle w:val="9"/>
        <w:widowControl/>
        <w:spacing w:line="600" w:lineRule="exact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hint="eastAsia" w:eastAsia="楷体_GB2312"/>
          <w:sz w:val="32"/>
          <w:szCs w:val="32"/>
        </w:rPr>
        <w:t>部门</w:t>
      </w:r>
      <w:r>
        <w:rPr>
          <w:rFonts w:eastAsia="楷体_GB2312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1.部门预算情况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2023年年初预算安排收入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493.68</w:t>
      </w:r>
      <w:r>
        <w:rPr>
          <w:rFonts w:ascii="仿宋_GB2312" w:hAnsi="Times New Roman" w:eastAsia="仿宋_GB2312"/>
          <w:sz w:val="32"/>
          <w:szCs w:val="32"/>
        </w:rPr>
        <w:t>万元，其中一般公共财政拨款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493.68</w:t>
      </w:r>
      <w:r>
        <w:rPr>
          <w:rFonts w:ascii="仿宋_GB2312" w:hAnsi="Times New Roman" w:eastAsia="仿宋_GB2312"/>
          <w:sz w:val="32"/>
          <w:szCs w:val="32"/>
        </w:rPr>
        <w:t>万元；2023年年初预算安排支出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493.68</w:t>
      </w:r>
      <w:r>
        <w:rPr>
          <w:rFonts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ascii="仿宋_GB2312" w:hAnsi="Times New Roman" w:eastAsia="仿宋_GB2312"/>
          <w:sz w:val="32"/>
          <w:szCs w:val="32"/>
        </w:rPr>
        <w:t>其中：基本支出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493.68</w:t>
      </w:r>
      <w:r>
        <w:rPr>
          <w:rFonts w:ascii="仿宋_GB2312" w:hAnsi="Times New Roman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2023年决算总收入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1431.37</w:t>
      </w: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万元，较预算增加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937.48</w:t>
      </w:r>
      <w:r>
        <w:rPr>
          <w:rFonts w:ascii="仿宋_GB2312" w:hAnsi="Times New Roman" w:eastAsia="仿宋_GB2312"/>
          <w:sz w:val="32"/>
          <w:szCs w:val="32"/>
        </w:rPr>
        <w:t>万元，总支出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1431.16</w:t>
      </w:r>
      <w:r>
        <w:rPr>
          <w:rFonts w:ascii="仿宋_GB2312" w:hAnsi="Times New Roman" w:eastAsia="仿宋_GB2312"/>
          <w:sz w:val="32"/>
          <w:szCs w:val="32"/>
        </w:rPr>
        <w:t>万元，其中：基本支出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1431.16</w:t>
      </w:r>
      <w:r>
        <w:rPr>
          <w:rFonts w:ascii="仿宋_GB2312" w:hAnsi="Times New Roman" w:eastAsia="仿宋_GB2312"/>
          <w:sz w:val="32"/>
          <w:szCs w:val="32"/>
        </w:rPr>
        <w:t>万元，占总支出的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100</w:t>
      </w:r>
      <w:r>
        <w:rPr>
          <w:rFonts w:ascii="仿宋_GB2312" w:hAnsi="Times New Roman" w:eastAsia="仿宋_GB2312"/>
          <w:sz w:val="32"/>
          <w:szCs w:val="32"/>
        </w:rPr>
        <w:t>％。差异产生的主要原因是</w:t>
      </w:r>
      <w:r>
        <w:rPr>
          <w:rFonts w:hint="eastAsia" w:ascii="仿宋_GB2312" w:hAnsi="Times New Roman" w:eastAsia="仿宋_GB2312"/>
          <w:sz w:val="32"/>
          <w:szCs w:val="32"/>
        </w:rPr>
        <w:t>年中指标调整，增加了预算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（二）部门预算执行情况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.“三公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经费执行情况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2023年“三公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经费预算数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2.83</w:t>
      </w:r>
      <w:r>
        <w:rPr>
          <w:rFonts w:ascii="仿宋_GB2312" w:hAnsi="Times New Roman" w:eastAsia="仿宋_GB2312"/>
          <w:sz w:val="32"/>
          <w:szCs w:val="32"/>
        </w:rPr>
        <w:t>万元，其中：因公出国（境）费</w:t>
      </w:r>
      <w:r>
        <w:rPr>
          <w:rFonts w:hint="eastAsia" w:ascii="仿宋_GB2312" w:hAnsi="Times New Roman" w:eastAsia="仿宋_GB2312"/>
          <w:sz w:val="32"/>
          <w:szCs w:val="32"/>
        </w:rPr>
        <w:t>0</w:t>
      </w:r>
      <w:r>
        <w:rPr>
          <w:rFonts w:ascii="仿宋_GB2312" w:hAnsi="Times New Roman" w:eastAsia="仿宋_GB2312"/>
          <w:sz w:val="32"/>
          <w:szCs w:val="32"/>
        </w:rPr>
        <w:t>万元，公务用车购置及运行维护费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1.45</w:t>
      </w:r>
      <w:r>
        <w:rPr>
          <w:rFonts w:ascii="仿宋_GB2312" w:hAnsi="Times New Roman" w:eastAsia="仿宋_GB2312"/>
          <w:sz w:val="32"/>
          <w:szCs w:val="32"/>
        </w:rPr>
        <w:t>万元，公务接待费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1.38</w:t>
      </w:r>
      <w:r>
        <w:rPr>
          <w:rFonts w:ascii="仿宋_GB2312" w:hAnsi="Times New Roman" w:eastAsia="仿宋_GB2312"/>
          <w:sz w:val="32"/>
          <w:szCs w:val="32"/>
        </w:rPr>
        <w:t>万元。“三公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经费决算数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2.83</w:t>
      </w:r>
      <w:r>
        <w:rPr>
          <w:rFonts w:ascii="仿宋_GB2312" w:hAnsi="Times New Roman" w:eastAsia="仿宋_GB2312"/>
          <w:sz w:val="32"/>
          <w:szCs w:val="32"/>
        </w:rPr>
        <w:t>元，其中：因公出国（境）费</w:t>
      </w:r>
      <w:r>
        <w:rPr>
          <w:rFonts w:hint="eastAsia" w:ascii="仿宋_GB2312" w:hAnsi="Times New Roman" w:eastAsia="仿宋_GB2312"/>
          <w:sz w:val="32"/>
          <w:szCs w:val="32"/>
        </w:rPr>
        <w:t>0</w:t>
      </w:r>
      <w:r>
        <w:rPr>
          <w:rFonts w:ascii="仿宋_GB2312" w:hAnsi="Times New Roman" w:eastAsia="仿宋_GB2312"/>
          <w:sz w:val="32"/>
          <w:szCs w:val="32"/>
        </w:rPr>
        <w:t>万元，公务用车运行维护费</w:t>
      </w:r>
      <w:r>
        <w:rPr>
          <w:rFonts w:hint="eastAsia" w:ascii="仿宋_GB2312" w:hAnsi="Times New Roman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45</w:t>
      </w:r>
      <w:r>
        <w:rPr>
          <w:rFonts w:ascii="仿宋_GB2312" w:hAnsi="Times New Roman" w:eastAsia="仿宋_GB2312"/>
          <w:sz w:val="32"/>
          <w:szCs w:val="32"/>
        </w:rPr>
        <w:t>万元，公务接待费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1.38</w:t>
      </w:r>
      <w:r>
        <w:rPr>
          <w:rFonts w:ascii="仿宋_GB2312" w:hAnsi="Times New Roman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.政府采购执行情况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2023年度政府采购支出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185.18</w:t>
      </w:r>
      <w:r>
        <w:rPr>
          <w:rFonts w:ascii="仿宋_GB2312" w:hAnsi="Times New Roman" w:eastAsia="仿宋_GB2312"/>
          <w:sz w:val="32"/>
          <w:szCs w:val="32"/>
        </w:rPr>
        <w:t>万元，其中：货物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Times New Roman" w:eastAsia="仿宋_GB2312"/>
          <w:sz w:val="32"/>
          <w:szCs w:val="32"/>
        </w:rPr>
        <w:t>万</w:t>
      </w:r>
      <w:r>
        <w:rPr>
          <w:rFonts w:ascii="仿宋_GB2312" w:hAnsi="Times New Roman" w:eastAsia="仿宋_GB2312"/>
          <w:sz w:val="32"/>
          <w:szCs w:val="32"/>
        </w:rPr>
        <w:t>元，服务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65.08</w:t>
      </w:r>
      <w:r>
        <w:rPr>
          <w:rFonts w:ascii="仿宋_GB2312" w:hAnsi="Times New Roman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.资产管理情况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2023年年末资产总额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807.03</w:t>
      </w:r>
      <w:r>
        <w:rPr>
          <w:rFonts w:ascii="仿宋_GB2312" w:hAnsi="Times New Roman" w:eastAsia="仿宋_GB2312"/>
          <w:sz w:val="32"/>
          <w:szCs w:val="32"/>
        </w:rPr>
        <w:t>万元，负债总额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389.93</w:t>
      </w:r>
      <w:r>
        <w:rPr>
          <w:rFonts w:ascii="仿宋_GB2312" w:hAnsi="Times New Roman" w:eastAsia="仿宋_GB2312"/>
          <w:sz w:val="32"/>
          <w:szCs w:val="32"/>
        </w:rPr>
        <w:t>万元，净资产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474.77</w:t>
      </w:r>
      <w:r>
        <w:rPr>
          <w:rFonts w:ascii="仿宋_GB2312" w:hAnsi="Times New Roman" w:eastAsia="仿宋_GB2312"/>
          <w:sz w:val="32"/>
          <w:szCs w:val="32"/>
        </w:rPr>
        <w:t>万元。截至2023年12月31日，固定资产账面原值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158.19</w:t>
      </w:r>
      <w:r>
        <w:rPr>
          <w:rFonts w:ascii="仿宋_GB2312" w:hAnsi="Times New Roman" w:eastAsia="仿宋_GB2312"/>
          <w:sz w:val="32"/>
          <w:szCs w:val="32"/>
        </w:rPr>
        <w:t>万元，在用资产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158.19</w:t>
      </w:r>
      <w:r>
        <w:rPr>
          <w:rFonts w:ascii="仿宋_GB2312" w:hAnsi="Times New Roman" w:eastAsia="仿宋_GB2312"/>
          <w:sz w:val="32"/>
          <w:szCs w:val="32"/>
        </w:rPr>
        <w:t>万元，资产使用率</w:t>
      </w:r>
      <w:r>
        <w:rPr>
          <w:rFonts w:hint="eastAsia" w:ascii="仿宋_GB2312" w:hAnsi="Times New Roman" w:eastAsia="仿宋_GB2312"/>
          <w:sz w:val="32"/>
          <w:szCs w:val="32"/>
        </w:rPr>
        <w:t>100</w:t>
      </w:r>
      <w:r>
        <w:rPr>
          <w:rFonts w:ascii="仿宋_GB2312" w:hAnsi="Times New Roman" w:eastAsia="仿宋_GB2312"/>
          <w:sz w:val="32"/>
          <w:szCs w:val="32"/>
        </w:rPr>
        <w:t>%。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三、部门整体支出绩效情况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（一）综合评价结论。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2023年对照《</w:t>
      </w:r>
      <w:r>
        <w:rPr>
          <w:rFonts w:hint="eastAsia" w:ascii="仿宋_GB2312" w:eastAsia="仿宋_GB2312"/>
          <w:sz w:val="32"/>
          <w:szCs w:val="32"/>
          <w:lang w:eastAsia="zh-CN"/>
        </w:rPr>
        <w:t>板市</w:t>
      </w:r>
      <w:r>
        <w:rPr>
          <w:rFonts w:hint="eastAsia" w:ascii="仿宋_GB2312" w:eastAsia="仿宋_GB2312"/>
          <w:sz w:val="32"/>
          <w:szCs w:val="32"/>
        </w:rPr>
        <w:t>人民政府2023年度部门整体支出绩效评价指标评分表》等方面具体指标综合评分，得分为9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.86</w:t>
      </w:r>
      <w:r>
        <w:rPr>
          <w:rFonts w:hint="eastAsia" w:ascii="仿宋_GB2312" w:eastAsia="仿宋_GB2312"/>
          <w:sz w:val="32"/>
          <w:szCs w:val="32"/>
        </w:rPr>
        <w:t>分，综合评价等级分为优秀。</w:t>
      </w:r>
    </w:p>
    <w:p>
      <w:pPr>
        <w:pStyle w:val="9"/>
        <w:widowControl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评价指标分析。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.产出指标总分为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分，得分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（1）数量指标2个均已完成指标值。落实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个村（社区）数的粮食生产战略；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3550</w:t>
      </w:r>
      <w:r>
        <w:rPr>
          <w:rFonts w:hint="eastAsia" w:ascii="仿宋_GB2312" w:eastAsia="仿宋_GB2312"/>
          <w:sz w:val="32"/>
          <w:szCs w:val="32"/>
        </w:rPr>
        <w:t>户一卡通惠农补贴及时发放。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（2）质量指标2个均已完成指标值。双季稻同比增长高于5%；一卡通惠农资金准确发放率100%。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 时效指标1个已完成指标值。工作按时办结100%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.效益指标总分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分，得分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（1）经济效益指标有一项未完成指标值。2023年我财源建设水平较去年同比相差不大，该项指标扣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分。造成原因为：因疫情影响，阻碍生产力的发展，导致经济增长、农民增收疲软。改善措施：积极招商引资，多渠道提升企业、群众增收方式，促进经济稳步增长，提高财源建设。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（2）社会效益指标2个均已完成指标值。特殊及困难人群的基本生活有所保障；稳步提升城化水平，提高居民生活幸福指数。</w:t>
      </w:r>
    </w:p>
    <w:p>
      <w:pPr>
        <w:widowControl/>
        <w:spacing w:line="600" w:lineRule="exact"/>
        <w:ind w:firstLine="480" w:firstLineChars="15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（3）生态效益指标有1个未完成指标值。2023年我扩大荒地复耕规模进展有所滞后，造成原因为：劳动力外流，收益缺乏吸引力。改善措施：加大宣传力度，对规模大的增加补贴，提高复耕积极性。</w:t>
      </w:r>
    </w:p>
    <w:p>
      <w:pPr>
        <w:widowControl/>
        <w:spacing w:line="600" w:lineRule="exact"/>
        <w:ind w:firstLine="480" w:firstLineChars="15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（4）可持续影响指标1个已完成指标值。增强了政府的服务职能，提高了办事效率和政府公信力；坚持统筹城乡发展、稳步发展战略。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.满意度指标总分为10分，得分10分。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在2023年度工作中，我坚持“以民为本”的工作理念，干部职工满意度100%，社会公众或服务对象满意度95%，均已完成指标值。</w:t>
      </w:r>
    </w:p>
    <w:p>
      <w:pPr>
        <w:pStyle w:val="2"/>
        <w:tabs>
          <w:tab w:val="left" w:pos="312"/>
        </w:tabs>
        <w:ind w:left="640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.成本指标</w:t>
      </w:r>
      <w:r>
        <w:rPr>
          <w:rFonts w:ascii="仿宋_GB2312" w:hAnsi="Times New Roman" w:eastAsia="仿宋_GB2312"/>
          <w:b w:val="0"/>
          <w:kern w:val="2"/>
          <w:sz w:val="32"/>
          <w:szCs w:val="32"/>
        </w:rPr>
        <w:t>20</w:t>
      </w: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分，得分1</w:t>
      </w:r>
      <w:r>
        <w:rPr>
          <w:rFonts w:hint="eastAsia" w:ascii="仿宋_GB2312" w:hAnsi="Times New Roman" w:eastAsia="仿宋_GB2312"/>
          <w:b w:val="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分。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在2023年的工作中，我严格按照预算指标执行，但由于年中预算有调整，公用经费部分支出突破预算，调整金额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1026.07</w:t>
      </w:r>
      <w:r>
        <w:rPr>
          <w:rFonts w:hint="eastAsia" w:ascii="仿宋_GB2312" w:hAnsi="Times New Roman" w:eastAsia="仿宋_GB2312"/>
          <w:sz w:val="32"/>
          <w:szCs w:val="32"/>
        </w:rPr>
        <w:t>万元，导致超支预算，该项指标扣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分；全年我严格控制三公经费支出，三公经费没有突破预算，完成了指标值。</w:t>
      </w:r>
    </w:p>
    <w:p>
      <w:pPr>
        <w:pStyle w:val="9"/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、项目绩效目标完成情况</w:t>
      </w: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pStyle w:val="9"/>
        <w:widowControl/>
        <w:numPr>
          <w:ilvl w:val="0"/>
          <w:numId w:val="3"/>
        </w:numPr>
        <w:spacing w:line="600" w:lineRule="exact"/>
        <w:ind w:left="640"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存在问题原因分析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改进措施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1.预算编制不够明确和细化，预算编制的合理性需要提高，预算执行力度还要进一步加强。资金使用效益有待进一步提高，绩效目标设立不够明确、细化和量化。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2.因业务水平有限，年初预算的编制支出类别上理解不够，比如基本支出和项目支出，在日常业务操作时容易出错。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3.“三公经费”控制不足，有超支风险。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（二）原因分析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1.对预算管理的学习和理解不够透彻。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2.“三公经费”控制有一定难度，基本为刚性支出。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3.财务制度方面不够规范、人员分工不明等原因造成的财务工作的拖延和滞后。</w:t>
      </w:r>
    </w:p>
    <w:p>
      <w:pPr>
        <w:pStyle w:val="2"/>
        <w:ind w:firstLine="642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（三）下一步改进措施</w:t>
      </w:r>
    </w:p>
    <w:p>
      <w:pPr>
        <w:ind w:firstLine="739" w:firstLineChars="23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细化预算编制工作，认真做好预算的编制。进一步加强内设机构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加强财务管理，严格财务审核。加强单位财务管理，健全单位财务管理制度体系，规范单位财务行为。在费用报账支付时，按照预算规定的费用项目和用途进行资金使用审核、财务严格核算，杜绝超支现象的发生</w:t>
      </w:r>
    </w:p>
    <w:p>
      <w:pPr>
        <w:ind w:firstLine="739" w:firstLineChars="23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完善资产管理，抓好"三公经费"控制。严格编制政府采购年初预算和计划，规范各类资产的购置审批制度、资产采购制度、使用管理制度、资产处置和报废审批制度、资产管理岗位职责制度等，加强单位内部的资产管理工作。提升会计信息化水平，进一步规范和加强各类资产的会计核算，夯实资产核算的各项基础工作，强化资产账实相符，确保资产信息的全面性、完整性和准确性。严格控制"三公经费"的规模和比例，把关"三公经费"支出的审核、审批，杜绝挪用和挤占其他预算资金行为；进一步细化"三公经费"的管理，合理压缩"三公经费"支出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4.完善岗位设置，配备财政队伍，并对相关财务人员进一步加强学习，特别要针对《预算法》、《新政府会计制度》学习，规范部门预算收支核算，切实提高部门预算管理水平。</w:t>
      </w:r>
    </w:p>
    <w:p>
      <w:pPr>
        <w:widowControl/>
        <w:numPr>
          <w:ilvl w:val="0"/>
          <w:numId w:val="3"/>
        </w:numPr>
        <w:spacing w:line="600" w:lineRule="exact"/>
        <w:ind w:left="64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其他需要说明的情况</w:t>
      </w: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pStyle w:val="9"/>
        <w:widowControl/>
        <w:spacing w:line="600" w:lineRule="exact"/>
        <w:ind w:left="640" w:firstLine="3520" w:firstLineChars="11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3520" w:firstLineChars="11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衡阳县板市乡人民政府</w:t>
      </w:r>
    </w:p>
    <w:p>
      <w:pPr>
        <w:pStyle w:val="9"/>
        <w:widowControl/>
        <w:spacing w:line="600" w:lineRule="exact"/>
        <w:ind w:left="640" w:firstLine="3840" w:firstLineChars="1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2024年5月8日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D30820"/>
    <w:multiLevelType w:val="singleLevel"/>
    <w:tmpl w:val="9FD308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C765B6"/>
    <w:multiLevelType w:val="singleLevel"/>
    <w:tmpl w:val="BBC765B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156304"/>
    <w:multiLevelType w:val="multilevel"/>
    <w:tmpl w:val="3B156304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zMjFmYjExZDk2OGQ1OGE4MzJkNmI5MTAyODJjODcifQ=="/>
  </w:docVars>
  <w:rsids>
    <w:rsidRoot w:val="4C43681B"/>
    <w:rsid w:val="001A2EC3"/>
    <w:rsid w:val="00313139"/>
    <w:rsid w:val="003309A5"/>
    <w:rsid w:val="00373D9C"/>
    <w:rsid w:val="00483D66"/>
    <w:rsid w:val="00592AAA"/>
    <w:rsid w:val="005B6ECC"/>
    <w:rsid w:val="005C223B"/>
    <w:rsid w:val="00602F6B"/>
    <w:rsid w:val="00653BF4"/>
    <w:rsid w:val="007561CB"/>
    <w:rsid w:val="00765A39"/>
    <w:rsid w:val="008A7E7B"/>
    <w:rsid w:val="00A67B32"/>
    <w:rsid w:val="00C57D15"/>
    <w:rsid w:val="00C6489E"/>
    <w:rsid w:val="00C709FD"/>
    <w:rsid w:val="00C979A0"/>
    <w:rsid w:val="00CE5AE9"/>
    <w:rsid w:val="00DB32D5"/>
    <w:rsid w:val="00DF3643"/>
    <w:rsid w:val="00EA6BF6"/>
    <w:rsid w:val="00ED338C"/>
    <w:rsid w:val="00F70A68"/>
    <w:rsid w:val="00FB12C3"/>
    <w:rsid w:val="00FE202D"/>
    <w:rsid w:val="02D67969"/>
    <w:rsid w:val="068B5B47"/>
    <w:rsid w:val="09146FE7"/>
    <w:rsid w:val="11C95E3A"/>
    <w:rsid w:val="1A086B2F"/>
    <w:rsid w:val="1DE275E2"/>
    <w:rsid w:val="1DEF1689"/>
    <w:rsid w:val="1E6E543A"/>
    <w:rsid w:val="22155519"/>
    <w:rsid w:val="223165BD"/>
    <w:rsid w:val="22674BBC"/>
    <w:rsid w:val="25B739C8"/>
    <w:rsid w:val="27DA3663"/>
    <w:rsid w:val="2A2A1053"/>
    <w:rsid w:val="2A6D41ED"/>
    <w:rsid w:val="2B854A2B"/>
    <w:rsid w:val="2BDB7330"/>
    <w:rsid w:val="34A72A00"/>
    <w:rsid w:val="34C85F67"/>
    <w:rsid w:val="37EC26F5"/>
    <w:rsid w:val="3C0B6651"/>
    <w:rsid w:val="3D0160AB"/>
    <w:rsid w:val="3E2D187A"/>
    <w:rsid w:val="41330089"/>
    <w:rsid w:val="443D1D4E"/>
    <w:rsid w:val="4C43681B"/>
    <w:rsid w:val="4C923160"/>
    <w:rsid w:val="4E54656B"/>
    <w:rsid w:val="515651ED"/>
    <w:rsid w:val="519A5C81"/>
    <w:rsid w:val="54322682"/>
    <w:rsid w:val="55944FFF"/>
    <w:rsid w:val="58EA42F7"/>
    <w:rsid w:val="592917C1"/>
    <w:rsid w:val="5DDF7AE8"/>
    <w:rsid w:val="60067FC1"/>
    <w:rsid w:val="60A52F4C"/>
    <w:rsid w:val="6778080A"/>
    <w:rsid w:val="687115B5"/>
    <w:rsid w:val="69D878CF"/>
    <w:rsid w:val="6C2E7CD3"/>
    <w:rsid w:val="6CB461FC"/>
    <w:rsid w:val="6DC431FB"/>
    <w:rsid w:val="6F795A80"/>
    <w:rsid w:val="75DB56B9"/>
    <w:rsid w:val="776C076D"/>
    <w:rsid w:val="79A81173"/>
    <w:rsid w:val="7B88713B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微软雅黑" w:hAnsi="微软雅黑" w:eastAsia="微软雅黑"/>
      <w:b/>
      <w:kern w:val="44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adjustRightInd w:val="0"/>
      <w:snapToGrid w:val="0"/>
      <w:spacing w:beforeLines="50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379</Words>
  <Characters>2166</Characters>
  <Lines>18</Lines>
  <Paragraphs>5</Paragraphs>
  <TotalTime>182</TotalTime>
  <ScaleCrop>false</ScaleCrop>
  <LinksUpToDate>false</LinksUpToDate>
  <CharactersWithSpaces>2540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Administrator</cp:lastModifiedBy>
  <cp:lastPrinted>2024-05-15T00:26:15Z</cp:lastPrinted>
  <dcterms:modified xsi:type="dcterms:W3CDTF">2024-05-15T00:27:04Z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02D5061B768C420784F0E3588E6A3D0A</vt:lpwstr>
  </property>
</Properties>
</file>