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衡阳县行政审批服务局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2023年</w:t>
      </w:r>
      <w:r>
        <w:rPr>
          <w:rFonts w:hint="eastAsia" w:ascii="方正小标宋_GBK" w:eastAsia="方正小标宋_GBK"/>
          <w:sz w:val="36"/>
          <w:szCs w:val="36"/>
        </w:rPr>
        <w:t>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整体支出绩效自评报告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一、部门、单位基本情况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机构设置情况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县行政审批局为正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科级全额拨款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设9个机构：包含办公室、财务股、政务公开股、政务服务股、行政审批股、大数据管理股、政府网站管理股、行政效能股、公共资源交易管理股。下属机构:县政务服务中心、网上政务服务中心、重大项目审批代理服务中心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（二）人员编制情况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县行政审批局行政编制13个，县政务服务中心事业编制16个，县网上政务服务中心事业编制6个，县重大投资项目审批代理服务中心事业编制4个。2023年末实有工作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人，其中在职人员行政编制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14个，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二、预算支出情况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算情况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646" w:firstLine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1.部门预算情况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646" w:firstLineChars="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年初预算收入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424.89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拨款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424.89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其他收入</w:t>
      </w:r>
      <w:bookmarkStart w:id="0" w:name="INCOME_QTSR_AMT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0.00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万元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2023年年初预算安排支出424.89万元，其中：基本支出424.89万元，项目支出0万元。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　　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2.部门决算情况（含年中预算追加情况）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646" w:firstLine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2023年决算总收入1380.82万元，较预算增加955.93万元，总支出1380.82万元，其中：基本支出426.92万元，占总支出的30.92%；项目支出953.90万元，占总支出的69.08%。差异产生的主要原因是一是上年结转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市优化营商环境专项审计工作经费、优化营商环境相关经费、省营商环境评价工作经费（真抓实干）53万元；政务服务中心窗口工作人员交通补贴（2022年度）361.22万元；夏明翰文化宫添置视频会议设备工作经费13.50万元。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中追加了县税务局驻县政务中心窗口提质改造资金40万元；衡阳县基层公共服务“一门式”建设项目（农民伯伯公司）及县“12345”政府服务热线平台建设项目欠款100万元；2022年刚性支出及全县网络运行及维护经费140万元；县政务中心企业开办首套公章免费刻制工作经费33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“12345”热线工作人员及综合窗口受理人员工资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80万元；电政办项目建设未拨付的政府采购经费60万元；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其他刚性支出38.03万元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等项目经费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left="88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部门预算执行情况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　　1.“三公”经费执行情况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2023年“三公”经费预算数7.56万元，其中：因公出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国（出境）费0万元，公务用车购置及运行维护费0万元，公务接待费7.56万元。“三公”经费决算数0.53万元，其中：因公出国（出境）费0万元，公务用车运行维护费0万元，公务接待费0.53万元。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2.政府采购执行情况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714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2023年度政府采购支出488.28万元，其中：货物39.21万元，工程0万元，服务449.07万元。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714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3.资产管理情况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674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2023年年末资产总额856.68万元，负债总额626.98万元，净资产229.70万元。截至2023年12月31日，固定资产账面原值1624.13万元，在用资产1624.13万元，资产使用率100%。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left="-14" w:leftChars="0" w:firstLine="674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部门整体支出绩效情况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left="660" w:leftChars="0"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综合评价结论。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665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我局围绕年初确定的绩效目标，以推动工作任务落实为目标，较好地完成了年度各项工作；部门整体支出绩效自评评分9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，评价等级为“优秀”。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665"/>
        <w:textAlignment w:val="auto"/>
        <w:rPr>
          <w:rFonts w:ascii="Times New Roman" w:hAnsi="Times New Roman" w:eastAsia="楷体_GB2312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评价指标分析（或综合评价情况）</w:t>
      </w:r>
      <w:r>
        <w:rPr>
          <w:rFonts w:ascii="Times New Roman" w:hAnsi="Times New Roman" w:eastAsia="楷体_GB2312"/>
          <w:bCs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</w:t>
      </w: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资产管理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600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由于现在的日常工作已逐步普及办公自动化，加快了办公设备淘汰更新，这就需要对固定资产进行年年清查盘点，使固定资产清查工作经常化、常态化，更好的从源头上对单位固定资产进行监控和管理。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6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单位内控管理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641"/>
        <w:jc w:val="both"/>
        <w:textAlignment w:val="auto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财务管理过程中逐步建立健全财务管理制度、财务核算制度、财务报销制度等，严格按照《行政单位会计制度》和《行政单位财务规则》的规定设置会计科目，建立了科学有效的会计核算方式，各项经济活动均真实、合法、准确、及时的反应在会计账目上，建立健全内部控制制度，积极配合财政部门开展预算、决算考评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641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部门预算管理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严格按照综合预算原则。统一编制、统一管理、统筹安排资金，将单位所有安排的各项支出纳入综合预算，确保预算全面、真实反映单位实际的收支情况，使所有收支活动纳入预算管理与监督的范围。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2023年年度</w:t>
      </w:r>
      <w:r>
        <w:rPr>
          <w:rFonts w:hint="eastAsia" w:ascii="仿宋" w:hAnsi="仿宋" w:eastAsia="仿宋"/>
          <w:color w:val="000000"/>
          <w:sz w:val="32"/>
          <w:shd w:val="clear" w:color="auto" w:fill="FFFFFF"/>
        </w:rPr>
        <w:t>一般公共财政拨款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1335.48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万元，其中基本支出426.92万元，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保障了人员基本工资、津贴补贴、奖金、其他社会保障缴费、生活补助、住房公积金以及其他对个人和家庭的补助支出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项目支出908.56万元，主要用于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政务中心窗口工作人员交通补贴及朝九晚五伙食补贴、“12345”热线及综合窗口劳务派遣人员工资、全县网络运行经费及优化营商环境工作经费。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240" w:lineRule="auto"/>
        <w:ind w:left="0" w:right="0" w:firstLine="72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4.绩效管理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665" w:firstLineChars="0"/>
        <w:textAlignment w:val="auto"/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我单位领导高度重视绩效评价工作，成立了绩效评价工作领导小组，采取座谈等方式听取相关情况，检查基本支出、项目支出有关账目，收集整理相关资料，并对资料进行分析，形成评价结论。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left="0" w:leftChars="0" w:firstLine="665" w:firstLineChars="0"/>
        <w:textAlignment w:val="auto"/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部门预算严格按照上级部门预算编制通知和有关要求，结合单位具体工作及县级相关规定编制，按时完成基础、项目报送工作，单位预算按时在</w:t>
      </w: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衡阳县党政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门户网站公开。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2）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严格执行支出预算，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“三公经费”本着节约、高效的原则严格控制支出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，严格把握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“三公经费”只减不增的原则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其中公务接待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万元，因公出国费用0万元，公务用车0万元。202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“三公”经费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其中公务接待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费用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0.53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万元，因公出国费用0万元，公务用车0万元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3）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认真开展部门绩效评价工作，绩效评价规章制度逐渐健全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;严格按照相关法律、法规进行会计核算，严格资金管理，专款专用，资金拨付严格按相关程序报批后支付。认真开展</w:t>
      </w:r>
      <w:r>
        <w:rPr>
          <w:rFonts w:hint="default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整体绩效评价工作，绩效评价工作正逐步完善。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四、项目绩效目标完成情况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单位刚性支出及</w:t>
      </w:r>
      <w:r>
        <w:rPr>
          <w:rFonts w:hint="eastAsia" w:ascii="仿宋" w:hAnsi="仿宋" w:eastAsia="仿宋" w:cs="仿宋"/>
          <w:sz w:val="32"/>
          <w:szCs w:val="32"/>
        </w:rPr>
        <w:t>网络运行经费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包括政务大厅信息平台维护、电子政务内外网和县乡视频系统运维、县乡视频系统运维及电信局光纤电路租用等费用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我局按照预算计划列支各项支出,支付过程执行相应的程序,严格遵守各项财经纪律。加强系统运营维护,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保障县委、县政府大院及所有县直单位和各乡镇电子网络畅通，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保障网上审批顺利进行。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衡阳县基层公共服务“一门式”建设项目（农民伯伯）、县“12345”政府服务热线平台建设项目欠款及企业开办首套印章133.30万元。一是打造高效率12345热线服务，使热线成为政府与群众沟通的重要桥梁，使得民生诉求通过热线得以及时解决。二是坚持把优化营商政务环境作为高质量发展的基础性工作，为县域新办企业免费刻制首套印章。2023年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我局按照预算计划列支各项支出,支付过程执行相应的程序,严格遵守各项财经纪律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，已完成该项目工作任务。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ind w:left="640" w:firstLine="0" w:firstLineChars="0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</w:t>
      </w:r>
      <w:r>
        <w:rPr>
          <w:rFonts w:eastAsia="黑体"/>
          <w:sz w:val="32"/>
          <w:szCs w:val="32"/>
        </w:rPr>
        <w:t>存在的问题及</w:t>
      </w:r>
      <w:r>
        <w:rPr>
          <w:rFonts w:hint="eastAsia" w:eastAsia="黑体"/>
          <w:sz w:val="32"/>
          <w:szCs w:val="32"/>
          <w:lang w:eastAsia="zh-CN"/>
        </w:rPr>
        <w:t>改进措施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rightChars="0" w:firstLine="480" w:firstLineChars="15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1.存在的问题：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预算执行存在偏差。由于年初预算安排经费不足，本年度许多专项工作需要申请追加预算，导致实际经费支出高于年初预算，预算编制与实际情况存在偏差；二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是绩效目标考核机制不健全。单位的绩效工作量化细化不够，未建立业务工作台账，绩效管理有待进一步加强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是绩效考核后的事后分析和行动计划执行不到位，绩效测评不是最终目的，而是要不断规范和高效地使用财务资金，没有注重结果分析，对未达标的指标，没有进一步制定行动计划。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2.改进措施：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一是科学合理编制预算，严格执行预算在预算金额内严格控制费用的支出，控制超支现象的发生。对于年度无法预计的临时追加的相关工作所需费用，用其他费用项目结余资金调剂使用或确因工作需要追加费用预算的，按照费用预算调整的报批程序，经批准后再使用；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是科学制定年度绩效目标。年度绩效目标应结合单位职能、年度工作重点，细化量化可操作、可考核的绩效目标；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是制订《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衡阳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县行政审批服务局内部控制制度》，形成完整的内控体系，完善项目管理制度；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是根据绩效结果，加强事后分析，查找存在的问题，形成整改措施，不断提升单位财务管理水平。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　　六、</w:t>
      </w:r>
      <w:r>
        <w:rPr>
          <w:rFonts w:ascii="Times New Roman" w:hAnsi="Times New Roman" w:eastAsia="黑体"/>
          <w:sz w:val="32"/>
          <w:szCs w:val="32"/>
        </w:rPr>
        <w:t>其他需要说明的情况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240" w:lineRule="auto"/>
        <w:jc w:val="center"/>
        <w:textAlignment w:val="auto"/>
        <w:rPr>
          <w:rFonts w:ascii="Times New Roman" w:hAnsi="Times New Roman" w:eastAsia="方正小标宋_GBK"/>
          <w:sz w:val="36"/>
          <w:szCs w:val="36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42AC7"/>
    <w:multiLevelType w:val="singleLevel"/>
    <w:tmpl w:val="82A42AC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8FC5201"/>
    <w:multiLevelType w:val="singleLevel"/>
    <w:tmpl w:val="38FC5201"/>
    <w:lvl w:ilvl="0" w:tentative="0">
      <w:start w:val="2"/>
      <w:numFmt w:val="chineseCounting"/>
      <w:suff w:val="nothing"/>
      <w:lvlText w:val="（%1）"/>
      <w:lvlJc w:val="left"/>
      <w:pPr>
        <w:ind w:left="880" w:leftChars="0" w:firstLine="0" w:firstLineChars="0"/>
      </w:pPr>
      <w:rPr>
        <w:rFonts w:hint="eastAsia"/>
      </w:rPr>
    </w:lvl>
  </w:abstractNum>
  <w:abstractNum w:abstractNumId="2">
    <w:nsid w:val="4BCDCCFD"/>
    <w:multiLevelType w:val="singleLevel"/>
    <w:tmpl w:val="4BCDCCFD"/>
    <w:lvl w:ilvl="0" w:tentative="0">
      <w:start w:val="1"/>
      <w:numFmt w:val="chineseCounting"/>
      <w:suff w:val="nothing"/>
      <w:lvlText w:val="（%1）"/>
      <w:lvlJc w:val="left"/>
      <w:pPr>
        <w:ind w:left="660" w:leftChars="0" w:firstLine="0" w:firstLineChars="0"/>
      </w:pPr>
      <w:rPr>
        <w:rFonts w:hint="eastAsia"/>
      </w:rPr>
    </w:lvl>
  </w:abstractNum>
  <w:abstractNum w:abstractNumId="3">
    <w:nsid w:val="4DBD7976"/>
    <w:multiLevelType w:val="singleLevel"/>
    <w:tmpl w:val="4DBD7976"/>
    <w:lvl w:ilvl="0" w:tentative="0">
      <w:start w:val="3"/>
      <w:numFmt w:val="chineseCounting"/>
      <w:suff w:val="nothing"/>
      <w:lvlText w:val="%1、"/>
      <w:lvlJc w:val="left"/>
      <w:pPr>
        <w:ind w:left="-14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ZWRiMzc4N2JlYTMxYjE2NGE3OGIyNTBhYWM1MTAifQ=="/>
    <w:docVar w:name="KSO_WPS_MARK_KEY" w:val="79d42e37-98be-4531-8358-40f0a0217327"/>
  </w:docVars>
  <w:rsids>
    <w:rsidRoot w:val="00D31D50"/>
    <w:rsid w:val="000504C4"/>
    <w:rsid w:val="00323B43"/>
    <w:rsid w:val="003D37D8"/>
    <w:rsid w:val="00426133"/>
    <w:rsid w:val="004358AB"/>
    <w:rsid w:val="008B7726"/>
    <w:rsid w:val="00AD3B56"/>
    <w:rsid w:val="00D31D50"/>
    <w:rsid w:val="10D725CB"/>
    <w:rsid w:val="10F90765"/>
    <w:rsid w:val="113D6140"/>
    <w:rsid w:val="13964127"/>
    <w:rsid w:val="1AA01A01"/>
    <w:rsid w:val="1F5124A3"/>
    <w:rsid w:val="32491521"/>
    <w:rsid w:val="33033F15"/>
    <w:rsid w:val="34F56A46"/>
    <w:rsid w:val="3D7A7BCD"/>
    <w:rsid w:val="3DAC0833"/>
    <w:rsid w:val="49C23157"/>
    <w:rsid w:val="4B2A2933"/>
    <w:rsid w:val="5E370963"/>
    <w:rsid w:val="623D288E"/>
    <w:rsid w:val="638B7FE8"/>
    <w:rsid w:val="69A85020"/>
    <w:rsid w:val="6A794B9A"/>
    <w:rsid w:val="6D5D11C9"/>
    <w:rsid w:val="6F387A9B"/>
    <w:rsid w:val="77BA1B74"/>
    <w:rsid w:val="7CFA019B"/>
    <w:rsid w:val="7EAE0E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unhideWhenUsed/>
    <w:qFormat/>
    <w:uiPriority w:val="99"/>
    <w:pPr>
      <w:ind w:left="2520"/>
    </w:pPr>
  </w:style>
  <w:style w:type="paragraph" w:styleId="4">
    <w:name w:val="footer"/>
    <w:basedOn w:val="1"/>
    <w:link w:val="13"/>
    <w:qFormat/>
    <w:uiPriority w:val="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/>
      <w:kern w:val="2"/>
      <w:sz w:val="18"/>
      <w:szCs w:val="24"/>
    </w:rPr>
  </w:style>
  <w:style w:type="paragraph" w:styleId="5">
    <w:name w:val="header"/>
    <w:basedOn w:val="1"/>
    <w:link w:val="12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/>
      <w:kern w:val="2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24"/>
    </w:rPr>
  </w:style>
  <w:style w:type="character" w:customStyle="1" w:styleId="12">
    <w:name w:val="页眉 Char1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1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2861</Words>
  <Characters>3127</Characters>
  <Lines>51</Lines>
  <Paragraphs>14</Paragraphs>
  <TotalTime>18</TotalTime>
  <ScaleCrop>false</ScaleCrop>
  <LinksUpToDate>false</LinksUpToDate>
  <CharactersWithSpaces>3149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2024-02-29T03:50:00Z</cp:lastPrinted>
  <dcterms:modified xsi:type="dcterms:W3CDTF">2024-11-12T04:19:54Z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30DDE713215146A5BCE3901D6EB913AB</vt:lpwstr>
  </property>
</Properties>
</file>