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080" w:firstLineChars="300"/>
        <w:jc w:val="both"/>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2023年衡阳县城建综合开发服务中心</w:t>
      </w: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部门整体支出绩效自评报告</w:t>
      </w:r>
    </w:p>
    <w:p>
      <w:pPr>
        <w:spacing w:line="600" w:lineRule="exact"/>
        <w:jc w:val="both"/>
        <w:rPr>
          <w:rFonts w:hint="default" w:ascii="Times New Roman" w:hAnsi="Times New Roman" w:eastAsia="方正小标宋_GBK" w:cs="Times New Roman"/>
          <w:sz w:val="36"/>
          <w:szCs w:val="36"/>
        </w:rPr>
      </w:pPr>
    </w:p>
    <w:p>
      <w:pPr>
        <w:pStyle w:val="8"/>
        <w:widowControl/>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widowControl/>
        <w:shd w:val="clear" w:color="auto" w:fill="FFFFFF"/>
        <w:spacing w:line="480" w:lineRule="atLeast"/>
        <w:ind w:firstLine="645"/>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widowControl/>
        <w:shd w:val="clear" w:color="auto" w:fill="FFFFFF"/>
        <w:spacing w:line="480" w:lineRule="atLeast"/>
        <w:ind w:firstLine="645"/>
        <w:jc w:val="left"/>
        <w:rPr>
          <w:rFonts w:hint="eastAsia" w:ascii="仿宋" w:hAnsi="仿宋" w:eastAsia="仿宋" w:cs="仿宋"/>
          <w:color w:val="000000"/>
          <w:kern w:val="0"/>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color w:val="333333"/>
          <w:kern w:val="0"/>
          <w:sz w:val="32"/>
          <w:szCs w:val="32"/>
          <w:lang w:val="en-US" w:eastAsia="zh-CN"/>
        </w:rPr>
        <w:t>衡阳县</w:t>
      </w:r>
      <w:r>
        <w:rPr>
          <w:rFonts w:hint="eastAsia" w:ascii="仿宋" w:hAnsi="仿宋" w:eastAsia="仿宋" w:cs="仿宋"/>
          <w:b w:val="0"/>
          <w:bCs w:val="0"/>
          <w:color w:val="000000"/>
          <w:kern w:val="0"/>
          <w:sz w:val="32"/>
          <w:szCs w:val="32"/>
          <w:shd w:val="clear" w:color="auto" w:fill="FFFFFF"/>
          <w:lang w:eastAsia="zh-CN"/>
        </w:rPr>
        <w:t>城镇建设综合开发服务中心</w:t>
      </w:r>
      <w:r>
        <w:rPr>
          <w:rFonts w:hint="eastAsia" w:ascii="仿宋" w:hAnsi="仿宋" w:eastAsia="仿宋" w:cs="仿宋"/>
          <w:sz w:val="32"/>
          <w:szCs w:val="32"/>
        </w:rPr>
        <w:t>共有内设机构</w:t>
      </w:r>
      <w:r>
        <w:rPr>
          <w:rFonts w:hint="eastAsia" w:ascii="仿宋" w:hAnsi="仿宋" w:eastAsia="仿宋" w:cs="仿宋"/>
          <w:sz w:val="32"/>
          <w:szCs w:val="32"/>
          <w:lang w:val="en-US" w:eastAsia="zh-CN"/>
        </w:rPr>
        <w:t>4</w:t>
      </w:r>
      <w:r>
        <w:rPr>
          <w:rFonts w:hint="eastAsia" w:ascii="仿宋" w:hAnsi="仿宋" w:eastAsia="仿宋" w:cs="仿宋"/>
          <w:sz w:val="32"/>
          <w:szCs w:val="32"/>
        </w:rPr>
        <w:t>个，即综合股</w:t>
      </w:r>
      <w:r>
        <w:rPr>
          <w:rFonts w:hint="eastAsia" w:ascii="仿宋" w:hAnsi="仿宋" w:eastAsia="仿宋" w:cs="仿宋"/>
          <w:sz w:val="32"/>
          <w:szCs w:val="32"/>
          <w:lang w:eastAsia="zh-CN"/>
        </w:rPr>
        <w:t>、</w:t>
      </w:r>
      <w:r>
        <w:rPr>
          <w:rFonts w:hint="eastAsia" w:ascii="仿宋" w:hAnsi="仿宋" w:eastAsia="仿宋" w:cs="仿宋"/>
          <w:sz w:val="32"/>
          <w:szCs w:val="32"/>
        </w:rPr>
        <w:t>市场管理股</w:t>
      </w:r>
      <w:r>
        <w:rPr>
          <w:rFonts w:hint="eastAsia" w:ascii="仿宋" w:hAnsi="仿宋" w:eastAsia="仿宋" w:cs="仿宋"/>
          <w:sz w:val="32"/>
          <w:szCs w:val="32"/>
          <w:lang w:eastAsia="zh-CN"/>
        </w:rPr>
        <w:t>、</w:t>
      </w:r>
      <w:r>
        <w:rPr>
          <w:rFonts w:hint="eastAsia" w:ascii="仿宋" w:hAnsi="仿宋" w:eastAsia="仿宋" w:cs="仿宋"/>
          <w:sz w:val="32"/>
          <w:szCs w:val="32"/>
        </w:rPr>
        <w:t>资质管理股</w:t>
      </w:r>
      <w:r>
        <w:rPr>
          <w:rFonts w:hint="eastAsia" w:ascii="仿宋" w:hAnsi="仿宋" w:eastAsia="仿宋" w:cs="仿宋"/>
          <w:sz w:val="32"/>
          <w:szCs w:val="32"/>
          <w:lang w:eastAsia="zh-CN"/>
        </w:rPr>
        <w:t>、</w:t>
      </w:r>
      <w:r>
        <w:rPr>
          <w:rFonts w:hint="eastAsia" w:ascii="仿宋" w:hAnsi="仿宋" w:eastAsia="仿宋" w:cs="仿宋"/>
          <w:sz w:val="32"/>
          <w:szCs w:val="32"/>
        </w:rPr>
        <w:t>销售管理股</w:t>
      </w:r>
      <w:r>
        <w:rPr>
          <w:rFonts w:hint="eastAsia" w:ascii="仿宋" w:hAnsi="仿宋" w:eastAsia="仿宋" w:cs="仿宋"/>
          <w:sz w:val="32"/>
          <w:szCs w:val="32"/>
          <w:lang w:eastAsia="zh-CN"/>
        </w:rPr>
        <w:t>。</w:t>
      </w:r>
    </w:p>
    <w:p>
      <w:pPr>
        <w:widowControl/>
        <w:numPr>
          <w:ilvl w:val="0"/>
          <w:numId w:val="0"/>
        </w:numPr>
        <w:shd w:val="clear" w:color="auto" w:fill="FFFFFF"/>
        <w:spacing w:line="480" w:lineRule="atLeast"/>
        <w:ind w:firstLine="640" w:firstLineChars="20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人员编制情况</w:t>
      </w:r>
    </w:p>
    <w:p>
      <w:pPr>
        <w:widowControl/>
        <w:numPr>
          <w:ilvl w:val="0"/>
          <w:numId w:val="0"/>
        </w:numPr>
        <w:shd w:val="clear" w:color="auto" w:fill="FFFFFF"/>
        <w:spacing w:line="480" w:lineRule="atLeast"/>
        <w:ind w:firstLine="960" w:firstLineChars="300"/>
        <w:jc w:val="left"/>
        <w:rPr>
          <w:rFonts w:hint="eastAsia" w:ascii="仿宋" w:hAnsi="仿宋" w:eastAsia="仿宋" w:cs="仿宋"/>
          <w:color w:val="000000"/>
          <w:kern w:val="0"/>
          <w:sz w:val="32"/>
          <w:szCs w:val="32"/>
          <w:lang w:val="en-US" w:eastAsia="zh-CN"/>
        </w:rPr>
      </w:pPr>
      <w:r>
        <w:rPr>
          <w:rFonts w:hint="eastAsia" w:ascii="仿宋" w:hAnsi="仿宋" w:eastAsia="仿宋" w:cs="仿宋"/>
          <w:kern w:val="2"/>
          <w:sz w:val="32"/>
          <w:szCs w:val="32"/>
          <w:lang w:val="en-US" w:eastAsia="zh-CN" w:bidi="ar"/>
        </w:rPr>
        <w:t>我中心为一级预算单位，</w:t>
      </w:r>
      <w:r>
        <w:rPr>
          <w:rFonts w:hint="eastAsia" w:ascii="仿宋" w:hAnsi="仿宋" w:eastAsia="仿宋" w:cs="仿宋"/>
          <w:color w:val="000000"/>
          <w:kern w:val="0"/>
          <w:sz w:val="32"/>
          <w:szCs w:val="32"/>
        </w:rPr>
        <w:t>现有事业编制</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个；实有在职人员</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人，退休</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val="en-US" w:eastAsia="zh-CN"/>
        </w:rPr>
        <w:t>,</w:t>
      </w:r>
    </w:p>
    <w:p>
      <w:pPr>
        <w:pStyle w:val="8"/>
        <w:widowControl/>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8"/>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960" w:firstLineChars="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73.54</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73.54</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73.54</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73.54</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960" w:firstLineChars="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108.52</w:t>
      </w:r>
      <w:r>
        <w:rPr>
          <w:rFonts w:hint="default" w:ascii="Times New Roman" w:hAnsi="Times New Roman" w:eastAsia="仿宋_GB2312" w:cs="Times New Roman"/>
          <w:sz w:val="32"/>
          <w:szCs w:val="32"/>
          <w:lang w:eastAsia="zh-CN"/>
        </w:rPr>
        <w:t>万元，较</w:t>
      </w:r>
      <w:r>
        <w:rPr>
          <w:rFonts w:hint="eastAsia" w:ascii="Times New Roman" w:hAnsi="Times New Roman" w:eastAsia="仿宋_GB2312" w:cs="Times New Roman"/>
          <w:sz w:val="32"/>
          <w:szCs w:val="32"/>
          <w:lang w:val="en-US" w:eastAsia="zh-CN"/>
        </w:rPr>
        <w:t>年初</w:t>
      </w:r>
      <w:r>
        <w:rPr>
          <w:rFonts w:hint="default"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lang w:val="en-US" w:eastAsia="zh-CN"/>
        </w:rPr>
        <w:t>收入</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34.98</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108.52</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88.52</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81.5</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18.5</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eastAsia="仿宋_GB2312" w:cs="Times New Roman"/>
          <w:sz w:val="32"/>
          <w:szCs w:val="32"/>
          <w:lang w:val="en-US" w:eastAsia="zh-CN"/>
        </w:rPr>
        <w:t>因年中追加基本支出14.98万元及信访维稳项目经费20万元</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960" w:firstLineChars="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960" w:firstLineChars="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5.06</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3.04</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960" w:firstLineChars="3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4.33</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-1.72</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12.11</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2.16</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widowControl/>
        <w:spacing w:line="600" w:lineRule="exact"/>
        <w:ind w:firstLine="645"/>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（一）综合评价结论。</w:t>
      </w:r>
    </w:p>
    <w:p>
      <w:pPr>
        <w:widowControl/>
        <w:spacing w:line="600" w:lineRule="exact"/>
        <w:ind w:firstLine="1302" w:firstLineChars="407"/>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自评得</w:t>
      </w:r>
      <w:r>
        <w:rPr>
          <w:rFonts w:hint="eastAsia" w:ascii="Times New Roman" w:hAnsi="Times New Roman" w:eastAsia="仿宋_GB2312" w:cs="Times New Roman"/>
          <w:color w:val="000000"/>
          <w:sz w:val="32"/>
          <w:szCs w:val="32"/>
          <w:lang w:val="en-US" w:eastAsia="zh-CN"/>
        </w:rPr>
        <w:t>98.1</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评价</w:t>
      </w:r>
      <w:r>
        <w:rPr>
          <w:rFonts w:hint="eastAsia" w:ascii="Times New Roman" w:hAnsi="Times New Roman" w:eastAsia="仿宋_GB2312" w:cs="Times New Roman"/>
          <w:color w:val="000000"/>
          <w:sz w:val="32"/>
          <w:szCs w:val="32"/>
          <w:lang w:val="en-US" w:eastAsia="zh-CN"/>
        </w:rPr>
        <w:t>为优</w:t>
      </w:r>
      <w:r>
        <w:rPr>
          <w:rFonts w:hint="default" w:ascii="Times New Roman" w:hAnsi="Times New Roman" w:eastAsia="仿宋_GB2312" w:cs="Times New Roman"/>
          <w:color w:val="000000"/>
          <w:sz w:val="32"/>
          <w:szCs w:val="32"/>
        </w:rPr>
        <w:t>。</w:t>
      </w:r>
    </w:p>
    <w:p>
      <w:pPr>
        <w:widowControl/>
        <w:spacing w:line="600" w:lineRule="exact"/>
        <w:ind w:firstLine="640" w:firstLineChars="200"/>
        <w:jc w:val="left"/>
        <w:rPr>
          <w:rFonts w:hint="default" w:ascii="Times New Roman" w:hAnsi="Times New Roman" w:eastAsia="楷体_GB2312" w:cs="Times New Roman"/>
          <w:bCs/>
          <w:sz w:val="32"/>
          <w:szCs w:val="32"/>
        </w:rPr>
      </w:pPr>
      <w:r>
        <w:rPr>
          <w:rFonts w:hint="eastAsia"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rPr>
        <w:t>评价指标分析</w:t>
      </w:r>
      <w:r>
        <w:rPr>
          <w:rFonts w:hint="eastAsia" w:ascii="Times New Roman" w:hAnsi="Times New Roman" w:eastAsia="楷体_GB2312" w:cs="Times New Roman"/>
          <w:bCs/>
          <w:sz w:val="32"/>
          <w:szCs w:val="32"/>
          <w:lang w:eastAsia="zh-CN"/>
        </w:rPr>
        <w:t>。</w:t>
      </w:r>
    </w:p>
    <w:p>
      <w:pPr>
        <w:widowControl/>
        <w:numPr>
          <w:numId w:val="0"/>
        </w:numPr>
        <w:shd w:val="clear" w:color="auto" w:fill="FFFFFF"/>
        <w:spacing w:line="480" w:lineRule="atLeast"/>
        <w:ind w:firstLine="1280" w:firstLineChars="400"/>
        <w:jc w:val="left"/>
        <w:rPr>
          <w:rFonts w:hint="eastAsia" w:ascii="仿宋" w:hAnsi="仿宋" w:eastAsia="仿宋" w:cs="仿宋"/>
          <w:sz w:val="32"/>
          <w:szCs w:val="32"/>
        </w:rPr>
      </w:pPr>
      <w:r>
        <w:rPr>
          <w:rFonts w:hint="eastAsia" w:ascii="仿宋" w:hAnsi="仿宋" w:eastAsia="仿宋" w:cs="仿宋"/>
          <w:bCs/>
          <w:sz w:val="32"/>
          <w:szCs w:val="32"/>
          <w:lang w:val="en-US" w:eastAsia="zh-CN"/>
        </w:rPr>
        <w:t>我中心主要职任职责为：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color w:val="000000"/>
          <w:kern w:val="0"/>
          <w:sz w:val="32"/>
          <w:szCs w:val="32"/>
        </w:rPr>
        <w:t>综合协调管理全县城市建设综合开发建设工作；配合物价部门管理房地产价格；负责全县房地产开发企业经营中的开发项目转让、商品房质量保证书和住宅使用书的管理工作。</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color w:val="000000"/>
          <w:kern w:val="0"/>
          <w:sz w:val="32"/>
          <w:szCs w:val="32"/>
        </w:rPr>
        <w:t>负责房地产开发企业设立的备案；负责房地产开发企业资质年检和资质的日常管理工作。</w:t>
      </w:r>
    </w:p>
    <w:p>
      <w:pPr>
        <w:widowControl/>
        <w:shd w:val="clear" w:color="auto" w:fill="FFFFFF"/>
        <w:spacing w:line="480" w:lineRule="atLeast"/>
        <w:jc w:val="left"/>
        <w:rPr>
          <w:rFonts w:hint="eastAsia" w:ascii="仿宋" w:hAnsi="仿宋" w:eastAsia="仿宋" w:cs="仿宋"/>
          <w:color w:val="000000"/>
          <w:kern w:val="0"/>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color w:val="000000"/>
          <w:kern w:val="0"/>
          <w:sz w:val="32"/>
          <w:szCs w:val="32"/>
        </w:rPr>
        <w:t>负责全县房地产开发项目手册的核发；组织实施房地产开发项目的综合验收。</w:t>
      </w:r>
    </w:p>
    <w:p>
      <w:pPr>
        <w:widowControl/>
        <w:shd w:val="clear" w:color="auto" w:fill="FFFFFF"/>
        <w:spacing w:line="480" w:lineRule="atLeast"/>
        <w:jc w:val="left"/>
        <w:rPr>
          <w:rFonts w:hint="eastAsia" w:ascii="仿宋_GB2312" w:hAnsi="仿宋_GB2312" w:eastAsia="仿宋_GB2312" w:cs="仿宋_GB2312"/>
          <w:color w:val="000000"/>
          <w:kern w:val="0"/>
          <w:sz w:val="32"/>
          <w:szCs w:val="32"/>
        </w:rPr>
      </w:pPr>
      <w:r>
        <w:rPr>
          <w:rFonts w:hint="eastAsia" w:ascii="仿宋" w:hAnsi="仿宋" w:eastAsia="仿宋" w:cs="仿宋"/>
          <w:sz w:val="32"/>
          <w:szCs w:val="32"/>
          <w:lang w:eastAsia="zh-CN"/>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负责房地产综合开发项目管理以及房地产开发企业市场秩序和经营行为的监督管理。</w:t>
      </w:r>
    </w:p>
    <w:p>
      <w:pPr>
        <w:widowControl/>
        <w:shd w:val="clear" w:color="auto" w:fill="FFFFFF"/>
        <w:spacing w:line="48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负责房地产开发项目资本金及商品房预售许可证受理初审、预售资金的监督管理工作。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）、上级部门交办的各项任务</w:t>
      </w:r>
      <w:r>
        <w:rPr>
          <w:rFonts w:hint="eastAsia" w:ascii="仿宋_GB2312" w:hAnsi="仿宋_GB2312" w:eastAsia="仿宋_GB2312" w:cs="仿宋_GB2312"/>
          <w:sz w:val="32"/>
          <w:szCs w:val="32"/>
        </w:rPr>
        <w:t>。</w:t>
      </w:r>
    </w:p>
    <w:p>
      <w:pPr>
        <w:ind w:firstLine="640" w:firstLineChars="200"/>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sz w:val="32"/>
          <w:szCs w:val="32"/>
          <w:lang w:val="en-US" w:eastAsia="zh-CN"/>
        </w:rPr>
        <w:t>依据我中心职责职能，</w:t>
      </w:r>
      <w:r>
        <w:rPr>
          <w:rFonts w:hint="eastAsia" w:ascii="仿宋" w:hAnsi="仿宋" w:eastAsia="仿宋" w:cs="仿宋"/>
          <w:color w:val="auto"/>
          <w:kern w:val="0"/>
          <w:sz w:val="32"/>
          <w:szCs w:val="32"/>
          <w:lang w:val="en-US" w:eastAsia="zh-CN" w:bidi="ar"/>
        </w:rPr>
        <w:t>全年完成实际情况：</w:t>
      </w:r>
    </w:p>
    <w:p>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1、新增房地产开发企业3家，已完成了“四上企业”年度考核任务指标。</w:t>
      </w:r>
    </w:p>
    <w:p>
      <w:pPr>
        <w:numPr>
          <w:ilvl w:val="0"/>
          <w:numId w:val="0"/>
        </w:numPr>
        <w:ind w:firstLine="640" w:firstLineChars="200"/>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val="en-US" w:eastAsia="zh-CN" w:bidi="ar"/>
        </w:rPr>
        <w:t>2、</w:t>
      </w:r>
      <w:r>
        <w:rPr>
          <w:rFonts w:hint="eastAsia" w:ascii="仿宋" w:hAnsi="仿宋" w:eastAsia="仿宋" w:cs="仿宋"/>
          <w:color w:val="auto"/>
          <w:kern w:val="0"/>
          <w:sz w:val="32"/>
          <w:szCs w:val="32"/>
          <w:lang w:eastAsia="zh-CN" w:bidi="ar"/>
        </w:rPr>
        <w:t>预售资金监管系已纳入</w:t>
      </w:r>
      <w:r>
        <w:rPr>
          <w:rFonts w:hint="eastAsia" w:ascii="仿宋" w:hAnsi="仿宋" w:eastAsia="仿宋" w:cs="仿宋"/>
          <w:color w:val="auto"/>
          <w:kern w:val="0"/>
          <w:sz w:val="32"/>
          <w:szCs w:val="32"/>
          <w:lang w:val="en-US" w:eastAsia="zh-CN" w:bidi="ar"/>
        </w:rPr>
        <w:t>22</w:t>
      </w:r>
      <w:r>
        <w:rPr>
          <w:rFonts w:hint="eastAsia" w:ascii="仿宋" w:hAnsi="仿宋" w:eastAsia="仿宋" w:cs="仿宋"/>
          <w:color w:val="auto"/>
          <w:kern w:val="0"/>
          <w:sz w:val="32"/>
          <w:szCs w:val="32"/>
          <w:lang w:eastAsia="zh-CN" w:bidi="ar"/>
        </w:rPr>
        <w:t>个项目，总投资额</w:t>
      </w:r>
      <w:r>
        <w:rPr>
          <w:rFonts w:hint="eastAsia" w:ascii="仿宋" w:hAnsi="仿宋" w:eastAsia="仿宋" w:cs="仿宋"/>
          <w:color w:val="auto"/>
          <w:sz w:val="32"/>
          <w:szCs w:val="32"/>
          <w:lang w:val="en-US" w:eastAsia="zh-CN"/>
        </w:rPr>
        <w:t>61.4</w:t>
      </w:r>
      <w:r>
        <w:rPr>
          <w:rFonts w:hint="eastAsia" w:ascii="仿宋" w:hAnsi="仿宋" w:eastAsia="仿宋" w:cs="仿宋"/>
          <w:color w:val="auto"/>
          <w:kern w:val="0"/>
          <w:sz w:val="32"/>
          <w:szCs w:val="32"/>
          <w:lang w:eastAsia="zh-CN" w:bidi="ar"/>
        </w:rPr>
        <w:t>亿元。</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color w:val="auto"/>
          <w:kern w:val="0"/>
          <w:sz w:val="32"/>
          <w:szCs w:val="32"/>
          <w:lang w:val="en-US" w:eastAsia="zh-CN" w:bidi="ar"/>
        </w:rPr>
        <w:t>3、办理商品预售许可5个，</w:t>
      </w:r>
      <w:r>
        <w:rPr>
          <w:rFonts w:hint="eastAsia" w:ascii="仿宋" w:hAnsi="仿宋" w:eastAsia="仿宋" w:cs="仿宋"/>
          <w:color w:val="auto"/>
          <w:kern w:val="0"/>
          <w:sz w:val="32"/>
          <w:szCs w:val="32"/>
          <w:lang w:eastAsia="zh-CN" w:bidi="ar"/>
        </w:rPr>
        <w:t>签约商品房</w:t>
      </w:r>
      <w:r>
        <w:rPr>
          <w:rFonts w:hint="eastAsia" w:ascii="仿宋" w:hAnsi="仿宋" w:eastAsia="仿宋" w:cs="仿宋"/>
          <w:color w:val="auto"/>
          <w:kern w:val="0"/>
          <w:sz w:val="32"/>
          <w:szCs w:val="32"/>
          <w:lang w:val="en-US" w:eastAsia="zh-CN" w:bidi="ar"/>
        </w:rPr>
        <w:t>2208</w:t>
      </w:r>
      <w:r>
        <w:rPr>
          <w:rFonts w:hint="eastAsia" w:ascii="仿宋" w:hAnsi="仿宋" w:eastAsia="仿宋" w:cs="仿宋"/>
          <w:color w:val="auto"/>
          <w:kern w:val="0"/>
          <w:sz w:val="32"/>
          <w:szCs w:val="32"/>
          <w:lang w:eastAsia="zh-CN" w:bidi="ar"/>
        </w:rPr>
        <w:t>套，</w:t>
      </w:r>
      <w:r>
        <w:rPr>
          <w:rFonts w:hint="eastAsia" w:ascii="仿宋" w:hAnsi="仿宋" w:eastAsia="仿宋" w:cs="仿宋"/>
          <w:b w:val="0"/>
          <w:bCs w:val="0"/>
          <w:sz w:val="32"/>
          <w:szCs w:val="32"/>
          <w:lang w:val="en-US" w:eastAsia="zh-CN"/>
        </w:rPr>
        <w:t>销售面积25.06万平方米。</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4、加强房地产行业日常监管工作，重点打击建设领域黑恶现象和非法集资，实现了动态清零。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kern w:val="0"/>
          <w:sz w:val="32"/>
          <w:szCs w:val="32"/>
          <w:lang w:val="en-US" w:eastAsia="zh-CN" w:bidi="ar"/>
        </w:rPr>
        <w:t>5、全年接待群众来信来访209起，已解决信访问题202余起，</w:t>
      </w:r>
      <w:r>
        <w:rPr>
          <w:rFonts w:hint="eastAsia" w:ascii="仿宋" w:hAnsi="仿宋" w:eastAsia="仿宋" w:cs="仿宋"/>
          <w:sz w:val="32"/>
          <w:szCs w:val="32"/>
        </w:rPr>
        <w:t>做到回复率100%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化解决</w:t>
      </w:r>
      <w:r>
        <w:rPr>
          <w:rFonts w:hint="eastAsia" w:ascii="仿宋" w:hAnsi="仿宋" w:eastAsia="仿宋" w:cs="仿宋"/>
          <w:sz w:val="32"/>
          <w:szCs w:val="32"/>
        </w:rPr>
        <w:t>率</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96.6%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确保了房地产行业信访稳定。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2023年度年初绩效目标已完成。</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rPr>
          <w:rFonts w:hint="default" w:ascii="仿宋_GB2312" w:hAnsi="仿宋_GB2312" w:eastAsia="仿宋_GB2312" w:cs="仿宋_GB2312"/>
          <w:sz w:val="32"/>
          <w:szCs w:val="32"/>
          <w:lang w:val="en-US" w:eastAsia="zh-CN"/>
        </w:rPr>
      </w:pPr>
    </w:p>
    <w:p>
      <w:pPr>
        <w:widowControl/>
        <w:spacing w:line="600" w:lineRule="exact"/>
        <w:ind w:firstLine="645"/>
        <w:jc w:val="left"/>
        <w:rPr>
          <w:rFonts w:hint="default" w:ascii="Times New Roman" w:hAnsi="Times New Roman" w:eastAsia="仿宋_GB2312" w:cs="Times New Roman"/>
          <w:color w:val="000000"/>
          <w:sz w:val="32"/>
          <w:szCs w:val="32"/>
        </w:rPr>
      </w:pPr>
    </w:p>
    <w:p>
      <w:pPr>
        <w:pStyle w:val="8"/>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pPr>
        <w:pStyle w:val="8"/>
        <w:widowControl/>
        <w:spacing w:line="600" w:lineRule="exact"/>
        <w:ind w:firstLine="960" w:firstLineChars="300"/>
        <w:jc w:val="left"/>
        <w:rPr>
          <w:rFonts w:hint="default" w:ascii="Times New Roman" w:hAnsi="Times New Roman"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无</w:t>
      </w:r>
      <w:r>
        <w:rPr>
          <w:rFonts w:hint="eastAsia" w:ascii="Times New Roman" w:hAnsi="Times New Roman" w:eastAsia="仿宋_GB2312" w:cs="Times New Roman"/>
          <w:color w:val="000000"/>
          <w:kern w:val="2"/>
          <w:sz w:val="32"/>
          <w:szCs w:val="32"/>
          <w:lang w:val="en-US" w:eastAsia="zh-CN" w:bidi="ar-SA"/>
        </w:rPr>
        <w:t>10</w:t>
      </w:r>
      <w:r>
        <w:rPr>
          <w:rFonts w:hint="default" w:ascii="Times New Roman" w:hAnsi="Times New Roman" w:eastAsia="仿宋_GB2312" w:cs="Times New Roman"/>
          <w:color w:val="000000"/>
          <w:kern w:val="2"/>
          <w:sz w:val="32"/>
          <w:szCs w:val="32"/>
          <w:lang w:val="en-US" w:eastAsia="zh-CN" w:bidi="ar-SA"/>
        </w:rPr>
        <w:t>0万元以上的项目资金</w:t>
      </w:r>
      <w:r>
        <w:rPr>
          <w:rFonts w:hint="eastAsia" w:eastAsia="仿宋_GB2312" w:cs="Times New Roman"/>
          <w:color w:val="000000"/>
          <w:kern w:val="2"/>
          <w:sz w:val="32"/>
          <w:szCs w:val="32"/>
          <w:lang w:val="en-US" w:eastAsia="zh-CN" w:bidi="ar-SA"/>
        </w:rPr>
        <w:t>。</w:t>
      </w:r>
    </w:p>
    <w:p>
      <w:pPr>
        <w:pStyle w:val="8"/>
        <w:widowControl/>
        <w:spacing w:line="600" w:lineRule="exact"/>
        <w:ind w:left="640" w:firstLine="0" w:firstLineChars="0"/>
        <w:jc w:val="left"/>
        <w:rPr>
          <w:rFonts w:hint="default" w:ascii="Times New Roman" w:hAnsi="Times New Roman" w:eastAsia="仿宋_GB2312" w:cs="Times New Roman"/>
          <w:color w:val="000000"/>
          <w:kern w:val="2"/>
          <w:sz w:val="32"/>
          <w:szCs w:val="32"/>
          <w:lang w:val="en-US" w:eastAsia="zh-CN" w:bidi="ar-SA"/>
        </w:rPr>
      </w:pPr>
    </w:p>
    <w:p>
      <w:pPr>
        <w:keepNext w:val="0"/>
        <w:keepLines w:val="0"/>
        <w:widowControl/>
        <w:numPr>
          <w:ilvl w:val="0"/>
          <w:numId w:val="1"/>
        </w:numPr>
        <w:suppressLineNumbers w:val="0"/>
        <w:shd w:val="clear" w:color="auto" w:fill="FFFFFF"/>
        <w:spacing w:before="0" w:beforeAutospacing="0" w:after="0" w:afterAutospacing="0" w:line="480" w:lineRule="auto"/>
        <w:ind w:righ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pStyle w:val="8"/>
        <w:widowControl/>
        <w:spacing w:line="600" w:lineRule="exact"/>
        <w:ind w:left="640" w:firstLine="0" w:firstLineChars="0"/>
        <w:jc w:val="left"/>
        <w:rPr>
          <w:rFonts w:hint="default" w:ascii="仿宋" w:hAnsi="仿宋" w:eastAsia="仿宋" w:cs="仿宋"/>
          <w:sz w:val="32"/>
          <w:szCs w:val="32"/>
          <w:lang w:val="en-US" w:eastAsia="zh-CN"/>
        </w:rPr>
      </w:pPr>
      <w:r>
        <w:rPr>
          <w:rFonts w:hint="eastAsia" w:eastAsia="黑体" w:cs="Times New Roman"/>
          <w:sz w:val="32"/>
          <w:szCs w:val="32"/>
          <w:lang w:val="en-US" w:eastAsia="zh-CN"/>
        </w:rPr>
        <w:t xml:space="preserve">  </w:t>
      </w:r>
      <w:r>
        <w:rPr>
          <w:rFonts w:hint="eastAsia" w:ascii="仿宋" w:hAnsi="仿宋" w:eastAsia="仿宋" w:cs="仿宋"/>
          <w:sz w:val="32"/>
          <w:szCs w:val="32"/>
          <w:lang w:val="en-US" w:eastAsia="zh-CN"/>
        </w:rPr>
        <w:t>存在数量指标中预售资金入库指标值下滑和预售许可证发放值不达标，主要原因是经济不佳，房产市场不景气，导致指标下滑不达标。下一步改进措施为保障房产市场平稳发展。</w:t>
      </w:r>
    </w:p>
    <w:p>
      <w:pPr>
        <w:widowControl/>
        <w:spacing w:line="600" w:lineRule="exact"/>
        <w:ind w:firstLine="645"/>
        <w:jc w:val="left"/>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其他需要说明的情况</w:t>
      </w:r>
    </w:p>
    <w:p>
      <w:pPr>
        <w:rPr>
          <w:rFonts w:hint="eastAsia"/>
          <w:lang w:val="en-US" w:eastAsia="zh-CN"/>
        </w:rPr>
      </w:pPr>
      <w:r>
        <w:rPr>
          <w:rFonts w:hint="eastAsia"/>
          <w:lang w:val="en-US" w:eastAsia="zh-CN"/>
        </w:rPr>
        <w:t xml:space="preserve">           无</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pPr>
      <w:r>
        <w:rPr>
          <w:rFonts w:hint="eastAsia"/>
          <w:lang w:val="en-US" w:eastAsia="zh-CN"/>
        </w:rPr>
        <w:t xml:space="preserve">                              </w:t>
      </w:r>
      <w:r>
        <w:rPr>
          <w:rFonts w:hint="eastAsia"/>
          <w:sz w:val="32"/>
          <w:szCs w:val="32"/>
          <w:lang w:val="en-US" w:eastAsia="zh-CN"/>
        </w:rPr>
        <w:t>衡阳县城镇建设综合开发服务中心</w:t>
      </w:r>
    </w:p>
    <w:p>
      <w:pPr>
        <w:tabs>
          <w:tab w:val="left" w:pos="5920"/>
        </w:tabs>
        <w:bidi w:val="0"/>
        <w:ind w:firstLine="4160" w:firstLineChars="1300"/>
        <w:jc w:val="left"/>
        <w:rPr>
          <w:rFonts w:hint="default" w:ascii="Calibri" w:hAnsi="Calibri" w:eastAsia="宋体" w:cs="Times New Roman"/>
          <w:kern w:val="2"/>
          <w:sz w:val="32"/>
          <w:szCs w:val="32"/>
          <w:lang w:val="en-US" w:eastAsia="zh-CN" w:bidi="ar-SA"/>
        </w:rPr>
      </w:pPr>
      <w:r>
        <w:rPr>
          <w:rFonts w:hint="eastAsia" w:cs="Times New Roman"/>
          <w:kern w:val="2"/>
          <w:sz w:val="32"/>
          <w:szCs w:val="32"/>
          <w:lang w:val="en-US" w:eastAsia="zh-CN" w:bidi="ar-SA"/>
        </w:rPr>
        <w:t>2024年4</w:t>
      </w:r>
      <w:bookmarkStart w:id="0" w:name="_GoBack"/>
      <w:bookmarkEnd w:id="0"/>
      <w:r>
        <w:rPr>
          <w:rFonts w:hint="eastAsia" w:cs="Times New Roman"/>
          <w:kern w:val="2"/>
          <w:sz w:val="32"/>
          <w:szCs w:val="32"/>
          <w:lang w:val="en-US" w:eastAsia="zh-CN" w:bidi="ar-SA"/>
        </w:rPr>
        <w:t>月26日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1CEB9"/>
    <w:multiLevelType w:val="singleLevel"/>
    <w:tmpl w:val="FEA1CEB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TgxZDZlMjUxYjk2OTk4Y2FmYWM3OGVmNzcwZWYifQ=="/>
  </w:docVars>
  <w:rsids>
    <w:rsidRoot w:val="00000000"/>
    <w:rsid w:val="0B87364F"/>
    <w:rsid w:val="13653AA2"/>
    <w:rsid w:val="19DB02B0"/>
    <w:rsid w:val="1E396C43"/>
    <w:rsid w:val="20E81AFB"/>
    <w:rsid w:val="230C521F"/>
    <w:rsid w:val="25E80BE3"/>
    <w:rsid w:val="30BC21D7"/>
    <w:rsid w:val="37D76F8F"/>
    <w:rsid w:val="3CDB5253"/>
    <w:rsid w:val="4F5D67BA"/>
    <w:rsid w:val="50F55F3D"/>
    <w:rsid w:val="510756EE"/>
    <w:rsid w:val="549604F6"/>
    <w:rsid w:val="733D0DD5"/>
    <w:rsid w:val="7F4F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1397</Characters>
  <Lines>0</Lines>
  <Paragraphs>0</Paragraphs>
  <TotalTime>27</TotalTime>
  <ScaleCrop>false</ScaleCrop>
  <LinksUpToDate>false</LinksUpToDate>
  <CharactersWithSpaces>1479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2024-04-26T07:05:00Z</dcterms:created>
  <dc:creator>Lenovo</dc:creator>
  <cp:lastModifiedBy>admin</cp:lastModifiedBy>
  <cp:lastPrinted>2024-04-29T08:22:04Z</cp:lastPrinted>
  <dcterms:modified xsi:type="dcterms:W3CDTF">2024-04-29T08:29:43Z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1500B58DFB4841A5A028B63529ABA2E0_12</vt:lpwstr>
  </property>
</Properties>
</file>