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衡阳县住房和城乡建设局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部门整体支出绩效自评报告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根据职责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我局内设1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个股室，</w:t>
      </w:r>
      <w:r>
        <w:rPr>
          <w:rFonts w:hint="eastAsia" w:ascii="仿宋" w:hAnsi="仿宋" w:eastAsia="仿宋" w:cs="仿宋"/>
          <w:sz w:val="32"/>
          <w:szCs w:val="32"/>
        </w:rPr>
        <w:t>分别是办公室、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计财</w:t>
      </w:r>
      <w:r>
        <w:rPr>
          <w:rFonts w:hint="eastAsia" w:ascii="仿宋" w:hAnsi="仿宋" w:eastAsia="仿宋" w:cs="仿宋"/>
          <w:sz w:val="32"/>
          <w:szCs w:val="32"/>
        </w:rPr>
        <w:t>股、人事政工股、行政审批服务股、政策法规股、勘察设计管理股、公用事业管理股、建筑工程管理股（加挂危房鉴定办公室牌子）、产权管理股、物业管理股、消防管理股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firstLine="0" w:firstLineChars="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我局为一级预算单位，</w:t>
      </w:r>
      <w:r>
        <w:rPr>
          <w:rFonts w:hint="eastAsia" w:ascii="仿宋" w:hAnsi="仿宋" w:eastAsia="仿宋" w:cs="仿宋"/>
          <w:bCs/>
          <w:sz w:val="32"/>
          <w:szCs w:val="32"/>
        </w:rPr>
        <w:t>共有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人；事业编制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人（下设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二级机构</w:t>
      </w:r>
      <w:r>
        <w:rPr>
          <w:rFonts w:hint="eastAsia" w:ascii="仿宋" w:hAnsi="仿宋" w:eastAsia="仿宋" w:cs="仿宋"/>
          <w:sz w:val="32"/>
          <w:szCs w:val="32"/>
        </w:rPr>
        <w:t>城建档案馆、中洲公园并入）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93人。</w:t>
      </w:r>
    </w:p>
    <w:p>
      <w:pPr>
        <w:pStyle w:val="11"/>
        <w:widowControl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11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1220.61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934.85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150.00万元，上年结转135.76万元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1220.61万元：本单位一般公共预算拨款支出1070.61万元，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808.85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261.76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2023年本单位政府性基金支出预算150.00万元，其中，城乡社区支出150.00万元,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具体安排情况如下：</w:t>
      </w:r>
      <w:bookmarkStart w:id="0" w:name="PAY_JJYSZC_3_YT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其他城市基础设施配套费用的支出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bookmarkStart w:id="1" w:name="END_PAY_ZFXJJZC"/>
      <w:bookmarkEnd w:id="1"/>
      <w:bookmarkStart w:id="2" w:name="END_PAY_ZFXJJZC_AMT"/>
      <w:bookmarkEnd w:id="2"/>
      <w:bookmarkStart w:id="3" w:name="START_PAY_ZFXJJZC"/>
      <w:bookmarkEnd w:id="3"/>
      <w:bookmarkStart w:id="4" w:name="DIS_MARK_PAY_ZFXJJZC"/>
      <w:bookmarkEnd w:id="4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6797.27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5576.66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6797.26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1128.10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5669.17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在职人员绩效奖、晋级晋档工资及退休人员绩效奖、七节一生等在年初没有纳入预算，二是项目资金年中追加，没有纳入年初预算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257.15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66.96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179.17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1373.14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1124.46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248.69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676.03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676.03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numPr>
          <w:ilvl w:val="0"/>
          <w:numId w:val="2"/>
        </w:numPr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pStyle w:val="12"/>
        <w:numPr>
          <w:ilvl w:val="0"/>
          <w:numId w:val="0"/>
        </w:numPr>
        <w:rPr>
          <w:rFonts w:hint="default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在县委县政府的坚强领导下，我局认真贯彻落实县委“三五一”工作思路，全力抓项目、促发展、稳增长、保稳定，服务全县经济社会高质量发展，切实保障和改善民生，扎实推进各项工作取得实效。在省政府“打好发展六仗”工作表彰通报中住建局为全县唯一获表彰单位；在全省优化营商环境考核中我们牵头负责的“获得用水用气”指标排名全市第一全省第十三；居民自建房安全专项整治和老旧小区改造、既有住宅加装电梯等民生实事始终处于全市第一全省前列；住房保障、建设工程招投标与稽查、质量安全监督管理等3项工作被省住建厅通报表彰；燃气管理工作排名全市第一并作典型发言；全系统16项单项工作排名全市前三；提案办理工作获评县“先进单位”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建设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扎实推进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老旧小区改造：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2023年全县共实施4个项目，涉及54个小区、114栋房屋、3035户居民、建筑面积约37万平方米，已全部完成。“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老院子，有了新花园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”被人民日报报道和学习强国转载。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棚户区改造：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西渡镇C/D级危房棚户区改造完成73户；西渡高新区樟树坳社区棚户区改造完成66户。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保障性租赁住房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全县建设任务数872套（新建766套、改建106套），总投资约4834万元。森云门窗、船山时间谷、恒祈金刚石、致公（二期）、雅典娜、衡阳县机关事务和接待中心、库宗桥镇石口中学、曲兰镇桐梓中学、三湖镇三湖中学、衡阳县苗圃等保障性租赁住房项目按要求实现100%开工，完成总工程90%以上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乡镇污水处理设施建设：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一期、二期启动的17座乡镇污水处理设施厂区及配套管网全部建成，并按要求投入运行，余下的溪江、岣嵝、板市、栏垅、长安、樟木6座乡镇污水处理设施前期工作全部完成。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二是建筑业跨越发展。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我们指导4家建筑企业成功晋升一级资质，创造了我县建筑行业的新历史。2023年，全县绿色建筑在新建民用建筑中的比例达100%，装配式建筑约占新开工总建筑面积的32.4%。湖南塬峰新材料科技有限公司和衡阳市蒸阳建材有限公司荣获“三星级绿色建材产品认证”及“AAA级信用企业单位”，实现我县绿色建材星级认证“零的突破”。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eastAsia="zh-CN"/>
        </w:rPr>
        <w:t>三是房地产业平稳健康。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县已注册房地产企业75家（二级资质29家，四级资质46家，2023年新增1家），处于历史最高水平。2023年全县在建开发项目23个，总面积134.3万平方米，总投资额21.5亿元，商品房总套数7615套。其中：新建项目1个，面积5.7万方米；竣工项目7个，竣工面积72.5万平方米，竣工总套数3856套。近两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保交楼、保民生、保稳定”工作要求，我们对全县房地产项目进行全面排查，对排查出的风险楼盘制定一楼一策，并为其向省级争取“保交楼”专项贷款。共计争取资金4577万元，有效化解了长旭·龙熙台、长旭·时光印象、鸿运府等项目风险，工作成效始终处于省市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四是争项争资全面完成。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2023年，我们用足用活政策机遇，向上争取自来水厂建设、乡镇污水处理、老旧小区改造、农村危房改造、公租房、租赁补贴、保障性安居工程等各项资金累计2.04亿元。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指标任务排名靠前。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我们完成固定资产约20.13亿元；商品房销售总面积25万平方米；建筑业总产值66.32亿元，同比增长11.8%；“四上企业”净增房地产企业完成3家、建筑企业完成5家，完成任务150%。相关指标数据排名始终处于市、县前列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项目绩效完成情况</w:t>
      </w:r>
    </w:p>
    <w:p>
      <w:pPr>
        <w:pStyle w:val="3"/>
        <w:ind w:firstLine="646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2023年省、市下达我县老旧小区改造任务3035户，114栋，37.1824万平方米，54个小区，现已全部开工建设，任务完成率100%。</w:t>
      </w:r>
      <w:r>
        <w:rPr>
          <w:rFonts w:hint="eastAsia" w:ascii="仿宋" w:hAnsi="仿宋" w:eastAsia="仿宋"/>
          <w:sz w:val="32"/>
          <w:szCs w:val="32"/>
        </w:rPr>
        <w:t>根据中央和省级保障性安居工程专项资金管理有关规定，进一步完善资金分配、申请、审批、拨付流程，严格执行财政专项资金管理办法，并按照国库集中支付的原则，进一步简化资金拨付审批环节，提高工作效率。</w:t>
      </w:r>
      <w:r>
        <w:rPr>
          <w:rFonts w:hint="eastAsia" w:ascii="仿宋" w:hAnsi="仿宋" w:eastAsia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2023年我局住房补贴指标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774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户发放任务，实际完成发放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774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户，完成住房补助发放指标任务1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%，发放租赁补贴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135.76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万元；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　（二）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评价指标分析（或综合评价情况）。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bookmarkStart w:id="5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通过自评，根据《部门整体支出绩效评价指标评分表》评分，得分9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分，按照《关于规范绩效评价结果等级划分标准的通知》规定，综合评价等级为“优”。</w:t>
      </w:r>
    </w:p>
    <w:bookmarkEnd w:id="5"/>
    <w:p>
      <w:pPr>
        <w:pStyle w:val="11"/>
        <w:widowControl/>
        <w:numPr>
          <w:ilvl w:val="0"/>
          <w:numId w:val="0"/>
        </w:numPr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1、年度资金总额。权重10分，得10分。2023年总收入为6797.26万元，全年执行数为6797.26万元，执行率100%。</w:t>
      </w:r>
    </w:p>
    <w:p>
      <w:pPr>
        <w:pStyle w:val="11"/>
        <w:widowControl/>
        <w:numPr>
          <w:ilvl w:val="0"/>
          <w:numId w:val="0"/>
        </w:numPr>
        <w:ind w:leftChars="200" w:firstLine="320" w:firstLineChars="1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"/>
          <w:sz w:val="32"/>
          <w:szCs w:val="32"/>
        </w:rPr>
        <w:t>产出指标</w:t>
      </w:r>
      <w:r>
        <w:rPr>
          <w:rFonts w:hint="eastAsia" w:eastAsia="仿宋"/>
          <w:sz w:val="32"/>
          <w:szCs w:val="32"/>
          <w:lang w:eastAsia="zh-CN"/>
        </w:rPr>
        <w:t>。权重</w:t>
      </w:r>
      <w:r>
        <w:rPr>
          <w:rFonts w:hint="eastAsia" w:eastAsia="仿宋"/>
          <w:sz w:val="32"/>
          <w:szCs w:val="32"/>
          <w:lang w:val="en-US" w:eastAsia="zh-CN"/>
        </w:rPr>
        <w:t>40分，得40分</w:t>
      </w:r>
    </w:p>
    <w:p>
      <w:pPr>
        <w:pStyle w:val="11"/>
        <w:widowControl/>
        <w:numPr>
          <w:ilvl w:val="0"/>
          <w:numId w:val="0"/>
        </w:numPr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eastAsia="zh-CN"/>
        </w:rPr>
        <w:t>分别设置</w:t>
      </w:r>
      <w:r>
        <w:rPr>
          <w:rFonts w:hint="eastAsia" w:ascii="Times New Roman" w:hAnsi="Times New Roman" w:eastAsia="仿宋"/>
          <w:sz w:val="32"/>
          <w:szCs w:val="32"/>
        </w:rPr>
        <w:t>数量指标、质量指标</w:t>
      </w:r>
      <w:r>
        <w:rPr>
          <w:rFonts w:hint="eastAsia" w:eastAsia="仿宋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"/>
          <w:sz w:val="32"/>
          <w:szCs w:val="32"/>
        </w:rPr>
        <w:t>时效指标</w:t>
      </w:r>
      <w:r>
        <w:rPr>
          <w:rFonts w:hint="eastAsia" w:eastAsia="仿宋"/>
          <w:sz w:val="32"/>
          <w:szCs w:val="32"/>
          <w:lang w:val="en-US" w:eastAsia="zh-CN"/>
        </w:rPr>
        <w:t>3个二级指标，以评价2023年度部门职责的履行情况。</w:t>
      </w:r>
    </w:p>
    <w:p>
      <w:pPr>
        <w:pStyle w:val="11"/>
        <w:widowControl/>
        <w:numPr>
          <w:ilvl w:val="0"/>
          <w:numId w:val="3"/>
        </w:numPr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数量指标</w:t>
      </w:r>
      <w:r>
        <w:rPr>
          <w:rFonts w:hint="eastAsia" w:eastAsia="仿宋"/>
          <w:sz w:val="32"/>
          <w:szCs w:val="32"/>
          <w:lang w:eastAsia="zh-CN"/>
        </w:rPr>
        <w:t>。满分</w:t>
      </w:r>
      <w:r>
        <w:rPr>
          <w:rFonts w:hint="eastAsia" w:eastAsia="仿宋"/>
          <w:sz w:val="32"/>
          <w:szCs w:val="32"/>
          <w:lang w:val="en-US" w:eastAsia="zh-CN"/>
        </w:rPr>
        <w:t>15分，得15分</w:t>
      </w:r>
    </w:p>
    <w:p>
      <w:pPr>
        <w:pStyle w:val="11"/>
        <w:widowControl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数量指标实际完成值达到预期目标，完成指标值：老旧小区改造、棚户区改造、保障租赁住房建设，乡镇污水处理设施建设、建筑业发展、房地产发展全部按要求完成</w:t>
      </w:r>
      <w:r>
        <w:rPr>
          <w:rFonts w:hint="eastAsia" w:eastAsia="仿宋"/>
          <w:sz w:val="32"/>
          <w:szCs w:val="32"/>
          <w:lang w:val="en-US" w:eastAsia="zh-CN"/>
        </w:rPr>
        <w:t>2023年</w:t>
      </w:r>
      <w:r>
        <w:rPr>
          <w:rFonts w:hint="eastAsia" w:eastAsia="仿宋"/>
          <w:sz w:val="32"/>
          <w:szCs w:val="32"/>
          <w:lang w:eastAsia="zh-CN"/>
        </w:rPr>
        <w:t>工作任务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pStyle w:val="11"/>
        <w:widowControl/>
        <w:numPr>
          <w:ilvl w:val="0"/>
          <w:numId w:val="3"/>
        </w:numPr>
        <w:ind w:left="0" w:leftChars="0"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质量指标</w:t>
      </w:r>
      <w:r>
        <w:rPr>
          <w:rFonts w:hint="eastAsia" w:eastAsia="仿宋"/>
          <w:sz w:val="32"/>
          <w:szCs w:val="32"/>
          <w:lang w:eastAsia="zh-CN"/>
        </w:rPr>
        <w:t>。满分</w:t>
      </w:r>
      <w:r>
        <w:rPr>
          <w:rFonts w:hint="eastAsia" w:eastAsia="仿宋"/>
          <w:sz w:val="32"/>
          <w:szCs w:val="32"/>
          <w:lang w:val="en-US" w:eastAsia="zh-CN"/>
        </w:rPr>
        <w:t>15分，得15分</w:t>
      </w:r>
    </w:p>
    <w:p>
      <w:pPr>
        <w:pStyle w:val="11"/>
        <w:widowControl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质量指标实际完成值达到预期目标，完成指标值：老旧小区改造率、棚户区改造率、保障租赁住房建设率，乡镇污水处理设施建设率、建筑业跨越发展率、房地产平稳健康发展率全部</w:t>
      </w:r>
      <w:r>
        <w:rPr>
          <w:rFonts w:hint="eastAsia" w:ascii="Times New Roman" w:hAnsi="Times New Roman" w:eastAsia="仿宋"/>
          <w:sz w:val="32"/>
          <w:szCs w:val="32"/>
        </w:rPr>
        <w:t>按要求完成 2023年工作任务。</w:t>
      </w:r>
    </w:p>
    <w:p>
      <w:pPr>
        <w:pStyle w:val="11"/>
        <w:widowControl/>
        <w:numPr>
          <w:ilvl w:val="0"/>
          <w:numId w:val="3"/>
        </w:numPr>
        <w:ind w:left="0" w:leftChars="0"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时效指标</w:t>
      </w:r>
      <w:r>
        <w:rPr>
          <w:rFonts w:hint="eastAsia" w:eastAsia="仿宋"/>
          <w:sz w:val="32"/>
          <w:szCs w:val="32"/>
          <w:lang w:eastAsia="zh-CN"/>
        </w:rPr>
        <w:t>。满分</w:t>
      </w:r>
      <w:r>
        <w:rPr>
          <w:rFonts w:hint="eastAsia" w:eastAsia="仿宋"/>
          <w:sz w:val="32"/>
          <w:szCs w:val="32"/>
          <w:lang w:val="en-US" w:eastAsia="zh-CN"/>
        </w:rPr>
        <w:t>10分，得10分</w:t>
      </w:r>
    </w:p>
    <w:p>
      <w:pPr>
        <w:pStyle w:val="11"/>
        <w:widowControl/>
        <w:numPr>
          <w:ilvl w:val="0"/>
          <w:numId w:val="0"/>
        </w:num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部门预决算完成及时率、部门预决算和三公经费预决算信息公开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基本在绩效目标确定的时限内完成了各项工作。</w:t>
      </w:r>
    </w:p>
    <w:p>
      <w:pPr>
        <w:widowControl/>
        <w:numPr>
          <w:ilvl w:val="0"/>
          <w:numId w:val="0"/>
        </w:numPr>
        <w:ind w:leftChars="200" w:firstLine="320" w:firstLineChars="1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"/>
          <w:sz w:val="32"/>
          <w:szCs w:val="32"/>
        </w:rPr>
        <w:t>效益指标。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权重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20分，得19分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省政府“打好发展六仗”工作表彰通报中住建局为全县唯一获表彰单位；在全省优化营商环境考核中我们牵头负责的“获得用水用气”指标排名全市第一全省第十三；居民自建房安全专项整治和老旧小区改造、既有住宅加装电梯等民生实事始终处于全市第一全省前列；住房保障、建设工程招投标与稽查、质量安全监督管理等3项工作被省住建厅通报表彰；燃气管理工作排名全市第一并作典型发言；全系统16项单项工作排名全市前三；提案办理工作获评县“先进单位”。</w:t>
      </w:r>
    </w:p>
    <w:p>
      <w:pPr>
        <w:widowControl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　　4、</w:t>
      </w:r>
      <w:r>
        <w:rPr>
          <w:rFonts w:hint="eastAsia" w:ascii="Times New Roman" w:hAnsi="Times New Roman" w:eastAsia="仿宋"/>
          <w:sz w:val="32"/>
          <w:szCs w:val="32"/>
        </w:rPr>
        <w:t>满意度指标。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权重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10分，得9分。</w:t>
      </w:r>
    </w:p>
    <w:p>
      <w:pPr>
        <w:pStyle w:val="7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　　通过发放满意意度征求意见表，群众给我单位反馈结果都满意。</w:t>
      </w:r>
    </w:p>
    <w:p>
      <w:pPr>
        <w:widowControl/>
        <w:numPr>
          <w:ilvl w:val="0"/>
          <w:numId w:val="0"/>
        </w:numPr>
        <w:ind w:leftChars="200" w:firstLine="320" w:firstLineChars="1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5、成本指标。权重20分，得20分。</w:t>
      </w:r>
    </w:p>
    <w:p>
      <w:pPr>
        <w:widowControl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2023年我单位例行节约，合理控制经费，没有超预算。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/>
          <w:bCs/>
          <w:sz w:val="32"/>
          <w:szCs w:val="32"/>
        </w:rPr>
        <w:t>、存在的主要问题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b/>
          <w:bCs/>
          <w:sz w:val="32"/>
          <w:szCs w:val="32"/>
        </w:rPr>
        <w:t>改进措施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财务制度和软件每年在更新，预算绩效管理工作涉及面广、专业性强，单位对预算绩效管理理解不透彻，对预算</w:t>
      </w:r>
      <w:r>
        <w:rPr>
          <w:rFonts w:hint="eastAsia" w:ascii="仿宋" w:hAnsi="仿宋" w:eastAsia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/>
          <w:sz w:val="32"/>
          <w:szCs w:val="32"/>
        </w:rPr>
        <w:t>业务管理不精通，在一定程度上影响绩效评价工作时效和质量。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（一）加强《预算法》、《行政单位会计制度》、《国有固定资产管理》</w:t>
      </w:r>
      <w:r>
        <w:rPr>
          <w:rFonts w:hint="eastAsia" w:ascii="仿宋" w:hAnsi="仿宋" w:eastAsia="仿宋"/>
          <w:sz w:val="32"/>
          <w:szCs w:val="32"/>
          <w:lang w:eastAsia="zh-CN"/>
        </w:rPr>
        <w:t>、预算绩效管理信息系统操作</w:t>
      </w:r>
      <w:r>
        <w:rPr>
          <w:rFonts w:hint="eastAsia" w:ascii="仿宋" w:hAnsi="仿宋" w:eastAsia="仿宋"/>
          <w:sz w:val="32"/>
          <w:szCs w:val="32"/>
        </w:rPr>
        <w:t>等学习，进一步完善预算评价指标体系，规范部门预算制定和基本支出，项目支出等各项支出标准，严格按项目进度执行预算，增强预算</w:t>
      </w:r>
      <w:r>
        <w:rPr>
          <w:rFonts w:hint="eastAsia" w:ascii="仿宋" w:hAnsi="仿宋" w:eastAsia="仿宋"/>
          <w:sz w:val="32"/>
          <w:szCs w:val="32"/>
          <w:lang w:eastAsia="zh-CN"/>
        </w:rPr>
        <w:t>编制的准确性及</w:t>
      </w:r>
      <w:r>
        <w:rPr>
          <w:rFonts w:hint="eastAsia" w:ascii="仿宋" w:hAnsi="仿宋" w:eastAsia="仿宋"/>
          <w:sz w:val="32"/>
          <w:szCs w:val="32"/>
        </w:rPr>
        <w:t>严肃性。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（二）进一步提高资产内部管理的效能。根据资产管理过程中发现的问题，认真分析原因，完善资产管理制度。固定资产采购、审批、处置进一步实现动态化、规范化管理，落实固定资产清查盘点工作，摸清资产的使用情况，发现问题应及时处理。</w:t>
      </w:r>
    </w:p>
    <w:p>
      <w:pPr>
        <w:ind w:firstLine="482" w:firstLineChars="15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其他需要说明的</w:t>
      </w:r>
      <w:r>
        <w:rPr>
          <w:rFonts w:hint="eastAsia" w:ascii="黑体" w:hAnsi="黑体" w:eastAsia="黑体"/>
          <w:b/>
          <w:bCs/>
          <w:sz w:val="32"/>
          <w:szCs w:val="32"/>
        </w:rPr>
        <w:t>情况</w:t>
      </w:r>
    </w:p>
    <w:p>
      <w:pPr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年部门整体支出绩效评价自查自评结果为优秀。拟通过县人民政府网站向社会公开，接受社会监督。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1"/>
        <w:widowControl/>
        <w:spacing w:line="60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323EF"/>
    <w:multiLevelType w:val="singleLevel"/>
    <w:tmpl w:val="85A323EF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19A19E7F"/>
    <w:multiLevelType w:val="singleLevel"/>
    <w:tmpl w:val="19A19E7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A9A982A"/>
    <w:multiLevelType w:val="singleLevel"/>
    <w:tmpl w:val="7A9A98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2VkYjZkYjRjYWQ3ZDZmNDc4NDEwODI4NTExOGMifQ=="/>
    <w:docVar w:name="KSO_WPS_MARK_KEY" w:val="31778806-b7a0-4b2d-8f4e-4d3a274fd65c"/>
  </w:docVars>
  <w:rsids>
    <w:rsidRoot w:val="4C43681B"/>
    <w:rsid w:val="02D67969"/>
    <w:rsid w:val="03CB6AB3"/>
    <w:rsid w:val="068B5B47"/>
    <w:rsid w:val="09146FE7"/>
    <w:rsid w:val="0B301291"/>
    <w:rsid w:val="0B405654"/>
    <w:rsid w:val="11093960"/>
    <w:rsid w:val="1A086B2F"/>
    <w:rsid w:val="1DE275E2"/>
    <w:rsid w:val="1DEF1689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C0B6651"/>
    <w:rsid w:val="3D0160AB"/>
    <w:rsid w:val="3E2D187A"/>
    <w:rsid w:val="43282DD1"/>
    <w:rsid w:val="4C43681B"/>
    <w:rsid w:val="4C923160"/>
    <w:rsid w:val="4E54656B"/>
    <w:rsid w:val="515651ED"/>
    <w:rsid w:val="519A5C81"/>
    <w:rsid w:val="55944FFF"/>
    <w:rsid w:val="58EA42F7"/>
    <w:rsid w:val="592917C1"/>
    <w:rsid w:val="5D7529AC"/>
    <w:rsid w:val="5DDF7AE8"/>
    <w:rsid w:val="60067FC1"/>
    <w:rsid w:val="60A52F4C"/>
    <w:rsid w:val="6778080A"/>
    <w:rsid w:val="67EB41F2"/>
    <w:rsid w:val="687115B5"/>
    <w:rsid w:val="6C2E7CD3"/>
    <w:rsid w:val="6CB461FC"/>
    <w:rsid w:val="6DC431FB"/>
    <w:rsid w:val="776C076D"/>
    <w:rsid w:val="798C23BD"/>
    <w:rsid w:val="7B88713B"/>
    <w:rsid w:val="7F10244C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99"/>
    <w:rPr>
      <w:rFonts w:ascii="Calibri" w:hAnsi="Calibri" w:eastAsia="仿宋_GB2312"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2">
    <w:name w:val="BodyText"/>
    <w:basedOn w:val="1"/>
    <w:qFormat/>
    <w:uiPriority w:val="0"/>
    <w:pPr>
      <w:spacing w:line="560" w:lineRule="exac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3403</Words>
  <Characters>3777</Characters>
  <Lines>0</Lines>
  <Paragraphs>0</Paragraphs>
  <TotalTime>16</TotalTime>
  <ScaleCrop>false</ScaleCrop>
  <LinksUpToDate>false</LinksUpToDate>
  <CharactersWithSpaces>3795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龙世明</cp:lastModifiedBy>
  <cp:lastPrinted>2024-09-26T07:30:00Z</cp:lastPrinted>
  <dcterms:modified xsi:type="dcterms:W3CDTF">2024-09-27T00:26:14Z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21D14E287F394FF18A00AC4DE47C03BD_13</vt:lpwstr>
  </property>
</Properties>
</file>