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方正小标宋_GBK" w:cs="Times New Roman"/>
          <w:color w:val="FF0000"/>
          <w:sz w:val="109"/>
        </w:rPr>
      </w:pPr>
      <w:r>
        <w:rPr>
          <w:rFonts w:ascii="Times New Roman" w:hAnsi="Times New Roman" w:eastAsia="方正小标宋_GBK" w:cs="Times New Roman"/>
          <w:color w:val="FF0000"/>
          <w:spacing w:val="115"/>
          <w:w w:val="50"/>
          <w:sz w:val="109"/>
        </w:rPr>
        <w:t>衡</w:t>
      </w:r>
      <w:r>
        <w:rPr>
          <w:rFonts w:ascii="Times New Roman" w:hAnsi="Times New Roman" w:eastAsia="方正小标宋_GBK" w:cs="Times New Roman"/>
          <w:color w:val="FF0000"/>
          <w:w w:val="50"/>
          <w:sz w:val="109"/>
        </w:rPr>
        <w:t xml:space="preserve">  阳  县  </w:t>
      </w:r>
      <w:r>
        <w:rPr>
          <w:rFonts w:hint="eastAsia" w:ascii="Times New Roman" w:hAnsi="Times New Roman" w:eastAsia="方正小标宋_GBK" w:cs="Times New Roman"/>
          <w:color w:val="FF0000"/>
          <w:w w:val="50"/>
          <w:sz w:val="109"/>
        </w:rPr>
        <w:t>司  法  局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line id="直线 12" o:spid="_x0000_s1026" o:spt="20" style="position:absolute;left:0pt;margin-left:0.65pt;margin-top:0.65pt;height:0pt;width:414pt;z-index:251659264;mso-width-relative:page;mso-height-relative:page;" stroked="t" coordsize="21600,21600">
            <v:path arrowok="t"/>
            <v:fill focussize="0,0"/>
            <v:stroke weight="2.25pt" color="#FF0000"/>
            <v:imagedata o:title=""/>
            <o:lock v:ext="edit"/>
          </v:line>
        </w:pict>
      </w:r>
    </w:p>
    <w:p>
      <w:pPr>
        <w:spacing w:line="360" w:lineRule="auto"/>
        <w:jc w:val="center"/>
        <w:rPr>
          <w:rFonts w:ascii="Times New Roman" w:hAnsi="Times New Roman" w:eastAsia="方正小标宋_GBK"/>
          <w:sz w:val="36"/>
          <w:szCs w:val="36"/>
        </w:rPr>
      </w:pPr>
      <w:r>
        <w:rPr>
          <w:rFonts w:ascii="Times New Roman" w:hAnsi="Times New Roman" w:eastAsia="方正小标宋_GBK"/>
          <w:sz w:val="36"/>
          <w:szCs w:val="36"/>
        </w:rPr>
        <w:t>部门整体支出绩效自评报告</w:t>
      </w:r>
    </w:p>
    <w:p>
      <w:pPr>
        <w:spacing w:line="360" w:lineRule="auto"/>
        <w:jc w:val="center"/>
        <w:rPr>
          <w:rFonts w:ascii="Times New Roman" w:hAnsi="Times New Roman" w:eastAsia="仿宋_GB2312"/>
          <w:sz w:val="32"/>
          <w:szCs w:val="32"/>
        </w:rPr>
      </w:pPr>
    </w:p>
    <w:p>
      <w:pPr>
        <w:pStyle w:val="11"/>
        <w:widowControl/>
        <w:spacing w:line="360" w:lineRule="auto"/>
        <w:ind w:left="640" w:firstLine="0" w:firstLineChars="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一、部门、单位基本情况</w:t>
      </w:r>
    </w:p>
    <w:p>
      <w:pPr>
        <w:pStyle w:val="11"/>
        <w:widowControl/>
        <w:spacing w:line="360" w:lineRule="auto"/>
        <w:ind w:left="640" w:firstLine="0" w:firstLineChars="0"/>
        <w:rPr>
          <w:rFonts w:asciiTheme="majorEastAsia" w:hAnsiTheme="majorEastAsia" w:eastAsiaTheme="majorEastAsia"/>
          <w:sz w:val="32"/>
          <w:szCs w:val="32"/>
        </w:rPr>
      </w:pPr>
      <w:r>
        <w:rPr>
          <w:rFonts w:eastAsia="楷体_GB2312"/>
          <w:sz w:val="32"/>
          <w:szCs w:val="32"/>
        </w:rPr>
        <w:t>（一）机构设置情况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2023年本单位共有内设股室13个， 26个司法所，所属事业单位4个。 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内设股室分别是办公室、法治研究督查室、社区矫正管理股、行政复议与应诉股、行政执法协调监督股、规范性文件和合同审查管理股、法律事务股、普法与依法治理股、基层法治建设股、公共法律服务管理股、装备财务保障股、政工室、秘书室。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25个司法所分别是樟木司法所、集兵司法所、岣嵝司法所、杉桥司法所、樟树司法所、板市司法所、西渡司法所、岘山司法所、井头司法所、关市司法所、演陂司法所、栏垅司法所、三湖司法所、长安司法所、库宗桥司法所、金兰司法所、洪市司法所、大安司法所、曲兰司法所、金溪司法所、溪江司法所、界牌司法所、石市司法所、渣江司法所、台源司法所。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所属事业单位分别是衡阳县法律援助中心、衡阳县人民政府法律顾问室、公证处、社区矫正事务中心。</w:t>
      </w:r>
    </w:p>
    <w:p>
      <w:pPr>
        <w:pStyle w:val="11"/>
        <w:widowControl/>
        <w:spacing w:line="360" w:lineRule="auto"/>
        <w:ind w:left="640" w:firstLine="0" w:firstLineChars="0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（二）人员编制情况</w:t>
      </w:r>
    </w:p>
    <w:p>
      <w:pPr>
        <w:pStyle w:val="11"/>
        <w:widowControl/>
        <w:spacing w:line="360" w:lineRule="auto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2023年本单位年未编制人数104人，在职106人，退休3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sz w:val="32"/>
          <w:szCs w:val="32"/>
        </w:rPr>
        <w:t>人。</w:t>
      </w:r>
    </w:p>
    <w:p>
      <w:pPr>
        <w:pStyle w:val="11"/>
        <w:widowControl/>
        <w:spacing w:line="360" w:lineRule="auto"/>
        <w:ind w:left="640" w:firstLine="0" w:firstLineChars="0"/>
        <w:rPr>
          <w:rFonts w:hint="eastAsia" w:eastAsia="黑体"/>
          <w:sz w:val="32"/>
          <w:szCs w:val="32"/>
          <w:lang w:val="en-US" w:eastAsia="zh-CN"/>
        </w:rPr>
      </w:pPr>
      <w:r>
        <w:rPr>
          <w:rFonts w:eastAsia="黑体"/>
          <w:sz w:val="32"/>
          <w:szCs w:val="32"/>
        </w:rPr>
        <w:t>二、</w:t>
      </w:r>
      <w:r>
        <w:rPr>
          <w:rFonts w:hint="eastAsia" w:eastAsia="黑体"/>
          <w:sz w:val="32"/>
          <w:szCs w:val="32"/>
          <w:lang w:eastAsia="zh-CN"/>
        </w:rPr>
        <w:t>预算支出情况</w:t>
      </w:r>
    </w:p>
    <w:p>
      <w:pPr>
        <w:pStyle w:val="11"/>
        <w:widowControl/>
        <w:spacing w:line="360" w:lineRule="auto"/>
        <w:ind w:left="640" w:firstLine="0" w:firstLineChars="0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（一）</w:t>
      </w:r>
      <w:r>
        <w:rPr>
          <w:rFonts w:hint="eastAsia" w:eastAsia="楷体_GB2312"/>
          <w:sz w:val="32"/>
          <w:szCs w:val="32"/>
          <w:lang w:eastAsia="zh-CN"/>
        </w:rPr>
        <w:t>部门</w:t>
      </w:r>
      <w:r>
        <w:rPr>
          <w:rFonts w:eastAsia="楷体_GB2312"/>
          <w:sz w:val="32"/>
          <w:szCs w:val="32"/>
        </w:rPr>
        <w:t>预</w:t>
      </w:r>
      <w:r>
        <w:rPr>
          <w:rFonts w:hint="eastAsia" w:eastAsia="楷体_GB2312"/>
          <w:sz w:val="32"/>
          <w:szCs w:val="32"/>
          <w:lang w:eastAsia="zh-CN"/>
        </w:rPr>
        <w:t>决</w:t>
      </w:r>
      <w:r>
        <w:rPr>
          <w:rFonts w:eastAsia="楷体_GB2312"/>
          <w:sz w:val="32"/>
          <w:szCs w:val="32"/>
        </w:rPr>
        <w:t>算情况</w:t>
      </w:r>
    </w:p>
    <w:p>
      <w:pPr>
        <w:pStyle w:val="11"/>
        <w:widowControl/>
        <w:spacing w:line="360" w:lineRule="auto"/>
        <w:ind w:left="640" w:firstLine="0" w:firstLineChars="0"/>
        <w:rPr>
          <w:rFonts w:hint="eastAsia" w:eastAsia="楷体_GB2312"/>
          <w:sz w:val="32"/>
          <w:szCs w:val="32"/>
          <w:lang w:val="en-US" w:eastAsia="zh-CN"/>
        </w:rPr>
      </w:pPr>
      <w:r>
        <w:rPr>
          <w:rFonts w:hint="eastAsia" w:eastAsia="楷体_GB2312"/>
          <w:sz w:val="32"/>
          <w:szCs w:val="32"/>
          <w:lang w:val="en-US" w:eastAsia="zh-CN"/>
        </w:rPr>
        <w:t>1、部门预算情况</w:t>
      </w:r>
    </w:p>
    <w:p>
      <w:pPr>
        <w:pStyle w:val="12"/>
        <w:widowControl/>
        <w:spacing w:line="360" w:lineRule="auto"/>
        <w:ind w:firstLine="640"/>
        <w:jc w:val="lef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2023年年初部门预算安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收入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排1439.82万元，其中，一般公共预算拨款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1439.82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_GB2312"/>
          <w:color w:val="000000"/>
          <w:sz w:val="32"/>
          <w:szCs w:val="32"/>
          <w:shd w:val="clear" w:color="auto" w:fill="FFFFFF"/>
          <w:lang w:val="en-US" w:eastAsia="zh-CN"/>
        </w:rPr>
        <w:t>2023年年初预算安排支出1439.82万元，其中基本支出1439.82万元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</w:p>
    <w:p>
      <w:pPr>
        <w:pStyle w:val="12"/>
        <w:widowControl/>
        <w:numPr>
          <w:ilvl w:val="0"/>
          <w:numId w:val="1"/>
        </w:numPr>
        <w:spacing w:line="360" w:lineRule="auto"/>
        <w:ind w:firstLine="640"/>
        <w:jc w:val="left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部门决算情况（含年中预算追加情况）</w:t>
      </w:r>
    </w:p>
    <w:p>
      <w:pPr>
        <w:pStyle w:val="12"/>
        <w:widowControl/>
        <w:spacing w:line="360" w:lineRule="auto"/>
        <w:ind w:firstLine="640"/>
        <w:jc w:val="left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2023年决算总收入2328.87万元，较预算增加889.05万元，总支出2328.87万元，其中：基本支出2006.19万元，占总支出的86.14%；项目支出322.68万元，占总支出的13.96%。差异产生的主要原因是年中追加全年绩效奖、本级和上级项目经费预算等。</w:t>
      </w:r>
    </w:p>
    <w:p>
      <w:pPr>
        <w:pStyle w:val="12"/>
        <w:widowControl/>
        <w:numPr>
          <w:ilvl w:val="0"/>
          <w:numId w:val="2"/>
        </w:numPr>
        <w:spacing w:line="360" w:lineRule="auto"/>
        <w:ind w:firstLine="640"/>
        <w:jc w:val="left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部门预算执行情况</w:t>
      </w:r>
    </w:p>
    <w:p>
      <w:pPr>
        <w:pStyle w:val="12"/>
        <w:widowControl/>
        <w:numPr>
          <w:numId w:val="0"/>
        </w:numPr>
        <w:spacing w:line="360" w:lineRule="auto"/>
        <w:jc w:val="left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  1、“三公”经费执行情况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2023年</w:t>
      </w:r>
      <w:r>
        <w:rPr>
          <w:rFonts w:hint="eastAsia" w:ascii="仿宋" w:hAnsi="仿宋" w:eastAsia="仿宋"/>
          <w:sz w:val="32"/>
          <w:szCs w:val="32"/>
        </w:rPr>
        <w:t>“三公”</w:t>
      </w:r>
      <w:r>
        <w:rPr>
          <w:rFonts w:ascii="仿宋" w:hAnsi="仿宋" w:eastAsia="仿宋"/>
          <w:sz w:val="32"/>
          <w:szCs w:val="32"/>
        </w:rPr>
        <w:t>经费预算为</w:t>
      </w:r>
      <w:r>
        <w:rPr>
          <w:rFonts w:hint="eastAsia" w:ascii="仿宋" w:hAnsi="仿宋" w:eastAsia="仿宋"/>
          <w:sz w:val="32"/>
          <w:szCs w:val="32"/>
        </w:rPr>
        <w:t>10.86</w:t>
      </w:r>
      <w:r>
        <w:rPr>
          <w:rFonts w:ascii="仿宋" w:hAnsi="仿宋" w:eastAsia="仿宋"/>
          <w:sz w:val="32"/>
          <w:szCs w:val="32"/>
        </w:rPr>
        <w:t>万元，</w:t>
      </w:r>
      <w:r>
        <w:rPr>
          <w:rFonts w:hint="eastAsia" w:ascii="仿宋" w:hAnsi="仿宋" w:eastAsia="仿宋"/>
          <w:sz w:val="32"/>
          <w:szCs w:val="32"/>
          <w:lang w:eastAsia="zh-CN"/>
        </w:rPr>
        <w:t>其中：因公出国（境）费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0万元，</w:t>
      </w:r>
      <w:r>
        <w:rPr>
          <w:rFonts w:ascii="仿宋" w:hAnsi="仿宋" w:eastAsia="仿宋"/>
          <w:sz w:val="32"/>
          <w:szCs w:val="32"/>
        </w:rPr>
        <w:t>公务用车购置费及运行维护费</w:t>
      </w:r>
      <w:r>
        <w:rPr>
          <w:rFonts w:hint="eastAsia" w:ascii="仿宋" w:hAnsi="仿宋" w:eastAsia="仿宋"/>
          <w:sz w:val="32"/>
          <w:szCs w:val="32"/>
        </w:rPr>
        <w:t>5.59</w:t>
      </w:r>
      <w:r>
        <w:rPr>
          <w:rFonts w:ascii="仿宋" w:hAnsi="仿宋" w:eastAsia="仿宋"/>
          <w:sz w:val="32"/>
          <w:szCs w:val="32"/>
        </w:rPr>
        <w:t>万元，公务接待</w:t>
      </w:r>
      <w:r>
        <w:rPr>
          <w:rFonts w:hint="eastAsia" w:ascii="仿宋" w:hAnsi="仿宋" w:eastAsia="仿宋"/>
          <w:sz w:val="32"/>
          <w:szCs w:val="32"/>
        </w:rPr>
        <w:t>5.26</w:t>
      </w:r>
      <w:r>
        <w:rPr>
          <w:rFonts w:ascii="仿宋" w:hAnsi="仿宋" w:eastAsia="仿宋"/>
          <w:sz w:val="32"/>
          <w:szCs w:val="32"/>
        </w:rPr>
        <w:t>万元</w:t>
      </w:r>
      <w:r>
        <w:rPr>
          <w:rFonts w:hint="eastAsia" w:ascii="仿宋" w:hAnsi="仿宋" w:eastAsia="仿宋"/>
          <w:sz w:val="32"/>
          <w:szCs w:val="32"/>
          <w:lang w:eastAsia="zh-CN"/>
        </w:rPr>
        <w:t>。“三公”经费决算数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6.5万元，其中：</w:t>
      </w:r>
      <w:r>
        <w:rPr>
          <w:rFonts w:hint="eastAsia" w:ascii="仿宋" w:hAnsi="仿宋" w:eastAsia="仿宋"/>
          <w:sz w:val="32"/>
          <w:szCs w:val="32"/>
          <w:lang w:eastAsia="zh-CN"/>
        </w:rPr>
        <w:t>因公出国（境）费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0万元，</w:t>
      </w:r>
      <w:r>
        <w:rPr>
          <w:rFonts w:ascii="仿宋" w:hAnsi="仿宋" w:eastAsia="仿宋"/>
          <w:sz w:val="32"/>
          <w:szCs w:val="32"/>
        </w:rPr>
        <w:t>公务用车购置费及运行维护费</w:t>
      </w:r>
      <w:r>
        <w:rPr>
          <w:rFonts w:hint="eastAsia" w:ascii="仿宋" w:hAnsi="仿宋" w:eastAsia="仿宋"/>
          <w:sz w:val="32"/>
          <w:szCs w:val="32"/>
        </w:rPr>
        <w:t>5.59</w:t>
      </w:r>
      <w:r>
        <w:rPr>
          <w:rFonts w:ascii="仿宋" w:hAnsi="仿宋" w:eastAsia="仿宋"/>
          <w:sz w:val="32"/>
          <w:szCs w:val="32"/>
        </w:rPr>
        <w:t>万元，公务接待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0.94</w:t>
      </w:r>
      <w:r>
        <w:rPr>
          <w:rFonts w:ascii="仿宋" w:hAnsi="仿宋" w:eastAsia="仿宋"/>
          <w:sz w:val="32"/>
          <w:szCs w:val="32"/>
        </w:rPr>
        <w:t>万元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2、政府采购执行情况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2023年度政府采购支出150万元，其中货物45万元，工程30万元，服务75万元。</w:t>
      </w:r>
    </w:p>
    <w:p>
      <w:pPr>
        <w:numPr>
          <w:ilvl w:val="0"/>
          <w:numId w:val="1"/>
        </w:numPr>
        <w:spacing w:line="360" w:lineRule="auto"/>
        <w:ind w:left="0" w:leftChars="0"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资产管理情况</w:t>
      </w:r>
    </w:p>
    <w:p>
      <w:pPr>
        <w:numPr>
          <w:numId w:val="0"/>
        </w:numPr>
        <w:spacing w:line="360" w:lineRule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2023年年末资产总额1651.24万元，负债总额15.68万元，净资产1635.56万元。截至2023年12月31日，固定资产账面原值1903.35万元，在用资产1903.35万元，资产使用率100%。</w:t>
      </w:r>
    </w:p>
    <w:p>
      <w:pPr>
        <w:spacing w:line="360" w:lineRule="auto"/>
        <w:ind w:firstLine="645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  <w:lang w:eastAsia="zh-CN"/>
        </w:rPr>
        <w:t>三、</w:t>
      </w:r>
      <w:r>
        <w:rPr>
          <w:rFonts w:ascii="Times New Roman" w:hAnsi="Times New Roman" w:eastAsia="黑体"/>
          <w:sz w:val="32"/>
          <w:szCs w:val="32"/>
        </w:rPr>
        <w:t>部门整体支出绩效情况</w:t>
      </w:r>
    </w:p>
    <w:p>
      <w:pPr>
        <w:spacing w:line="360" w:lineRule="auto"/>
        <w:ind w:firstLine="645"/>
        <w:rPr>
          <w:rFonts w:ascii="Times New Roman" w:hAnsi="Times New Roman" w:eastAsia="楷体_GB2312"/>
          <w:bCs/>
          <w:sz w:val="32"/>
          <w:szCs w:val="32"/>
        </w:rPr>
      </w:pPr>
      <w:r>
        <w:rPr>
          <w:rFonts w:ascii="Times New Roman" w:hAnsi="Times New Roman" w:eastAsia="楷体_GB2312"/>
          <w:bCs/>
          <w:sz w:val="32"/>
          <w:szCs w:val="32"/>
        </w:rPr>
        <w:t>（一）综合评价结论</w:t>
      </w:r>
    </w:p>
    <w:p>
      <w:pPr>
        <w:spacing w:line="360" w:lineRule="auto"/>
        <w:ind w:firstLine="645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综合评价总分为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97</w:t>
      </w:r>
      <w:r>
        <w:rPr>
          <w:rFonts w:hint="eastAsia" w:ascii="仿宋" w:hAnsi="仿宋" w:eastAsia="仿宋"/>
          <w:sz w:val="32"/>
          <w:szCs w:val="32"/>
        </w:rPr>
        <w:t>分，等级为优秀</w:t>
      </w:r>
      <w:r>
        <w:rPr>
          <w:rFonts w:ascii="仿宋" w:hAnsi="仿宋" w:eastAsia="仿宋"/>
          <w:color w:val="000000"/>
          <w:sz w:val="32"/>
          <w:szCs w:val="32"/>
        </w:rPr>
        <w:t>。</w:t>
      </w:r>
    </w:p>
    <w:p>
      <w:pPr>
        <w:spacing w:line="360" w:lineRule="auto"/>
        <w:ind w:firstLine="645"/>
        <w:rPr>
          <w:rFonts w:ascii="Times New Roman" w:hAnsi="Times New Roman" w:eastAsia="楷体_GB2312"/>
          <w:bCs/>
          <w:sz w:val="32"/>
          <w:szCs w:val="32"/>
        </w:rPr>
      </w:pPr>
      <w:r>
        <w:rPr>
          <w:rFonts w:ascii="Times New Roman" w:hAnsi="Times New Roman" w:eastAsia="楷体_GB2312"/>
          <w:bCs/>
          <w:sz w:val="32"/>
          <w:szCs w:val="32"/>
        </w:rPr>
        <w:t>（二）综合评价情况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2023年，我局在县委、县政府的领导和市司法局的精心指导下，积极履行司法行政职能，充分发挥司法行政在维护社会和谐稳定、服务经济社会发展和保障改善民生、推进全面依法治县中的职能作用，积极作为，真抓实干，奋力开拓，各项工作不断取得新的进展和成效。主要绩效如下：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1、预算配置合规。严格控编，全年单位在职人数与编办核定编制数一致（与百菲特人事薪资网络管理信息系统一致）；严格“三公”经费审批支出，公务接待支出要求凭公函接待。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预算执行严格。我局严格执行国家财经法规和有关专项资金管理办法的规定，成立了预算绩效管理工作领导小组，建立了绩效管理制度、绩效评价监控制度等一系列管理制度，财务管理制度、励行节约等内部管理制度健全，内部控制制度健全完整并执行良好，在本年度内未出现廉政风险。按时完成预算绩效目标申报、预算绩效评价报告工作，预算编制准确，部门整体绩效目标编制完整、合理，严格执行“三公”经费预算，没有产生债务。资金的拨付有完整的审批过程和手续，支出符合部门预算批复的用途，资金使用无截留、挤占、挪用、虚列支出等情况。年度预、决算财政信息按要求在县党政民户网公开，基础数据信息和会计信息资料真实、完整，按要求及时、准确、全面开展和上报资产清查工作。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预算资金使用效益良好。我局严格坚持中央八项规定，以改进机关作风、规范行政行为为抓手，切实改进文风会风，加强经费及资产管理，努力提高司法行政效能，充分发挥公共法律服务中心便民功效，降低行政成本效果较好。认真查找突出问题，积极制定整改措施，建立健全制度，全面提升司法行政队伍法治能力和服务水平，取得了良好的社会效益，社会公众和服务对象满意率不断提升，努力为建设富裕美丽和谐的新蒸阳营造良好的法治环境。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四、项目绩效目标完成情况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无</w:t>
      </w:r>
    </w:p>
    <w:p>
      <w:pPr>
        <w:pStyle w:val="11"/>
        <w:widowControl/>
        <w:spacing w:line="360" w:lineRule="auto"/>
        <w:ind w:left="640" w:firstLine="0" w:firstLineChars="0"/>
        <w:jc w:val="left"/>
        <w:rPr>
          <w:rFonts w:hint="eastAsia" w:eastAsia="黑体"/>
          <w:sz w:val="32"/>
          <w:szCs w:val="32"/>
          <w:lang w:eastAsia="zh-CN"/>
        </w:rPr>
      </w:pPr>
      <w:r>
        <w:rPr>
          <w:rFonts w:hint="eastAsia" w:eastAsia="黑体"/>
          <w:sz w:val="32"/>
          <w:szCs w:val="32"/>
          <w:lang w:eastAsia="zh-CN"/>
        </w:rPr>
        <w:t>五</w:t>
      </w:r>
      <w:r>
        <w:rPr>
          <w:rFonts w:eastAsia="黑体"/>
          <w:sz w:val="32"/>
          <w:szCs w:val="32"/>
        </w:rPr>
        <w:t>、存在的问题及原因分析</w:t>
      </w:r>
      <w:r>
        <w:rPr>
          <w:rFonts w:hint="eastAsia" w:eastAsia="黑体"/>
          <w:sz w:val="32"/>
          <w:szCs w:val="32"/>
          <w:lang w:eastAsia="zh-CN"/>
        </w:rPr>
        <w:t>及改进措施</w:t>
      </w:r>
    </w:p>
    <w:p>
      <w:pPr>
        <w:spacing w:line="360" w:lineRule="auto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1、绩效评价管理制度尚不健全。是由于预算绩效管理工作开展时间短，涉及面广，专业性强，单位对预算绩效管理理解不充分，对预算绩效管理业务不精通，在一定程度上影响了绩效评价工作质量。</w:t>
      </w:r>
    </w:p>
    <w:p>
      <w:pPr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2、绩效评价指标体系不完善。是由于财政支出的评价对象涉及行业多，项目之间差异性大，真正能体现项目效果的个性指标，在标准设计上存在难度，导致评价内容不够全面，评价数据采集缺少充分的调查分析和严密的逻辑关系，难以满足不同层面和不同性质的绩效评价需求。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 w:cs="仿宋_GB2312"/>
          <w:sz w:val="32"/>
          <w:szCs w:val="32"/>
        </w:rPr>
        <w:t>完善绩效评价工作制度。2、加强培训、提升业务能力。3、加大宣传力度，树立绩效管理理念。</w:t>
      </w:r>
    </w:p>
    <w:p>
      <w:pPr>
        <w:spacing w:line="360" w:lineRule="auto"/>
        <w:ind w:firstLine="645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九、其他需要说明的情况</w:t>
      </w:r>
    </w:p>
    <w:p>
      <w:pPr>
        <w:spacing w:line="360" w:lineRule="auto"/>
        <w:ind w:firstLine="645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无</w:t>
      </w:r>
    </w:p>
    <w:p>
      <w:pPr>
        <w:spacing w:line="360" w:lineRule="auto"/>
        <w:ind w:firstLine="645"/>
        <w:rPr>
          <w:rFonts w:ascii="Times New Roman" w:hAnsi="Times New Roman" w:eastAsia="仿宋_GB2312"/>
          <w:sz w:val="32"/>
          <w:szCs w:val="32"/>
        </w:rPr>
      </w:pPr>
    </w:p>
    <w:p>
      <w:pPr>
        <w:spacing w:line="360" w:lineRule="auto"/>
        <w:ind w:right="320" w:firstLine="645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衡阳县司法局</w:t>
      </w:r>
    </w:p>
    <w:p>
      <w:pPr>
        <w:spacing w:line="360" w:lineRule="auto"/>
        <w:ind w:firstLine="645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2024年4月25日</w:t>
      </w:r>
    </w:p>
    <w:p>
      <w:pPr>
        <w:spacing w:line="360" w:lineRule="auto"/>
        <w:ind w:firstLine="645"/>
        <w:rPr>
          <w:rFonts w:ascii="Times New Roman" w:hAnsi="Times New Roman" w:eastAsia="仿宋_GB2312"/>
          <w:sz w:val="32"/>
          <w:szCs w:val="32"/>
        </w:rPr>
      </w:pPr>
    </w:p>
    <w:p>
      <w:pPr>
        <w:spacing w:line="360" w:lineRule="auto"/>
        <w:ind w:firstLine="645"/>
        <w:rPr>
          <w:rFonts w:ascii="Times New Roman" w:hAnsi="Times New Roman" w:eastAsia="仿宋_GB2312"/>
          <w:sz w:val="32"/>
          <w:szCs w:val="32"/>
        </w:rPr>
      </w:pPr>
    </w:p>
    <w:p>
      <w:pPr>
        <w:spacing w:line="320" w:lineRule="exact"/>
        <w:rPr>
          <w:rFonts w:asciiTheme="minorEastAsia" w:hAnsiTheme="minorEastAsia" w:eastAsiaTheme="minorEastAsia"/>
          <w:sz w:val="21"/>
          <w:szCs w:val="21"/>
        </w:rPr>
      </w:pPr>
      <w:bookmarkStart w:id="0" w:name="_GoBack"/>
      <w:bookmarkEnd w:id="0"/>
    </w:p>
    <w:sectPr>
      <w:head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8C4AEC9"/>
    <w:multiLevelType w:val="singleLevel"/>
    <w:tmpl w:val="38C4AEC9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4F2CEC05"/>
    <w:multiLevelType w:val="singleLevel"/>
    <w:tmpl w:val="4F2CEC05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2"/>
  </w:compat>
  <w:docVars>
    <w:docVar w:name="commondata" w:val="eyJoZGlkIjoiNzk4N2Y1NGVjZWMxNzYzNDI1MzBmMmVkMzc5OTNkMGMifQ=="/>
  </w:docVars>
  <w:rsids>
    <w:rsidRoot w:val="00D31D50"/>
    <w:rsid w:val="000504C4"/>
    <w:rsid w:val="000C7708"/>
    <w:rsid w:val="000E0CDE"/>
    <w:rsid w:val="001B75DA"/>
    <w:rsid w:val="001C43F9"/>
    <w:rsid w:val="00214E90"/>
    <w:rsid w:val="002459FE"/>
    <w:rsid w:val="002F2146"/>
    <w:rsid w:val="003136C3"/>
    <w:rsid w:val="00323B43"/>
    <w:rsid w:val="00325B26"/>
    <w:rsid w:val="003C2C77"/>
    <w:rsid w:val="003D37D8"/>
    <w:rsid w:val="00411F14"/>
    <w:rsid w:val="00426133"/>
    <w:rsid w:val="004358AB"/>
    <w:rsid w:val="00462A4A"/>
    <w:rsid w:val="00597D0F"/>
    <w:rsid w:val="005B4DDF"/>
    <w:rsid w:val="005F0648"/>
    <w:rsid w:val="00640AE4"/>
    <w:rsid w:val="0069516B"/>
    <w:rsid w:val="006D68A2"/>
    <w:rsid w:val="00705719"/>
    <w:rsid w:val="00706BE4"/>
    <w:rsid w:val="00724239"/>
    <w:rsid w:val="00757AC6"/>
    <w:rsid w:val="00783B37"/>
    <w:rsid w:val="007B070B"/>
    <w:rsid w:val="008B7726"/>
    <w:rsid w:val="008E036B"/>
    <w:rsid w:val="0095059E"/>
    <w:rsid w:val="0099405D"/>
    <w:rsid w:val="009E1AAB"/>
    <w:rsid w:val="00A04480"/>
    <w:rsid w:val="00A56E5C"/>
    <w:rsid w:val="00A70A75"/>
    <w:rsid w:val="00AB6CB2"/>
    <w:rsid w:val="00AD3B56"/>
    <w:rsid w:val="00B224ED"/>
    <w:rsid w:val="00B70283"/>
    <w:rsid w:val="00CB1F0A"/>
    <w:rsid w:val="00CB6CC1"/>
    <w:rsid w:val="00D31D50"/>
    <w:rsid w:val="00D86F41"/>
    <w:rsid w:val="00D96B56"/>
    <w:rsid w:val="00DF7C8E"/>
    <w:rsid w:val="00E24818"/>
    <w:rsid w:val="00E35F1C"/>
    <w:rsid w:val="00E65DDE"/>
    <w:rsid w:val="00EA0C7A"/>
    <w:rsid w:val="00EA198E"/>
    <w:rsid w:val="00F34767"/>
    <w:rsid w:val="00F40166"/>
    <w:rsid w:val="00F73CEB"/>
    <w:rsid w:val="00FE69B6"/>
    <w:rsid w:val="10F90765"/>
    <w:rsid w:val="1AF401F3"/>
    <w:rsid w:val="22484639"/>
    <w:rsid w:val="3E360C06"/>
    <w:rsid w:val="58676F42"/>
    <w:rsid w:val="7C087383"/>
    <w:rsid w:val="7EAE0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iPriority w:val="0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hAnsiTheme="minorHAnsi"/>
      <w:kern w:val="2"/>
      <w:sz w:val="18"/>
      <w:szCs w:val="24"/>
    </w:rPr>
  </w:style>
  <w:style w:type="paragraph" w:styleId="3">
    <w:name w:val="header"/>
    <w:basedOn w:val="1"/>
    <w:link w:val="9"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hAnsiTheme="minorHAnsi"/>
      <w:kern w:val="2"/>
      <w:sz w:val="18"/>
      <w:szCs w:val="18"/>
    </w:rPr>
  </w:style>
  <w:style w:type="character" w:styleId="6">
    <w:name w:val="FollowedHyperlink"/>
    <w:unhideWhenUsed/>
    <w:uiPriority w:val="99"/>
    <w:rPr>
      <w:color w:val="515151"/>
      <w:u w:val="none"/>
    </w:rPr>
  </w:style>
  <w:style w:type="character" w:customStyle="1" w:styleId="7">
    <w:name w:val="页眉 Char"/>
    <w:basedOn w:val="5"/>
    <w:uiPriority w:val="0"/>
    <w:rPr>
      <w:kern w:val="2"/>
      <w:sz w:val="18"/>
      <w:szCs w:val="18"/>
    </w:rPr>
  </w:style>
  <w:style w:type="character" w:customStyle="1" w:styleId="8">
    <w:name w:val="页脚 Char"/>
    <w:basedOn w:val="5"/>
    <w:uiPriority w:val="0"/>
    <w:rPr>
      <w:kern w:val="2"/>
      <w:sz w:val="18"/>
      <w:szCs w:val="24"/>
    </w:rPr>
  </w:style>
  <w:style w:type="character" w:customStyle="1" w:styleId="9">
    <w:name w:val="页眉 Char1"/>
    <w:basedOn w:val="5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10">
    <w:name w:val="页脚 Char1"/>
    <w:basedOn w:val="5"/>
    <w:link w:val="2"/>
    <w:semiHidden/>
    <w:uiPriority w:val="99"/>
    <w:rPr>
      <w:rFonts w:ascii="Tahoma" w:hAnsi="Tahoma"/>
      <w:sz w:val="18"/>
      <w:szCs w:val="18"/>
    </w:rPr>
  </w:style>
  <w:style w:type="paragraph" w:customStyle="1" w:styleId="11">
    <w:name w:val="列出段落1"/>
    <w:basedOn w:val="1"/>
    <w:qFormat/>
    <w:uiPriority w:val="99"/>
    <w:pPr>
      <w:widowControl w:val="0"/>
      <w:adjustRightInd/>
      <w:snapToGrid/>
      <w:spacing w:after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</w:rPr>
  </w:style>
  <w:style w:type="paragraph" w:customStyle="1" w:styleId="12">
    <w:name w:val="列出段落2"/>
    <w:basedOn w:val="1"/>
    <w:qFormat/>
    <w:uiPriority w:val="99"/>
    <w:pPr>
      <w:widowControl w:val="0"/>
      <w:adjustRightInd/>
      <w:snapToGrid/>
      <w:spacing w:after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</w:rPr>
  </w:style>
  <w:style w:type="paragraph" w:customStyle="1" w:styleId="13">
    <w:name w:val="列出段落3"/>
    <w:basedOn w:val="1"/>
    <w:qFormat/>
    <w:uiPriority w:val="99"/>
    <w:pPr>
      <w:widowControl w:val="0"/>
      <w:adjustRightInd/>
      <w:snapToGrid/>
      <w:spacing w:after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</w:rPr>
  </w:style>
  <w:style w:type="paragraph" w:customStyle="1" w:styleId="14">
    <w:name w:val="Char1 Char Char Char"/>
    <w:basedOn w:val="1"/>
    <w:qFormat/>
    <w:uiPriority w:val="0"/>
    <w:pPr>
      <w:widowControl w:val="0"/>
      <w:tabs>
        <w:tab w:val="left" w:pos="1280"/>
      </w:tabs>
      <w:adjustRightInd/>
      <w:snapToGrid/>
      <w:spacing w:after="0"/>
      <w:ind w:left="432" w:hanging="432"/>
      <w:jc w:val="both"/>
    </w:pPr>
    <w:rPr>
      <w:rFonts w:ascii="Times New Roman" w:hAnsi="Times New Roman" w:eastAsia="宋体" w:cs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731</Words>
  <Characters>4173</Characters>
  <Lines>34</Lines>
  <Paragraphs>9</Paragraphs>
  <TotalTime>24</TotalTime>
  <ScaleCrop>false</ScaleCrop>
  <LinksUpToDate>false</LinksUpToDate>
  <CharactersWithSpaces>4895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cp:lastPrinted>2023-03-15T01:09:00Z</cp:lastPrinted>
  <dcterms:modified xsi:type="dcterms:W3CDTF">2024-04-26T03:00:52Z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4718E8E6A1D74E99A62F61A7B3072284_12</vt:lpwstr>
  </property>
</Properties>
</file>