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rPr>
          <w:rFonts w:hint="default" w:ascii="Times New Roman" w:hAnsi="Times New Roman" w:cs="Times New Roman"/>
        </w:rPr>
      </w:pPr>
    </w:p>
    <w:p>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部门整体支出绩效自评报告</w:t>
      </w:r>
    </w:p>
    <w:p>
      <w:pPr>
        <w:spacing w:line="600" w:lineRule="exact"/>
        <w:jc w:val="center"/>
        <w:rPr>
          <w:rFonts w:hint="default" w:ascii="Times New Roman" w:hAnsi="Times New Roman" w:eastAsia="仿宋_GB2312" w:cs="Times New Roman"/>
          <w:sz w:val="32"/>
          <w:szCs w:val="32"/>
        </w:rPr>
      </w:pPr>
    </w:p>
    <w:p>
      <w:pPr>
        <w:pStyle w:val="6"/>
        <w:widowControl/>
        <w:spacing w:line="600" w:lineRule="exact"/>
        <w:ind w:left="64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一、部门、单位基本情况</w:t>
      </w:r>
    </w:p>
    <w:p>
      <w:pPr>
        <w:pStyle w:val="6"/>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（一）机构设置情况</w:t>
      </w:r>
    </w:p>
    <w:p>
      <w:pPr>
        <w:pStyle w:val="6"/>
        <w:widowControl/>
        <w:spacing w:line="600" w:lineRule="exact"/>
        <w:ind w:firstLine="1280" w:firstLineChars="400"/>
        <w:rPr>
          <w:rFonts w:hint="default" w:ascii="Times New Roman" w:hAnsi="Times New Roman" w:eastAsia="楷体_GB2312" w:cs="Times New Roman"/>
          <w:sz w:val="32"/>
          <w:szCs w:val="32"/>
        </w:rPr>
      </w:pPr>
      <w:r>
        <w:rPr>
          <w:rFonts w:hint="eastAsia" w:ascii="仿宋" w:hAnsi="仿宋" w:eastAsia="仿宋" w:cs="仿宋"/>
          <w:b w:val="0"/>
          <w:bCs/>
          <w:color w:val="000000"/>
          <w:kern w:val="0"/>
          <w:sz w:val="32"/>
          <w:szCs w:val="32"/>
          <w:lang w:val="en-US" w:eastAsia="zh-CN"/>
        </w:rPr>
        <w:t>中共衡阳县委网络安全和信息化委员会办公室（以下简称网信办）是2019年成立的正科级党务机关单位，下设一个</w:t>
      </w:r>
      <w:r>
        <w:rPr>
          <w:rFonts w:ascii="仿宋" w:hAnsi="仿宋" w:eastAsia="仿宋"/>
          <w:color w:val="333333"/>
          <w:kern w:val="0"/>
          <w:sz w:val="30"/>
        </w:rPr>
        <w:t>全额拨款事业单位</w:t>
      </w:r>
      <w:r>
        <w:rPr>
          <w:rFonts w:hint="eastAsia" w:ascii="仿宋" w:hAnsi="仿宋" w:eastAsia="仿宋"/>
          <w:color w:val="333333"/>
          <w:kern w:val="0"/>
          <w:sz w:val="30"/>
          <w:lang w:val="en-US" w:eastAsia="zh-CN"/>
        </w:rPr>
        <w:t>--衡阳县舆情监测中心</w:t>
      </w:r>
    </w:p>
    <w:p>
      <w:pPr>
        <w:widowControl/>
        <w:shd w:val="clear" w:color="auto" w:fill="FFFFFF"/>
        <w:spacing w:line="480" w:lineRule="atLeast"/>
        <w:ind w:firstLine="640" w:firstLineChars="200"/>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（二）人员编制情况</w:t>
      </w:r>
    </w:p>
    <w:p>
      <w:pPr>
        <w:widowControl/>
        <w:shd w:val="clear" w:color="auto" w:fill="FFFFFF"/>
        <w:spacing w:line="480" w:lineRule="atLeast"/>
        <w:ind w:firstLine="600" w:firstLineChars="200"/>
        <w:jc w:val="left"/>
        <w:rPr>
          <w:rFonts w:hint="default" w:ascii="Times New Roman" w:hAnsi="Times New Roman" w:eastAsia="楷体_GB2312" w:cs="Times New Roman"/>
          <w:sz w:val="32"/>
          <w:szCs w:val="32"/>
        </w:rPr>
      </w:pPr>
      <w:r>
        <w:rPr>
          <w:rFonts w:hint="eastAsia" w:ascii="仿宋" w:hAnsi="仿宋" w:eastAsia="仿宋"/>
          <w:color w:val="333333"/>
          <w:kern w:val="0"/>
          <w:sz w:val="30"/>
          <w:lang w:val="en-US" w:eastAsia="zh-CN"/>
        </w:rPr>
        <w:t>网信办共</w:t>
      </w:r>
      <w:r>
        <w:rPr>
          <w:rFonts w:ascii="仿宋" w:hAnsi="仿宋" w:eastAsia="仿宋"/>
          <w:color w:val="333333"/>
          <w:kern w:val="0"/>
          <w:sz w:val="30"/>
        </w:rPr>
        <w:t>有行政编制</w:t>
      </w:r>
      <w:r>
        <w:rPr>
          <w:rFonts w:hint="eastAsia" w:ascii="仿宋" w:hAnsi="仿宋" w:eastAsia="仿宋"/>
          <w:color w:val="333333"/>
          <w:kern w:val="0"/>
          <w:sz w:val="30"/>
          <w:lang w:val="en-US" w:eastAsia="zh-CN"/>
        </w:rPr>
        <w:t>10</w:t>
      </w:r>
      <w:r>
        <w:rPr>
          <w:rFonts w:ascii="仿宋" w:hAnsi="仿宋" w:eastAsia="仿宋"/>
          <w:color w:val="333333"/>
          <w:kern w:val="0"/>
          <w:sz w:val="30"/>
        </w:rPr>
        <w:t>个</w:t>
      </w:r>
      <w:r>
        <w:rPr>
          <w:rFonts w:hint="eastAsia" w:ascii="仿宋" w:hAnsi="仿宋" w:eastAsia="仿宋"/>
          <w:color w:val="333333"/>
          <w:kern w:val="0"/>
          <w:sz w:val="30"/>
          <w:lang w:eastAsia="zh-CN"/>
        </w:rPr>
        <w:t>，</w:t>
      </w:r>
      <w:r>
        <w:rPr>
          <w:rFonts w:hint="eastAsia" w:ascii="仿宋" w:hAnsi="仿宋" w:eastAsia="仿宋"/>
          <w:color w:val="333333"/>
          <w:kern w:val="0"/>
          <w:sz w:val="30"/>
          <w:lang w:val="en-US" w:eastAsia="zh-CN"/>
        </w:rPr>
        <w:t>事业编制9个。2023年度在职人员11人，退休0人。</w:t>
      </w:r>
    </w:p>
    <w:p>
      <w:pPr>
        <w:pStyle w:val="6"/>
        <w:widowControl/>
        <w:spacing w:line="600" w:lineRule="exact"/>
        <w:ind w:left="64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二、预算支出情况</w:t>
      </w:r>
    </w:p>
    <w:p>
      <w:pPr>
        <w:pStyle w:val="6"/>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eastAsia" w:eastAsia="楷体_GB2312" w:cs="Times New Roman"/>
          <w:sz w:val="32"/>
          <w:szCs w:val="32"/>
          <w:lang w:eastAsia="zh-CN"/>
        </w:rPr>
        <w:t>部门</w:t>
      </w:r>
      <w:r>
        <w:rPr>
          <w:rFonts w:hint="default" w:ascii="Times New Roman" w:hAnsi="Times New Roman" w:eastAsia="楷体_GB2312" w:cs="Times New Roman"/>
          <w:sz w:val="32"/>
          <w:szCs w:val="32"/>
        </w:rPr>
        <w:t>预决算情况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1.部门预算情况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2023年年初预算安排收入</w:t>
      </w:r>
      <w:r>
        <w:rPr>
          <w:rFonts w:hint="eastAsia" w:ascii="Times New Roman" w:hAnsi="Times New Roman" w:eastAsia="仿宋_GB2312" w:cs="Times New Roman"/>
          <w:sz w:val="32"/>
          <w:szCs w:val="32"/>
          <w:lang w:val="en-US" w:eastAsia="zh-CN"/>
        </w:rPr>
        <w:t>91.79</w:t>
      </w:r>
      <w:r>
        <w:rPr>
          <w:rFonts w:hint="default" w:ascii="Times New Roman" w:hAnsi="Times New Roman" w:eastAsia="仿宋_GB2312" w:cs="Times New Roman"/>
          <w:sz w:val="32"/>
          <w:szCs w:val="32"/>
          <w:lang w:eastAsia="zh-CN"/>
        </w:rPr>
        <w:t>万元，其中一般公共财政拨款</w:t>
      </w:r>
      <w:r>
        <w:rPr>
          <w:rFonts w:hint="eastAsia" w:ascii="Times New Roman" w:hAnsi="Times New Roman" w:eastAsia="仿宋_GB2312" w:cs="Times New Roman"/>
          <w:sz w:val="32"/>
          <w:szCs w:val="32"/>
          <w:lang w:val="en-US" w:eastAsia="zh-CN"/>
        </w:rPr>
        <w:t>91.79</w:t>
      </w:r>
      <w:r>
        <w:rPr>
          <w:rFonts w:hint="default" w:ascii="Times New Roman" w:hAnsi="Times New Roman" w:eastAsia="仿宋_GB2312" w:cs="Times New Roman"/>
          <w:sz w:val="32"/>
          <w:szCs w:val="32"/>
          <w:lang w:eastAsia="zh-CN"/>
        </w:rPr>
        <w:t>万元；2023年年初预算安排支出</w:t>
      </w:r>
      <w:r>
        <w:rPr>
          <w:rFonts w:hint="eastAsia" w:ascii="Times New Roman" w:hAnsi="Times New Roman" w:eastAsia="仿宋_GB2312" w:cs="Times New Roman"/>
          <w:sz w:val="32"/>
          <w:szCs w:val="32"/>
          <w:lang w:val="en-US" w:eastAsia="zh-CN"/>
        </w:rPr>
        <w:t>91.79</w:t>
      </w:r>
      <w:r>
        <w:rPr>
          <w:rFonts w:hint="default"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其中：基本支出</w:t>
      </w:r>
      <w:r>
        <w:rPr>
          <w:rFonts w:hint="eastAsia" w:ascii="Times New Roman" w:hAnsi="Times New Roman" w:eastAsia="仿宋_GB2312" w:cs="Times New Roman"/>
          <w:sz w:val="32"/>
          <w:szCs w:val="32"/>
          <w:lang w:val="en-US" w:eastAsia="zh-CN"/>
        </w:rPr>
        <w:t>91.79</w:t>
      </w:r>
      <w:r>
        <w:rPr>
          <w:rFonts w:hint="default" w:ascii="Times New Roman" w:hAnsi="Times New Roman" w:eastAsia="仿宋_GB2312" w:cs="Times New Roman"/>
          <w:sz w:val="32"/>
          <w:szCs w:val="32"/>
          <w:lang w:eastAsia="zh-CN"/>
        </w:rPr>
        <w:t>万元，项目支出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2.部门决算情况（含年中预算追加情况）</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2023年决算总收入</w:t>
      </w:r>
      <w:r>
        <w:rPr>
          <w:rFonts w:hint="eastAsia" w:ascii="Times New Roman" w:hAnsi="Times New Roman" w:eastAsia="仿宋_GB2312" w:cs="Times New Roman"/>
          <w:sz w:val="32"/>
          <w:szCs w:val="32"/>
          <w:lang w:val="en-US" w:eastAsia="zh-CN"/>
        </w:rPr>
        <w:t>137.66</w:t>
      </w:r>
      <w:r>
        <w:rPr>
          <w:rFonts w:hint="default" w:ascii="Times New Roman" w:hAnsi="Times New Roman" w:eastAsia="仿宋_GB2312" w:cs="Times New Roman"/>
          <w:sz w:val="32"/>
          <w:szCs w:val="32"/>
          <w:lang w:eastAsia="zh-CN"/>
        </w:rPr>
        <w:t>万元，较预算增加</w:t>
      </w:r>
      <w:r>
        <w:rPr>
          <w:rFonts w:hint="eastAsia" w:ascii="Times New Roman" w:hAnsi="Times New Roman" w:eastAsia="仿宋_GB2312" w:cs="Times New Roman"/>
          <w:sz w:val="32"/>
          <w:szCs w:val="32"/>
          <w:lang w:val="en-US" w:eastAsia="zh-CN"/>
        </w:rPr>
        <w:t>45.87</w:t>
      </w:r>
      <w:r>
        <w:rPr>
          <w:rFonts w:hint="default" w:ascii="Times New Roman" w:hAnsi="Times New Roman" w:eastAsia="仿宋_GB2312" w:cs="Times New Roman"/>
          <w:sz w:val="32"/>
          <w:szCs w:val="32"/>
          <w:lang w:eastAsia="zh-CN"/>
        </w:rPr>
        <w:t>万元，总支出</w:t>
      </w:r>
      <w:r>
        <w:rPr>
          <w:rFonts w:hint="eastAsia" w:ascii="Times New Roman" w:hAnsi="Times New Roman" w:eastAsia="仿宋_GB2312" w:cs="Times New Roman"/>
          <w:sz w:val="32"/>
          <w:szCs w:val="32"/>
          <w:lang w:val="en-US" w:eastAsia="zh-CN"/>
        </w:rPr>
        <w:t>199.08</w:t>
      </w:r>
      <w:r>
        <w:rPr>
          <w:rFonts w:hint="default" w:ascii="Times New Roman" w:hAnsi="Times New Roman" w:eastAsia="仿宋_GB2312" w:cs="Times New Roman"/>
          <w:sz w:val="32"/>
          <w:szCs w:val="32"/>
          <w:lang w:eastAsia="zh-CN"/>
        </w:rPr>
        <w:t>万元，其中：基本支出</w:t>
      </w:r>
      <w:r>
        <w:rPr>
          <w:rFonts w:hint="eastAsia" w:ascii="Times New Roman" w:hAnsi="Times New Roman" w:eastAsia="仿宋_GB2312" w:cs="Times New Roman"/>
          <w:sz w:val="32"/>
          <w:szCs w:val="32"/>
          <w:lang w:val="en-US" w:eastAsia="zh-CN"/>
        </w:rPr>
        <w:t>137.66</w:t>
      </w:r>
      <w:r>
        <w:rPr>
          <w:rFonts w:hint="default" w:ascii="Times New Roman" w:hAnsi="Times New Roman" w:eastAsia="仿宋_GB2312" w:cs="Times New Roman"/>
          <w:sz w:val="32"/>
          <w:szCs w:val="32"/>
          <w:lang w:eastAsia="zh-CN"/>
        </w:rPr>
        <w:t>万元，占总支出的</w:t>
      </w:r>
      <w:r>
        <w:rPr>
          <w:rFonts w:hint="eastAsia" w:ascii="Times New Roman" w:hAnsi="Times New Roman" w:eastAsia="仿宋_GB2312" w:cs="Times New Roman"/>
          <w:sz w:val="32"/>
          <w:szCs w:val="32"/>
          <w:lang w:val="en-US" w:eastAsia="zh-CN"/>
        </w:rPr>
        <w:t>69</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其他支出61.42</w:t>
      </w:r>
      <w:r>
        <w:rPr>
          <w:rFonts w:hint="default" w:ascii="Times New Roman" w:hAnsi="Times New Roman" w:eastAsia="仿宋_GB2312" w:cs="Times New Roman"/>
          <w:sz w:val="32"/>
          <w:szCs w:val="32"/>
          <w:lang w:eastAsia="zh-CN"/>
        </w:rPr>
        <w:t>万元，占总支出的</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eastAsia="zh-CN"/>
        </w:rPr>
        <w:t>％。差异产生的主要原因是</w:t>
      </w:r>
      <w:r>
        <w:rPr>
          <w:rFonts w:hint="eastAsia" w:ascii="Times New Roman" w:hAnsi="Times New Roman" w:eastAsia="仿宋_GB2312" w:cs="Times New Roman"/>
          <w:sz w:val="32"/>
          <w:szCs w:val="32"/>
          <w:lang w:val="en-US" w:eastAsia="zh-CN"/>
        </w:rPr>
        <w:t>年中预算调整，新增1人。</w:t>
      </w:r>
    </w:p>
    <w:p>
      <w:pPr>
        <w:spacing w:line="600" w:lineRule="exact"/>
        <w:ind w:firstLine="640"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（二）部门预算执行情况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w:t>
      </w:r>
      <w:r>
        <w:rPr>
          <w:rFonts w:hint="eastAsia" w:ascii="Times New Roman" w:hAnsi="Times New Roman" w:eastAsia="仿宋_GB2312" w:cs="Times New Roman"/>
          <w:sz w:val="32"/>
          <w:szCs w:val="32"/>
          <w:lang w:val="en-US" w:eastAsia="zh-CN"/>
        </w:rPr>
        <w:t>无</w:t>
      </w:r>
      <w:r>
        <w:rPr>
          <w:rFonts w:hint="default" w:ascii="Times New Roman" w:hAnsi="Times New Roman" w:eastAsia="仿宋_GB2312" w:cs="Times New Roman"/>
          <w:sz w:val="32"/>
          <w:szCs w:val="32"/>
          <w:lang w:eastAsia="zh-CN"/>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.政府采购执行情况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2023年度政府采购支出</w:t>
      </w:r>
      <w:r>
        <w:rPr>
          <w:rFonts w:hint="eastAsia" w:ascii="Times New Roman" w:hAnsi="Times New Roman" w:eastAsia="仿宋_GB2312" w:cs="Times New Roman"/>
          <w:sz w:val="32"/>
          <w:szCs w:val="32"/>
          <w:lang w:val="en-US" w:eastAsia="zh-CN"/>
        </w:rPr>
        <w:t>42.3</w:t>
      </w:r>
      <w:r>
        <w:rPr>
          <w:rFonts w:hint="default" w:ascii="Times New Roman" w:hAnsi="Times New Roman" w:eastAsia="仿宋_GB2312" w:cs="Times New Roman"/>
          <w:sz w:val="32"/>
          <w:szCs w:val="32"/>
          <w:lang w:eastAsia="zh-CN"/>
        </w:rPr>
        <w:t>万元，其中：货物</w:t>
      </w:r>
      <w:r>
        <w:rPr>
          <w:rFonts w:hint="eastAsia" w:ascii="Times New Roman" w:hAnsi="Times New Roman" w:eastAsia="仿宋_GB2312" w:cs="Times New Roman"/>
          <w:sz w:val="32"/>
          <w:szCs w:val="32"/>
          <w:lang w:val="en-US" w:eastAsia="zh-CN"/>
        </w:rPr>
        <w:t>14.8</w:t>
      </w:r>
      <w:r>
        <w:rPr>
          <w:rFonts w:hint="default" w:ascii="Times New Roman" w:hAnsi="Times New Roman" w:eastAsia="仿宋_GB2312" w:cs="Times New Roman"/>
          <w:sz w:val="32"/>
          <w:szCs w:val="32"/>
          <w:lang w:eastAsia="zh-CN"/>
        </w:rPr>
        <w:t>元，工程</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万元，服务</w:t>
      </w:r>
      <w:r>
        <w:rPr>
          <w:rFonts w:hint="eastAsia" w:ascii="Times New Roman" w:hAnsi="Times New Roman" w:eastAsia="仿宋_GB2312" w:cs="Times New Roman"/>
          <w:sz w:val="32"/>
          <w:szCs w:val="32"/>
          <w:lang w:val="en-US" w:eastAsia="zh-CN"/>
        </w:rPr>
        <w:t>27.5</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.资产管理情况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2023年年末资产总额</w:t>
      </w:r>
      <w:r>
        <w:rPr>
          <w:rFonts w:hint="eastAsia" w:ascii="Times New Roman" w:hAnsi="Times New Roman" w:eastAsia="仿宋_GB2312" w:cs="Times New Roman"/>
          <w:sz w:val="32"/>
          <w:szCs w:val="32"/>
          <w:lang w:val="en-US" w:eastAsia="zh-CN"/>
        </w:rPr>
        <w:t>14.1</w:t>
      </w:r>
      <w:r>
        <w:rPr>
          <w:rFonts w:hint="default" w:ascii="Times New Roman" w:hAnsi="Times New Roman" w:eastAsia="仿宋_GB2312" w:cs="Times New Roman"/>
          <w:sz w:val="32"/>
          <w:szCs w:val="32"/>
          <w:lang w:eastAsia="zh-CN"/>
        </w:rPr>
        <w:t>万元，负债总额</w:t>
      </w:r>
      <w:r>
        <w:rPr>
          <w:rFonts w:hint="eastAsia"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lang w:eastAsia="zh-CN"/>
        </w:rPr>
        <w:t>万元，净资产</w:t>
      </w:r>
      <w:r>
        <w:rPr>
          <w:rFonts w:hint="eastAsia"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lang w:eastAsia="zh-CN"/>
        </w:rPr>
        <w:t>万元。截至2023年12月31日，固定资产账面原值</w:t>
      </w:r>
      <w:r>
        <w:rPr>
          <w:rFonts w:hint="eastAsia" w:ascii="Times New Roman" w:hAnsi="Times New Roman" w:eastAsia="仿宋_GB2312" w:cs="Times New Roman"/>
          <w:sz w:val="32"/>
          <w:szCs w:val="32"/>
          <w:lang w:val="en-US" w:eastAsia="zh-CN"/>
        </w:rPr>
        <w:t>16.1</w:t>
      </w:r>
      <w:r>
        <w:rPr>
          <w:rFonts w:hint="default" w:ascii="Times New Roman" w:hAnsi="Times New Roman" w:eastAsia="仿宋_GB2312" w:cs="Times New Roman"/>
          <w:sz w:val="32"/>
          <w:szCs w:val="32"/>
          <w:lang w:eastAsia="zh-CN"/>
        </w:rPr>
        <w:t>万元，在用资产</w:t>
      </w:r>
      <w:r>
        <w:rPr>
          <w:rFonts w:hint="eastAsia" w:ascii="Times New Roman" w:hAnsi="Times New Roman" w:eastAsia="仿宋_GB2312" w:cs="Times New Roman"/>
          <w:sz w:val="32"/>
          <w:szCs w:val="32"/>
          <w:lang w:val="en-US" w:eastAsia="zh-CN"/>
        </w:rPr>
        <w:t>16.1</w:t>
      </w:r>
      <w:r>
        <w:rPr>
          <w:rFonts w:hint="default" w:ascii="Times New Roman" w:hAnsi="Times New Roman" w:eastAsia="仿宋_GB2312" w:cs="Times New Roman"/>
          <w:sz w:val="32"/>
          <w:szCs w:val="32"/>
          <w:lang w:eastAsia="zh-CN"/>
        </w:rPr>
        <w:t>万元，资产使用率</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w:t>
      </w:r>
    </w:p>
    <w:p>
      <w:pPr>
        <w:widowControl/>
        <w:spacing w:line="600" w:lineRule="exact"/>
        <w:ind w:firstLine="645"/>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三、部门整体支出绩效情况</w:t>
      </w:r>
    </w:p>
    <w:p>
      <w:pPr>
        <w:pStyle w:val="6"/>
        <w:widowControl/>
        <w:spacing w:line="600" w:lineRule="exact"/>
        <w:ind w:left="0" w:leftChars="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（一）综合评价结论。</w:t>
      </w:r>
    </w:p>
    <w:p>
      <w:pPr>
        <w:pStyle w:val="6"/>
        <w:widowControl/>
        <w:spacing w:line="600" w:lineRule="exact"/>
        <w:ind w:left="0" w:leftChars="0" w:firstLine="640" w:firstLineChars="200"/>
        <w:jc w:val="left"/>
        <w:rPr>
          <w:rFonts w:hint="eastAsia" w:ascii="Times New Roman" w:hAnsi="Times New Roman" w:eastAsia="仿宋" w:cs="Times New Roman"/>
          <w:b/>
          <w:bCs/>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我部门将部门整体支出绩效自评作为财政预算资金使用管理的一项重要工作，切实加强预算收支管理，全面梳理内部管理流程，建立健全内部管理制度，提升部门整体支出管理水平。根据部门整体支出绩效自评指标体系，202</w:t>
      </w:r>
      <w:r>
        <w:rPr>
          <w:rFonts w:hint="eastAsia" w:ascii="仿宋" w:hAnsi="仿宋" w:eastAsia="仿宋" w:cs="仿宋"/>
          <w:sz w:val="32"/>
          <w:szCs w:val="32"/>
          <w:lang w:val="en-US" w:eastAsia="zh-CN"/>
        </w:rPr>
        <w:t>3</w:t>
      </w:r>
      <w:r>
        <w:rPr>
          <w:rFonts w:hint="eastAsia" w:ascii="仿宋" w:hAnsi="仿宋" w:eastAsia="仿宋" w:cs="仿宋"/>
          <w:sz w:val="32"/>
          <w:szCs w:val="32"/>
        </w:rPr>
        <w:t>年度自评综合得分为</w:t>
      </w:r>
      <w:r>
        <w:rPr>
          <w:rFonts w:hint="eastAsia" w:ascii="仿宋" w:hAnsi="仿宋" w:eastAsia="仿宋" w:cs="仿宋"/>
          <w:sz w:val="32"/>
          <w:szCs w:val="32"/>
          <w:lang w:val="en-US" w:eastAsia="zh-CN"/>
        </w:rPr>
        <w:t>88.45</w:t>
      </w:r>
      <w:r>
        <w:rPr>
          <w:rFonts w:hint="eastAsia" w:ascii="仿宋" w:hAnsi="仿宋" w:eastAsia="仿宋" w:cs="仿宋"/>
          <w:sz w:val="32"/>
          <w:szCs w:val="32"/>
        </w:rPr>
        <w:t>分</w:t>
      </w:r>
      <w:r>
        <w:rPr>
          <w:rFonts w:hint="eastAsia" w:ascii="仿宋" w:hAnsi="仿宋" w:eastAsia="仿宋" w:cs="仿宋"/>
          <w:sz w:val="32"/>
          <w:szCs w:val="32"/>
          <w:lang w:eastAsia="zh-CN"/>
        </w:rPr>
        <w:t>。</w:t>
      </w:r>
    </w:p>
    <w:p>
      <w:pPr>
        <w:pStyle w:val="6"/>
        <w:widowControl/>
        <w:spacing w:line="600" w:lineRule="exact"/>
        <w:ind w:left="0" w:leftChars="0" w:firstLine="640" w:firstLineChars="20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（二）评价指标分析（或综合评价情况）。</w:t>
      </w:r>
    </w:p>
    <w:p>
      <w:pPr>
        <w:pStyle w:val="6"/>
        <w:widowControl/>
        <w:spacing w:line="600" w:lineRule="exact"/>
        <w:ind w:left="0" w:leftChars="0" w:firstLine="640" w:firstLineChars="200"/>
        <w:jc w:val="left"/>
        <w:rPr>
          <w:rFonts w:hint="eastAsia" w:ascii="仿宋" w:hAnsi="仿宋" w:eastAsia="楷体" w:cs="仿宋"/>
          <w:b/>
          <w:bCs/>
          <w:sz w:val="32"/>
          <w:szCs w:val="32"/>
          <w:lang w:eastAsia="zh-CN"/>
        </w:rPr>
      </w:pPr>
      <w:r>
        <w:rPr>
          <w:rFonts w:hint="eastAsia" w:ascii="楷体" w:hAnsi="楷体" w:eastAsia="楷体" w:cs="楷体"/>
          <w:sz w:val="32"/>
          <w:szCs w:val="32"/>
          <w:lang w:val="en-US" w:eastAsia="zh-CN"/>
        </w:rPr>
        <w:t>1、</w:t>
      </w:r>
      <w:r>
        <w:rPr>
          <w:rFonts w:hint="eastAsia" w:ascii="楷体" w:hAnsi="楷体" w:eastAsia="楷体" w:cs="楷体"/>
          <w:sz w:val="32"/>
          <w:szCs w:val="32"/>
        </w:rPr>
        <w:t>产出指标</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指标总分值40分</w:t>
      </w:r>
      <w:r>
        <w:rPr>
          <w:rFonts w:hint="eastAsia" w:ascii="楷体" w:hAnsi="楷体" w:eastAsia="楷体" w:cs="楷体"/>
          <w:sz w:val="32"/>
          <w:szCs w:val="32"/>
          <w:lang w:eastAsia="zh-CN"/>
        </w:rPr>
        <w:t>）</w:t>
      </w:r>
    </w:p>
    <w:p>
      <w:pPr>
        <w:pStyle w:val="6"/>
        <w:widowControl/>
        <w:spacing w:line="600" w:lineRule="exact"/>
        <w:jc w:val="left"/>
        <w:rPr>
          <w:rFonts w:hint="eastAsia" w:ascii="仿宋" w:hAnsi="仿宋" w:eastAsia="仿宋" w:cs="仿宋"/>
          <w:b/>
          <w:bCs/>
          <w:sz w:val="32"/>
          <w:szCs w:val="32"/>
          <w:lang w:val="en-US" w:eastAsia="zh-CN"/>
        </w:rPr>
      </w:pPr>
      <w:r>
        <w:rPr>
          <w:rFonts w:hint="eastAsia" w:ascii="仿宋" w:hAnsi="仿宋" w:eastAsia="仿宋" w:cs="仿宋"/>
          <w:b/>
          <w:bCs/>
          <w:sz w:val="32"/>
          <w:szCs w:val="32"/>
        </w:rPr>
        <w:t>①</w:t>
      </w:r>
      <w:r>
        <w:rPr>
          <w:rFonts w:hint="eastAsia" w:ascii="仿宋" w:hAnsi="仿宋" w:eastAsia="仿宋" w:cs="仿宋"/>
          <w:b/>
          <w:bCs/>
          <w:sz w:val="32"/>
          <w:szCs w:val="32"/>
          <w:lang w:val="en-US" w:eastAsia="zh-CN"/>
        </w:rPr>
        <w:t>数量指标：</w:t>
      </w:r>
      <w:r>
        <w:rPr>
          <w:rFonts w:hint="eastAsia" w:ascii="仿宋" w:hAnsi="仿宋" w:eastAsia="仿宋" w:cs="仿宋"/>
          <w:b w:val="0"/>
          <w:bCs w:val="0"/>
          <w:sz w:val="32"/>
          <w:szCs w:val="32"/>
          <w:lang w:val="en-US" w:eastAsia="zh-CN"/>
        </w:rPr>
        <w:t>指标分值10分，得分9分，得分率90%。</w:t>
      </w:r>
    </w:p>
    <w:p>
      <w:pPr>
        <w:pStyle w:val="6"/>
        <w:widowControl/>
        <w:spacing w:line="600" w:lineRule="exact"/>
        <w:jc w:val="left"/>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②</w:t>
      </w:r>
      <w:r>
        <w:rPr>
          <w:rFonts w:hint="eastAsia" w:ascii="仿宋" w:hAnsi="仿宋" w:eastAsia="仿宋" w:cs="仿宋"/>
          <w:b/>
          <w:bCs/>
          <w:sz w:val="32"/>
          <w:szCs w:val="32"/>
        </w:rPr>
        <w:t>质量指标</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val="en-US" w:eastAsia="zh-CN"/>
        </w:rPr>
        <w:t>指标分值20分，得分19.5分，得分率95%。</w:t>
      </w:r>
    </w:p>
    <w:p>
      <w:pPr>
        <w:pStyle w:val="6"/>
        <w:widowControl/>
        <w:spacing w:line="60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（1）绩效目标、绩效指标设立情况：部门的职责设定符合</w:t>
      </w:r>
    </w:p>
    <w:p>
      <w:pPr>
        <w:pStyle w:val="6"/>
        <w:widowControl/>
        <w:spacing w:line="600" w:lineRule="exact"/>
        <w:ind w:left="0" w:leftChars="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县</w:t>
      </w:r>
      <w:r>
        <w:rPr>
          <w:rFonts w:hint="eastAsia" w:ascii="仿宋" w:hAnsi="仿宋" w:eastAsia="仿宋" w:cs="仿宋"/>
          <w:sz w:val="32"/>
          <w:szCs w:val="32"/>
        </w:rPr>
        <w:t>委所赋予的职责，部门所设立的整体绩效目标与部门履职、中长期规划、工作任务相符合，部门整体绩效目标明确、清晰，细化、可衡量。</w:t>
      </w:r>
    </w:p>
    <w:p>
      <w:pPr>
        <w:pStyle w:val="6"/>
        <w:widowControl/>
        <w:spacing w:line="60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（2）管理制度情况：为强化部门整体支出，加强国有资产管理，提高资金使用效益，提升财务管理水平，建立节约型机关，开展了大量工作。具体情况如下：一是制定并执行了《中共</w:t>
      </w:r>
      <w:r>
        <w:rPr>
          <w:rFonts w:hint="eastAsia" w:ascii="仿宋" w:hAnsi="仿宋" w:eastAsia="仿宋" w:cs="仿宋"/>
          <w:sz w:val="32"/>
          <w:szCs w:val="32"/>
          <w:lang w:val="en-US" w:eastAsia="zh-CN"/>
        </w:rPr>
        <w:t>衡阳县委</w:t>
      </w:r>
      <w:r>
        <w:rPr>
          <w:rFonts w:hint="eastAsia" w:ascii="仿宋" w:hAnsi="仿宋" w:eastAsia="仿宋" w:cs="仿宋"/>
          <w:sz w:val="32"/>
          <w:szCs w:val="32"/>
        </w:rPr>
        <w:t>网信办财务管理制度》、《中共</w:t>
      </w:r>
      <w:r>
        <w:rPr>
          <w:rFonts w:hint="eastAsia" w:ascii="仿宋" w:hAnsi="仿宋" w:eastAsia="仿宋" w:cs="仿宋"/>
          <w:sz w:val="32"/>
          <w:szCs w:val="32"/>
          <w:lang w:val="en-US" w:eastAsia="zh-CN"/>
        </w:rPr>
        <w:t>衡阳县</w:t>
      </w:r>
      <w:r>
        <w:rPr>
          <w:rFonts w:hint="eastAsia" w:ascii="仿宋" w:hAnsi="仿宋" w:eastAsia="仿宋" w:cs="仿宋"/>
          <w:sz w:val="32"/>
          <w:szCs w:val="32"/>
        </w:rPr>
        <w:t>委网信办办公设备购置、管理制度》、《中共</w:t>
      </w:r>
      <w:r>
        <w:rPr>
          <w:rFonts w:hint="eastAsia" w:ascii="仿宋" w:hAnsi="仿宋" w:eastAsia="仿宋" w:cs="仿宋"/>
          <w:sz w:val="32"/>
          <w:szCs w:val="32"/>
          <w:lang w:val="en-US" w:eastAsia="zh-CN"/>
        </w:rPr>
        <w:t>衡阳县</w:t>
      </w:r>
      <w:r>
        <w:rPr>
          <w:rFonts w:hint="eastAsia" w:ascii="仿宋" w:hAnsi="仿宋" w:eastAsia="仿宋" w:cs="仿宋"/>
          <w:sz w:val="32"/>
          <w:szCs w:val="32"/>
        </w:rPr>
        <w:t>委网信办政府采购内部控制管理制度》等财务管理制度。二是严格落实制度的执行，严格对经费开支的事项和用途进行审核，基本上确保了经费支出的专款专用，有效合理利用财政资金。三是严格执行政府采购等有关规定，政府采购目录内的货物与服务全部按要求实施了政府采购，确保了支出管理流程、审批手续的完整。</w:t>
      </w:r>
    </w:p>
    <w:p>
      <w:pPr>
        <w:pStyle w:val="6"/>
        <w:widowControl/>
        <w:spacing w:line="60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整体绩效目标已细化分解为具体的工作任务，通过清晰、可衡量的指标值予以体现，与部门年度的任务数或计划数相对应。项目预算整合归类合理，目标明确，项目储备充分、完整，基本支出预算保障了部门年度正常工作目标的开展；单位厉行节约，反对浪费，基本支出及时、足额。</w:t>
      </w:r>
    </w:p>
    <w:p>
      <w:pPr>
        <w:pStyle w:val="6"/>
        <w:widowControl/>
        <w:spacing w:line="600" w:lineRule="exact"/>
        <w:jc w:val="left"/>
        <w:rPr>
          <w:rFonts w:hint="eastAsia" w:ascii="仿宋" w:hAnsi="仿宋" w:eastAsia="仿宋" w:cs="仿宋"/>
          <w:sz w:val="32"/>
          <w:szCs w:val="32"/>
        </w:rPr>
      </w:pPr>
      <w:r>
        <w:rPr>
          <w:rFonts w:hint="eastAsia" w:ascii="仿宋" w:hAnsi="仿宋" w:eastAsia="仿宋" w:cs="仿宋"/>
          <w:sz w:val="32"/>
          <w:szCs w:val="32"/>
        </w:rPr>
        <w:t>（4）资产管理情况：本单位202</w:t>
      </w:r>
      <w:r>
        <w:rPr>
          <w:rFonts w:hint="eastAsia" w:ascii="仿宋" w:hAnsi="仿宋" w:eastAsia="仿宋" w:cs="仿宋"/>
          <w:sz w:val="32"/>
          <w:szCs w:val="32"/>
          <w:lang w:val="en-US" w:eastAsia="zh-CN"/>
        </w:rPr>
        <w:t>3</w:t>
      </w:r>
      <w:r>
        <w:rPr>
          <w:rFonts w:hint="eastAsia" w:ascii="仿宋" w:hAnsi="仿宋" w:eastAsia="仿宋" w:cs="仿宋"/>
          <w:sz w:val="32"/>
          <w:szCs w:val="32"/>
        </w:rPr>
        <w:t>年固定资产净值</w:t>
      </w:r>
      <w:r>
        <w:rPr>
          <w:rFonts w:hint="eastAsia" w:ascii="仿宋" w:hAnsi="仿宋" w:eastAsia="仿宋" w:cs="仿宋"/>
          <w:sz w:val="32"/>
          <w:szCs w:val="32"/>
          <w:lang w:val="en-US" w:eastAsia="zh-CN"/>
        </w:rPr>
        <w:t>16.1万</w:t>
      </w:r>
      <w:r>
        <w:rPr>
          <w:rFonts w:hint="eastAsia" w:ascii="仿宋" w:hAnsi="仿宋" w:eastAsia="仿宋" w:cs="仿宋"/>
          <w:sz w:val="32"/>
          <w:szCs w:val="32"/>
        </w:rPr>
        <w:t>元，国有资产保存完整，利用率为100.00%。</w:t>
      </w:r>
    </w:p>
    <w:p>
      <w:pPr>
        <w:pStyle w:val="6"/>
        <w:widowControl/>
        <w:spacing w:line="600" w:lineRule="exact"/>
        <w:ind w:left="0" w:leftChars="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（5）部门较好履行了工作职责，按期按质按量完成相关工作任务</w:t>
      </w:r>
      <w:r>
        <w:rPr>
          <w:rFonts w:hint="eastAsia" w:ascii="仿宋" w:hAnsi="仿宋" w:eastAsia="仿宋" w:cs="仿宋"/>
          <w:sz w:val="32"/>
          <w:szCs w:val="32"/>
          <w:lang w:eastAsia="zh-CN"/>
        </w:rPr>
        <w:t>。</w:t>
      </w:r>
    </w:p>
    <w:p>
      <w:pPr>
        <w:pStyle w:val="6"/>
        <w:widowControl/>
        <w:spacing w:line="600" w:lineRule="exact"/>
        <w:ind w:left="0" w:leftChars="0" w:firstLine="643" w:firstLineChars="200"/>
        <w:jc w:val="left"/>
        <w:rPr>
          <w:rFonts w:hint="eastAsia" w:ascii="仿宋" w:hAnsi="仿宋" w:eastAsia="仿宋" w:cs="仿宋"/>
          <w:sz w:val="32"/>
          <w:szCs w:val="32"/>
          <w:lang w:eastAsia="zh-CN"/>
        </w:rPr>
      </w:pPr>
      <w:r>
        <w:rPr>
          <w:rFonts w:hint="default" w:ascii="Calibri" w:hAnsi="Calibri" w:eastAsia="仿宋" w:cs="Calibri"/>
          <w:b/>
          <w:bCs/>
          <w:sz w:val="32"/>
          <w:szCs w:val="32"/>
          <w:lang w:val="en-US" w:eastAsia="zh-CN"/>
        </w:rPr>
        <w:t>③</w:t>
      </w:r>
      <w:r>
        <w:rPr>
          <w:rFonts w:hint="eastAsia" w:ascii="仿宋" w:hAnsi="仿宋" w:eastAsia="仿宋" w:cs="仿宋"/>
          <w:b/>
          <w:bCs/>
          <w:sz w:val="32"/>
          <w:szCs w:val="32"/>
        </w:rPr>
        <w:t>时效指标</w:t>
      </w:r>
      <w:r>
        <w:rPr>
          <w:rFonts w:hint="eastAsia" w:ascii="仿宋" w:hAnsi="仿宋" w:eastAsia="仿宋" w:cs="仿宋"/>
          <w:sz w:val="32"/>
          <w:szCs w:val="32"/>
          <w:lang w:eastAsia="zh-CN"/>
        </w:rPr>
        <w:t>：</w:t>
      </w:r>
      <w:r>
        <w:rPr>
          <w:rFonts w:hint="eastAsia" w:ascii="仿宋" w:hAnsi="仿宋" w:eastAsia="仿宋" w:cs="仿宋"/>
          <w:b w:val="0"/>
          <w:bCs w:val="0"/>
          <w:sz w:val="32"/>
          <w:szCs w:val="32"/>
          <w:lang w:val="en-US" w:eastAsia="zh-CN"/>
        </w:rPr>
        <w:t>指标分值10分，得分10分，得分率100%。</w:t>
      </w:r>
    </w:p>
    <w:p>
      <w:pPr>
        <w:pStyle w:val="6"/>
        <w:widowControl/>
        <w:spacing w:line="600" w:lineRule="exact"/>
        <w:jc w:val="left"/>
        <w:rPr>
          <w:rFonts w:hint="eastAsia" w:ascii="仿宋" w:hAnsi="仿宋" w:eastAsia="仿宋" w:cs="仿宋"/>
          <w:sz w:val="32"/>
          <w:szCs w:val="32"/>
          <w:lang w:val="en-US" w:eastAsia="zh-CN"/>
        </w:rPr>
      </w:pPr>
      <w:r>
        <w:rPr>
          <w:rFonts w:hint="eastAsia" w:ascii="仿宋" w:hAnsi="仿宋" w:eastAsia="仿宋" w:cs="仿宋"/>
          <w:sz w:val="32"/>
          <w:szCs w:val="32"/>
        </w:rPr>
        <w:t>预算完成情况：202</w:t>
      </w:r>
      <w:r>
        <w:rPr>
          <w:rFonts w:hint="eastAsia" w:ascii="仿宋" w:hAnsi="仿宋" w:eastAsia="仿宋" w:cs="仿宋"/>
          <w:sz w:val="32"/>
          <w:szCs w:val="32"/>
          <w:lang w:val="en-US" w:eastAsia="zh-CN"/>
        </w:rPr>
        <w:t>3</w:t>
      </w:r>
      <w:r>
        <w:rPr>
          <w:rFonts w:hint="eastAsia" w:ascii="仿宋" w:hAnsi="仿宋" w:eastAsia="仿宋" w:cs="仿宋"/>
          <w:sz w:val="32"/>
          <w:szCs w:val="32"/>
        </w:rPr>
        <w:t>年初预算收入数</w:t>
      </w:r>
      <w:r>
        <w:rPr>
          <w:rFonts w:hint="eastAsia" w:ascii="仿宋" w:hAnsi="仿宋" w:eastAsia="仿宋" w:cs="仿宋"/>
          <w:sz w:val="32"/>
          <w:szCs w:val="32"/>
          <w:lang w:val="en-US" w:eastAsia="zh-CN"/>
        </w:rPr>
        <w:t>91.7973万</w:t>
      </w:r>
      <w:r>
        <w:rPr>
          <w:rFonts w:hint="eastAsia" w:ascii="仿宋" w:hAnsi="仿宋" w:eastAsia="仿宋" w:cs="仿宋"/>
          <w:sz w:val="32"/>
          <w:szCs w:val="32"/>
        </w:rPr>
        <w:t>元，</w:t>
      </w:r>
      <w:r>
        <w:rPr>
          <w:rFonts w:hint="eastAsia" w:ascii="仿宋" w:hAnsi="仿宋" w:eastAsia="仿宋" w:cs="仿宋"/>
          <w:sz w:val="32"/>
          <w:szCs w:val="32"/>
          <w:lang w:val="en-US" w:eastAsia="zh-CN"/>
        </w:rPr>
        <w:t>全年</w:t>
      </w:r>
      <w:r>
        <w:rPr>
          <w:rFonts w:hint="eastAsia" w:ascii="仿宋" w:hAnsi="仿宋" w:eastAsia="仿宋" w:cs="仿宋"/>
          <w:sz w:val="32"/>
          <w:szCs w:val="32"/>
        </w:rPr>
        <w:t>支出</w:t>
      </w:r>
      <w:r>
        <w:rPr>
          <w:rFonts w:hint="eastAsia" w:ascii="仿宋" w:hAnsi="仿宋" w:eastAsia="仿宋" w:cs="仿宋"/>
          <w:sz w:val="32"/>
          <w:szCs w:val="32"/>
          <w:lang w:val="en-US" w:eastAsia="zh-CN"/>
        </w:rPr>
        <w:t>91.7973万</w:t>
      </w:r>
      <w:r>
        <w:rPr>
          <w:rFonts w:hint="eastAsia" w:ascii="仿宋" w:hAnsi="仿宋" w:eastAsia="仿宋" w:cs="仿宋"/>
          <w:sz w:val="32"/>
          <w:szCs w:val="32"/>
        </w:rPr>
        <w:t>元，</w:t>
      </w:r>
      <w:r>
        <w:rPr>
          <w:rFonts w:hint="eastAsia" w:ascii="仿宋" w:hAnsi="仿宋" w:eastAsia="仿宋" w:cs="仿宋"/>
          <w:sz w:val="32"/>
          <w:szCs w:val="32"/>
          <w:lang w:val="en-US" w:eastAsia="zh-CN"/>
        </w:rPr>
        <w:t>全为基本支出，其中人员经费79.684万元，公用经费12.1133万元。所有资金均按照财政预算程序及时支付，不存在拖欠行为。</w:t>
      </w:r>
    </w:p>
    <w:p>
      <w:pPr>
        <w:pStyle w:val="6"/>
        <w:widowControl/>
        <w:spacing w:line="600" w:lineRule="exact"/>
        <w:ind w:left="0" w:leftChars="0" w:firstLine="643" w:firstLineChars="200"/>
        <w:jc w:val="left"/>
        <w:rPr>
          <w:rFonts w:hint="eastAsia" w:ascii="仿宋" w:hAnsi="仿宋" w:eastAsia="楷体" w:cs="仿宋"/>
          <w:sz w:val="32"/>
          <w:szCs w:val="32"/>
          <w:lang w:eastAsia="zh-CN"/>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效益指标</w:t>
      </w:r>
      <w:r>
        <w:rPr>
          <w:rFonts w:hint="eastAsia" w:ascii="楷体" w:hAnsi="楷体" w:eastAsia="楷体" w:cs="楷体"/>
          <w:b/>
          <w:bCs/>
          <w:sz w:val="32"/>
          <w:szCs w:val="32"/>
          <w:lang w:eastAsia="zh-CN"/>
        </w:rPr>
        <w:t>。</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指标总分值20分</w:t>
      </w:r>
      <w:r>
        <w:rPr>
          <w:rFonts w:hint="eastAsia" w:ascii="楷体" w:hAnsi="楷体" w:eastAsia="楷体" w:cs="楷体"/>
          <w:sz w:val="32"/>
          <w:szCs w:val="32"/>
          <w:lang w:eastAsia="zh-CN"/>
        </w:rPr>
        <w:t>）</w:t>
      </w:r>
    </w:p>
    <w:p>
      <w:pPr>
        <w:pStyle w:val="6"/>
        <w:widowControl/>
        <w:spacing w:line="600" w:lineRule="exact"/>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①社会效益</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指标分值10分，得分8分，得分率80%。</w:t>
      </w:r>
    </w:p>
    <w:p>
      <w:pPr>
        <w:pStyle w:val="6"/>
        <w:widowControl/>
        <w:spacing w:line="600" w:lineRule="exact"/>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年部门确定的工作目标任务完成，保障了本地区网络意识形态安全，管网治网工作稳步推进，</w:t>
      </w:r>
      <w:r>
        <w:rPr>
          <w:rFonts w:hint="eastAsia" w:ascii="仿宋" w:hAnsi="仿宋" w:eastAsia="仿宋" w:cs="仿宋"/>
          <w:sz w:val="32"/>
          <w:szCs w:val="32"/>
          <w:lang w:val="en-US" w:eastAsia="zh-CN"/>
        </w:rPr>
        <w:t>网络留言回复率进一步得到提高，网民问题得到解决。因部分网民留言为历史遗留问题，回复率未能达到100%。</w:t>
      </w:r>
    </w:p>
    <w:p>
      <w:pPr>
        <w:pStyle w:val="6"/>
        <w:widowControl/>
        <w:spacing w:line="600" w:lineRule="exact"/>
        <w:jc w:val="left"/>
        <w:rPr>
          <w:rFonts w:hint="eastAsia" w:ascii="仿宋" w:hAnsi="仿宋" w:eastAsia="仿宋" w:cs="仿宋"/>
          <w:sz w:val="32"/>
          <w:szCs w:val="32"/>
        </w:rPr>
      </w:pPr>
      <w:r>
        <w:rPr>
          <w:rFonts w:hint="eastAsia" w:ascii="仿宋" w:hAnsi="仿宋" w:eastAsia="仿宋" w:cs="仿宋"/>
          <w:b/>
          <w:bCs/>
          <w:sz w:val="32"/>
          <w:szCs w:val="32"/>
        </w:rPr>
        <w:t>②</w:t>
      </w:r>
      <w:r>
        <w:rPr>
          <w:rFonts w:hint="eastAsia" w:ascii="仿宋" w:hAnsi="仿宋" w:eastAsia="仿宋" w:cs="仿宋"/>
          <w:b/>
          <w:bCs/>
          <w:sz w:val="32"/>
          <w:szCs w:val="32"/>
          <w:lang w:val="en-US" w:eastAsia="zh-CN"/>
        </w:rPr>
        <w:t>经济</w:t>
      </w:r>
      <w:r>
        <w:rPr>
          <w:rFonts w:hint="eastAsia" w:ascii="仿宋" w:hAnsi="仿宋" w:eastAsia="仿宋" w:cs="仿宋"/>
          <w:b/>
          <w:bCs/>
          <w:sz w:val="32"/>
          <w:szCs w:val="32"/>
        </w:rPr>
        <w:t>效益指标</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val="en-US" w:eastAsia="zh-CN"/>
        </w:rPr>
        <w:t>指标分值10分，得分8分，得分率80%</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把牢网络舆情导向，为全县社会和谐稳定营造了良好的招商环境</w:t>
      </w:r>
      <w:r>
        <w:rPr>
          <w:rFonts w:hint="eastAsia" w:ascii="仿宋" w:hAnsi="仿宋" w:eastAsia="仿宋" w:cs="仿宋"/>
          <w:sz w:val="32"/>
          <w:szCs w:val="32"/>
        </w:rPr>
        <w:t>。</w:t>
      </w:r>
    </w:p>
    <w:p>
      <w:pPr>
        <w:pStyle w:val="6"/>
        <w:widowControl/>
        <w:spacing w:line="600" w:lineRule="exact"/>
        <w:jc w:val="left"/>
        <w:rPr>
          <w:rFonts w:hint="eastAsia" w:eastAsia="黑体"/>
          <w:sz w:val="32"/>
          <w:szCs w:val="32"/>
        </w:rPr>
      </w:pPr>
      <w:r>
        <w:rPr>
          <w:rFonts w:hint="eastAsia" w:ascii="仿宋" w:hAnsi="仿宋" w:eastAsia="仿宋" w:cs="仿宋"/>
          <w:b/>
          <w:bCs/>
          <w:sz w:val="32"/>
          <w:szCs w:val="32"/>
          <w:lang w:val="en-US" w:eastAsia="zh-CN"/>
        </w:rPr>
        <w:t>3.</w:t>
      </w:r>
      <w:r>
        <w:rPr>
          <w:rFonts w:hint="eastAsia" w:ascii="楷体" w:hAnsi="楷体" w:eastAsia="楷体" w:cs="楷体"/>
          <w:b/>
          <w:bCs/>
          <w:sz w:val="32"/>
          <w:szCs w:val="32"/>
        </w:rPr>
        <w:t>满意度指标</w:t>
      </w:r>
      <w:r>
        <w:rPr>
          <w:rFonts w:hint="eastAsia" w:ascii="楷体" w:hAnsi="楷体" w:eastAsia="楷体" w:cs="楷体"/>
          <w:b/>
          <w:bCs/>
          <w:sz w:val="32"/>
          <w:szCs w:val="32"/>
          <w:lang w:eastAsia="zh-CN"/>
        </w:rPr>
        <w:t>：</w:t>
      </w:r>
      <w:r>
        <w:rPr>
          <w:rFonts w:hint="eastAsia" w:ascii="仿宋" w:hAnsi="仿宋" w:eastAsia="仿宋" w:cs="仿宋"/>
          <w:sz w:val="32"/>
          <w:szCs w:val="32"/>
          <w:lang w:val="en-US" w:eastAsia="zh-CN"/>
        </w:rPr>
        <w:t>指标分10分，得分9.5分，得分率95%。网络问政得到一致好评，我办被评为先进留言单位。</w:t>
      </w:r>
      <w:r>
        <w:rPr>
          <w:rFonts w:hint="eastAsia" w:ascii="仿宋" w:hAnsi="仿宋" w:eastAsia="仿宋" w:cs="仿宋"/>
          <w:sz w:val="32"/>
          <w:szCs w:val="32"/>
        </w:rPr>
        <w:t>服务对象满意度指标达9</w:t>
      </w:r>
      <w:r>
        <w:rPr>
          <w:rFonts w:hint="eastAsia" w:ascii="仿宋" w:hAnsi="仿宋" w:eastAsia="仿宋" w:cs="仿宋"/>
          <w:sz w:val="32"/>
          <w:szCs w:val="32"/>
          <w:lang w:val="en-US" w:eastAsia="zh-CN"/>
        </w:rPr>
        <w:t>5</w:t>
      </w:r>
      <w:r>
        <w:rPr>
          <w:rFonts w:hint="eastAsia" w:ascii="仿宋" w:hAnsi="仿宋" w:eastAsia="仿宋" w:cs="仿宋"/>
          <w:sz w:val="32"/>
          <w:szCs w:val="32"/>
        </w:rPr>
        <w:t>%。</w:t>
      </w:r>
    </w:p>
    <w:p>
      <w:pPr>
        <w:pStyle w:val="6"/>
        <w:widowControl/>
        <w:spacing w:line="600" w:lineRule="exact"/>
        <w:jc w:val="left"/>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.成本指标</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val="en-US" w:eastAsia="zh-CN"/>
        </w:rPr>
        <w:t>指标分值20分，得分15分，得分率75%。</w:t>
      </w:r>
    </w:p>
    <w:p>
      <w:pPr>
        <w:pStyle w:val="6"/>
        <w:widowControl/>
        <w:spacing w:line="600" w:lineRule="exact"/>
        <w:ind w:left="0" w:leftChars="0" w:firstLine="640" w:firstLineChars="200"/>
        <w:jc w:val="left"/>
        <w:rPr>
          <w:rFonts w:hint="default" w:ascii="仿宋" w:hAnsi="仿宋" w:eastAsia="仿宋" w:cs="仿宋"/>
          <w:sz w:val="32"/>
          <w:szCs w:val="32"/>
          <w:lang w:val="en-US"/>
        </w:rPr>
      </w:pPr>
      <w:r>
        <w:rPr>
          <w:rFonts w:hint="eastAsia" w:ascii="仿宋" w:hAnsi="仿宋" w:eastAsia="仿宋" w:cs="仿宋"/>
          <w:sz w:val="32"/>
          <w:szCs w:val="32"/>
        </w:rPr>
        <w:t>（1）在职人员控制情况：202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初</w:t>
      </w:r>
      <w:r>
        <w:rPr>
          <w:rFonts w:hint="eastAsia" w:ascii="仿宋" w:hAnsi="仿宋" w:eastAsia="仿宋" w:cs="仿宋"/>
          <w:sz w:val="32"/>
          <w:szCs w:val="32"/>
        </w:rPr>
        <w:t>在职实有</w:t>
      </w:r>
      <w:r>
        <w:rPr>
          <w:rFonts w:hint="eastAsia" w:ascii="仿宋" w:hAnsi="仿宋" w:eastAsia="仿宋" w:cs="仿宋"/>
          <w:sz w:val="32"/>
          <w:szCs w:val="32"/>
          <w:lang w:val="en-US" w:eastAsia="zh-CN"/>
        </w:rPr>
        <w:t>10</w:t>
      </w:r>
      <w:r>
        <w:rPr>
          <w:rFonts w:hint="eastAsia" w:ascii="仿宋" w:hAnsi="仿宋" w:eastAsia="仿宋" w:cs="仿宋"/>
          <w:sz w:val="32"/>
          <w:szCs w:val="32"/>
        </w:rPr>
        <w:t>人，行政</w:t>
      </w:r>
      <w:r>
        <w:rPr>
          <w:rFonts w:hint="eastAsia" w:ascii="仿宋" w:hAnsi="仿宋" w:eastAsia="仿宋" w:cs="仿宋"/>
          <w:sz w:val="32"/>
          <w:szCs w:val="32"/>
          <w:lang w:val="en-US" w:eastAsia="zh-CN"/>
        </w:rPr>
        <w:t>4</w:t>
      </w:r>
      <w:r>
        <w:rPr>
          <w:rFonts w:hint="eastAsia" w:ascii="仿宋" w:hAnsi="仿宋" w:eastAsia="仿宋" w:cs="仿宋"/>
          <w:sz w:val="32"/>
          <w:szCs w:val="32"/>
        </w:rPr>
        <w:t>人，事业</w:t>
      </w:r>
      <w:r>
        <w:rPr>
          <w:rFonts w:hint="eastAsia" w:ascii="仿宋" w:hAnsi="仿宋" w:eastAsia="仿宋" w:cs="仿宋"/>
          <w:sz w:val="32"/>
          <w:szCs w:val="32"/>
          <w:lang w:val="en-US" w:eastAsia="zh-CN"/>
        </w:rPr>
        <w:t>6</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年中新增1人，预算有调整。</w:t>
      </w:r>
    </w:p>
    <w:p>
      <w:pPr>
        <w:widowControl/>
        <w:spacing w:line="600" w:lineRule="exact"/>
        <w:ind w:firstLine="645"/>
        <w:jc w:val="left"/>
        <w:rPr>
          <w:rFonts w:hint="default" w:ascii="Times New Roman" w:hAnsi="Times New Roman" w:eastAsia="仿宋_GB2312" w:cs="Times New Roman"/>
          <w:color w:val="000000"/>
          <w:sz w:val="32"/>
          <w:szCs w:val="32"/>
        </w:rPr>
      </w:pPr>
    </w:p>
    <w:p>
      <w:pPr>
        <w:pStyle w:val="6"/>
        <w:widowControl/>
        <w:spacing w:line="600" w:lineRule="exact"/>
        <w:ind w:firstLine="960" w:firstLineChars="300"/>
        <w:jc w:val="left"/>
        <w:rPr>
          <w:rFonts w:hint="default" w:ascii="Times New Roman" w:hAnsi="Times New Roman" w:eastAsia="黑体" w:cs="Times New Roman"/>
          <w:sz w:val="32"/>
          <w:szCs w:val="32"/>
        </w:rPr>
      </w:pPr>
      <w:r>
        <w:rPr>
          <w:rFonts w:hint="eastAsia" w:eastAsia="黑体" w:cs="Times New Roman"/>
          <w:sz w:val="32"/>
          <w:szCs w:val="32"/>
          <w:lang w:eastAsia="zh-CN"/>
        </w:rPr>
        <w:t>四</w:t>
      </w:r>
      <w:r>
        <w:rPr>
          <w:rFonts w:hint="default" w:ascii="Times New Roman" w:hAnsi="Times New Roman" w:eastAsia="黑体" w:cs="Times New Roman"/>
          <w:sz w:val="32"/>
          <w:szCs w:val="32"/>
        </w:rPr>
        <w:t>、存在问题原因分析</w:t>
      </w:r>
      <w:r>
        <w:rPr>
          <w:rFonts w:hint="eastAsia" w:ascii="Times New Roman" w:hAnsi="Times New Roman" w:eastAsia="黑体" w:cs="Times New Roman"/>
          <w:sz w:val="32"/>
          <w:szCs w:val="32"/>
          <w:lang w:eastAsia="zh-CN"/>
        </w:rPr>
        <w:t>及</w:t>
      </w:r>
      <w:r>
        <w:rPr>
          <w:rFonts w:hint="default" w:ascii="Times New Roman" w:hAnsi="Times New Roman" w:eastAsia="黑体" w:cs="Times New Roman"/>
          <w:sz w:val="32"/>
          <w:szCs w:val="32"/>
        </w:rPr>
        <w:t>改进措施</w:t>
      </w:r>
    </w:p>
    <w:p>
      <w:pPr>
        <w:pStyle w:val="7"/>
        <w:keepNext w:val="0"/>
        <w:keepLines w:val="0"/>
        <w:widowControl w:val="0"/>
        <w:shd w:val="clear" w:color="auto" w:fill="auto"/>
        <w:bidi w:val="0"/>
        <w:spacing w:before="0" w:after="0" w:line="598" w:lineRule="exact"/>
        <w:ind w:left="0" w:right="0" w:firstLine="640"/>
        <w:jc w:val="both"/>
        <w:rPr>
          <w:rFonts w:hint="default" w:ascii="仿宋" w:hAnsi="仿宋" w:eastAsia="仿宋" w:cs="仿宋"/>
          <w:color w:val="000000"/>
          <w:spacing w:val="0"/>
          <w:w w:val="100"/>
          <w:position w:val="0"/>
          <w:sz w:val="28"/>
          <w:szCs w:val="28"/>
          <w:lang w:val="en-US" w:eastAsia="zh-CN"/>
        </w:rPr>
      </w:pPr>
      <w:r>
        <w:rPr>
          <w:rFonts w:hint="eastAsia" w:ascii="仿宋" w:hAnsi="仿宋" w:eastAsia="仿宋" w:cs="仿宋"/>
          <w:sz w:val="32"/>
          <w:szCs w:val="32"/>
        </w:rPr>
        <w:t>预算绩效管理水平有待进一步提升。主要原因是针对预算绩效管理工作的学习、培训较少</w:t>
      </w:r>
      <w:r>
        <w:rPr>
          <w:rFonts w:hint="eastAsia" w:ascii="仿宋" w:hAnsi="仿宋" w:eastAsia="仿宋" w:cs="仿宋"/>
          <w:sz w:val="32"/>
          <w:szCs w:val="32"/>
          <w:lang w:eastAsia="zh-CN"/>
        </w:rPr>
        <w:t>。</w:t>
      </w:r>
      <w:r>
        <w:rPr>
          <w:rFonts w:hint="eastAsia" w:ascii="仿宋" w:hAnsi="仿宋" w:eastAsia="仿宋" w:cs="仿宋"/>
          <w:color w:val="000000"/>
          <w:spacing w:val="0"/>
          <w:w w:val="100"/>
          <w:position w:val="0"/>
          <w:sz w:val="28"/>
          <w:szCs w:val="28"/>
          <w:lang w:val="en-US" w:eastAsia="zh-CN"/>
        </w:rPr>
        <w:t>针对上述问题，</w:t>
      </w:r>
      <w:r>
        <w:rPr>
          <w:rFonts w:hint="eastAsia" w:ascii="仿宋" w:hAnsi="仿宋" w:eastAsia="仿宋" w:cs="仿宋"/>
          <w:color w:val="000000"/>
          <w:spacing w:val="0"/>
          <w:w w:val="100"/>
          <w:position w:val="0"/>
          <w:sz w:val="28"/>
          <w:szCs w:val="28"/>
        </w:rPr>
        <w:t>一是</w:t>
      </w:r>
      <w:r>
        <w:rPr>
          <w:rFonts w:hint="eastAsia" w:ascii="仿宋" w:hAnsi="仿宋" w:eastAsia="仿宋" w:cs="仿宋"/>
          <w:color w:val="000000"/>
          <w:spacing w:val="0"/>
          <w:w w:val="100"/>
          <w:position w:val="0"/>
          <w:sz w:val="28"/>
          <w:szCs w:val="28"/>
          <w:lang w:val="en-US" w:eastAsia="zh-CN"/>
        </w:rPr>
        <w:t>加强对财务人员知识学习与培训工作，通过专业的学习和培训，让财务人员能够科学合理地使用资金，切实提高部门预算收支管理水平。二是严格按照经费使用管理规定及运行过程中的监督，努力保质保量完成各项任务。三是进一步健全管理责任制，强化实施主体责任，切实提高财政资金使用效益和工作效率。</w:t>
      </w:r>
    </w:p>
    <w:p>
      <w:pPr>
        <w:widowControl/>
        <w:tabs>
          <w:tab w:val="left" w:pos="5295"/>
        </w:tabs>
        <w:spacing w:line="600" w:lineRule="exact"/>
        <w:ind w:firstLine="640" w:firstLineChars="200"/>
        <w:jc w:val="left"/>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五</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其他需要说明的情况</w:t>
      </w:r>
      <w:r>
        <w:rPr>
          <w:rFonts w:hint="eastAsia" w:ascii="Times New Roman" w:hAnsi="Times New Roman" w:eastAsia="黑体" w:cs="Times New Roman"/>
          <w:sz w:val="32"/>
          <w:szCs w:val="32"/>
          <w:lang w:eastAsia="zh-CN"/>
        </w:rPr>
        <w:tab/>
      </w:r>
    </w:p>
    <w:p>
      <w:pPr>
        <w:widowControl/>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无</w:t>
      </w:r>
    </w:p>
    <w:p>
      <w:pPr>
        <w:widowControl/>
        <w:spacing w:line="600" w:lineRule="exact"/>
        <w:ind w:firstLine="640" w:firstLineChars="200"/>
        <w:jc w:val="left"/>
        <w:rPr>
          <w:rFonts w:hint="eastAsia" w:ascii="仿宋" w:hAnsi="仿宋" w:eastAsia="仿宋" w:cs="仿宋"/>
          <w:b w:val="0"/>
          <w:bCs w:val="0"/>
          <w:sz w:val="32"/>
          <w:szCs w:val="32"/>
          <w:lang w:val="en-US" w:eastAsia="zh-CN"/>
        </w:rPr>
      </w:pPr>
    </w:p>
    <w:p>
      <w:pPr>
        <w:widowControl/>
        <w:spacing w:line="600" w:lineRule="exact"/>
        <w:ind w:firstLine="640" w:firstLineChars="200"/>
        <w:jc w:val="left"/>
        <w:rPr>
          <w:rFonts w:hint="eastAsia" w:ascii="仿宋" w:hAnsi="仿宋" w:eastAsia="仿宋" w:cs="仿宋"/>
          <w:b w:val="0"/>
          <w:bCs w:val="0"/>
          <w:sz w:val="32"/>
          <w:szCs w:val="32"/>
          <w:lang w:val="en-US" w:eastAsia="zh-CN"/>
        </w:rPr>
      </w:pPr>
    </w:p>
    <w:p>
      <w:pPr>
        <w:widowControl/>
        <w:spacing w:line="600" w:lineRule="exact"/>
        <w:ind w:firstLine="640" w:firstLineChars="200"/>
        <w:jc w:val="left"/>
        <w:rPr>
          <w:rFonts w:hint="eastAsia" w:ascii="仿宋" w:hAnsi="仿宋" w:eastAsia="仿宋" w:cs="仿宋"/>
          <w:b w:val="0"/>
          <w:bCs w:val="0"/>
          <w:sz w:val="32"/>
          <w:szCs w:val="32"/>
          <w:lang w:val="en-US" w:eastAsia="zh-CN"/>
        </w:rPr>
      </w:pPr>
      <w:bookmarkStart w:id="0" w:name="_GoBack"/>
      <w:bookmarkEnd w:id="0"/>
    </w:p>
    <w:p>
      <w:pPr>
        <w:widowControl/>
        <w:spacing w:line="600" w:lineRule="exact"/>
        <w:ind w:firstLine="640" w:firstLineChars="200"/>
        <w:jc w:val="left"/>
        <w:rPr>
          <w:rFonts w:hint="eastAsia" w:ascii="仿宋" w:hAnsi="仿宋" w:eastAsia="仿宋" w:cs="仿宋"/>
          <w:b w:val="0"/>
          <w:bCs w:val="0"/>
          <w:sz w:val="32"/>
          <w:szCs w:val="32"/>
          <w:lang w:val="en-US" w:eastAsia="zh-CN"/>
        </w:rPr>
      </w:pPr>
    </w:p>
    <w:p>
      <w:pPr>
        <w:widowControl/>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衡阳县委网信办</w:t>
      </w:r>
    </w:p>
    <w:p>
      <w:pPr>
        <w:widowControl/>
        <w:spacing w:line="600" w:lineRule="exact"/>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2024年4月24日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NWYyN2VlN2VhM2MwOWFhMGE0OWJiNTU3MTAzZmYifQ=="/>
    <w:docVar w:name="KSO_WPS_MARK_KEY" w:val="41406981-62ef-4602-9c6f-7278b730bd46"/>
  </w:docVars>
  <w:rsids>
    <w:rsidRoot w:val="4C43681B"/>
    <w:rsid w:val="009D5D24"/>
    <w:rsid w:val="01233682"/>
    <w:rsid w:val="02D67969"/>
    <w:rsid w:val="03035935"/>
    <w:rsid w:val="04B862AB"/>
    <w:rsid w:val="068B5B47"/>
    <w:rsid w:val="09146FE7"/>
    <w:rsid w:val="12F26E2C"/>
    <w:rsid w:val="154D2A40"/>
    <w:rsid w:val="1A086B2F"/>
    <w:rsid w:val="1A70117F"/>
    <w:rsid w:val="1B9518A5"/>
    <w:rsid w:val="1DE275E2"/>
    <w:rsid w:val="1DEF1689"/>
    <w:rsid w:val="1E6E543A"/>
    <w:rsid w:val="1F211FC1"/>
    <w:rsid w:val="1F413615"/>
    <w:rsid w:val="22155519"/>
    <w:rsid w:val="223165BD"/>
    <w:rsid w:val="22674BBC"/>
    <w:rsid w:val="23250B58"/>
    <w:rsid w:val="250D36B9"/>
    <w:rsid w:val="25B739C8"/>
    <w:rsid w:val="277125BE"/>
    <w:rsid w:val="27DA3663"/>
    <w:rsid w:val="2A2A1053"/>
    <w:rsid w:val="2A6D41ED"/>
    <w:rsid w:val="2B854A2B"/>
    <w:rsid w:val="2BDB7330"/>
    <w:rsid w:val="2C1B6F9C"/>
    <w:rsid w:val="34A72A00"/>
    <w:rsid w:val="35066A3B"/>
    <w:rsid w:val="3C0B6651"/>
    <w:rsid w:val="3D0160AB"/>
    <w:rsid w:val="3E2D187A"/>
    <w:rsid w:val="3FC512A1"/>
    <w:rsid w:val="4A382D5B"/>
    <w:rsid w:val="4C2B1BB1"/>
    <w:rsid w:val="4C43681B"/>
    <w:rsid w:val="4C923160"/>
    <w:rsid w:val="4E54656B"/>
    <w:rsid w:val="4F1A75C6"/>
    <w:rsid w:val="4FBC446F"/>
    <w:rsid w:val="515651ED"/>
    <w:rsid w:val="519A5C81"/>
    <w:rsid w:val="52140240"/>
    <w:rsid w:val="52BB5A9B"/>
    <w:rsid w:val="54696247"/>
    <w:rsid w:val="556F788D"/>
    <w:rsid w:val="55944FFF"/>
    <w:rsid w:val="56EE1206"/>
    <w:rsid w:val="58EA42F7"/>
    <w:rsid w:val="592917C1"/>
    <w:rsid w:val="5BC67AD2"/>
    <w:rsid w:val="5DDF7AE8"/>
    <w:rsid w:val="60067FC1"/>
    <w:rsid w:val="60A52F4C"/>
    <w:rsid w:val="666920D7"/>
    <w:rsid w:val="66E813DD"/>
    <w:rsid w:val="6778080A"/>
    <w:rsid w:val="687115B5"/>
    <w:rsid w:val="6B3D425E"/>
    <w:rsid w:val="6C152081"/>
    <w:rsid w:val="6C2E7CD3"/>
    <w:rsid w:val="6CB461FC"/>
    <w:rsid w:val="6D723F67"/>
    <w:rsid w:val="6DC431FB"/>
    <w:rsid w:val="6FAA5B03"/>
    <w:rsid w:val="6FD809F9"/>
    <w:rsid w:val="745A5E80"/>
    <w:rsid w:val="74933140"/>
    <w:rsid w:val="76A72ED3"/>
    <w:rsid w:val="774B1AB0"/>
    <w:rsid w:val="776C076D"/>
    <w:rsid w:val="78A05845"/>
    <w:rsid w:val="7B027C58"/>
    <w:rsid w:val="7B88713B"/>
    <w:rsid w:val="7CBA7D6C"/>
    <w:rsid w:val="7FA1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99"/>
    <w:pPr>
      <w:ind w:firstLine="420" w:firstLineChars="200"/>
    </w:pPr>
    <w:rPr>
      <w:rFonts w:ascii="Times New Roman" w:hAnsi="Times New Roman"/>
      <w:szCs w:val="24"/>
    </w:rPr>
  </w:style>
  <w:style w:type="paragraph" w:customStyle="1" w:styleId="7">
    <w:name w:val="Body text|1"/>
    <w:basedOn w:val="1"/>
    <w:qFormat/>
    <w:uiPriority w:val="0"/>
    <w:pPr>
      <w:widowControl w:val="0"/>
      <w:shd w:val="clear" w:color="auto" w:fill="auto"/>
      <w:spacing w:line="415"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1870</Words>
  <Characters>2070</Characters>
  <Lines>0</Lines>
  <Paragraphs>0</Paragraphs>
  <TotalTime>4</TotalTime>
  <ScaleCrop>false</ScaleCrop>
  <LinksUpToDate>false</LinksUpToDate>
  <CharactersWithSpaces>2071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2024-03-05T00:23:00Z</dcterms:created>
  <dc:creator>Administrator</dc:creator>
  <cp:lastModifiedBy>执手听风吟</cp:lastModifiedBy>
  <cp:lastPrinted>2024-04-25T00:57:28Z</cp:lastPrinted>
  <dcterms:modified xsi:type="dcterms:W3CDTF">2024-04-25T01:00:24Z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295A592BD8A04AA3A438407375AF47FD_13</vt:lpwstr>
  </property>
</Properties>
</file>