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方正小标宋_GBK" w:eastAsia="方正小标宋_GBK"/>
          <w:color w:val="FF0000"/>
          <w:sz w:val="109"/>
          <w:lang w:eastAsia="zh-CN"/>
        </w:rPr>
      </w:pPr>
      <w:r>
        <w:rPr>
          <w:rFonts w:hint="eastAsia" w:ascii="方正小标宋_GBK" w:eastAsia="方正小标宋_GBK"/>
          <w:color w:val="FF0000"/>
          <w:spacing w:val="115"/>
          <w:w w:val="50"/>
          <w:kern w:val="0"/>
          <w:sz w:val="109"/>
        </w:rPr>
        <w:t>衡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</w:rPr>
        <w:t>阳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val="en-US" w:eastAsia="zh-CN"/>
        </w:rPr>
        <w:t xml:space="preserve"> 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</w:rPr>
        <w:t>县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val="en-US" w:eastAsia="zh-CN"/>
        </w:rPr>
        <w:t xml:space="preserve"> 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eastAsia="zh-CN"/>
        </w:rPr>
        <w:t>人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val="en-US" w:eastAsia="zh-CN"/>
        </w:rPr>
        <w:t xml:space="preserve"> 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eastAsia="zh-CN"/>
        </w:rPr>
        <w:t>民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val="en-US" w:eastAsia="zh-CN"/>
        </w:rPr>
        <w:t xml:space="preserve"> 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eastAsia="zh-CN"/>
        </w:rPr>
        <w:t>政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val="en-US" w:eastAsia="zh-CN"/>
        </w:rPr>
        <w:t xml:space="preserve"> 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eastAsia="zh-CN"/>
        </w:rPr>
        <w:t>府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val="en-US" w:eastAsia="zh-CN"/>
        </w:rPr>
        <w:t xml:space="preserve"> 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eastAsia="zh-CN"/>
        </w:rPr>
        <w:t>办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val="en-US" w:eastAsia="zh-CN"/>
        </w:rPr>
        <w:t xml:space="preserve"> 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eastAsia="zh-CN"/>
        </w:rPr>
        <w:t>公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val="en-US" w:eastAsia="zh-CN"/>
        </w:rPr>
        <w:t xml:space="preserve"> 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eastAsia="zh-CN"/>
        </w:rPr>
        <w:t>室</w:t>
      </w:r>
    </w:p>
    <w:p>
      <w:pPr>
        <w:rPr>
          <w:rFonts w:hint="default" w:ascii="Times New Roman" w:hAnsi="Times New Roman" w:cs="Times New Roma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8255</wp:posOffset>
                </wp:positionV>
                <wp:extent cx="5257800" cy="0"/>
                <wp:effectExtent l="0" t="13970" r="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0.65pt;height:0pt;width:414pt;z-index:251659264;mso-width-relative:page;mso-height-relative:page;" filled="f" stroked="t" coordsize="21600,21600" o:gfxdata="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NiLFdEAAAAFAQAADwAAAAAAAAABACAAAAAiAAAAZHJzL2Rvd25yZXYueG1sUEsBAhQAFAAA&#10;AAgAh07iQLfqub32AQAA5QMAAA4AAAAAAAAAAQAgAAAAIAEAAGRycy9lMm9Eb2MueG1sUEsFBgAA&#10;AAAGAAYAWQEAAIg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县政府办2023年部门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整体支出绩效自评报告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8"/>
        <w:widowControl/>
        <w:spacing w:line="600" w:lineRule="exact"/>
        <w:ind w:left="64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一、部门、单位基本情况</w:t>
      </w:r>
    </w:p>
    <w:p>
      <w:pPr>
        <w:pStyle w:val="8"/>
        <w:widowControl/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（一）机构设置情况</w:t>
      </w:r>
    </w:p>
    <w:p>
      <w:pPr>
        <w:keepNext w:val="0"/>
        <w:keepLines w:val="0"/>
        <w:pageBreakBefore w:val="0"/>
        <w:kinsoku/>
        <w:wordWrap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color w:val="auto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阳县人民政府办公室(以下简称县政府办)为正科级行政单位。内设12个机构：包含秘书组、政务信息组、行政事务组、建议提案组、县政府总值班室、县政府督查室、机要文电室、人事政工室、财务室、档案室、金融监管室、禁毒事务监管室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-SA"/>
        </w:rPr>
        <w:t>另辖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1个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-SA"/>
        </w:rPr>
        <w:t>直属县政府正科级事业单位衡阳县政府研究中心以及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3个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-SA"/>
        </w:rPr>
        <w:t>直属县政府办的副科级下属机构:县金融服务中心、县社会化禁毒事务中心、县城市建设投资服务中心。</w:t>
      </w:r>
    </w:p>
    <w:p>
      <w:pPr>
        <w:pStyle w:val="8"/>
        <w:widowControl/>
        <w:numPr>
          <w:ilvl w:val="0"/>
          <w:numId w:val="1"/>
        </w:numPr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人员编制情况</w:t>
      </w:r>
    </w:p>
    <w:p>
      <w:pPr>
        <w:keepNext w:val="0"/>
        <w:keepLines w:val="0"/>
        <w:pageBreakBefore w:val="0"/>
        <w:kinsoku/>
        <w:wordWrap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县政府办</w:t>
      </w:r>
      <w:r>
        <w:rPr>
          <w:rFonts w:hint="eastAsia" w:ascii="仿宋_GB2312" w:eastAsia="仿宋_GB2312"/>
          <w:sz w:val="32"/>
          <w:szCs w:val="32"/>
        </w:rPr>
        <w:t>共有</w:t>
      </w:r>
      <w:r>
        <w:rPr>
          <w:rFonts w:hint="eastAsia" w:ascii="仿宋_GB2312" w:eastAsia="仿宋_GB2312"/>
          <w:sz w:val="32"/>
          <w:szCs w:val="32"/>
          <w:lang w:eastAsia="zh-CN"/>
        </w:rPr>
        <w:t>编制人数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110人，其中</w:t>
      </w:r>
      <w:r>
        <w:rPr>
          <w:rFonts w:hint="eastAsia" w:ascii="仿宋_GB2312" w:eastAsia="仿宋_GB2312"/>
          <w:sz w:val="32"/>
          <w:szCs w:val="32"/>
        </w:rPr>
        <w:t>行政编制5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lang w:eastAsia="zh-CN"/>
        </w:rPr>
        <w:t>人</w:t>
      </w:r>
      <w:r>
        <w:rPr>
          <w:rFonts w:hint="eastAsia" w:ascii="仿宋_GB2312" w:eastAsia="仿宋_GB2312"/>
          <w:sz w:val="32"/>
          <w:szCs w:val="32"/>
        </w:rPr>
        <w:t>，事业编制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53</w:t>
      </w:r>
      <w:r>
        <w:rPr>
          <w:rFonts w:hint="eastAsia" w:ascii="仿宋_GB2312" w:eastAsia="仿宋_GB2312"/>
          <w:sz w:val="32"/>
          <w:szCs w:val="32"/>
          <w:lang w:eastAsia="zh-CN"/>
        </w:rPr>
        <w:t>人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  <w:lang w:eastAsia="zh-CN"/>
        </w:rPr>
        <w:t>年末实有在职人员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94人,退休人员65人。</w:t>
      </w:r>
    </w:p>
    <w:p>
      <w:pPr>
        <w:pStyle w:val="8"/>
        <w:widowControl/>
        <w:spacing w:line="600" w:lineRule="exact"/>
        <w:ind w:left="64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二、预算支出情况</w:t>
      </w:r>
    </w:p>
    <w:p>
      <w:pPr>
        <w:pStyle w:val="8"/>
        <w:widowControl/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</w:t>
      </w:r>
      <w:r>
        <w:rPr>
          <w:rFonts w:hint="eastAsia" w:eastAsia="楷体_GB2312" w:cs="Times New Roman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预决算情况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1.部门预算情况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2023年年初预算安排收入</w:t>
      </w:r>
      <w:r>
        <w:rPr>
          <w:rFonts w:hint="eastAsia" w:ascii="仿宋" w:hAnsi="仿宋" w:eastAsia="仿宋"/>
          <w:sz w:val="28"/>
          <w:szCs w:val="24"/>
        </w:rPr>
        <w:t>1711.94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万元，其中一般公共财政拨款</w:t>
      </w:r>
      <w:r>
        <w:rPr>
          <w:rFonts w:hint="eastAsia" w:ascii="仿宋" w:hAnsi="仿宋" w:eastAsia="仿宋"/>
          <w:sz w:val="28"/>
          <w:szCs w:val="24"/>
        </w:rPr>
        <w:t>1667.64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上年结转结余44.3万元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；2023年年初预算安排支出</w:t>
      </w:r>
      <w:r>
        <w:rPr>
          <w:rFonts w:hint="eastAsia" w:ascii="仿宋" w:hAnsi="仿宋" w:eastAsia="仿宋"/>
          <w:sz w:val="28"/>
          <w:szCs w:val="24"/>
        </w:rPr>
        <w:t>1711.94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万元，其中：基本支出</w:t>
      </w:r>
      <w:r>
        <w:rPr>
          <w:rFonts w:hint="eastAsia" w:ascii="仿宋" w:hAnsi="仿宋" w:eastAsia="仿宋"/>
          <w:sz w:val="32"/>
          <w:szCs w:val="24"/>
        </w:rPr>
        <w:t>1131.07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万元，项目支出</w:t>
      </w:r>
      <w:r>
        <w:rPr>
          <w:rFonts w:hint="eastAsia" w:ascii="仿宋" w:hAnsi="仿宋" w:eastAsia="仿宋"/>
          <w:sz w:val="32"/>
          <w:szCs w:val="24"/>
        </w:rPr>
        <w:t>580.87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2.部门决算情况（含年中预算追加情况）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2023年决算总收入</w:t>
      </w:r>
      <w:r>
        <w:rPr>
          <w:rFonts w:hint="eastAsia" w:ascii="仿宋" w:hAnsi="仿宋" w:eastAsia="仿宋"/>
          <w:sz w:val="32"/>
          <w:szCs w:val="24"/>
        </w:rPr>
        <w:t>3120.72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万元，较预算增加</w:t>
      </w:r>
      <w:r>
        <w:rPr>
          <w:rFonts w:hint="eastAsia" w:ascii="仿宋" w:hAnsi="仿宋" w:eastAsia="仿宋"/>
          <w:sz w:val="32"/>
          <w:szCs w:val="24"/>
        </w:rPr>
        <w:t>1408.78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万元，总支出</w:t>
      </w:r>
      <w:r>
        <w:rPr>
          <w:rFonts w:hint="eastAsia" w:ascii="仿宋" w:hAnsi="仿宋" w:eastAsia="仿宋"/>
          <w:sz w:val="32"/>
          <w:szCs w:val="24"/>
        </w:rPr>
        <w:t>3120.72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万元，其中：基本支出</w:t>
      </w:r>
      <w:r>
        <w:rPr>
          <w:rFonts w:hint="eastAsia" w:ascii="仿宋" w:hAnsi="仿宋" w:eastAsia="仿宋" w:cs="仿宋"/>
          <w:sz w:val="32"/>
          <w:szCs w:val="24"/>
        </w:rPr>
        <w:t>1427.25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万元，占总支出的</w:t>
      </w:r>
      <w:r>
        <w:rPr>
          <w:rFonts w:hint="eastAsia" w:ascii="仿宋" w:hAnsi="仿宋" w:eastAsia="仿宋" w:cs="仿宋"/>
          <w:sz w:val="32"/>
          <w:szCs w:val="24"/>
        </w:rPr>
        <w:t>45.73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％；项目支出</w:t>
      </w:r>
      <w:r>
        <w:rPr>
          <w:rFonts w:hint="eastAsia" w:ascii="仿宋" w:hAnsi="仿宋" w:eastAsia="仿宋" w:cs="仿宋"/>
          <w:sz w:val="32"/>
          <w:szCs w:val="24"/>
        </w:rPr>
        <w:t>1693.46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万元，占总支出的</w:t>
      </w:r>
      <w:r>
        <w:rPr>
          <w:rFonts w:hint="eastAsia" w:ascii="仿宋" w:hAnsi="仿宋" w:eastAsia="仿宋" w:cs="仿宋"/>
          <w:sz w:val="32"/>
          <w:szCs w:val="24"/>
        </w:rPr>
        <w:t>54.27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％。差异产生的主要原因是</w:t>
      </w:r>
      <w:r>
        <w:rPr>
          <w:rFonts w:hint="eastAsia" w:ascii="仿宋" w:hAnsi="仿宋" w:eastAsia="仿宋"/>
          <w:sz w:val="32"/>
          <w:szCs w:val="24"/>
        </w:rPr>
        <w:t>专项工作任务增加，项目支出增加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（二）部门预算执行情况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经费预算数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29.93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万元，其中：因公出国（境）费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万元，公务用车购置及运行维护费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15.79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万元，公务接待费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14.14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经费决算数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27.42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元，其中：因公出国（境）费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万元，公务用车运行维护费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15.76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万元，公务接待费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11.66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.政府采购执行情况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2023年度政府采购支出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万元，其中：货物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元，工程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万元，服务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.资产管理情况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2023年年末资产总额</w:t>
      </w:r>
      <w:r>
        <w:rPr>
          <w:rFonts w:cs="宋体"/>
          <w:sz w:val="28"/>
        </w:rPr>
        <w:t>305.06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万元，负债总额</w:t>
      </w:r>
      <w:r>
        <w:rPr>
          <w:rFonts w:cs="宋体"/>
          <w:sz w:val="28"/>
        </w:rPr>
        <w:t>305.33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万元，净资产</w:t>
      </w:r>
      <w:r>
        <w:rPr>
          <w:rFonts w:cs="宋体"/>
          <w:sz w:val="28"/>
        </w:rPr>
        <w:t>-0.27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万元。截至2023年12月31日，固定资产账面原值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965.93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万元，在用资产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965.93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万元，资产使用率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%。</w:t>
      </w:r>
    </w:p>
    <w:p>
      <w:pPr>
        <w:widowControl/>
        <w:spacing w:line="600" w:lineRule="exact"/>
        <w:ind w:firstLine="645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三、部门整体支出绩效情况</w:t>
      </w:r>
    </w:p>
    <w:p>
      <w:pPr>
        <w:keepNext w:val="0"/>
        <w:keepLines w:val="0"/>
        <w:pageBreakBefore w:val="0"/>
        <w:widowControl/>
        <w:kinsoku/>
        <w:wordWrap/>
        <w:bidi w:val="0"/>
        <w:spacing w:line="560" w:lineRule="exact"/>
        <w:ind w:firstLine="645"/>
        <w:jc w:val="left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（一）综合评价结论。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我单位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自评得分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100分,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评价等级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为优秀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bidi w:val="0"/>
        <w:spacing w:beforeAutospacing="0" w:afterAutospacing="0" w:line="560" w:lineRule="exact"/>
        <w:ind w:left="0" w:firstLine="555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（二）评价指标分析（或综合评价情况）。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年，我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积极履职，强化管理，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按照年初设定的绩效目标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,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较好的完成了年度工作目标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任务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。通过加强预算收支管理，不断建立健全内部管理制度，梳理内部管理流程，部门整体支出管理水平得到提升。根据部门整体支出绩效评价指标体系，我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年度整体支出绩效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综合评价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情况如下：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bidi w:val="0"/>
        <w:spacing w:beforeAutospacing="0" w:afterAutospacing="0" w:line="560" w:lineRule="exact"/>
        <w:ind w:left="0" w:firstLine="55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1.预算配置控制较好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,预算执行比较到位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。其中：在职人员控制率：在职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94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人/编制1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人*100%=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85.45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%；预算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执行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率=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全年执行数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/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全年预算数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*100%=100%。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进一步加强资产管理。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napToGrid w:val="0"/>
          <w:color w:val="auto"/>
          <w:kern w:val="0"/>
          <w:sz w:val="32"/>
          <w:szCs w:val="32"/>
          <w:lang w:eastAsia="zh-CN"/>
        </w:rPr>
        <w:t>按照财政要求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napToGrid w:val="0"/>
          <w:color w:val="auto"/>
          <w:kern w:val="0"/>
          <w:sz w:val="32"/>
          <w:szCs w:val="32"/>
        </w:rPr>
        <w:t>开展资产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napToGrid w:val="0"/>
          <w:color w:val="auto"/>
          <w:kern w:val="0"/>
          <w:sz w:val="32"/>
          <w:szCs w:val="32"/>
          <w:lang w:eastAsia="zh-CN"/>
        </w:rPr>
        <w:t>月报及年报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napToGrid w:val="0"/>
          <w:color w:val="auto"/>
          <w:kern w:val="0"/>
          <w:sz w:val="32"/>
          <w:szCs w:val="32"/>
        </w:rPr>
        <w:t>编制工作，动态了解国有资产变动情况，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napToGrid w:val="0"/>
          <w:color w:val="auto"/>
          <w:kern w:val="0"/>
          <w:sz w:val="32"/>
          <w:szCs w:val="32"/>
          <w:lang w:eastAsia="zh-CN"/>
        </w:rPr>
        <w:t>为进一步提高资产管理水平，根据我办实际情况，依据资产管理到人、物尽其用的原则，我办制定了《固定资产管理办法》，做到了用制度把好“入口关”、“使用关”和“出口关”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napToGrid w:val="0"/>
          <w:color w:val="auto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napToGrid w:val="0"/>
          <w:color w:val="auto"/>
          <w:kern w:val="0"/>
          <w:sz w:val="32"/>
          <w:szCs w:val="32"/>
          <w:lang w:val="en-US" w:eastAsia="zh-CN"/>
        </w:rPr>
        <w:t>2023年我办对所有固定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napToGrid w:val="0"/>
          <w:color w:val="auto"/>
          <w:kern w:val="0"/>
          <w:sz w:val="32"/>
          <w:szCs w:val="32"/>
          <w:lang w:eastAsia="zh-CN"/>
        </w:rPr>
        <w:t>资产进行了全面清查核实，堵住了资产流失的漏洞，使资产管理制度化、科学化、规范化。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bidi w:val="0"/>
        <w:spacing w:beforeAutospacing="0" w:afterAutospacing="0" w:line="560" w:lineRule="exact"/>
        <w:ind w:left="0" w:firstLine="555"/>
        <w:textAlignment w:val="auto"/>
        <w:rPr>
          <w:rFonts w:hint="eastAsia" w:ascii="微软雅黑" w:hAnsi="微软雅黑" w:eastAsia="仿宋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.职责履行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到位。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年我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在全体干部职工的共同努力下圆满出色完成了各项工作目标和任务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,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按时按质完成处理政府文书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223份,组织会议服务68次。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bidi w:val="0"/>
        <w:spacing w:beforeAutospacing="0" w:afterAutospacing="0" w:line="560" w:lineRule="exact"/>
        <w:ind w:left="0" w:firstLine="55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.履职效益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明显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bidi w:val="0"/>
        <w:spacing w:beforeAutospacing="0" w:afterAutospacing="0" w:line="560" w:lineRule="exact"/>
        <w:ind w:left="0" w:firstLine="55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（1）我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办圆满完成年初绩效目标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,既促进了社会经济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正常发展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,也得到了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社会大众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和服务对象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的肯定和好评。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bidi w:val="0"/>
        <w:spacing w:beforeAutospacing="0" w:afterAutospacing="0" w:line="560" w:lineRule="exact"/>
        <w:ind w:left="0" w:firstLine="555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（2）我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不断改善行政管理、严格经费及资产管理，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不仅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提高了行政效率，降低了行政成本。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也同时提高了干部职工的工作和业务能力。</w:t>
      </w:r>
    </w:p>
    <w:p>
      <w:pPr>
        <w:pStyle w:val="8"/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、项目绩效目标完成情况</w:t>
      </w:r>
    </w:p>
    <w:p>
      <w:pPr>
        <w:pStyle w:val="8"/>
        <w:widowControl/>
        <w:spacing w:line="600" w:lineRule="exact"/>
        <w:jc w:val="left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我办无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0万元以上的项目资金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8"/>
        <w:widowControl/>
        <w:numPr>
          <w:ilvl w:val="0"/>
          <w:numId w:val="2"/>
        </w:numPr>
        <w:spacing w:line="600" w:lineRule="exact"/>
        <w:ind w:left="64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存在问题原因分析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黑体" w:cs="Times New Roman"/>
          <w:sz w:val="32"/>
          <w:szCs w:val="32"/>
        </w:rPr>
        <w:t>改进措施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存在的问题及原因分析：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1.预算控制率有待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加强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。除政策性因素以外，由于部分临时、紧急或突发的工作任务导致年中追加预算。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napToGrid w:val="0"/>
          <w:color w:val="auto"/>
          <w:kern w:val="0"/>
          <w:sz w:val="32"/>
          <w:szCs w:val="32"/>
          <w:lang w:val="en-US" w:eastAsia="zh-CN"/>
        </w:rPr>
        <w:t>2.资产的系统折旧与实际还需进一步精准。在资产录入系统时，部分资产因使用年限无法考证，于是将资产入账的日期填写为盘点日期，并同步开始计提折旧，导致在进行资产处置时，出现资产的实际使用年限已达到报废条件，但是系统账上使用年限未达到报废要求、资产计提折旧未足额的情况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改进措施：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1、细化预算编制工作，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科学设置绩效评估指标体系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。进一步加强内设机构的预算管理意识，严格按照预算编制的相关制度和要求进行预算编制。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根据我办实际情况设置更加科学的绩效评估指标体系。</w:t>
      </w:r>
    </w:p>
    <w:p>
      <w:pPr>
        <w:keepNext w:val="0"/>
        <w:keepLines w:val="0"/>
        <w:pageBreakBefore w:val="0"/>
        <w:widowControl w:val="0"/>
        <w:kinsoku/>
        <w:wordWrap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进一步提高资产内部管理的效能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。严格编制政府采购年初预算和计划，规范各类资产的购置审批制度、资产采购制度、使用管理制度、资产处置和报废审批制度、资产管理岗位职责制度等，加强单位内部的资产管理工作。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落实固定资产清查盘点工作，定期盘点，摸清资产的使用情况，盘点发现应报废、已毁损等情况，及时进行处理。</w:t>
      </w:r>
    </w:p>
    <w:p>
      <w:pPr>
        <w:widowControl/>
        <w:spacing w:line="600" w:lineRule="exact"/>
        <w:ind w:firstLine="645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黑体" w:cs="Times New Roman"/>
          <w:sz w:val="32"/>
          <w:szCs w:val="32"/>
        </w:rPr>
        <w:t>其他需要说明的情况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无）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A915B"/>
    <w:multiLevelType w:val="singleLevel"/>
    <w:tmpl w:val="C0DA915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C53F9A"/>
    <w:multiLevelType w:val="singleLevel"/>
    <w:tmpl w:val="3EC53F9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MTRmOTViZTc5MWE5NDE3MzlmMjZmZmFhYjY2ZDIifQ=="/>
  </w:docVars>
  <w:rsids>
    <w:rsidRoot w:val="4C43681B"/>
    <w:rsid w:val="02D67969"/>
    <w:rsid w:val="068B5B47"/>
    <w:rsid w:val="09146FE7"/>
    <w:rsid w:val="1A086B2F"/>
    <w:rsid w:val="1DE275E2"/>
    <w:rsid w:val="1DEF1689"/>
    <w:rsid w:val="1E3841F7"/>
    <w:rsid w:val="1E6E543A"/>
    <w:rsid w:val="22155519"/>
    <w:rsid w:val="223165BD"/>
    <w:rsid w:val="22674BBC"/>
    <w:rsid w:val="25B739C8"/>
    <w:rsid w:val="27DA3663"/>
    <w:rsid w:val="2A2A1053"/>
    <w:rsid w:val="2A6D41ED"/>
    <w:rsid w:val="2B854A2B"/>
    <w:rsid w:val="2BDB7330"/>
    <w:rsid w:val="2FE06BB6"/>
    <w:rsid w:val="34A72A00"/>
    <w:rsid w:val="3C0B6651"/>
    <w:rsid w:val="3D0160AB"/>
    <w:rsid w:val="3E2D187A"/>
    <w:rsid w:val="4C43681B"/>
    <w:rsid w:val="4C923160"/>
    <w:rsid w:val="4E54656B"/>
    <w:rsid w:val="50236F24"/>
    <w:rsid w:val="515651ED"/>
    <w:rsid w:val="519A5C81"/>
    <w:rsid w:val="55944FFF"/>
    <w:rsid w:val="58EA42F7"/>
    <w:rsid w:val="592917C1"/>
    <w:rsid w:val="5DDF7AE8"/>
    <w:rsid w:val="60067FC1"/>
    <w:rsid w:val="60A52F4C"/>
    <w:rsid w:val="6778080A"/>
    <w:rsid w:val="687115B5"/>
    <w:rsid w:val="6C2E7CD3"/>
    <w:rsid w:val="6CB461FC"/>
    <w:rsid w:val="6DC431FB"/>
    <w:rsid w:val="776C076D"/>
    <w:rsid w:val="7B88713B"/>
    <w:rsid w:val="7FA1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2024-03-05T00:23:00Z</dcterms:created>
  <dc:creator>Administrator</dc:creator>
  <cp:lastModifiedBy>波斯纳</cp:lastModifiedBy>
  <dcterms:modified xsi:type="dcterms:W3CDTF">2024-04-29T12:55:28Z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02D5061B768C420784F0E3588E6A3D0A</vt:lpwstr>
  </property>
</Properties>
</file>