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FF0000"/>
          <w:sz w:val="109"/>
          <w:lang w:val="en-US" w:eastAsia="zh-CN"/>
        </w:rPr>
      </w:pPr>
      <w:r>
        <w:rPr>
          <w:rFonts w:hint="eastAsia" w:ascii="宋体" w:hAnsi="宋体" w:eastAsia="宋体" w:cs="宋体"/>
          <w:color w:val="FF0000"/>
          <w:w w:val="50"/>
          <w:kern w:val="0"/>
          <w:sz w:val="109"/>
        </w:rPr>
        <w:t>衡</w:t>
      </w:r>
      <w:r>
        <w:rPr>
          <w:rFonts w:hint="eastAsia" w:ascii="宋体" w:hAnsi="宋体" w:eastAsia="宋体" w:cs="宋体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w w:val="50"/>
          <w:kern w:val="0"/>
          <w:sz w:val="109"/>
        </w:rPr>
        <w:t>阳</w:t>
      </w:r>
      <w:r>
        <w:rPr>
          <w:rFonts w:hint="eastAsia" w:ascii="宋体" w:hAnsi="宋体" w:eastAsia="宋体" w:cs="宋体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w w:val="50"/>
          <w:kern w:val="0"/>
          <w:sz w:val="109"/>
        </w:rPr>
        <w:t>县</w:t>
      </w:r>
      <w:r>
        <w:rPr>
          <w:rFonts w:hint="eastAsia" w:ascii="宋体" w:hAnsi="宋体" w:eastAsia="宋体" w:cs="宋体"/>
          <w:color w:val="FF0000"/>
          <w:w w:val="50"/>
          <w:kern w:val="0"/>
          <w:sz w:val="109"/>
          <w:lang w:val="en-US" w:eastAsia="zh-CN"/>
        </w:rPr>
        <w:t xml:space="preserve"> 信 访 局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line id="_x0000_s1026" o:spid="_x0000_s1026" o:spt="20" style="position:absolute;left:0pt;margin-left:0.65pt;margin-top:0.65pt;height:0pt;width:414pt;z-index:251659264;mso-width-relative:page;mso-height-relative:page;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jYixXRAAAABQEAAA8AAAAAAAAAAQAgAAAAIgAAAGRycy9kb3ducmV2LnhtbFBLAQIUABQA&#10;AAAIAIdO4kAYeVUz9wEAAOUDAAAOAAAAAAAAAAEAIAAAACABAABkcnMvZTJvRG9jLnhtbFBLBQYA&#10;AAAABgAGAFkBAACJBQAAAAA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2023年度部门整体支出绩效自评报告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7"/>
        <w:widowControl/>
        <w:spacing w:line="600" w:lineRule="exact"/>
        <w:ind w:left="640" w:firstLine="0"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一、部门、单位基本情况</w:t>
      </w:r>
    </w:p>
    <w:p>
      <w:pPr>
        <w:pStyle w:val="7"/>
        <w:widowControl/>
        <w:spacing w:line="600" w:lineRule="exact"/>
        <w:ind w:left="64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（一）机构设置情况</w:t>
      </w:r>
    </w:p>
    <w:p>
      <w:pPr>
        <w:pStyle w:val="7"/>
        <w:widowControl/>
        <w:numPr>
          <w:ilvl w:val="0"/>
          <w:numId w:val="0"/>
        </w:numPr>
        <w:spacing w:line="6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根据编委核定，我局内设股室5个，所属事业单位1个。内设股室分别是办公室、综合信息股、网信办信股、接访劝访股、督查复查股；所属事业单位是衡阳县人民群众来访接待中心。</w:t>
      </w:r>
    </w:p>
    <w:p>
      <w:pPr>
        <w:pStyle w:val="7"/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人员编制情况</w:t>
      </w:r>
    </w:p>
    <w:p>
      <w:pPr>
        <w:pStyle w:val="7"/>
        <w:widowControl/>
        <w:spacing w:line="600" w:lineRule="exact"/>
        <w:ind w:firstLine="42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信访局行政编制9名，机关工勤编1名；人民群众来访接待中心全额事业编8名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pStyle w:val="7"/>
        <w:widowControl/>
        <w:spacing w:line="600" w:lineRule="exact"/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二、预算支出情况</w:t>
      </w:r>
    </w:p>
    <w:p>
      <w:pPr>
        <w:pStyle w:val="7"/>
        <w:widowControl/>
        <w:spacing w:line="600" w:lineRule="exact"/>
        <w:ind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（一）部门预决算情况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hint="eastAsia" w:ascii="宋体" w:hAnsi="宋体" w:eastAsia="宋体" w:cs="宋体"/>
          <w:bCs/>
          <w:sz w:val="32"/>
          <w:szCs w:val="32"/>
        </w:rPr>
        <w:t>、部门预算情况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2023年，年初预算安排收入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298.73</w:t>
      </w:r>
      <w:r>
        <w:rPr>
          <w:rFonts w:hint="eastAsia" w:ascii="宋体" w:hAnsi="宋体" w:eastAsia="宋体" w:cs="宋体"/>
          <w:bCs/>
          <w:sz w:val="32"/>
          <w:szCs w:val="32"/>
        </w:rPr>
        <w:t>万元，其中一般公共预算财政拨款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298.73</w:t>
      </w:r>
      <w:r>
        <w:rPr>
          <w:rFonts w:hint="eastAsia" w:ascii="宋体" w:hAnsi="宋体" w:eastAsia="宋体" w:cs="宋体"/>
          <w:bCs/>
          <w:sz w:val="32"/>
          <w:szCs w:val="32"/>
        </w:rPr>
        <w:t>万元，2023年年初预算安排支出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298.73</w:t>
      </w:r>
      <w:r>
        <w:rPr>
          <w:rFonts w:hint="eastAsia" w:ascii="宋体" w:hAnsi="宋体" w:eastAsia="宋体" w:cs="宋体"/>
          <w:bCs/>
          <w:sz w:val="32"/>
          <w:szCs w:val="32"/>
        </w:rPr>
        <w:t>万元，其中：基本支出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198.73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万元，项目支出 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bCs/>
          <w:sz w:val="32"/>
          <w:szCs w:val="32"/>
        </w:rPr>
        <w:t>万元。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2、部门决算情况（含年中预算追加情况）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2023年决算总收入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636.89</w:t>
      </w:r>
      <w:r>
        <w:rPr>
          <w:rFonts w:hint="eastAsia" w:ascii="宋体" w:hAnsi="宋体" w:eastAsia="宋体" w:cs="宋体"/>
          <w:bCs/>
          <w:sz w:val="32"/>
          <w:szCs w:val="32"/>
        </w:rPr>
        <w:t>万元，较预算增加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338.16</w:t>
      </w:r>
      <w:r>
        <w:rPr>
          <w:rFonts w:hint="eastAsia" w:ascii="宋体" w:hAnsi="宋体" w:eastAsia="宋体" w:cs="宋体"/>
          <w:bCs/>
          <w:sz w:val="32"/>
          <w:szCs w:val="32"/>
        </w:rPr>
        <w:t>万元，总支出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636.89</w:t>
      </w:r>
      <w:r>
        <w:rPr>
          <w:rFonts w:hint="eastAsia" w:ascii="宋体" w:hAnsi="宋体" w:eastAsia="宋体" w:cs="宋体"/>
          <w:bCs/>
          <w:sz w:val="32"/>
          <w:szCs w:val="32"/>
        </w:rPr>
        <w:t>万元，其中：基本支出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249.97</w:t>
      </w:r>
      <w:r>
        <w:rPr>
          <w:rFonts w:hint="eastAsia" w:ascii="宋体" w:hAnsi="宋体" w:eastAsia="宋体" w:cs="宋体"/>
          <w:bCs/>
          <w:sz w:val="32"/>
          <w:szCs w:val="32"/>
        </w:rPr>
        <w:t>万元，占总支出的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39.25</w:t>
      </w:r>
      <w:r>
        <w:rPr>
          <w:rFonts w:hint="eastAsia" w:ascii="宋体" w:hAnsi="宋体" w:eastAsia="宋体" w:cs="宋体"/>
          <w:bCs/>
          <w:sz w:val="32"/>
          <w:szCs w:val="32"/>
        </w:rPr>
        <w:t>%；项目支出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386.92</w:t>
      </w:r>
      <w:r>
        <w:rPr>
          <w:rFonts w:hint="eastAsia" w:ascii="宋体" w:hAnsi="宋体" w:eastAsia="宋体" w:cs="宋体"/>
          <w:bCs/>
          <w:sz w:val="32"/>
          <w:szCs w:val="32"/>
        </w:rPr>
        <w:t>万元，占总支出的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60.75</w:t>
      </w:r>
      <w:r>
        <w:rPr>
          <w:rFonts w:hint="eastAsia" w:ascii="宋体" w:hAnsi="宋体" w:eastAsia="宋体" w:cs="宋体"/>
          <w:bCs/>
          <w:sz w:val="32"/>
          <w:szCs w:val="32"/>
        </w:rPr>
        <w:t>%。差异产生的主要原因是：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省级拨付2021-2022信访工作真抓实干奖励经费200万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；</w:t>
      </w:r>
      <w:r>
        <w:rPr>
          <w:rFonts w:hint="eastAsia" w:ascii="宋体" w:hAnsi="宋体" w:eastAsia="宋体" w:cs="宋体"/>
          <w:bCs/>
          <w:sz w:val="32"/>
          <w:szCs w:val="32"/>
        </w:rPr>
        <w:t>绩效奖金发放及工作任务增加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形成</w:t>
      </w:r>
      <w:r>
        <w:rPr>
          <w:rFonts w:hint="eastAsia" w:ascii="宋体" w:hAnsi="宋体" w:eastAsia="宋体" w:cs="宋体"/>
          <w:bCs/>
          <w:sz w:val="32"/>
          <w:szCs w:val="32"/>
        </w:rPr>
        <w:t>预算追加拨款引起。</w:t>
      </w:r>
    </w:p>
    <w:p>
      <w:pPr>
        <w:pStyle w:val="7"/>
        <w:widowControl/>
        <w:spacing w:line="600" w:lineRule="exact"/>
        <w:ind w:left="64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（二）部门预算执行情况</w:t>
      </w:r>
      <w:bookmarkStart w:id="0" w:name="_GoBack"/>
      <w:bookmarkEnd w:id="0"/>
    </w:p>
    <w:p>
      <w:pPr>
        <w:pStyle w:val="7"/>
        <w:widowControl/>
        <w:spacing w:line="600" w:lineRule="exact"/>
        <w:ind w:left="64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1.“三公”经费执行情况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2023年“三公”公费预算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4.47</w:t>
      </w:r>
      <w:r>
        <w:rPr>
          <w:rFonts w:hint="eastAsia" w:ascii="宋体" w:hAnsi="宋体" w:eastAsia="宋体" w:cs="宋体"/>
          <w:bCs/>
          <w:sz w:val="32"/>
          <w:szCs w:val="32"/>
        </w:rPr>
        <w:t>万元，其中：因公出国（境）费0万元，公务用车购置及运行维护费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32"/>
          <w:szCs w:val="32"/>
        </w:rPr>
        <w:t>万元，公务接待费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4.47</w:t>
      </w:r>
      <w:r>
        <w:rPr>
          <w:rFonts w:hint="eastAsia" w:ascii="宋体" w:hAnsi="宋体" w:eastAsia="宋体" w:cs="宋体"/>
          <w:bCs/>
          <w:sz w:val="32"/>
          <w:szCs w:val="32"/>
        </w:rPr>
        <w:t>万元。“三公”经费决算数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2.96</w:t>
      </w:r>
      <w:r>
        <w:rPr>
          <w:rFonts w:hint="eastAsia" w:ascii="宋体" w:hAnsi="宋体" w:eastAsia="宋体" w:cs="宋体"/>
          <w:bCs/>
          <w:sz w:val="32"/>
          <w:szCs w:val="32"/>
        </w:rPr>
        <w:t>万元，其中：因公出国（境）费0万元，公务用车购置及运行维护费万元，公务接待费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2.96</w:t>
      </w:r>
      <w:r>
        <w:rPr>
          <w:rFonts w:hint="eastAsia" w:ascii="宋体" w:hAnsi="宋体" w:eastAsia="宋体" w:cs="宋体"/>
          <w:bCs/>
          <w:sz w:val="32"/>
          <w:szCs w:val="32"/>
        </w:rPr>
        <w:t>万元。</w:t>
      </w:r>
    </w:p>
    <w:p>
      <w:pPr>
        <w:pStyle w:val="7"/>
        <w:widowControl/>
        <w:spacing w:line="600" w:lineRule="exact"/>
        <w:ind w:left="64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2.政府采购执行情况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2023年度政府采购支出 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58.2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万元，其中：货物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58.2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万元，工程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32"/>
          <w:szCs w:val="32"/>
        </w:rPr>
        <w:t>万元，服务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32"/>
          <w:szCs w:val="32"/>
        </w:rPr>
        <w:t>万元。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3、资产管理情况</w:t>
      </w:r>
    </w:p>
    <w:p>
      <w:pPr>
        <w:pStyle w:val="7"/>
        <w:widowControl/>
        <w:spacing w:line="600" w:lineRule="exact"/>
        <w:ind w:firstLine="640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2023年年末资产总额 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9.88</w:t>
      </w:r>
      <w:r>
        <w:rPr>
          <w:rFonts w:hint="eastAsia" w:ascii="宋体" w:hAnsi="宋体" w:eastAsia="宋体" w:cs="宋体"/>
          <w:bCs/>
          <w:sz w:val="32"/>
          <w:szCs w:val="32"/>
        </w:rPr>
        <w:t>万元，负债总额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万元，净资产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9.88</w:t>
      </w:r>
      <w:r>
        <w:rPr>
          <w:rFonts w:hint="eastAsia" w:ascii="宋体" w:hAnsi="宋体" w:eastAsia="宋体" w:cs="宋体"/>
          <w:bCs/>
          <w:sz w:val="32"/>
          <w:szCs w:val="32"/>
        </w:rPr>
        <w:t>万元。截止2023年12月31日，固定资产账面原值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25.87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万元，在用资产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25.87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万元，出借资产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万元，资产使用率 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%。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三、部门整体支出绩效情况</w:t>
      </w:r>
    </w:p>
    <w:p>
      <w:pPr>
        <w:widowControl/>
        <w:spacing w:line="600" w:lineRule="exact"/>
        <w:ind w:firstLine="645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（一）综合评价结论。</w:t>
      </w:r>
    </w:p>
    <w:p>
      <w:pPr>
        <w:widowControl/>
        <w:spacing w:line="600" w:lineRule="exact"/>
        <w:ind w:firstLine="645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自评得分 分，自评结果为优。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评价指标分析（或综合评价情况）。</w:t>
      </w:r>
    </w:p>
    <w:p>
      <w:pPr>
        <w:spacing w:line="6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 xml:space="preserve">    经济性分析：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1、预算配置方面，总体较为科学合理。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（1）财政供养人员控制率为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%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（2）“三公经费”，与上年决算数相比，减少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5.73</w:t>
      </w:r>
      <w:r>
        <w:rPr>
          <w:rFonts w:hint="eastAsia" w:ascii="宋体" w:hAnsi="宋体" w:eastAsia="宋体" w:cs="宋体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2、预算执行方面，各项指标基本顺利完成。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（1）“三公经费”比预算数减少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33.78</w:t>
      </w:r>
      <w:r>
        <w:rPr>
          <w:rFonts w:hint="eastAsia" w:ascii="宋体" w:hAnsi="宋体" w:eastAsia="宋体" w:cs="宋体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（2）政府采购执行率为100%。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3、预算管理方面，制度执行总体较为有效。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（1）修订完善了管理制度，相关制度合法合规，并得到了有效执行；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（2）合理安排支出进度和支出项目，加强资金使用管理，严格遵守各项财经纪律，支出依据合规。无超标准开支、超预算情况。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4、资产管理方面，总体执行较好。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建立了资产管理台账，资产配置合理，定期进行盘点，做到账实相符。</w:t>
      </w:r>
    </w:p>
    <w:p>
      <w:pPr>
        <w:spacing w:line="600" w:lineRule="exact"/>
        <w:ind w:left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效率性分析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1、加强自身建设，建立健全日常管理制度，保证单位机构正常运行；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2、人员经费按相关政策发放到位；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3、“三公经费”控制到位。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4、顺利完成2023年各项工作及年初设立的预算绩效目标，支出总额控制在预算总额(含预算调整)以内。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一是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今年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以来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我县信访工作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在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县委、县政府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的正确领导下</w:t>
      </w:r>
      <w:r>
        <w:rPr>
          <w:rFonts w:hint="eastAsia" w:ascii="宋体" w:hAnsi="宋体" w:eastAsia="宋体" w:cs="宋体"/>
          <w:color w:val="000000"/>
          <w:spacing w:val="-20"/>
          <w:w w:val="1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认真贯彻落实国家信访局“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135路线图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”（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以“贯彻二十大、落实新条例、开创新局面”为主线，深入开展“《信访工作条例》落实年、信访工作示范县创建、大督查大接访大调研”三项活动，着力推进信访机关政治建设、信访问题源头治理、化解信访积案常态化、信访工作体制机制改革、信访干部队伍建设五项重点任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全县社会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稳定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大局总体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可控，为创建信访工作省级示范县创造了有利条件。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共受理来信来访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2115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件。其中，国家局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531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件，同比上升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11.79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%；省局2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件，同比下降6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%；市局82件，同比下降19.6%。总体来看，除国家局外，我县总体信访形势呈下降趋势。今年以来，全县共办结初次信访事项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745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879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人次，信访部门和责任单位及时受理率100%，按期办结率 100%，一次性化解率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96.09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%，参评率97.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%，参评满意率97.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67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%。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三是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坚持领导“下”访，深入基层听民意解民忧。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坚持源头“控”访，提升风险防范化解能力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信访</w:t>
      </w:r>
      <w:r>
        <w:rPr>
          <w:rFonts w:hint="eastAsia" w:ascii="宋体" w:hAnsi="宋体" w:eastAsia="宋体" w:cs="宋体"/>
          <w:sz w:val="32"/>
          <w:szCs w:val="32"/>
        </w:rPr>
        <w:t>工作得到了县委、县政府的肯定，也得到了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群众</w:t>
      </w:r>
      <w:r>
        <w:rPr>
          <w:rFonts w:hint="eastAsia" w:ascii="宋体" w:hAnsi="宋体" w:eastAsia="宋体" w:cs="宋体"/>
          <w:sz w:val="32"/>
          <w:szCs w:val="32"/>
        </w:rPr>
        <w:t>的认可和好评。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可持续性分析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人少事多</w:t>
      </w:r>
      <w:r>
        <w:rPr>
          <w:rFonts w:hint="eastAsia" w:ascii="宋体" w:hAnsi="宋体" w:eastAsia="宋体" w:cs="宋体"/>
          <w:sz w:val="32"/>
          <w:szCs w:val="32"/>
        </w:rPr>
        <w:t>，给工作造成一定压力。</w:t>
      </w:r>
    </w:p>
    <w:p>
      <w:pPr>
        <w:pStyle w:val="7"/>
        <w:widowControl/>
        <w:spacing w:line="600" w:lineRule="exact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四、项目绩效目标完成情况</w:t>
      </w:r>
    </w:p>
    <w:p>
      <w:pPr>
        <w:pStyle w:val="7"/>
        <w:widowControl/>
        <w:spacing w:line="600" w:lineRule="exact"/>
        <w:ind w:firstLine="64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（1）维稳救助专项资金100万。预算资金覆盖了信访工作各个方面的需求，“三公”经费较上年均有较大幅度的下降。2023年预算资金能保障单位正常运转需要，通过科学分配，统筹协调，基本保证了人员经费支出和单位全年信访工作任务的完成。对于重点项目（信访救助专项资金）的支出，严格遵守专款专用、优先保证的原则保障资金的合理安排。2023年度县信访局整体经费支出合理，在科学的分配下，有效的保证了县信访局依法履行职能职责；圆满完成了中央、省、市交办的重点案件，案件办结率99%，信访“三无”创建取得圆满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（2）2021-2022年信访工作真抓实干奖励经费上级专项200万。主要用于乡镇及信访工作重点单位信访维稳经费50万；乡镇信访救助资金、化解信访积案资金40万；信访工作调研、信访法制宣传和弥补信访工作经费不足等110万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打造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“人民满意窗口”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为抓手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以确保“群众满意”为目标，着力推进信访事项办理质效，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全县信访事项及时受理率、按期办结率均为100%，信访事项责任单位满意率97.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%。深入推进信访工作标准化建设，坚持做到即到即转、马上就办，全县信访件办理质效显著提升。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县委、县政府主要领导对涉军、涉法、涉诉、房地产等重点领域的重复信访积案亲自抓，抽调相关单位骨干力量集中力量攻坚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，化解了一批钉子案、骨头案。例如，我们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妥善处置了龙湾豪庭小区972户业主物业纠纷重复信访问题，维护了社会大局稳定；我们还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成立了全县房地产领域问题处置领导小组，对全县房产办证、物业管理等问题逐一核实、逐一化解，目前涉房地产领域信访群体稳定可控；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中央联席办交办的三批重复信访积案155件均上报办结，上报率100%，</w:t>
      </w:r>
      <w:r>
        <w:rPr>
          <w:rFonts w:hint="eastAsia" w:ascii="宋体" w:hAnsi="宋体" w:eastAsia="宋体" w:cs="宋体"/>
          <w:sz w:val="32"/>
          <w:szCs w:val="32"/>
        </w:rPr>
        <w:t>审核化解率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95.48%。</w:t>
      </w:r>
      <w:r>
        <w:rPr>
          <w:rFonts w:hint="eastAsia" w:ascii="宋体" w:hAnsi="宋体" w:eastAsia="宋体" w:cs="宋体"/>
          <w:sz w:val="32"/>
          <w:szCs w:val="32"/>
        </w:rPr>
        <w:t>全力化解信访积案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主动理旧案，办难案，推动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王某衡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、王某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、龙某军、陈某佳、常某华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等一批信访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积案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办结化解。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二是切实维护社会大局稳定。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我县坚持以化解重大矛盾问题为抓手，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为做好重点人员稳控工作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为重点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全力维护社会大局和谐稳定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，全国两会期间，实现了“零上访、零进京、零滋事”的目标。在工作中，对无理缠访、赴省进京、重复信访的信访人员落实了长期的稳控责任，定期深入重点人员家中，耐心细致做好思想工作。</w:t>
      </w:r>
      <w:r>
        <w:rPr>
          <w:rFonts w:hint="eastAsia" w:ascii="宋体" w:hAnsi="宋体" w:eastAsia="宋体" w:cs="宋体"/>
          <w:sz w:val="32"/>
          <w:szCs w:val="32"/>
        </w:rPr>
        <w:t>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我县供电公司职工王志衡性格偏激，其上访已有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年之久，经常采取自残、恐吓等方式以求达到信访目的。通过专班几十轮的耐心细致调解处置，逐步瓦解其心理防线，目前正在签订停访息诉协议当中；我县在处置涉观兰集团信访事项中，将涉及310余名人员全部分解到各县直单位，实行1对1精准稳控化解，目前清花湖违法建筑物已全部拆除，且已完成耕地整改任务，没有发生一起群体性</w:t>
      </w:r>
    </w:p>
    <w:p>
      <w:pPr>
        <w:pStyle w:val="7"/>
        <w:widowControl/>
        <w:spacing w:line="600" w:lineRule="exact"/>
        <w:ind w:firstLine="64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五、存在的问题原因分析及改进措施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预算管理水平还有待进一步提高，人员素质有待进一步提升。由于预算绩效管理工作涉及面广，专业性强，单位对预算绩效管理理解不到位，对预算绩效管理业务不精通，一定程度上影响了绩效评价工作的质量。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下一步，单位自身将加强《预算法》、《行政事业单位会计制度》等学习，进一步完善预算评价指标体系，规范部门预算收支核算，增加预算的约束力和严肃性，不断提高预算绩效管理水平。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六、其他需要说明的情况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报告包括以下附件：</w:t>
      </w:r>
    </w:p>
    <w:p>
      <w:pPr>
        <w:widowControl/>
        <w:spacing w:line="600" w:lineRule="exact"/>
        <w:ind w:firstLine="64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1.部门整体支出绩效评价基础数据表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2.部门整体支出绩效自评表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   </w:t>
      </w:r>
    </w:p>
    <w:p>
      <w:pPr>
        <w:widowControl/>
        <w:spacing w:line="600" w:lineRule="exact"/>
        <w:ind w:firstLine="5600" w:firstLineChars="2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2024年4月2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</w:rPr>
      </w:pPr>
    </w:p>
    <w:p/>
    <w:p/>
    <w:p/>
    <w:p/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08838"/>
    <w:multiLevelType w:val="singleLevel"/>
    <w:tmpl w:val="B46088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hZGUzNzcxMzJjZTlkNDVhMmNkMTdiMzFmMGI4YTYifQ=="/>
  </w:docVars>
  <w:rsids>
    <w:rsidRoot w:val="7D4A0B76"/>
    <w:rsid w:val="00034DAA"/>
    <w:rsid w:val="00063FD1"/>
    <w:rsid w:val="00076401"/>
    <w:rsid w:val="00204112"/>
    <w:rsid w:val="002D3106"/>
    <w:rsid w:val="00337357"/>
    <w:rsid w:val="004225D7"/>
    <w:rsid w:val="005019AB"/>
    <w:rsid w:val="006135C2"/>
    <w:rsid w:val="00835CC2"/>
    <w:rsid w:val="00926B0E"/>
    <w:rsid w:val="00987ED9"/>
    <w:rsid w:val="00A85CA0"/>
    <w:rsid w:val="00CB1B30"/>
    <w:rsid w:val="00CB2160"/>
    <w:rsid w:val="00F00F19"/>
    <w:rsid w:val="172D77F5"/>
    <w:rsid w:val="264D4F35"/>
    <w:rsid w:val="2DF41488"/>
    <w:rsid w:val="433E204B"/>
    <w:rsid w:val="435066A6"/>
    <w:rsid w:val="598611A3"/>
    <w:rsid w:val="5B4F06FD"/>
    <w:rsid w:val="61446C21"/>
    <w:rsid w:val="64CE0CA4"/>
    <w:rsid w:val="6E3E1D16"/>
    <w:rsid w:val="707A67F8"/>
    <w:rsid w:val="7D4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303</Words>
  <Characters>1731</Characters>
  <Lines>14</Lines>
  <Paragraphs>4</Paragraphs>
  <TotalTime>9</TotalTime>
  <ScaleCrop>false</ScaleCrop>
  <LinksUpToDate>false</LinksUpToDate>
  <CharactersWithSpaces>2030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2022-04-29T01:38:00Z</dcterms:created>
  <dc:creator>飞扬</dc:creator>
  <cp:lastModifiedBy>大山</cp:lastModifiedBy>
  <cp:lastPrinted>2024-04-24T05:57:57Z</cp:lastPrinted>
  <dcterms:modified xsi:type="dcterms:W3CDTF">2024-04-24T06:02:59Z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448D9A5144CA49B88BBBE02ABC56A7F9</vt:lpwstr>
  </property>
</Properties>
</file>