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eastAsia="方正小标宋_GBK"/>
          <w:sz w:val="52"/>
          <w:szCs w:val="52"/>
          <w:lang w:eastAsia="zh-CN"/>
        </w:rPr>
      </w:pPr>
      <w:r>
        <w:rPr>
          <w:rFonts w:hint="eastAsia" w:ascii="Times New Roman" w:hAnsi="Times New Roman" w:eastAsia="方正小标宋_GBK"/>
          <w:sz w:val="52"/>
          <w:szCs w:val="52"/>
          <w:lang w:eastAsia="zh-CN"/>
        </w:rPr>
        <w:t>衡阳县库宗桥镇人民政府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2022年</w:t>
      </w:r>
      <w:r>
        <w:rPr>
          <w:rFonts w:ascii="Times New Roman" w:hAnsi="Times New Roman" w:eastAsia="方正小标宋_GBK"/>
          <w:sz w:val="52"/>
          <w:szCs w:val="52"/>
        </w:rPr>
        <w:t>部门整体支出绩效自评报告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9"/>
        <w:widowControl/>
        <w:spacing w:line="60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一、部门、单位基本情况</w:t>
      </w:r>
    </w:p>
    <w:p>
      <w:pPr>
        <w:pStyle w:val="9"/>
        <w:widowControl/>
        <w:numPr>
          <w:ilvl w:val="0"/>
          <w:numId w:val="1"/>
        </w:numPr>
        <w:spacing w:line="600" w:lineRule="exact"/>
        <w:ind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机构设置情况</w:t>
      </w:r>
    </w:p>
    <w:p>
      <w:pPr>
        <w:pStyle w:val="10"/>
        <w:widowControl/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根据职责，我镇内设机构1个，所属事业单位3中心1大队。内设机构是</w:t>
      </w:r>
      <w:r>
        <w:rPr>
          <w:rFonts w:hint="eastAsia" w:ascii="仿宋_GB2312" w:eastAsia="仿宋_GB2312"/>
          <w:sz w:val="32"/>
          <w:szCs w:val="32"/>
          <w:lang w:eastAsia="zh-CN"/>
        </w:rPr>
        <w:t>库宗桥</w:t>
      </w:r>
      <w:r>
        <w:rPr>
          <w:rFonts w:hint="eastAsia" w:ascii="仿宋_GB2312" w:eastAsia="仿宋_GB2312"/>
          <w:sz w:val="32"/>
          <w:szCs w:val="32"/>
        </w:rPr>
        <w:t>镇机关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所属事业单位分别是社会事业综合服务中心、农业综合服务中心、政务服务中心、综合行政执法大队。</w:t>
      </w:r>
    </w:p>
    <w:p>
      <w:pPr>
        <w:pStyle w:val="9"/>
        <w:widowControl/>
        <w:numPr>
          <w:ilvl w:val="0"/>
          <w:numId w:val="2"/>
        </w:numPr>
        <w:spacing w:line="600" w:lineRule="exact"/>
        <w:ind w:left="640" w:firstLine="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人员编制情况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我镇核定编制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114</w:t>
      </w:r>
      <w:r>
        <w:rPr>
          <w:rFonts w:hint="eastAsia" w:ascii="仿宋_GB2312" w:hAnsi="Times New Roman" w:eastAsia="仿宋_GB2312"/>
          <w:sz w:val="32"/>
          <w:szCs w:val="32"/>
        </w:rPr>
        <w:t>名，其中：行政编制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38</w:t>
      </w:r>
      <w:r>
        <w:rPr>
          <w:rFonts w:hint="eastAsia" w:ascii="仿宋_GB2312" w:hAnsi="Times New Roman" w:eastAsia="仿宋_GB2312"/>
          <w:sz w:val="32"/>
          <w:szCs w:val="32"/>
        </w:rPr>
        <w:t>名，实有在职人员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Times New Roman" w:eastAsia="仿宋_GB2312"/>
          <w:sz w:val="32"/>
          <w:szCs w:val="32"/>
        </w:rPr>
        <w:t>人；工勤编制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名，实有在职人数1人；事业编制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74</w:t>
      </w:r>
      <w:r>
        <w:rPr>
          <w:rFonts w:hint="eastAsia" w:ascii="仿宋_GB2312" w:hAnsi="Times New Roman" w:eastAsia="仿宋_GB2312"/>
          <w:sz w:val="32"/>
          <w:szCs w:val="32"/>
        </w:rPr>
        <w:t>名，实有在职人员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6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人。</w:t>
      </w:r>
    </w:p>
    <w:p>
      <w:pPr>
        <w:pStyle w:val="9"/>
        <w:widowControl/>
        <w:spacing w:line="60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二、预算支出情况</w:t>
      </w:r>
    </w:p>
    <w:p>
      <w:pPr>
        <w:pStyle w:val="9"/>
        <w:widowControl/>
        <w:spacing w:line="600" w:lineRule="exact"/>
        <w:ind w:left="640" w:firstLine="0" w:firstLineChars="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</w:t>
      </w:r>
      <w:r>
        <w:rPr>
          <w:rFonts w:hint="eastAsia" w:eastAsia="楷体_GB2312"/>
          <w:sz w:val="32"/>
          <w:szCs w:val="32"/>
        </w:rPr>
        <w:t>部门</w:t>
      </w:r>
      <w:r>
        <w:rPr>
          <w:rFonts w:eastAsia="楷体_GB2312"/>
          <w:sz w:val="32"/>
          <w:szCs w:val="32"/>
        </w:rPr>
        <w:t>预决算情况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1.部门预算情况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2022</w:t>
      </w:r>
      <w:r>
        <w:rPr>
          <w:rFonts w:ascii="仿宋_GB2312" w:hAnsi="Times New Roman" w:eastAsia="仿宋_GB2312"/>
          <w:sz w:val="32"/>
          <w:szCs w:val="32"/>
        </w:rPr>
        <w:t>年年初预算安排收入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1395.67</w:t>
      </w:r>
      <w:r>
        <w:rPr>
          <w:rFonts w:ascii="仿宋_GB2312" w:hAnsi="Times New Roman" w:eastAsia="仿宋_GB2312"/>
          <w:sz w:val="32"/>
          <w:szCs w:val="32"/>
        </w:rPr>
        <w:t>万元，其中一般公共财政拨款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918.48</w:t>
      </w:r>
      <w:r>
        <w:rPr>
          <w:rFonts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</w:rPr>
        <w:t>，年初结转和结余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477.18</w:t>
      </w:r>
      <w:r>
        <w:rPr>
          <w:rFonts w:hint="eastAsia" w:ascii="仿宋_GB2312" w:hAnsi="Times New Roman" w:eastAsia="仿宋_GB2312"/>
          <w:sz w:val="32"/>
          <w:szCs w:val="32"/>
        </w:rPr>
        <w:t>万元</w:t>
      </w:r>
      <w:r>
        <w:rPr>
          <w:rFonts w:ascii="仿宋_GB2312" w:hAnsi="Times New Roman" w:eastAsia="仿宋_GB2312"/>
          <w:sz w:val="32"/>
          <w:szCs w:val="32"/>
        </w:rPr>
        <w:t>；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2022</w:t>
      </w:r>
      <w:r>
        <w:rPr>
          <w:rFonts w:ascii="仿宋_GB2312" w:hAnsi="Times New Roman" w:eastAsia="仿宋_GB2312"/>
          <w:sz w:val="32"/>
          <w:szCs w:val="32"/>
        </w:rPr>
        <w:t>年年初预算安排支出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1395.67</w:t>
      </w:r>
      <w:r>
        <w:rPr>
          <w:rFonts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ascii="仿宋_GB2312" w:hAnsi="Times New Roman" w:eastAsia="仿宋_GB2312"/>
          <w:sz w:val="32"/>
          <w:szCs w:val="32"/>
        </w:rPr>
        <w:t>其中：基本支出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403.85</w:t>
      </w:r>
      <w:r>
        <w:rPr>
          <w:rFonts w:ascii="仿宋_GB2312" w:hAnsi="Times New Roman" w:eastAsia="仿宋_GB2312"/>
          <w:sz w:val="32"/>
          <w:szCs w:val="32"/>
        </w:rPr>
        <w:t>万元，项目支出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991.82</w:t>
      </w:r>
      <w:r>
        <w:rPr>
          <w:rFonts w:ascii="仿宋_GB2312" w:hAnsi="Times New Roman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2.部门决算情况（含年中预算追加情况）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2022</w:t>
      </w:r>
      <w:r>
        <w:rPr>
          <w:rFonts w:ascii="仿宋_GB2312" w:hAnsi="Times New Roman" w:eastAsia="仿宋_GB2312"/>
          <w:sz w:val="32"/>
          <w:szCs w:val="32"/>
        </w:rPr>
        <w:t>年决算总收入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4515.77</w:t>
      </w:r>
      <w:r>
        <w:rPr>
          <w:rFonts w:ascii="仿宋_GB2312" w:hAnsi="Times New Roman" w:eastAsia="仿宋_GB2312"/>
          <w:sz w:val="32"/>
          <w:szCs w:val="32"/>
        </w:rPr>
        <w:t>万元，较预算增加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3120.1</w:t>
      </w:r>
      <w:r>
        <w:rPr>
          <w:rFonts w:ascii="仿宋_GB2312" w:hAnsi="Times New Roman" w:eastAsia="仿宋_GB2312"/>
          <w:sz w:val="32"/>
          <w:szCs w:val="32"/>
        </w:rPr>
        <w:t>万元，总支出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4515.77</w:t>
      </w:r>
      <w:r>
        <w:rPr>
          <w:rFonts w:ascii="仿宋_GB2312" w:hAnsi="Times New Roman" w:eastAsia="仿宋_GB2312"/>
          <w:sz w:val="32"/>
          <w:szCs w:val="32"/>
        </w:rPr>
        <w:t>万元，其中：基本支出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4197.58</w:t>
      </w:r>
      <w:r>
        <w:rPr>
          <w:rFonts w:ascii="仿宋_GB2312" w:hAnsi="Times New Roman" w:eastAsia="仿宋_GB2312"/>
          <w:sz w:val="32"/>
          <w:szCs w:val="32"/>
        </w:rPr>
        <w:t>万元，占总支出的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92.95</w:t>
      </w:r>
      <w:r>
        <w:rPr>
          <w:rFonts w:ascii="仿宋_GB2312" w:hAnsi="Times New Roman" w:eastAsia="仿宋_GB2312"/>
          <w:sz w:val="32"/>
          <w:szCs w:val="32"/>
        </w:rPr>
        <w:t>％；项目支出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318.19</w:t>
      </w:r>
      <w:r>
        <w:rPr>
          <w:rFonts w:ascii="仿宋_GB2312" w:hAnsi="Times New Roman" w:eastAsia="仿宋_GB2312"/>
          <w:sz w:val="32"/>
          <w:szCs w:val="32"/>
        </w:rPr>
        <w:t>万元，占总支出的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7.05</w:t>
      </w:r>
      <w:r>
        <w:rPr>
          <w:rFonts w:ascii="仿宋_GB2312" w:hAnsi="Times New Roman" w:eastAsia="仿宋_GB2312"/>
          <w:sz w:val="32"/>
          <w:szCs w:val="32"/>
        </w:rPr>
        <w:t>％。差异产生的主要原因是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其他资金纳入决算</w:t>
      </w:r>
      <w:r>
        <w:rPr>
          <w:rFonts w:ascii="仿宋_GB2312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（二）部门预算执行情况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.“三公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经费执行情况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2022</w:t>
      </w:r>
      <w:r>
        <w:rPr>
          <w:rFonts w:ascii="仿宋_GB2312" w:hAnsi="Times New Roman" w:eastAsia="仿宋_GB2312"/>
          <w:sz w:val="32"/>
          <w:szCs w:val="32"/>
        </w:rPr>
        <w:t>年“三公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经费预算数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14.23</w:t>
      </w:r>
      <w:r>
        <w:rPr>
          <w:rFonts w:ascii="仿宋_GB2312" w:hAnsi="Times New Roman" w:eastAsia="仿宋_GB2312"/>
          <w:sz w:val="32"/>
          <w:szCs w:val="32"/>
        </w:rPr>
        <w:t>万元，其中：因公出国（境）费</w:t>
      </w:r>
      <w:r>
        <w:rPr>
          <w:rFonts w:hint="eastAsia" w:ascii="仿宋_GB2312" w:hAnsi="Times New Roman" w:eastAsia="仿宋_GB2312"/>
          <w:sz w:val="32"/>
          <w:szCs w:val="32"/>
        </w:rPr>
        <w:t>0</w:t>
      </w:r>
      <w:r>
        <w:rPr>
          <w:rFonts w:ascii="仿宋_GB2312" w:hAnsi="Times New Roman" w:eastAsia="仿宋_GB2312"/>
          <w:sz w:val="32"/>
          <w:szCs w:val="32"/>
        </w:rPr>
        <w:t>万元，公务用车购置及运行维护费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1.87</w:t>
      </w:r>
      <w:r>
        <w:rPr>
          <w:rFonts w:ascii="仿宋_GB2312" w:hAnsi="Times New Roman" w:eastAsia="仿宋_GB2312"/>
          <w:sz w:val="32"/>
          <w:szCs w:val="32"/>
        </w:rPr>
        <w:t>万元，公务接待费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12.36</w:t>
      </w:r>
      <w:r>
        <w:rPr>
          <w:rFonts w:ascii="仿宋_GB2312" w:hAnsi="Times New Roman" w:eastAsia="仿宋_GB2312"/>
          <w:sz w:val="32"/>
          <w:szCs w:val="32"/>
        </w:rPr>
        <w:t>万元。“三公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经费决算数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14.23</w:t>
      </w:r>
      <w:r>
        <w:rPr>
          <w:rFonts w:ascii="仿宋_GB2312" w:hAnsi="Times New Roman" w:eastAsia="仿宋_GB2312"/>
          <w:sz w:val="32"/>
          <w:szCs w:val="32"/>
        </w:rPr>
        <w:t>元，其中：因公出国（境）费</w:t>
      </w:r>
      <w:r>
        <w:rPr>
          <w:rFonts w:hint="eastAsia" w:ascii="仿宋_GB2312" w:hAnsi="Times New Roman" w:eastAsia="仿宋_GB2312"/>
          <w:sz w:val="32"/>
          <w:szCs w:val="32"/>
        </w:rPr>
        <w:t>0</w:t>
      </w:r>
      <w:r>
        <w:rPr>
          <w:rFonts w:ascii="仿宋_GB2312" w:hAnsi="Times New Roman" w:eastAsia="仿宋_GB2312"/>
          <w:sz w:val="32"/>
          <w:szCs w:val="32"/>
        </w:rPr>
        <w:t>万元，公务用车运行维护费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1.87</w:t>
      </w:r>
      <w:r>
        <w:rPr>
          <w:rFonts w:ascii="仿宋_GB2312" w:hAnsi="Times New Roman" w:eastAsia="仿宋_GB2312"/>
          <w:sz w:val="32"/>
          <w:szCs w:val="32"/>
        </w:rPr>
        <w:t>万元，公务接待费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12.36</w:t>
      </w:r>
      <w:r>
        <w:rPr>
          <w:rFonts w:ascii="仿宋_GB2312" w:hAnsi="Times New Roman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</w:t>
      </w:r>
      <w:r>
        <w:rPr>
          <w:rFonts w:ascii="仿宋_GB2312" w:hAnsi="Times New Roman" w:eastAsia="仿宋_GB2312"/>
          <w:sz w:val="32"/>
          <w:szCs w:val="32"/>
        </w:rPr>
        <w:t>.政府采购执行情况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2022</w:t>
      </w:r>
      <w:r>
        <w:rPr>
          <w:rFonts w:ascii="仿宋_GB2312" w:hAnsi="Times New Roman" w:eastAsia="仿宋_GB2312"/>
          <w:sz w:val="32"/>
          <w:szCs w:val="32"/>
        </w:rPr>
        <w:t>年度政府采购支出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8.88</w:t>
      </w:r>
      <w:r>
        <w:rPr>
          <w:rFonts w:ascii="仿宋_GB2312" w:hAnsi="Times New Roman" w:eastAsia="仿宋_GB2312"/>
          <w:sz w:val="32"/>
          <w:szCs w:val="32"/>
        </w:rPr>
        <w:t>万元，其中：</w:t>
      </w:r>
      <w:r>
        <w:rPr>
          <w:rFonts w:hint="eastAsia" w:ascii="仿宋_GB2312" w:hAnsi="Times New Roman" w:eastAsia="仿宋_GB2312"/>
          <w:sz w:val="32"/>
          <w:szCs w:val="32"/>
        </w:rPr>
        <w:t>授予小微企业合同金额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8.88万元</w:t>
      </w:r>
      <w:r>
        <w:rPr>
          <w:rFonts w:ascii="仿宋_GB2312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</w:t>
      </w:r>
      <w:r>
        <w:rPr>
          <w:rFonts w:ascii="仿宋_GB2312" w:hAnsi="Times New Roman" w:eastAsia="仿宋_GB2312"/>
          <w:sz w:val="32"/>
          <w:szCs w:val="32"/>
        </w:rPr>
        <w:t>.资产管理情况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2022</w:t>
      </w:r>
      <w:r>
        <w:rPr>
          <w:rFonts w:ascii="仿宋_GB2312" w:hAnsi="Times New Roman" w:eastAsia="仿宋_GB2312"/>
          <w:sz w:val="32"/>
          <w:szCs w:val="32"/>
        </w:rPr>
        <w:t>年年末资产总额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3975.70</w:t>
      </w:r>
      <w:r>
        <w:rPr>
          <w:rFonts w:ascii="仿宋_GB2312" w:hAnsi="Times New Roman" w:eastAsia="仿宋_GB2312"/>
          <w:sz w:val="32"/>
          <w:szCs w:val="32"/>
        </w:rPr>
        <w:t>万元，负债总额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2757.96</w:t>
      </w:r>
      <w:r>
        <w:rPr>
          <w:rFonts w:ascii="仿宋_GB2312" w:hAnsi="Times New Roman" w:eastAsia="仿宋_GB2312"/>
          <w:sz w:val="32"/>
          <w:szCs w:val="32"/>
        </w:rPr>
        <w:t>万元，净资产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1217.74</w:t>
      </w:r>
      <w:r>
        <w:rPr>
          <w:rFonts w:ascii="仿宋_GB2312" w:hAnsi="Times New Roman" w:eastAsia="仿宋_GB2312"/>
          <w:sz w:val="32"/>
          <w:szCs w:val="32"/>
        </w:rPr>
        <w:t>万元。截至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2022</w:t>
      </w:r>
      <w:r>
        <w:rPr>
          <w:rFonts w:ascii="仿宋_GB2312" w:hAnsi="Times New Roman" w:eastAsia="仿宋_GB2312"/>
          <w:sz w:val="32"/>
          <w:szCs w:val="32"/>
        </w:rPr>
        <w:t>年12月31日，固定资产账面原值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165.86</w:t>
      </w:r>
      <w:r>
        <w:rPr>
          <w:rFonts w:ascii="仿宋_GB2312" w:hAnsi="Times New Roman" w:eastAsia="仿宋_GB2312"/>
          <w:sz w:val="32"/>
          <w:szCs w:val="32"/>
        </w:rPr>
        <w:t>万元，在用资产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165.86</w:t>
      </w:r>
      <w:r>
        <w:rPr>
          <w:rFonts w:ascii="仿宋_GB2312" w:hAnsi="Times New Roman" w:eastAsia="仿宋_GB2312"/>
          <w:sz w:val="32"/>
          <w:szCs w:val="32"/>
        </w:rPr>
        <w:t>万元，资产使用率</w:t>
      </w:r>
      <w:r>
        <w:rPr>
          <w:rFonts w:hint="eastAsia" w:ascii="仿宋_GB2312" w:hAnsi="Times New Roman" w:eastAsia="仿宋_GB2312"/>
          <w:sz w:val="32"/>
          <w:szCs w:val="32"/>
        </w:rPr>
        <w:t>100</w:t>
      </w:r>
      <w:r>
        <w:rPr>
          <w:rFonts w:ascii="仿宋_GB2312" w:hAnsi="Times New Roman" w:eastAsia="仿宋_GB2312"/>
          <w:sz w:val="32"/>
          <w:szCs w:val="32"/>
        </w:rPr>
        <w:t>%。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三、部门整体支出绩效情况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（一）综合评价结论。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年对照《</w:t>
      </w:r>
      <w:r>
        <w:rPr>
          <w:rFonts w:hint="eastAsia" w:ascii="仿宋_GB2312" w:eastAsia="仿宋_GB2312"/>
          <w:sz w:val="32"/>
          <w:szCs w:val="32"/>
          <w:lang w:eastAsia="zh-CN"/>
        </w:rPr>
        <w:t>库宗桥</w:t>
      </w:r>
      <w:r>
        <w:rPr>
          <w:rFonts w:hint="eastAsia" w:ascii="仿宋_GB2312" w:eastAsia="仿宋_GB2312"/>
          <w:sz w:val="32"/>
          <w:szCs w:val="32"/>
        </w:rPr>
        <w:t>镇人民政府</w:t>
      </w: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年度部门整体支出绩效评价指标评分表》等方面具体指标综合评分，得分为9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分，综合评价等级分为优秀。</w:t>
      </w:r>
    </w:p>
    <w:p>
      <w:pPr>
        <w:pStyle w:val="9"/>
        <w:widowControl/>
        <w:spacing w:line="60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评价指标分析。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1.部门资金情况总分1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分，得分1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分。年度资金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3168.02</w:t>
      </w:r>
      <w:r>
        <w:rPr>
          <w:rFonts w:hint="eastAsia" w:ascii="仿宋_GB2312" w:eastAsia="仿宋_GB2312"/>
          <w:sz w:val="32"/>
          <w:szCs w:val="32"/>
        </w:rPr>
        <w:t>万元，执行率为1</w:t>
      </w:r>
      <w:r>
        <w:rPr>
          <w:rFonts w:ascii="仿宋_GB2312" w:eastAsia="仿宋_GB2312"/>
          <w:sz w:val="32"/>
          <w:szCs w:val="32"/>
        </w:rPr>
        <w:t>00%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2.产出指标总分为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>分，得分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（1）数量指标2个均已完成指标值。落实2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个村（社区）数的粮食生产战略；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12734</w:t>
      </w:r>
      <w:r>
        <w:rPr>
          <w:rFonts w:hint="eastAsia" w:ascii="仿宋_GB2312" w:eastAsia="仿宋_GB2312"/>
          <w:sz w:val="32"/>
          <w:szCs w:val="32"/>
        </w:rPr>
        <w:t>户一卡通惠农补贴及时发放。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）质量指标2个均已完成指标值。</w:t>
      </w:r>
      <w:r>
        <w:rPr>
          <w:rFonts w:hint="eastAsia" w:ascii="仿宋_GB2312" w:eastAsia="仿宋_GB2312"/>
          <w:sz w:val="32"/>
          <w:szCs w:val="32"/>
          <w:lang w:eastAsia="zh-CN"/>
        </w:rPr>
        <w:t>全镇推广棉花种植面积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2000余亩，完成早稻面积15545亩。</w:t>
      </w:r>
      <w:r>
        <w:rPr>
          <w:rFonts w:hint="eastAsia" w:ascii="仿宋_GB2312" w:eastAsia="仿宋_GB2312"/>
          <w:sz w:val="32"/>
          <w:szCs w:val="32"/>
        </w:rPr>
        <w:t>一卡通惠农资金准确发放率100%。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时效指标1个已完成指标值。工作按时办结100%</w:t>
      </w:r>
    </w:p>
    <w:p>
      <w:pPr>
        <w:pStyle w:val="9"/>
        <w:widowControl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3.效益指标总分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分，得分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pStyle w:val="9"/>
        <w:widowControl/>
        <w:spacing w:line="60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（1）经济效益指标</w:t>
      </w:r>
      <w:r>
        <w:rPr>
          <w:rFonts w:hint="eastAsia" w:ascii="仿宋_GB2312" w:hAnsi="Times New Roman" w:eastAsia="仿宋_GB2312"/>
          <w:sz w:val="32"/>
          <w:szCs w:val="32"/>
        </w:rPr>
        <w:t>2个均已完成指标值</w:t>
      </w:r>
      <w:r>
        <w:rPr>
          <w:rFonts w:hint="eastAsia" w:ascii="仿宋_GB2312" w:eastAsia="仿宋_GB2312"/>
          <w:sz w:val="32"/>
          <w:szCs w:val="32"/>
          <w:lang w:eastAsia="zh-CN"/>
        </w:rPr>
        <w:t>。我镇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2022年成功举办湖南省第三届油菜花节和9.23农民丰收节，吸引游客33万余人，创收3000余万元，启动了虎形山生态公园建设项目，项目投资2亿元，该项目已成功立项，正在建设中。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（2）社会效益指标2个均已完成指标值。特殊及困难人群的基本生活有所保障；稳步提升城镇化水平，提高居民生活幸福指数。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（3）生态效益指标完成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Times New Roman" w:eastAsia="仿宋_GB2312"/>
          <w:sz w:val="32"/>
          <w:szCs w:val="32"/>
        </w:rPr>
        <w:t>指标值。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/>
          <w:sz w:val="32"/>
          <w:szCs w:val="32"/>
        </w:rPr>
        <w:t>年我镇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全民义务植树活动种植各类花草树木5.7万株，铺设草坪1.3万平方米。镇区人均公共绿地面积增加到6.2平方米，覆盖率达到26.2%。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（4）可持续影响指标1个已完成指标值。增强了政府的服务职能，提高了办事效率和政府公信力；坚持统筹城乡发展、稳步发展战略。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4.满意度指标总分为10分，得分10分。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/>
          <w:sz w:val="32"/>
          <w:szCs w:val="32"/>
        </w:rPr>
        <w:t>年度工作中，我镇坚持“以民为本”的工作理念，干部职工满意度100%，社会公众或服务对象满意度95%，均已完成指标值。</w:t>
      </w:r>
    </w:p>
    <w:p>
      <w:pPr>
        <w:pStyle w:val="2"/>
        <w:tabs>
          <w:tab w:val="left" w:pos="312"/>
        </w:tabs>
        <w:ind w:left="640"/>
        <w:rPr>
          <w:rFonts w:ascii="仿宋_GB2312" w:hAnsi="Times New Roman" w:eastAsia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5.成本指标</w:t>
      </w:r>
      <w:r>
        <w:rPr>
          <w:rFonts w:ascii="仿宋_GB2312" w:hAnsi="Times New Roman" w:eastAsia="仿宋_GB2312"/>
          <w:b w:val="0"/>
          <w:kern w:val="2"/>
          <w:sz w:val="32"/>
          <w:szCs w:val="32"/>
        </w:rPr>
        <w:t>20</w:t>
      </w: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分，得分1</w:t>
      </w:r>
      <w:r>
        <w:rPr>
          <w:rFonts w:hint="eastAsia" w:ascii="仿宋_GB2312" w:hAnsi="Times New Roman" w:eastAsia="仿宋_GB2312"/>
          <w:b w:val="0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分。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Times New Roman" w:eastAsia="仿宋_GB2312"/>
          <w:sz w:val="32"/>
          <w:szCs w:val="32"/>
        </w:rPr>
        <w:t>年的工作中，我镇严格按照预算指标执行，但由于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业务量增加，人员变动。</w:t>
      </w:r>
      <w:r>
        <w:rPr>
          <w:rFonts w:hint="eastAsia" w:ascii="仿宋_GB2312" w:hAnsi="Times New Roman" w:eastAsia="仿宋_GB2312"/>
          <w:sz w:val="32"/>
          <w:szCs w:val="32"/>
        </w:rPr>
        <w:t>年中预算有调整，公用经费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、人员经费</w:t>
      </w:r>
      <w:r>
        <w:rPr>
          <w:rFonts w:hint="eastAsia" w:ascii="仿宋_GB2312" w:hAnsi="Times New Roman" w:eastAsia="仿宋_GB2312"/>
          <w:sz w:val="32"/>
          <w:szCs w:val="32"/>
        </w:rPr>
        <w:t>部分支出突破预算，导致超支预算，该项指标扣3分；全年我镇严格控制三公经费支出，三公经费没有突破预算，完成了指标值。</w:t>
      </w:r>
    </w:p>
    <w:p>
      <w:pPr>
        <w:pStyle w:val="9"/>
        <w:widowControl/>
        <w:spacing w:line="60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、项目绩效目标完成情况</w:t>
      </w: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9"/>
        <w:widowControl/>
        <w:spacing w:line="60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五、</w:t>
      </w:r>
      <w:r>
        <w:rPr>
          <w:rFonts w:eastAsia="黑体"/>
          <w:sz w:val="32"/>
          <w:szCs w:val="32"/>
        </w:rPr>
        <w:t>存在问题原因分析</w:t>
      </w:r>
      <w:r>
        <w:rPr>
          <w:rFonts w:hint="eastAsia" w:eastAsia="黑体"/>
          <w:sz w:val="32"/>
          <w:szCs w:val="32"/>
        </w:rPr>
        <w:t>及</w:t>
      </w:r>
      <w:r>
        <w:rPr>
          <w:rFonts w:eastAsia="黑体"/>
          <w:sz w:val="32"/>
          <w:szCs w:val="32"/>
        </w:rPr>
        <w:t>改进措施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1.预算编制不够明确和细化，预算编制的合理性需要提高，预算执行力度还要进一步加强。资金使用效益有待进一步提高，绩效目标设立不够明确、细化和量化。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2.因业务水平有限，年初预算的编制支出类别上理解不够，比如基本支出和项目支出，在日常业务操作时容易出错。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3.“三公经费”控制不足，有超支风险。</w:t>
      </w:r>
    </w:p>
    <w:p>
      <w:pPr>
        <w:widowControl/>
        <w:spacing w:line="600" w:lineRule="exact"/>
        <w:ind w:firstLine="645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（二）原因分析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1.对预算管理的学习和理解不够透彻。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2.“三公经费”控制有一定难度，基本为刚性支出。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3.财务制度方面不够规范、人员分工不明等原因造成的财务工作的拖延和滞后。</w:t>
      </w:r>
    </w:p>
    <w:p>
      <w:pPr>
        <w:pStyle w:val="2"/>
        <w:ind w:firstLine="642"/>
        <w:rPr>
          <w:rFonts w:ascii="仿宋_GB2312" w:hAnsi="Times New Roman" w:eastAsia="仿宋_GB2312"/>
          <w:b w:val="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kern w:val="2"/>
          <w:sz w:val="32"/>
          <w:szCs w:val="32"/>
        </w:rPr>
        <w:t>（三）下一步改进措施</w:t>
      </w:r>
    </w:p>
    <w:p>
      <w:pPr>
        <w:ind w:firstLine="739" w:firstLineChars="231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细化预算编制工作，认真做好预算的编制。进一步加强内设机构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加强财务管理，严格财务审核。加强单位财务管理，健全单位财务管理制度体系，规范单位财务行为。在费用报账支付时，按照预算规定的费用项目和用途进行资金使用审核、财务严格核算，杜绝超支现象的发生</w:t>
      </w:r>
    </w:p>
    <w:p>
      <w:pPr>
        <w:ind w:firstLine="739" w:firstLineChars="231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完善资产管理，抓好"三公经费"控制。严格编制政府采购年初预算和计划，规范各类资产的购置审批制度、资产采购制度、使用管理制度、资产处置和报废审批制度、资产管理岗位职责制度等，加强单位内部的资产管理工作。提升会计信息化水平，进一步规范和加强各类资产的会计核算，夯实资产核算的各项基础工作，强化资产账实相符，确保资产信息的全面性、完整性和准确性。严格控制"三公经费"的规模和比例，把关"三公经费"支出的审核、审批，杜绝挪用和挤占其他预算资金行为；进一步细化"三公经费"的管理，合理压缩"三公经费"支出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4.完善岗位设置，配备财政队伍，并对相关财务人员进一步加强学习，特别要针对《预算法》、《新政府会计制度》学习，规范部门预算收支核算，切实提高部门预算管理水平。</w:t>
      </w:r>
    </w:p>
    <w:p>
      <w:pPr>
        <w:widowControl/>
        <w:numPr>
          <w:ilvl w:val="0"/>
          <w:numId w:val="3"/>
        </w:numPr>
        <w:spacing w:line="600" w:lineRule="exact"/>
        <w:ind w:left="64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其他需要说明的情况</w:t>
      </w: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9"/>
        <w:widowControl/>
        <w:spacing w:line="600" w:lineRule="exact"/>
        <w:ind w:left="640"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9"/>
        <w:widowControl/>
        <w:spacing w:line="600" w:lineRule="exact"/>
        <w:ind w:left="640" w:firstLine="0" w:firstLineChars="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衡阳县库宗桥镇人民政府</w:t>
      </w:r>
    </w:p>
    <w:p>
      <w:pPr>
        <w:pStyle w:val="9"/>
        <w:widowControl/>
        <w:spacing w:line="600" w:lineRule="exact"/>
        <w:ind w:left="640" w:firstLine="0" w:firstLineChars="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年5月14日</w:t>
      </w:r>
    </w:p>
    <w:p>
      <w:pPr>
        <w:pStyle w:val="9"/>
        <w:widowControl/>
        <w:spacing w:line="600" w:lineRule="exact"/>
        <w:ind w:left="640" w:firstLine="0" w:firstLineChars="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D30820"/>
    <w:multiLevelType w:val="singleLevel"/>
    <w:tmpl w:val="9FD308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BC765B6"/>
    <w:multiLevelType w:val="singleLevel"/>
    <w:tmpl w:val="BBC765B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156304"/>
    <w:multiLevelType w:val="multilevel"/>
    <w:tmpl w:val="3B156304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jFmYjExZDk2OGQ1OGE4MzJkNmI5MTAyODJjODcifQ=="/>
  </w:docVars>
  <w:rsids>
    <w:rsidRoot w:val="4C43681B"/>
    <w:rsid w:val="001A2EC3"/>
    <w:rsid w:val="00313139"/>
    <w:rsid w:val="003309A5"/>
    <w:rsid w:val="00373D9C"/>
    <w:rsid w:val="00483D66"/>
    <w:rsid w:val="00592AAA"/>
    <w:rsid w:val="005B6ECC"/>
    <w:rsid w:val="005C223B"/>
    <w:rsid w:val="00602F6B"/>
    <w:rsid w:val="00653BF4"/>
    <w:rsid w:val="007561CB"/>
    <w:rsid w:val="00765A39"/>
    <w:rsid w:val="008A7E7B"/>
    <w:rsid w:val="00A67B32"/>
    <w:rsid w:val="00C57D15"/>
    <w:rsid w:val="00C6489E"/>
    <w:rsid w:val="00C709FD"/>
    <w:rsid w:val="00C979A0"/>
    <w:rsid w:val="00CE5AE9"/>
    <w:rsid w:val="00DB32D5"/>
    <w:rsid w:val="00DF3643"/>
    <w:rsid w:val="00EA6BF6"/>
    <w:rsid w:val="00ED338C"/>
    <w:rsid w:val="00F70A68"/>
    <w:rsid w:val="00FB12C3"/>
    <w:rsid w:val="00FE202D"/>
    <w:rsid w:val="02D67969"/>
    <w:rsid w:val="068B5B47"/>
    <w:rsid w:val="09146FE7"/>
    <w:rsid w:val="10DF4B81"/>
    <w:rsid w:val="11C95E3A"/>
    <w:rsid w:val="14B178C7"/>
    <w:rsid w:val="1A086B2F"/>
    <w:rsid w:val="1DE275E2"/>
    <w:rsid w:val="1DEF1689"/>
    <w:rsid w:val="1DEF3337"/>
    <w:rsid w:val="1E4D4E74"/>
    <w:rsid w:val="1E6E543A"/>
    <w:rsid w:val="22155519"/>
    <w:rsid w:val="223165BD"/>
    <w:rsid w:val="22674BBC"/>
    <w:rsid w:val="25B739C8"/>
    <w:rsid w:val="26FB2636"/>
    <w:rsid w:val="27DA3663"/>
    <w:rsid w:val="2A2A1053"/>
    <w:rsid w:val="2A6D41ED"/>
    <w:rsid w:val="2B854A2B"/>
    <w:rsid w:val="2BDB7330"/>
    <w:rsid w:val="34A72A00"/>
    <w:rsid w:val="369025F6"/>
    <w:rsid w:val="37EC26F5"/>
    <w:rsid w:val="3C0B6651"/>
    <w:rsid w:val="3D0160AB"/>
    <w:rsid w:val="3E0A0853"/>
    <w:rsid w:val="3E2D187A"/>
    <w:rsid w:val="41330089"/>
    <w:rsid w:val="443D1D4E"/>
    <w:rsid w:val="4C43681B"/>
    <w:rsid w:val="4C923160"/>
    <w:rsid w:val="4E54656B"/>
    <w:rsid w:val="515651ED"/>
    <w:rsid w:val="519A5C81"/>
    <w:rsid w:val="54322682"/>
    <w:rsid w:val="55944FFF"/>
    <w:rsid w:val="58EA42F7"/>
    <w:rsid w:val="592917C1"/>
    <w:rsid w:val="5DDF7AE8"/>
    <w:rsid w:val="60067FC1"/>
    <w:rsid w:val="60A52F4C"/>
    <w:rsid w:val="6778080A"/>
    <w:rsid w:val="687115B5"/>
    <w:rsid w:val="6C2E7CD3"/>
    <w:rsid w:val="6CB461FC"/>
    <w:rsid w:val="6DC431FB"/>
    <w:rsid w:val="6F795A80"/>
    <w:rsid w:val="776C076D"/>
    <w:rsid w:val="7B88713B"/>
    <w:rsid w:val="7FA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ascii="微软雅黑" w:hAnsi="微软雅黑" w:eastAsia="微软雅黑"/>
      <w:b/>
      <w:kern w:val="44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adjustRightInd w:val="0"/>
      <w:snapToGrid w:val="0"/>
      <w:spacing w:beforeLines="50"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10">
    <w:name w:val="列出段落2"/>
    <w:basedOn w:val="1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379</Words>
  <Characters>2166</Characters>
  <Lines>18</Lines>
  <Paragraphs>5</Paragraphs>
  <TotalTime>32</TotalTime>
  <ScaleCrop>false</ScaleCrop>
  <LinksUpToDate>false</LinksUpToDate>
  <CharactersWithSpaces>2540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2024-03-05T00:23:00Z</dcterms:created>
  <dc:creator>Administrator</dc:creator>
  <cp:lastModifiedBy>Administrator</cp:lastModifiedBy>
  <cp:lastPrinted>2024-05-14T08:48:00Z</cp:lastPrinted>
  <dcterms:modified xsi:type="dcterms:W3CDTF">2024-05-24T03:50:11Z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02D5061B768C420784F0E3588E6A3D0A</vt:lpwstr>
  </property>
</Properties>
</file>