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60" w:firstLineChars="200"/>
        <w:rPr>
          <w:rFonts w:hint="eastAsia"/>
          <w:sz w:val="38"/>
          <w:lang w:val="en-US" w:eastAsia="zh-CN"/>
        </w:rPr>
      </w:pPr>
    </w:p>
    <w:p>
      <w:pPr>
        <w:ind w:firstLine="760" w:firstLineChars="200"/>
        <w:rPr>
          <w:rFonts w:hint="eastAsia"/>
          <w:sz w:val="38"/>
          <w:lang w:val="en-US" w:eastAsia="zh-CN"/>
        </w:rPr>
      </w:pPr>
    </w:p>
    <w:p>
      <w:pPr>
        <w:rPr>
          <w:rFonts w:hint="eastAsia"/>
          <w:sz w:val="38"/>
          <w:lang w:val="en-US" w:eastAsia="zh-CN"/>
        </w:rPr>
      </w:pPr>
    </w:p>
    <w:p>
      <w:pPr>
        <w:rPr>
          <w:rFonts w:hint="eastAsia"/>
          <w:sz w:val="38"/>
          <w:lang w:val="en-US" w:eastAsia="zh-CN"/>
        </w:rPr>
      </w:pPr>
    </w:p>
    <w:p>
      <w:pPr>
        <w:ind w:firstLine="760" w:firstLineChars="200"/>
        <w:jc w:val="center"/>
        <w:rPr>
          <w:rFonts w:hint="eastAsia" w:ascii="宋体" w:hAnsi="宋体" w:eastAsia="宋体" w:cs="宋体"/>
          <w:b/>
          <w:color w:val="000000"/>
          <w:kern w:val="0"/>
          <w:sz w:val="28"/>
          <w:szCs w:val="28"/>
          <w:shd w:val="clear" w:color="auto" w:fill="FFFFFF"/>
        </w:rPr>
      </w:pPr>
      <w:r>
        <w:rPr>
          <w:rFonts w:hint="eastAsia"/>
          <w:b w:val="0"/>
          <w:bCs w:val="0"/>
          <w:sz w:val="38"/>
          <w:lang w:val="en-US" w:eastAsia="zh-CN"/>
        </w:rPr>
        <w:t>2022</w:t>
      </w:r>
      <w:r>
        <w:rPr>
          <w:b w:val="0"/>
          <w:bCs w:val="0"/>
          <w:sz w:val="38"/>
        </w:rPr>
        <w:t>年度</w:t>
      </w:r>
      <w:r>
        <w:rPr>
          <w:rFonts w:hint="eastAsia"/>
          <w:b w:val="0"/>
          <w:bCs w:val="0"/>
          <w:sz w:val="38"/>
          <w:lang w:val="en-US" w:eastAsia="zh-CN"/>
        </w:rPr>
        <w:t>网信办</w:t>
      </w:r>
      <w:r>
        <w:rPr>
          <w:b w:val="0"/>
          <w:bCs w:val="0"/>
          <w:sz w:val="38"/>
        </w:rPr>
        <w:t>整体支出绩效自评报告
</w:t>
      </w:r>
    </w:p>
    <w:p>
      <w:pPr>
        <w:widowControl/>
        <w:shd w:val="clear" w:color="auto" w:fill="FFFFFF"/>
        <w:spacing w:line="480" w:lineRule="atLeast"/>
        <w:ind w:firstLine="643" w:firstLineChars="200"/>
        <w:jc w:val="left"/>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shd w:val="clear" w:color="auto" w:fill="FFFFFF"/>
        </w:rPr>
        <w:t>一、部门（单位）</w:t>
      </w:r>
      <w:r>
        <w:rPr>
          <w:rFonts w:hint="eastAsia" w:ascii="黑体" w:hAnsi="黑体" w:eastAsia="黑体" w:cs="黑体"/>
          <w:b/>
          <w:color w:val="000000"/>
          <w:kern w:val="0"/>
          <w:sz w:val="32"/>
          <w:szCs w:val="32"/>
        </w:rPr>
        <w:t>基本情况</w:t>
      </w:r>
    </w:p>
    <w:p>
      <w:pPr>
        <w:widowControl/>
        <w:shd w:val="clear" w:color="auto" w:fill="FFFFFF"/>
        <w:spacing w:line="480" w:lineRule="atLeast"/>
        <w:ind w:firstLine="643" w:firstLineChars="200"/>
        <w:jc w:val="left"/>
        <w:rPr>
          <w:rFonts w:hint="eastAsia" w:ascii="宋体" w:hAnsi="宋体" w:eastAsia="宋体" w:cs="宋体"/>
          <w:b/>
          <w:color w:val="000000"/>
          <w:kern w:val="0"/>
          <w:sz w:val="32"/>
          <w:szCs w:val="32"/>
          <w:lang w:val="en-US" w:eastAsia="zh-CN"/>
        </w:rPr>
      </w:pPr>
      <w:r>
        <w:rPr>
          <w:rFonts w:hint="eastAsia" w:ascii="宋体" w:hAnsi="宋体" w:eastAsia="宋体" w:cs="宋体"/>
          <w:b/>
          <w:color w:val="000000"/>
          <w:kern w:val="0"/>
          <w:sz w:val="32"/>
          <w:szCs w:val="32"/>
          <w:lang w:eastAsia="zh-CN"/>
        </w:rPr>
        <w:t>（</w:t>
      </w:r>
      <w:r>
        <w:rPr>
          <w:rFonts w:hint="eastAsia" w:ascii="宋体" w:hAnsi="宋体" w:eastAsia="宋体" w:cs="宋体"/>
          <w:b/>
          <w:color w:val="000000"/>
          <w:kern w:val="0"/>
          <w:sz w:val="32"/>
          <w:szCs w:val="32"/>
          <w:lang w:val="en-US" w:eastAsia="zh-CN"/>
        </w:rPr>
        <w:t>一</w:t>
      </w:r>
      <w:r>
        <w:rPr>
          <w:rFonts w:hint="eastAsia" w:ascii="宋体" w:hAnsi="宋体" w:eastAsia="宋体" w:cs="宋体"/>
          <w:b/>
          <w:color w:val="000000"/>
          <w:kern w:val="0"/>
          <w:sz w:val="32"/>
          <w:szCs w:val="32"/>
          <w:lang w:eastAsia="zh-CN"/>
        </w:rPr>
        <w:t>）</w:t>
      </w:r>
      <w:r>
        <w:rPr>
          <w:rFonts w:hint="eastAsia" w:ascii="宋体" w:hAnsi="宋体" w:eastAsia="宋体" w:cs="宋体"/>
          <w:b/>
          <w:color w:val="000000"/>
          <w:kern w:val="0"/>
          <w:sz w:val="32"/>
          <w:szCs w:val="32"/>
          <w:lang w:val="en-US" w:eastAsia="zh-CN"/>
        </w:rPr>
        <w:t>机构设置情况</w:t>
      </w:r>
    </w:p>
    <w:p>
      <w:pPr>
        <w:widowControl/>
        <w:shd w:val="clear" w:color="auto" w:fill="FFFFFF"/>
        <w:spacing w:line="480" w:lineRule="atLeast"/>
        <w:ind w:firstLine="643" w:firstLineChars="200"/>
        <w:jc w:val="left"/>
        <w:rPr>
          <w:rFonts w:hint="eastAsia" w:ascii="仿宋" w:hAnsi="仿宋" w:eastAsia="仿宋"/>
          <w:color w:val="333333"/>
          <w:kern w:val="0"/>
          <w:sz w:val="30"/>
          <w:lang w:val="en-US" w:eastAsia="zh-CN"/>
        </w:rPr>
      </w:pPr>
      <w:r>
        <w:rPr>
          <w:rFonts w:hint="eastAsia" w:ascii="宋体" w:hAnsi="宋体" w:eastAsia="宋体" w:cs="宋体"/>
          <w:b/>
          <w:color w:val="000000"/>
          <w:kern w:val="0"/>
          <w:sz w:val="32"/>
          <w:szCs w:val="32"/>
          <w:lang w:val="en-US" w:eastAsia="zh-CN"/>
        </w:rPr>
        <w:t xml:space="preserve"> </w:t>
      </w:r>
      <w:r>
        <w:rPr>
          <w:rFonts w:hint="eastAsia" w:ascii="仿宋" w:hAnsi="仿宋" w:eastAsia="仿宋" w:cs="仿宋"/>
          <w:b w:val="0"/>
          <w:bCs/>
          <w:color w:val="000000"/>
          <w:kern w:val="0"/>
          <w:sz w:val="32"/>
          <w:szCs w:val="32"/>
          <w:lang w:val="en-US" w:eastAsia="zh-CN"/>
        </w:rPr>
        <w:t>中共衡阳县委网络安全和信息化委员会办公室（以下简称网信办）是2019年成立的正科级党务机关单位，下设一个</w:t>
      </w:r>
      <w:r>
        <w:rPr>
          <w:rFonts w:ascii="仿宋" w:hAnsi="仿宋" w:eastAsia="仿宋"/>
          <w:color w:val="333333"/>
          <w:kern w:val="0"/>
          <w:sz w:val="30"/>
        </w:rPr>
        <w:t>全额拨款事业单位</w:t>
      </w:r>
      <w:r>
        <w:rPr>
          <w:rFonts w:hint="eastAsia" w:ascii="仿宋" w:hAnsi="仿宋" w:eastAsia="仿宋"/>
          <w:color w:val="333333"/>
          <w:kern w:val="0"/>
          <w:sz w:val="30"/>
          <w:lang w:val="en-US" w:eastAsia="zh-CN"/>
        </w:rPr>
        <w:t>--衡阳县舆情监测中心。</w:t>
      </w:r>
    </w:p>
    <w:p>
      <w:pPr>
        <w:widowControl/>
        <w:shd w:val="clear" w:color="auto" w:fill="FFFFFF"/>
        <w:spacing w:line="480" w:lineRule="atLeast"/>
        <w:ind w:firstLine="643" w:firstLineChars="200"/>
        <w:jc w:val="left"/>
        <w:rPr>
          <w:rFonts w:hint="eastAsia" w:ascii="宋体" w:hAnsi="宋体" w:eastAsia="宋体" w:cs="宋体"/>
          <w:b/>
          <w:color w:val="000000"/>
          <w:kern w:val="0"/>
          <w:sz w:val="32"/>
          <w:szCs w:val="32"/>
          <w:lang w:val="en-US" w:eastAsia="zh-CN"/>
        </w:rPr>
      </w:pPr>
      <w:r>
        <w:rPr>
          <w:rFonts w:hint="eastAsia" w:ascii="宋体" w:hAnsi="宋体" w:eastAsia="宋体" w:cs="宋体"/>
          <w:b/>
          <w:color w:val="000000"/>
          <w:kern w:val="0"/>
          <w:sz w:val="32"/>
          <w:szCs w:val="32"/>
          <w:lang w:val="en-US" w:eastAsia="zh-CN"/>
        </w:rPr>
        <w:t>（二）人员编制情况</w:t>
      </w:r>
    </w:p>
    <w:p>
      <w:pPr>
        <w:widowControl/>
        <w:shd w:val="clear" w:color="auto" w:fill="FFFFFF"/>
        <w:spacing w:line="480" w:lineRule="atLeast"/>
        <w:ind w:firstLine="600" w:firstLineChars="200"/>
        <w:jc w:val="left"/>
        <w:rPr>
          <w:rFonts w:hint="default" w:ascii="仿宋" w:hAnsi="仿宋" w:eastAsia="仿宋"/>
          <w:color w:val="333333"/>
          <w:kern w:val="0"/>
          <w:sz w:val="30"/>
          <w:lang w:val="en-US" w:eastAsia="zh-CN"/>
        </w:rPr>
      </w:pPr>
      <w:r>
        <w:rPr>
          <w:rFonts w:hint="eastAsia" w:ascii="仿宋" w:hAnsi="仿宋" w:eastAsia="仿宋"/>
          <w:color w:val="333333"/>
          <w:kern w:val="0"/>
          <w:sz w:val="30"/>
          <w:lang w:val="en-US" w:eastAsia="zh-CN"/>
        </w:rPr>
        <w:t>网信办共</w:t>
      </w:r>
      <w:r>
        <w:rPr>
          <w:rFonts w:ascii="仿宋" w:hAnsi="仿宋" w:eastAsia="仿宋"/>
          <w:color w:val="333333"/>
          <w:kern w:val="0"/>
          <w:sz w:val="30"/>
        </w:rPr>
        <w:t>有行政编制</w:t>
      </w:r>
      <w:r>
        <w:rPr>
          <w:rFonts w:hint="eastAsia" w:ascii="仿宋" w:hAnsi="仿宋" w:eastAsia="仿宋"/>
          <w:color w:val="333333"/>
          <w:kern w:val="0"/>
          <w:sz w:val="30"/>
          <w:lang w:val="en-US" w:eastAsia="zh-CN"/>
        </w:rPr>
        <w:t>10</w:t>
      </w:r>
      <w:r>
        <w:rPr>
          <w:rFonts w:ascii="仿宋" w:hAnsi="仿宋" w:eastAsia="仿宋"/>
          <w:color w:val="333333"/>
          <w:kern w:val="0"/>
          <w:sz w:val="30"/>
        </w:rPr>
        <w:t>个</w:t>
      </w:r>
      <w:r>
        <w:rPr>
          <w:rFonts w:hint="eastAsia" w:ascii="仿宋" w:hAnsi="仿宋" w:eastAsia="仿宋"/>
          <w:color w:val="333333"/>
          <w:kern w:val="0"/>
          <w:sz w:val="30"/>
          <w:lang w:eastAsia="zh-CN"/>
        </w:rPr>
        <w:t>，</w:t>
      </w:r>
      <w:r>
        <w:rPr>
          <w:rFonts w:hint="eastAsia" w:ascii="仿宋" w:hAnsi="仿宋" w:eastAsia="仿宋"/>
          <w:color w:val="333333"/>
          <w:kern w:val="0"/>
          <w:sz w:val="30"/>
          <w:lang w:val="en-US" w:eastAsia="zh-CN"/>
        </w:rPr>
        <w:t>事业编制9个。2022年度在职人员12人，退休0人。</w:t>
      </w:r>
    </w:p>
    <w:p>
      <w:pPr>
        <w:widowControl/>
        <w:shd w:val="clear" w:color="auto" w:fill="FFFFFF"/>
        <w:spacing w:line="480" w:lineRule="atLeast"/>
        <w:ind w:firstLine="643" w:firstLineChars="200"/>
        <w:jc w:val="left"/>
        <w:rPr>
          <w:rFonts w:hint="eastAsia" w:ascii="宋体" w:hAnsi="宋体" w:eastAsia="宋体" w:cs="宋体"/>
          <w:b/>
          <w:color w:val="000000"/>
          <w:kern w:val="0"/>
          <w:sz w:val="32"/>
          <w:szCs w:val="32"/>
          <w:lang w:val="en-US" w:eastAsia="zh-CN"/>
        </w:rPr>
      </w:pPr>
      <w:r>
        <w:rPr>
          <w:rFonts w:hint="eastAsia" w:ascii="宋体" w:hAnsi="宋体" w:eastAsia="宋体" w:cs="宋体"/>
          <w:b/>
          <w:color w:val="000000"/>
          <w:kern w:val="0"/>
          <w:sz w:val="32"/>
          <w:szCs w:val="32"/>
          <w:lang w:val="en-US" w:eastAsia="zh-CN"/>
        </w:rPr>
        <w:t>（三）主要职能职责</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color w:val="000000"/>
          <w:kern w:val="0"/>
          <w:sz w:val="32"/>
          <w:szCs w:val="32"/>
          <w:lang w:val="en-US" w:eastAsia="zh-CN"/>
        </w:rPr>
      </w:pPr>
      <w:r>
        <w:rPr>
          <w:rFonts w:hint="eastAsia" w:ascii="仿宋" w:hAnsi="仿宋" w:eastAsia="仿宋" w:cs="仿宋"/>
          <w:sz w:val="28"/>
          <w:szCs w:val="28"/>
          <w:lang w:val="en-US" w:eastAsia="zh-CN"/>
        </w:rPr>
        <w:t>网信办是主要负责协调处理网络安全和信息化重大突发事件与有关应急工作。统筹协调组织互联网宣传管理和舆论引导工作；组织开展网络舆论生态治理，处置有害信息。负责指导协调全县网络舆情信息工作。推动全县网络阵地建设。</w:t>
      </w:r>
    </w:p>
    <w:p>
      <w:pPr>
        <w:widowControl/>
        <w:shd w:val="clear" w:color="auto" w:fill="FFFFFF"/>
        <w:spacing w:line="480" w:lineRule="atLeast"/>
        <w:ind w:firstLine="643" w:firstLineChars="200"/>
        <w:jc w:val="left"/>
        <w:rPr>
          <w:rFonts w:hint="eastAsia" w:ascii="宋体" w:hAnsi="宋体" w:eastAsia="宋体" w:cs="宋体"/>
          <w:b/>
          <w:color w:val="000000"/>
          <w:kern w:val="0"/>
          <w:sz w:val="32"/>
          <w:szCs w:val="32"/>
          <w:lang w:val="en-US" w:eastAsia="zh-CN"/>
        </w:rPr>
      </w:pPr>
      <w:r>
        <w:rPr>
          <w:rFonts w:hint="eastAsia" w:ascii="宋体" w:hAnsi="宋体" w:eastAsia="宋体" w:cs="宋体"/>
          <w:b/>
          <w:color w:val="000000"/>
          <w:kern w:val="0"/>
          <w:sz w:val="32"/>
          <w:szCs w:val="32"/>
          <w:lang w:val="en-US" w:eastAsia="zh-CN"/>
        </w:rPr>
        <w:t>（四）绩效目标设定情况</w:t>
      </w:r>
    </w:p>
    <w:p>
      <w:pPr>
        <w:widowControl/>
        <w:shd w:val="clear" w:color="auto" w:fill="FFFFFF"/>
        <w:spacing w:line="480" w:lineRule="atLeast"/>
        <w:ind w:firstLine="640" w:firstLineChars="200"/>
        <w:jc w:val="left"/>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1.坚持以抓网上舆情管控为重点，坚决打赢网上意识形态斗争。</w:t>
      </w:r>
    </w:p>
    <w:p>
      <w:pPr>
        <w:widowControl/>
        <w:shd w:val="clear" w:color="auto" w:fill="FFFFFF"/>
        <w:spacing w:line="480" w:lineRule="atLeast"/>
        <w:ind w:firstLine="640" w:firstLineChars="200"/>
        <w:jc w:val="left"/>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2.坚持以加强网络安全保障体系建设为重点，扎实推进网络安全工作。</w:t>
      </w:r>
    </w:p>
    <w:p>
      <w:pPr>
        <w:widowControl/>
        <w:shd w:val="clear" w:color="auto" w:fill="FFFFFF"/>
        <w:spacing w:line="480" w:lineRule="atLeast"/>
        <w:ind w:firstLine="640" w:firstLineChars="200"/>
        <w:jc w:val="left"/>
        <w:rPr>
          <w:rFonts w:hint="eastAsia" w:ascii="宋体" w:hAnsi="宋体" w:eastAsia="宋体" w:cs="宋体"/>
          <w:color w:val="000000"/>
          <w:spacing w:val="0"/>
          <w:w w:val="100"/>
          <w:position w:val="0"/>
          <w:sz w:val="32"/>
          <w:szCs w:val="32"/>
          <w:lang w:val="en-US" w:eastAsia="zh-CN"/>
        </w:rPr>
      </w:pPr>
      <w:r>
        <w:rPr>
          <w:rFonts w:hint="eastAsia" w:ascii="仿宋" w:hAnsi="仿宋" w:eastAsia="仿宋" w:cs="仿宋"/>
          <w:b w:val="0"/>
          <w:bCs/>
          <w:color w:val="000000"/>
          <w:kern w:val="0"/>
          <w:sz w:val="32"/>
          <w:szCs w:val="32"/>
          <w:lang w:val="en-US" w:eastAsia="zh-CN"/>
        </w:rPr>
        <w:t>3.坚持以健全工作体系为重点，努力形成推动网信工作的整体合力。</w:t>
      </w:r>
    </w:p>
    <w:p>
      <w:pPr>
        <w:pStyle w:val="7"/>
        <w:keepNext w:val="0"/>
        <w:keepLines w:val="0"/>
        <w:widowControl w:val="0"/>
        <w:shd w:val="clear" w:color="auto" w:fill="auto"/>
        <w:bidi w:val="0"/>
        <w:spacing w:before="0" w:after="0" w:line="605" w:lineRule="exact"/>
        <w:ind w:left="0" w:right="0" w:firstLine="620"/>
        <w:jc w:val="both"/>
        <w:rPr>
          <w:rFonts w:hint="eastAsia" w:ascii="宋体" w:hAnsi="宋体" w:eastAsia="宋体" w:cs="宋体"/>
          <w:b/>
          <w:bCs/>
          <w:color w:val="000000"/>
          <w:spacing w:val="0"/>
          <w:w w:val="100"/>
          <w:position w:val="0"/>
          <w:sz w:val="32"/>
          <w:szCs w:val="32"/>
        </w:rPr>
      </w:pPr>
      <w:r>
        <w:rPr>
          <w:rFonts w:hint="eastAsia" w:ascii="宋体" w:hAnsi="宋体" w:eastAsia="宋体" w:cs="宋体"/>
          <w:color w:val="000000"/>
          <w:spacing w:val="0"/>
          <w:w w:val="100"/>
          <w:position w:val="0"/>
          <w:sz w:val="32"/>
          <w:szCs w:val="32"/>
          <w:lang w:val="en-US" w:eastAsia="zh-CN"/>
        </w:rPr>
        <w:t>二</w:t>
      </w:r>
      <w:r>
        <w:rPr>
          <w:rFonts w:hint="eastAsia" w:ascii="宋体" w:hAnsi="宋体" w:eastAsia="宋体" w:cs="宋体"/>
          <w:color w:val="000000"/>
          <w:spacing w:val="0"/>
          <w:w w:val="100"/>
          <w:position w:val="0"/>
          <w:sz w:val="32"/>
          <w:szCs w:val="32"/>
        </w:rPr>
        <w:t>、一</w:t>
      </w:r>
      <w:r>
        <w:rPr>
          <w:rFonts w:hint="eastAsia" w:ascii="宋体" w:hAnsi="宋体" w:eastAsia="宋体" w:cs="宋体"/>
          <w:b/>
          <w:bCs/>
          <w:color w:val="000000"/>
          <w:spacing w:val="0"/>
          <w:w w:val="100"/>
          <w:position w:val="0"/>
          <w:sz w:val="32"/>
          <w:szCs w:val="32"/>
        </w:rPr>
        <w:t>般公共预算支出情况</w:t>
      </w:r>
    </w:p>
    <w:p>
      <w:pPr>
        <w:pStyle w:val="7"/>
        <w:keepNext w:val="0"/>
        <w:keepLines w:val="0"/>
        <w:widowControl w:val="0"/>
        <w:shd w:val="clear" w:color="auto" w:fill="auto"/>
        <w:bidi w:val="0"/>
        <w:spacing w:before="0" w:after="0" w:line="605" w:lineRule="exact"/>
        <w:ind w:left="0" w:right="0" w:firstLine="620"/>
        <w:jc w:val="both"/>
        <w:rPr>
          <w:rFonts w:hint="eastAsia" w:ascii="楷体" w:hAnsi="楷体" w:eastAsia="楷体" w:cs="楷体"/>
          <w:b/>
          <w:bCs/>
          <w:color w:val="000000"/>
          <w:spacing w:val="0"/>
          <w:w w:val="100"/>
          <w:position w:val="0"/>
          <w:sz w:val="32"/>
          <w:szCs w:val="32"/>
          <w:lang w:val="en-US" w:eastAsia="zh-CN"/>
        </w:rPr>
      </w:pPr>
      <w:r>
        <w:rPr>
          <w:rFonts w:hint="eastAsia" w:ascii="楷体" w:hAnsi="楷体" w:eastAsia="楷体" w:cs="楷体"/>
          <w:b/>
          <w:bCs/>
          <w:color w:val="000000"/>
          <w:spacing w:val="0"/>
          <w:w w:val="100"/>
          <w:position w:val="0"/>
          <w:sz w:val="32"/>
          <w:szCs w:val="32"/>
          <w:lang w:val="en-US" w:eastAsia="zh-CN"/>
        </w:rPr>
        <w:t>（一）基本支出情况</w:t>
      </w:r>
    </w:p>
    <w:p>
      <w:pPr>
        <w:widowControl/>
        <w:numPr>
          <w:ilvl w:val="0"/>
          <w:numId w:val="0"/>
        </w:numPr>
        <w:spacing w:line="600" w:lineRule="exact"/>
        <w:ind w:firstLine="560" w:firstLineChars="200"/>
        <w:jc w:val="left"/>
        <w:rPr>
          <w:rFonts w:hint="default" w:ascii="仿宋" w:hAnsi="仿宋" w:eastAsia="仿宋" w:cs="仿宋"/>
          <w:b w:val="0"/>
          <w:bCs w:val="0"/>
          <w:sz w:val="28"/>
          <w:szCs w:val="28"/>
          <w:lang w:val="en-US" w:eastAsia="zh-CN"/>
        </w:rPr>
      </w:pPr>
      <w:r>
        <w:rPr>
          <w:rFonts w:hint="eastAsia" w:ascii="仿宋" w:hAnsi="仿宋" w:eastAsia="仿宋" w:cs="仿宋"/>
          <w:color w:val="000000"/>
          <w:spacing w:val="0"/>
          <w:w w:val="100"/>
          <w:position w:val="0"/>
          <w:sz w:val="28"/>
          <w:szCs w:val="28"/>
          <w:lang w:val="en-US" w:eastAsia="zh-CN"/>
        </w:rPr>
        <w:t>2022</w:t>
      </w:r>
      <w:r>
        <w:rPr>
          <w:rFonts w:hint="eastAsia" w:ascii="仿宋" w:hAnsi="仿宋" w:eastAsia="仿宋" w:cs="仿宋"/>
          <w:color w:val="000000"/>
          <w:spacing w:val="0"/>
          <w:w w:val="100"/>
          <w:position w:val="0"/>
          <w:sz w:val="28"/>
          <w:szCs w:val="28"/>
        </w:rPr>
        <w:t>年一般公共预算拨款收入</w:t>
      </w:r>
      <w:r>
        <w:rPr>
          <w:rFonts w:hint="eastAsia" w:ascii="仿宋" w:hAnsi="仿宋" w:eastAsia="仿宋" w:cs="仿宋"/>
          <w:color w:val="000000"/>
          <w:spacing w:val="0"/>
          <w:w w:val="100"/>
          <w:position w:val="0"/>
          <w:sz w:val="28"/>
          <w:szCs w:val="28"/>
          <w:lang w:val="en-US" w:eastAsia="zh-CN"/>
        </w:rPr>
        <w:t>101.84</w:t>
      </w:r>
      <w:r>
        <w:rPr>
          <w:rFonts w:hint="eastAsia" w:ascii="仿宋" w:hAnsi="仿宋" w:eastAsia="仿宋" w:cs="仿宋"/>
          <w:color w:val="000000"/>
          <w:spacing w:val="0"/>
          <w:w w:val="100"/>
          <w:position w:val="0"/>
          <w:sz w:val="28"/>
          <w:szCs w:val="28"/>
        </w:rPr>
        <w:t>万元</w:t>
      </w:r>
      <w:r>
        <w:rPr>
          <w:rFonts w:hint="eastAsia" w:ascii="仿宋" w:hAnsi="仿宋" w:eastAsia="仿宋" w:cs="仿宋"/>
          <w:color w:val="000000"/>
          <w:spacing w:val="0"/>
          <w:w w:val="100"/>
          <w:position w:val="0"/>
          <w:sz w:val="28"/>
          <w:szCs w:val="28"/>
          <w:lang w:val="en-US" w:eastAsia="zh-CN"/>
        </w:rPr>
        <w:t>,上年度结转0.38万元，合计102.23万元</w:t>
      </w:r>
      <w:r>
        <w:rPr>
          <w:rFonts w:hint="eastAsia" w:ascii="仿宋" w:hAnsi="仿宋" w:eastAsia="仿宋" w:cs="仿宋"/>
          <w:color w:val="000000"/>
          <w:spacing w:val="0"/>
          <w:w w:val="100"/>
          <w:position w:val="0"/>
          <w:sz w:val="28"/>
          <w:szCs w:val="28"/>
        </w:rPr>
        <w:t>。</w:t>
      </w:r>
      <w:r>
        <w:rPr>
          <w:rFonts w:hint="eastAsia" w:ascii="仿宋" w:hAnsi="仿宋" w:eastAsia="仿宋" w:cs="仿宋"/>
          <w:color w:val="000000"/>
          <w:spacing w:val="0"/>
          <w:w w:val="100"/>
          <w:position w:val="0"/>
          <w:sz w:val="28"/>
          <w:szCs w:val="28"/>
          <w:lang w:val="en-US" w:eastAsia="zh-CN"/>
        </w:rPr>
        <w:t>2022</w:t>
      </w:r>
      <w:r>
        <w:rPr>
          <w:rFonts w:hint="eastAsia" w:ascii="仿宋" w:hAnsi="仿宋" w:eastAsia="仿宋" w:cs="仿宋"/>
          <w:color w:val="000000"/>
          <w:spacing w:val="0"/>
          <w:w w:val="100"/>
          <w:position w:val="0"/>
          <w:sz w:val="28"/>
          <w:szCs w:val="28"/>
        </w:rPr>
        <w:t>年</w:t>
      </w:r>
      <w:r>
        <w:rPr>
          <w:rFonts w:hint="eastAsia" w:ascii="仿宋" w:hAnsi="仿宋" w:eastAsia="仿宋" w:cs="仿宋"/>
          <w:color w:val="000000"/>
          <w:spacing w:val="0"/>
          <w:w w:val="100"/>
          <w:position w:val="0"/>
          <w:sz w:val="28"/>
          <w:szCs w:val="28"/>
          <w:lang w:val="en-US" w:eastAsia="zh-CN"/>
        </w:rPr>
        <w:t>一般公共预算</w:t>
      </w:r>
      <w:r>
        <w:rPr>
          <w:rFonts w:hint="eastAsia" w:ascii="仿宋" w:hAnsi="仿宋" w:eastAsia="仿宋" w:cs="仿宋"/>
          <w:color w:val="000000"/>
          <w:spacing w:val="0"/>
          <w:w w:val="100"/>
          <w:position w:val="0"/>
          <w:sz w:val="28"/>
          <w:szCs w:val="28"/>
        </w:rPr>
        <w:t>支出</w:t>
      </w:r>
      <w:r>
        <w:rPr>
          <w:rFonts w:hint="eastAsia" w:ascii="仿宋" w:hAnsi="仿宋" w:eastAsia="仿宋" w:cs="仿宋"/>
          <w:color w:val="000000"/>
          <w:spacing w:val="0"/>
          <w:w w:val="100"/>
          <w:position w:val="0"/>
          <w:sz w:val="28"/>
          <w:szCs w:val="28"/>
          <w:lang w:val="en-US" w:eastAsia="zh-CN"/>
        </w:rPr>
        <w:t>102.23</w:t>
      </w:r>
      <w:r>
        <w:rPr>
          <w:rFonts w:hint="eastAsia" w:ascii="仿宋" w:hAnsi="仿宋" w:eastAsia="仿宋" w:cs="仿宋"/>
          <w:color w:val="000000"/>
          <w:spacing w:val="0"/>
          <w:w w:val="100"/>
          <w:position w:val="0"/>
          <w:sz w:val="28"/>
          <w:szCs w:val="28"/>
        </w:rPr>
        <w:t>万元。</w:t>
      </w:r>
      <w:r>
        <w:rPr>
          <w:rFonts w:hint="eastAsia" w:ascii="仿宋" w:hAnsi="仿宋" w:eastAsia="仿宋" w:cs="仿宋"/>
          <w:b w:val="0"/>
          <w:bCs w:val="0"/>
          <w:sz w:val="28"/>
          <w:szCs w:val="28"/>
          <w:lang w:val="en-US" w:eastAsia="zh-CN"/>
        </w:rPr>
        <w:t>其中：（1）基本工资福利37.4148万元，津补贴25.2012万元，社会保险缴费10.8534万元，住房公积金7.5139万元；医疗保险5.947万元；其他保险0.5469万元。（2）公用经费支出14.7513万元；分别为办公经费5.931万元，水电费2.084万元；物业管理费1.668万元；其他商品和服务支出5.0683万元。</w:t>
      </w:r>
    </w:p>
    <w:p>
      <w:pPr>
        <w:pStyle w:val="7"/>
        <w:keepNext w:val="0"/>
        <w:keepLines w:val="0"/>
        <w:widowControl w:val="0"/>
        <w:shd w:val="clear" w:color="auto" w:fill="auto"/>
        <w:bidi w:val="0"/>
        <w:spacing w:before="0" w:after="0" w:line="605" w:lineRule="exact"/>
        <w:ind w:left="0" w:right="0" w:firstLine="620"/>
        <w:jc w:val="both"/>
        <w:rPr>
          <w:rFonts w:hint="eastAsia" w:ascii="楷体" w:hAnsi="楷体" w:eastAsia="楷体" w:cs="楷体"/>
          <w:b/>
          <w:bCs/>
          <w:color w:val="000000"/>
          <w:spacing w:val="0"/>
          <w:w w:val="100"/>
          <w:position w:val="0"/>
          <w:sz w:val="32"/>
          <w:szCs w:val="32"/>
          <w:lang w:val="en-US" w:eastAsia="zh-CN"/>
        </w:rPr>
      </w:pPr>
      <w:r>
        <w:rPr>
          <w:rFonts w:hint="eastAsia" w:ascii="楷体" w:hAnsi="楷体" w:eastAsia="楷体" w:cs="楷体"/>
          <w:b/>
          <w:bCs/>
          <w:color w:val="000000"/>
          <w:spacing w:val="0"/>
          <w:w w:val="100"/>
          <w:position w:val="0"/>
          <w:sz w:val="32"/>
          <w:szCs w:val="32"/>
          <w:lang w:val="en-US" w:eastAsia="zh-CN"/>
        </w:rPr>
        <w:t>（二）项目支出情况</w:t>
      </w:r>
    </w:p>
    <w:p>
      <w:pPr>
        <w:pStyle w:val="7"/>
        <w:keepNext w:val="0"/>
        <w:keepLines w:val="0"/>
        <w:widowControl w:val="0"/>
        <w:shd w:val="clear" w:color="auto" w:fill="auto"/>
        <w:bidi w:val="0"/>
        <w:spacing w:before="0" w:after="0" w:line="605" w:lineRule="exact"/>
        <w:ind w:left="0" w:right="0" w:firstLine="62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本年度无项目支出。</w:t>
      </w:r>
    </w:p>
    <w:p>
      <w:pPr>
        <w:pStyle w:val="7"/>
        <w:keepNext w:val="0"/>
        <w:keepLines w:val="0"/>
        <w:widowControl w:val="0"/>
        <w:shd w:val="clear" w:color="auto" w:fill="auto"/>
        <w:bidi w:val="0"/>
        <w:spacing w:before="0" w:after="0" w:line="605" w:lineRule="exact"/>
        <w:ind w:left="0" w:right="0" w:firstLine="620"/>
        <w:jc w:val="both"/>
        <w:rPr>
          <w:rFonts w:hint="eastAsia" w:ascii="楷体" w:hAnsi="楷体" w:eastAsia="楷体" w:cs="楷体"/>
          <w:b/>
          <w:bCs/>
          <w:color w:val="000000"/>
          <w:spacing w:val="0"/>
          <w:w w:val="100"/>
          <w:position w:val="0"/>
          <w:sz w:val="32"/>
          <w:szCs w:val="32"/>
          <w:lang w:val="en-US" w:eastAsia="zh-CN"/>
        </w:rPr>
      </w:pPr>
      <w:r>
        <w:rPr>
          <w:rFonts w:hint="eastAsia" w:ascii="楷体" w:hAnsi="楷体" w:eastAsia="楷体" w:cs="楷体"/>
          <w:b/>
          <w:bCs/>
          <w:color w:val="000000"/>
          <w:spacing w:val="0"/>
          <w:w w:val="100"/>
          <w:position w:val="0"/>
          <w:sz w:val="32"/>
          <w:szCs w:val="32"/>
          <w:lang w:val="en-US" w:eastAsia="zh-CN"/>
        </w:rPr>
        <w:t>（三）“三公”经费使用和管理情况</w:t>
      </w:r>
    </w:p>
    <w:p>
      <w:pPr>
        <w:pStyle w:val="7"/>
        <w:keepNext w:val="0"/>
        <w:keepLines w:val="0"/>
        <w:widowControl w:val="0"/>
        <w:shd w:val="clear" w:color="auto" w:fill="auto"/>
        <w:bidi w:val="0"/>
        <w:spacing w:before="0" w:after="0" w:line="605" w:lineRule="exact"/>
        <w:ind w:left="0" w:right="0" w:firstLine="62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w:t>
      </w:r>
    </w:p>
    <w:p>
      <w:pPr>
        <w:pStyle w:val="7"/>
        <w:keepNext w:val="0"/>
        <w:keepLines w:val="0"/>
        <w:widowControl w:val="0"/>
        <w:shd w:val="clear" w:color="auto" w:fill="auto"/>
        <w:bidi w:val="0"/>
        <w:spacing w:before="0" w:after="0" w:line="605" w:lineRule="exact"/>
        <w:ind w:left="0" w:right="0" w:firstLine="620"/>
        <w:jc w:val="both"/>
        <w:rPr>
          <w:rFonts w:hint="eastAsia" w:ascii="楷体" w:hAnsi="楷体" w:eastAsia="楷体" w:cs="楷体"/>
          <w:b/>
          <w:bCs/>
          <w:color w:val="000000"/>
          <w:spacing w:val="0"/>
          <w:w w:val="100"/>
          <w:position w:val="0"/>
          <w:sz w:val="32"/>
          <w:szCs w:val="32"/>
          <w:lang w:val="en-US" w:eastAsia="zh-CN"/>
        </w:rPr>
      </w:pPr>
      <w:r>
        <w:rPr>
          <w:rFonts w:hint="eastAsia" w:ascii="楷体" w:hAnsi="楷体" w:eastAsia="楷体" w:cs="楷体"/>
          <w:b/>
          <w:bCs/>
          <w:color w:val="000000"/>
          <w:spacing w:val="0"/>
          <w:w w:val="100"/>
          <w:position w:val="0"/>
          <w:sz w:val="32"/>
          <w:szCs w:val="32"/>
          <w:lang w:val="en-US" w:eastAsia="zh-CN"/>
        </w:rPr>
        <w:t>（四）资金结转和结余情况</w:t>
      </w:r>
    </w:p>
    <w:p>
      <w:pPr>
        <w:pStyle w:val="7"/>
        <w:keepNext w:val="0"/>
        <w:keepLines w:val="0"/>
        <w:widowControl w:val="0"/>
        <w:shd w:val="clear" w:color="auto" w:fill="auto"/>
        <w:bidi w:val="0"/>
        <w:spacing w:before="0" w:after="0" w:line="605" w:lineRule="exact"/>
        <w:ind w:left="0" w:right="0" w:firstLine="62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本年度资金结转和结余0元。</w:t>
      </w:r>
    </w:p>
    <w:p>
      <w:pPr>
        <w:pStyle w:val="7"/>
        <w:keepNext w:val="0"/>
        <w:keepLines w:val="0"/>
        <w:widowControl w:val="0"/>
        <w:shd w:val="clear" w:color="auto" w:fill="auto"/>
        <w:bidi w:val="0"/>
        <w:spacing w:before="0" w:after="0" w:line="605" w:lineRule="exact"/>
        <w:ind w:left="0" w:right="0" w:firstLine="620"/>
        <w:jc w:val="both"/>
        <w:rPr>
          <w:rFonts w:hint="default" w:ascii="楷体" w:hAnsi="楷体" w:eastAsia="楷体" w:cs="楷体"/>
          <w:b/>
          <w:bCs/>
          <w:color w:val="000000"/>
          <w:spacing w:val="0"/>
          <w:w w:val="100"/>
          <w:position w:val="0"/>
          <w:sz w:val="32"/>
          <w:szCs w:val="32"/>
          <w:lang w:val="en-US" w:eastAsia="zh-CN"/>
        </w:rPr>
      </w:pPr>
      <w:r>
        <w:rPr>
          <w:rFonts w:hint="eastAsia" w:ascii="楷体" w:hAnsi="楷体" w:eastAsia="楷体" w:cs="楷体"/>
          <w:b/>
          <w:bCs/>
          <w:color w:val="000000"/>
          <w:spacing w:val="0"/>
          <w:w w:val="100"/>
          <w:position w:val="0"/>
          <w:sz w:val="32"/>
          <w:szCs w:val="32"/>
          <w:lang w:val="en-US" w:eastAsia="zh-CN"/>
        </w:rPr>
        <w:t>（五）部门整体支出管理与制度建设情况</w:t>
      </w:r>
    </w:p>
    <w:p>
      <w:pPr>
        <w:pStyle w:val="7"/>
        <w:keepNext w:val="0"/>
        <w:keepLines w:val="0"/>
        <w:widowControl w:val="0"/>
        <w:shd w:val="clear" w:color="auto" w:fill="auto"/>
        <w:bidi w:val="0"/>
        <w:spacing w:before="0" w:after="0" w:line="605" w:lineRule="exact"/>
        <w:ind w:left="0" w:right="0" w:firstLine="620"/>
        <w:jc w:val="both"/>
        <w:rPr>
          <w:rFonts w:hint="eastAsia" w:cs="宋体"/>
          <w:b/>
          <w:bCs/>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我单位制定了《财务管理制度》、《合同管理办法》和《固定资产管理办法》等一系列内部控制制度，制度合法、合规、完整；严格按规定内容、规定时限公开部门预算、决算、绩效管理等相关的信息；所有应纳入政府采购的限额限额以下的货物、服务和工程均按照局《政府采购和招投标管理办法》规定的内部招标程序进入电子卖场采购，应计入固定资产的均录入资产系统，明确专人管理固定资产，按规定进行计提折旧和摊销。</w:t>
      </w:r>
    </w:p>
    <w:p>
      <w:pPr>
        <w:pStyle w:val="7"/>
        <w:keepNext w:val="0"/>
        <w:keepLines w:val="0"/>
        <w:widowControl w:val="0"/>
        <w:shd w:val="clear" w:color="auto" w:fill="auto"/>
        <w:bidi w:val="0"/>
        <w:spacing w:before="0" w:after="0" w:line="605" w:lineRule="exact"/>
        <w:ind w:left="0" w:right="0" w:firstLine="620"/>
        <w:jc w:val="both"/>
        <w:rPr>
          <w:rFonts w:hint="default" w:cs="宋体"/>
          <w:b/>
          <w:bCs/>
          <w:color w:val="000000"/>
          <w:spacing w:val="0"/>
          <w:w w:val="100"/>
          <w:position w:val="0"/>
          <w:sz w:val="32"/>
          <w:szCs w:val="32"/>
          <w:lang w:val="en-US" w:eastAsia="zh-CN"/>
        </w:rPr>
      </w:pPr>
    </w:p>
    <w:p>
      <w:pPr>
        <w:pStyle w:val="7"/>
        <w:keepNext w:val="0"/>
        <w:keepLines w:val="0"/>
        <w:widowControl w:val="0"/>
        <w:shd w:val="clear" w:color="auto" w:fill="auto"/>
        <w:bidi w:val="0"/>
        <w:spacing w:before="0" w:after="0" w:line="605" w:lineRule="exact"/>
        <w:ind w:left="0" w:right="0" w:firstLine="620"/>
        <w:jc w:val="both"/>
        <w:rPr>
          <w:rFonts w:eastAsia="黑体"/>
          <w:sz w:val="32"/>
          <w:szCs w:val="32"/>
        </w:rPr>
      </w:pPr>
      <w:r>
        <w:rPr>
          <w:rFonts w:hint="eastAsia" w:eastAsia="黑体"/>
          <w:sz w:val="32"/>
          <w:szCs w:val="32"/>
        </w:rPr>
        <w:t>三、政府性基金预算支出情况</w:t>
      </w:r>
    </w:p>
    <w:p>
      <w:pPr>
        <w:pStyle w:val="7"/>
        <w:keepNext w:val="0"/>
        <w:keepLines w:val="0"/>
        <w:widowControl w:val="0"/>
        <w:shd w:val="clear" w:color="auto" w:fill="auto"/>
        <w:bidi w:val="0"/>
        <w:spacing w:before="0" w:after="0" w:line="606" w:lineRule="exact"/>
        <w:ind w:left="0" w:right="0" w:firstLine="620"/>
        <w:jc w:val="both"/>
        <w:rPr>
          <w:rFonts w:hint="eastAsia" w:ascii="仿宋" w:hAnsi="仿宋" w:eastAsia="仿宋" w:cs="仿宋"/>
          <w:b w:val="0"/>
          <w:bCs w:val="0"/>
          <w:color w:val="000000"/>
          <w:spacing w:val="0"/>
          <w:w w:val="100"/>
          <w:position w:val="0"/>
          <w:sz w:val="28"/>
          <w:szCs w:val="28"/>
          <w:lang w:val="en-US" w:eastAsia="zh-CN"/>
        </w:rPr>
      </w:pPr>
      <w:r>
        <w:rPr>
          <w:rFonts w:hint="eastAsia" w:ascii="仿宋" w:hAnsi="仿宋" w:eastAsia="仿宋" w:cs="仿宋"/>
          <w:b w:val="0"/>
          <w:bCs w:val="0"/>
          <w:color w:val="000000"/>
          <w:spacing w:val="0"/>
          <w:w w:val="100"/>
          <w:position w:val="0"/>
          <w:sz w:val="28"/>
          <w:szCs w:val="28"/>
          <w:lang w:val="en-US" w:eastAsia="zh-CN"/>
        </w:rPr>
        <w:t>无</w:t>
      </w:r>
    </w:p>
    <w:p>
      <w:pPr>
        <w:pStyle w:val="10"/>
        <w:widowControl/>
        <w:spacing w:line="600" w:lineRule="exact"/>
        <w:ind w:left="640" w:firstLine="0" w:firstLineChars="0"/>
        <w:jc w:val="left"/>
        <w:rPr>
          <w:rFonts w:eastAsia="黑体"/>
          <w:sz w:val="32"/>
          <w:szCs w:val="32"/>
        </w:rPr>
      </w:pPr>
      <w:r>
        <w:rPr>
          <w:rFonts w:hint="eastAsia" w:eastAsia="黑体"/>
          <w:sz w:val="32"/>
          <w:szCs w:val="32"/>
        </w:rPr>
        <w:t>四、国有资本经营预算支出情况</w:t>
      </w:r>
    </w:p>
    <w:p>
      <w:pPr>
        <w:pStyle w:val="7"/>
        <w:keepNext w:val="0"/>
        <w:keepLines w:val="0"/>
        <w:widowControl w:val="0"/>
        <w:shd w:val="clear" w:color="auto" w:fill="auto"/>
        <w:bidi w:val="0"/>
        <w:spacing w:before="0" w:after="0" w:line="606" w:lineRule="exact"/>
        <w:ind w:left="0" w:right="0" w:firstLine="620"/>
        <w:jc w:val="both"/>
        <w:rPr>
          <w:rFonts w:hint="eastAsia" w:eastAsia="黑体"/>
          <w:sz w:val="32"/>
          <w:szCs w:val="32"/>
        </w:rPr>
      </w:pPr>
      <w:r>
        <w:rPr>
          <w:rFonts w:hint="eastAsia" w:ascii="仿宋" w:hAnsi="仿宋" w:eastAsia="仿宋" w:cs="仿宋"/>
          <w:b w:val="0"/>
          <w:bCs w:val="0"/>
          <w:color w:val="000000"/>
          <w:spacing w:val="0"/>
          <w:w w:val="100"/>
          <w:position w:val="0"/>
          <w:sz w:val="28"/>
          <w:szCs w:val="28"/>
          <w:lang w:val="en-US" w:eastAsia="zh-CN"/>
        </w:rPr>
        <w:t>无</w:t>
      </w:r>
    </w:p>
    <w:p>
      <w:pPr>
        <w:pStyle w:val="10"/>
        <w:widowControl/>
        <w:spacing w:line="600" w:lineRule="exact"/>
        <w:ind w:left="640" w:firstLine="0" w:firstLineChars="0"/>
        <w:jc w:val="left"/>
        <w:rPr>
          <w:rFonts w:eastAsia="黑体"/>
          <w:sz w:val="32"/>
          <w:szCs w:val="32"/>
        </w:rPr>
      </w:pPr>
      <w:r>
        <w:rPr>
          <w:rFonts w:hint="eastAsia" w:eastAsia="黑体"/>
          <w:sz w:val="32"/>
          <w:szCs w:val="32"/>
        </w:rPr>
        <w:t>五、社会保险基金预算支出情况</w:t>
      </w:r>
    </w:p>
    <w:p>
      <w:pPr>
        <w:widowControl/>
        <w:spacing w:line="600" w:lineRule="exact"/>
        <w:ind w:firstLine="645"/>
        <w:jc w:val="left"/>
        <w:rPr>
          <w:rFonts w:hint="eastAsia" w:ascii="仿宋" w:hAnsi="仿宋" w:eastAsia="仿宋" w:cs="仿宋"/>
          <w:b w:val="0"/>
          <w:bCs w:val="0"/>
          <w:color w:val="000000"/>
          <w:spacing w:val="0"/>
          <w:w w:val="100"/>
          <w:position w:val="0"/>
          <w:sz w:val="28"/>
          <w:szCs w:val="28"/>
          <w:lang w:val="en-US" w:eastAsia="zh-CN"/>
        </w:rPr>
      </w:pPr>
      <w:r>
        <w:rPr>
          <w:rFonts w:hint="eastAsia" w:ascii="仿宋" w:hAnsi="仿宋" w:eastAsia="仿宋" w:cs="仿宋"/>
          <w:b w:val="0"/>
          <w:bCs w:val="0"/>
          <w:color w:val="000000"/>
          <w:spacing w:val="0"/>
          <w:w w:val="100"/>
          <w:position w:val="0"/>
          <w:sz w:val="28"/>
          <w:szCs w:val="28"/>
          <w:lang w:val="en-US" w:eastAsia="zh-CN"/>
        </w:rPr>
        <w:t>无</w:t>
      </w:r>
    </w:p>
    <w:p>
      <w:pPr>
        <w:widowControl/>
        <w:numPr>
          <w:ilvl w:val="0"/>
          <w:numId w:val="1"/>
        </w:numPr>
        <w:spacing w:line="600" w:lineRule="exact"/>
        <w:ind w:firstLine="645"/>
        <w:jc w:val="left"/>
        <w:rPr>
          <w:rFonts w:hint="eastAsia" w:ascii="Times New Roman" w:hAnsi="Times New Roman" w:eastAsia="黑体"/>
          <w:sz w:val="32"/>
          <w:szCs w:val="32"/>
        </w:rPr>
      </w:pPr>
      <w:r>
        <w:rPr>
          <w:rFonts w:hint="eastAsia" w:ascii="Times New Roman" w:hAnsi="Times New Roman" w:eastAsia="黑体"/>
          <w:sz w:val="32"/>
          <w:szCs w:val="32"/>
        </w:rPr>
        <w:t>部门整体支出绩效情况</w:t>
      </w:r>
    </w:p>
    <w:p>
      <w:pPr>
        <w:pStyle w:val="10"/>
        <w:widowControl/>
        <w:spacing w:line="600" w:lineRule="exact"/>
        <w:ind w:left="640" w:firstLine="640" w:firstLineChars="200"/>
        <w:jc w:val="left"/>
        <w:rPr>
          <w:rFonts w:hint="eastAsia" w:ascii="仿宋" w:hAnsi="仿宋" w:eastAsia="仿宋" w:cs="仿宋"/>
          <w:sz w:val="32"/>
          <w:szCs w:val="32"/>
        </w:rPr>
      </w:pPr>
      <w:bookmarkStart w:id="0" w:name="bookmark9"/>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年，我部门将部门整体支出绩效自评作为财政预算资</w:t>
      </w:r>
    </w:p>
    <w:p>
      <w:pPr>
        <w:pStyle w:val="10"/>
        <w:widowControl/>
        <w:spacing w:line="600" w:lineRule="exact"/>
        <w:ind w:left="0" w:leftChars="0" w:firstLine="0" w:firstLineChars="0"/>
        <w:jc w:val="left"/>
        <w:rPr>
          <w:rFonts w:hint="eastAsia" w:eastAsia="黑体"/>
          <w:sz w:val="32"/>
          <w:szCs w:val="32"/>
        </w:rPr>
      </w:pPr>
      <w:r>
        <w:rPr>
          <w:rFonts w:hint="eastAsia" w:ascii="仿宋" w:hAnsi="仿宋" w:eastAsia="仿宋" w:cs="仿宋"/>
          <w:sz w:val="32"/>
          <w:szCs w:val="32"/>
        </w:rPr>
        <w:t>金使用管理的一项重要工作，切实加强预算收支管理，全面梳理内部管理流程，建立健全内部管理制度，提升部门整体支出管理水平。根据部门整体支出绩效自评指标体系，2021年度自评综合得分为9</w:t>
      </w:r>
      <w:r>
        <w:rPr>
          <w:rFonts w:hint="eastAsia" w:ascii="仿宋" w:hAnsi="仿宋" w:eastAsia="仿宋" w:cs="仿宋"/>
          <w:sz w:val="32"/>
          <w:szCs w:val="32"/>
          <w:lang w:val="en-US" w:eastAsia="zh-CN"/>
        </w:rPr>
        <w:t>6</w:t>
      </w:r>
      <w:r>
        <w:rPr>
          <w:rFonts w:hint="eastAsia" w:ascii="仿宋" w:hAnsi="仿宋" w:eastAsia="仿宋" w:cs="仿宋"/>
          <w:sz w:val="32"/>
          <w:szCs w:val="32"/>
        </w:rPr>
        <w:t>分，评价等级为：优秀。部门整体支出绩效自评情况如下：</w:t>
      </w:r>
    </w:p>
    <w:p>
      <w:pPr>
        <w:pStyle w:val="10"/>
        <w:widowControl/>
        <w:spacing w:line="600" w:lineRule="exact"/>
        <w:ind w:left="0" w:leftChars="0" w:firstLine="640" w:firstLineChars="200"/>
        <w:jc w:val="left"/>
        <w:rPr>
          <w:rFonts w:hint="eastAsia" w:ascii="仿宋" w:hAnsi="仿宋" w:eastAsia="仿宋" w:cs="仿宋"/>
          <w:b/>
          <w:bCs/>
          <w:sz w:val="32"/>
          <w:szCs w:val="32"/>
        </w:rPr>
      </w:pPr>
      <w:r>
        <w:rPr>
          <w:rFonts w:hint="eastAsia" w:ascii="楷体" w:hAnsi="楷体" w:eastAsia="楷体" w:cs="楷体"/>
          <w:sz w:val="32"/>
          <w:szCs w:val="32"/>
        </w:rPr>
        <w:t>（一）产出指标</w:t>
      </w:r>
    </w:p>
    <w:p>
      <w:pPr>
        <w:pStyle w:val="10"/>
        <w:widowControl/>
        <w:spacing w:line="600" w:lineRule="exact"/>
        <w:jc w:val="left"/>
        <w:rPr>
          <w:rFonts w:hint="eastAsia" w:ascii="仿宋" w:hAnsi="仿宋" w:eastAsia="仿宋" w:cs="仿宋"/>
          <w:sz w:val="32"/>
          <w:szCs w:val="32"/>
          <w:lang w:eastAsia="zh-CN"/>
        </w:rPr>
      </w:pPr>
      <w:r>
        <w:rPr>
          <w:rFonts w:hint="eastAsia" w:ascii="仿宋" w:hAnsi="仿宋" w:eastAsia="仿宋" w:cs="仿宋"/>
          <w:b/>
          <w:bCs/>
          <w:sz w:val="32"/>
          <w:szCs w:val="32"/>
        </w:rPr>
        <w:t>1.质量指标</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val="en-US" w:eastAsia="zh-CN"/>
        </w:rPr>
        <w:t>指标分值30分，得分29分，得分率96.67%。</w:t>
      </w:r>
    </w:p>
    <w:p>
      <w:pPr>
        <w:pStyle w:val="10"/>
        <w:widowControl/>
        <w:spacing w:line="60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（1）绩效目标、绩效指标设立情况：部门的职责设定符合</w:t>
      </w:r>
    </w:p>
    <w:p>
      <w:pPr>
        <w:pStyle w:val="10"/>
        <w:widowControl/>
        <w:spacing w:line="600" w:lineRule="exact"/>
        <w:ind w:left="0" w:leftChars="0" w:firstLine="0" w:firstLineChars="0"/>
        <w:jc w:val="left"/>
        <w:rPr>
          <w:rFonts w:hint="eastAsia" w:ascii="仿宋" w:hAnsi="仿宋" w:eastAsia="仿宋" w:cs="仿宋"/>
          <w:sz w:val="32"/>
          <w:szCs w:val="32"/>
        </w:rPr>
      </w:pPr>
      <w:r>
        <w:rPr>
          <w:rFonts w:hint="eastAsia" w:ascii="仿宋" w:hAnsi="仿宋" w:eastAsia="仿宋" w:cs="仿宋"/>
          <w:sz w:val="32"/>
          <w:szCs w:val="32"/>
          <w:lang w:val="en-US" w:eastAsia="zh-CN"/>
        </w:rPr>
        <w:t>县</w:t>
      </w:r>
      <w:r>
        <w:rPr>
          <w:rFonts w:hint="eastAsia" w:ascii="仿宋" w:hAnsi="仿宋" w:eastAsia="仿宋" w:cs="仿宋"/>
          <w:sz w:val="32"/>
          <w:szCs w:val="32"/>
        </w:rPr>
        <w:t>委所赋予的职责，部门所设立的整体绩效目标与部门履职、中长期规划、工作任务相符合，部门整体绩效目标明确、清晰，细化、可衡量。</w:t>
      </w:r>
    </w:p>
    <w:p>
      <w:pPr>
        <w:pStyle w:val="10"/>
        <w:widowControl/>
        <w:spacing w:line="60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（2）管理制度情况：为强化部门整体支出，加强国有资产管理，提高资金使用效益，提升财务管理水平，建立节约型机关，开展了大量工作。具体情况如下：一是制定并执行了《中共</w:t>
      </w:r>
      <w:r>
        <w:rPr>
          <w:rFonts w:hint="eastAsia" w:ascii="仿宋" w:hAnsi="仿宋" w:eastAsia="仿宋" w:cs="仿宋"/>
          <w:sz w:val="32"/>
          <w:szCs w:val="32"/>
          <w:lang w:val="en-US" w:eastAsia="zh-CN"/>
        </w:rPr>
        <w:t>衡阳县委</w:t>
      </w:r>
      <w:r>
        <w:rPr>
          <w:rFonts w:hint="eastAsia" w:ascii="仿宋" w:hAnsi="仿宋" w:eastAsia="仿宋" w:cs="仿宋"/>
          <w:sz w:val="32"/>
          <w:szCs w:val="32"/>
        </w:rPr>
        <w:t>网信办财务管理制度》、《中共</w:t>
      </w:r>
      <w:r>
        <w:rPr>
          <w:rFonts w:hint="eastAsia" w:ascii="仿宋" w:hAnsi="仿宋" w:eastAsia="仿宋" w:cs="仿宋"/>
          <w:sz w:val="32"/>
          <w:szCs w:val="32"/>
          <w:lang w:val="en-US" w:eastAsia="zh-CN"/>
        </w:rPr>
        <w:t>衡阳县</w:t>
      </w:r>
      <w:r>
        <w:rPr>
          <w:rFonts w:hint="eastAsia" w:ascii="仿宋" w:hAnsi="仿宋" w:eastAsia="仿宋" w:cs="仿宋"/>
          <w:sz w:val="32"/>
          <w:szCs w:val="32"/>
        </w:rPr>
        <w:t>委网信办办公设备购置、管理制度》、《中共</w:t>
      </w:r>
      <w:r>
        <w:rPr>
          <w:rFonts w:hint="eastAsia" w:ascii="仿宋" w:hAnsi="仿宋" w:eastAsia="仿宋" w:cs="仿宋"/>
          <w:sz w:val="32"/>
          <w:szCs w:val="32"/>
          <w:lang w:val="en-US" w:eastAsia="zh-CN"/>
        </w:rPr>
        <w:t>衡阳县</w:t>
      </w:r>
      <w:r>
        <w:rPr>
          <w:rFonts w:hint="eastAsia" w:ascii="仿宋" w:hAnsi="仿宋" w:eastAsia="仿宋" w:cs="仿宋"/>
          <w:sz w:val="32"/>
          <w:szCs w:val="32"/>
        </w:rPr>
        <w:t>委网信办政府采购内部控制管理制度》等财务管理制度。二是严格落实制度的执行，严格对经费开支的事项和用途进行审核，基本上确保了经费支出的专款专用，有效合理利用财政资金。三是严格执行政府采购等有关规定，政府采购目录内的货物与服务全部按要求实施了政府采购，确保了支出管理流程、审批手续的完整。</w:t>
      </w:r>
    </w:p>
    <w:p>
      <w:pPr>
        <w:pStyle w:val="10"/>
        <w:widowControl/>
        <w:spacing w:line="60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（3）资金使用情况：2022年一般公共预算拨款收入101.84万元,上年度结转0.38万元，合计102.23万元。2022年一般公共预算支出102.23万元。</w:t>
      </w:r>
    </w:p>
    <w:p>
      <w:pPr>
        <w:pStyle w:val="10"/>
        <w:widowControl/>
        <w:spacing w:line="600" w:lineRule="exact"/>
        <w:jc w:val="lef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部门整体绩效目标已细化分解为具体的工作任务，通过清晰、可衡量的指标值予以体现，与部门年度的任务数或计划数相对应。项目预算整合归类合理，目标明确，项目储备充分、完整，基本支出预算保障了部门年度正常工作目标的开展；单位厉行节约，反对浪费，基本支出及时、足额。</w:t>
      </w:r>
    </w:p>
    <w:p>
      <w:pPr>
        <w:pStyle w:val="10"/>
        <w:widowControl/>
        <w:spacing w:line="600" w:lineRule="exact"/>
        <w:jc w:val="left"/>
        <w:rPr>
          <w:rFonts w:hint="eastAsia" w:ascii="仿宋" w:hAnsi="仿宋" w:eastAsia="仿宋" w:cs="仿宋"/>
          <w:sz w:val="32"/>
          <w:szCs w:val="32"/>
        </w:rPr>
      </w:pPr>
      <w:r>
        <w:rPr>
          <w:rFonts w:hint="eastAsia" w:ascii="仿宋" w:hAnsi="仿宋" w:eastAsia="仿宋" w:cs="仿宋"/>
          <w:sz w:val="32"/>
          <w:szCs w:val="32"/>
        </w:rPr>
        <w:t>（4）资产管理情况：本单位202</w:t>
      </w:r>
      <w:r>
        <w:rPr>
          <w:rFonts w:hint="eastAsia" w:ascii="仿宋" w:hAnsi="仿宋" w:eastAsia="仿宋" w:cs="仿宋"/>
          <w:sz w:val="32"/>
          <w:szCs w:val="32"/>
          <w:lang w:val="en-US" w:eastAsia="zh-CN"/>
        </w:rPr>
        <w:t>2</w:t>
      </w:r>
      <w:r>
        <w:rPr>
          <w:rFonts w:hint="eastAsia" w:ascii="仿宋" w:hAnsi="仿宋" w:eastAsia="仿宋" w:cs="仿宋"/>
          <w:sz w:val="32"/>
          <w:szCs w:val="32"/>
        </w:rPr>
        <w:t>年新购固定资产原值</w:t>
      </w:r>
      <w:r>
        <w:rPr>
          <w:rFonts w:hint="eastAsia" w:ascii="仿宋" w:hAnsi="仿宋" w:eastAsia="仿宋" w:cs="仿宋"/>
          <w:sz w:val="32"/>
          <w:szCs w:val="32"/>
          <w:lang w:val="en-US" w:eastAsia="zh-CN"/>
        </w:rPr>
        <w:t>1950</w:t>
      </w:r>
      <w:r>
        <w:rPr>
          <w:rFonts w:hint="eastAsia" w:ascii="仿宋" w:hAnsi="仿宋" w:eastAsia="仿宋" w:cs="仿宋"/>
          <w:sz w:val="32"/>
          <w:szCs w:val="32"/>
        </w:rPr>
        <w:t>元，固定资产净值</w:t>
      </w:r>
      <w:r>
        <w:rPr>
          <w:rFonts w:hint="eastAsia" w:ascii="仿宋" w:hAnsi="仿宋" w:eastAsia="仿宋" w:cs="仿宋"/>
          <w:sz w:val="32"/>
          <w:szCs w:val="32"/>
          <w:lang w:val="en-US" w:eastAsia="zh-CN"/>
        </w:rPr>
        <w:t>101377.85</w:t>
      </w:r>
      <w:r>
        <w:rPr>
          <w:rFonts w:hint="eastAsia" w:ascii="仿宋" w:hAnsi="仿宋" w:eastAsia="仿宋" w:cs="仿宋"/>
          <w:sz w:val="32"/>
          <w:szCs w:val="32"/>
        </w:rPr>
        <w:t>元，国有资产保存完整，利用率为100.00%。</w:t>
      </w:r>
    </w:p>
    <w:p>
      <w:pPr>
        <w:pStyle w:val="10"/>
        <w:widowControl/>
        <w:spacing w:line="600" w:lineRule="exact"/>
        <w:ind w:left="0" w:leftChars="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（5）部门较好履行了工作职责，按期按质按量完成相关工作任务</w:t>
      </w:r>
      <w:r>
        <w:rPr>
          <w:rFonts w:hint="eastAsia" w:ascii="仿宋" w:hAnsi="仿宋" w:eastAsia="仿宋" w:cs="仿宋"/>
          <w:sz w:val="32"/>
          <w:szCs w:val="32"/>
          <w:lang w:eastAsia="zh-CN"/>
        </w:rPr>
        <w:t>。</w:t>
      </w:r>
    </w:p>
    <w:p>
      <w:pPr>
        <w:pStyle w:val="10"/>
        <w:widowControl/>
        <w:spacing w:line="600" w:lineRule="exact"/>
        <w:jc w:val="left"/>
        <w:rPr>
          <w:rFonts w:hint="eastAsia" w:ascii="仿宋" w:hAnsi="仿宋" w:eastAsia="仿宋" w:cs="仿宋"/>
          <w:sz w:val="32"/>
          <w:szCs w:val="32"/>
          <w:lang w:eastAsia="zh-CN"/>
        </w:rPr>
      </w:pPr>
      <w:r>
        <w:rPr>
          <w:rFonts w:hint="eastAsia" w:ascii="仿宋" w:hAnsi="仿宋" w:eastAsia="仿宋" w:cs="仿宋"/>
          <w:b/>
          <w:bCs/>
          <w:sz w:val="32"/>
          <w:szCs w:val="32"/>
        </w:rPr>
        <w:t>2.时效指标</w:t>
      </w:r>
      <w:r>
        <w:rPr>
          <w:rFonts w:hint="eastAsia" w:ascii="仿宋" w:hAnsi="仿宋" w:eastAsia="仿宋" w:cs="仿宋"/>
          <w:sz w:val="32"/>
          <w:szCs w:val="32"/>
          <w:lang w:eastAsia="zh-CN"/>
        </w:rPr>
        <w:t>：</w:t>
      </w:r>
      <w:r>
        <w:rPr>
          <w:rFonts w:hint="eastAsia" w:ascii="仿宋" w:hAnsi="仿宋" w:eastAsia="仿宋" w:cs="仿宋"/>
          <w:b w:val="0"/>
          <w:bCs w:val="0"/>
          <w:sz w:val="32"/>
          <w:szCs w:val="32"/>
          <w:lang w:val="en-US" w:eastAsia="zh-CN"/>
        </w:rPr>
        <w:t>指标分值10分，得分10分，得分率100%。</w:t>
      </w:r>
    </w:p>
    <w:p>
      <w:pPr>
        <w:pStyle w:val="10"/>
        <w:widowControl/>
        <w:spacing w:line="600" w:lineRule="exact"/>
        <w:jc w:val="left"/>
        <w:rPr>
          <w:rFonts w:hint="default" w:ascii="仿宋" w:hAnsi="仿宋" w:eastAsia="仿宋" w:cs="仿宋"/>
          <w:sz w:val="32"/>
          <w:szCs w:val="32"/>
          <w:lang w:val="en-US" w:eastAsia="zh-CN"/>
        </w:rPr>
      </w:pPr>
      <w:r>
        <w:rPr>
          <w:rFonts w:hint="eastAsia" w:ascii="仿宋" w:hAnsi="仿宋" w:eastAsia="仿宋" w:cs="仿宋"/>
          <w:sz w:val="32"/>
          <w:szCs w:val="32"/>
        </w:rPr>
        <w:t>（1）预算完成情况：2021年初预算收入数</w:t>
      </w:r>
      <w:r>
        <w:rPr>
          <w:rFonts w:hint="eastAsia" w:ascii="仿宋" w:hAnsi="仿宋" w:eastAsia="仿宋" w:cs="仿宋"/>
          <w:sz w:val="32"/>
          <w:szCs w:val="32"/>
          <w:lang w:val="en-US" w:eastAsia="zh-CN"/>
        </w:rPr>
        <w:t>101.85万</w:t>
      </w:r>
      <w:r>
        <w:rPr>
          <w:rFonts w:hint="eastAsia" w:ascii="仿宋" w:hAnsi="仿宋" w:eastAsia="仿宋" w:cs="仿宋"/>
          <w:sz w:val="32"/>
          <w:szCs w:val="32"/>
        </w:rPr>
        <w:t>元，</w:t>
      </w:r>
      <w:r>
        <w:rPr>
          <w:rFonts w:hint="eastAsia" w:ascii="仿宋" w:hAnsi="仿宋" w:eastAsia="仿宋" w:cs="仿宋"/>
          <w:sz w:val="32"/>
          <w:szCs w:val="32"/>
          <w:lang w:val="en-US" w:eastAsia="zh-CN"/>
        </w:rPr>
        <w:t>上年度结转0.38万元，全年</w:t>
      </w:r>
      <w:r>
        <w:rPr>
          <w:rFonts w:hint="eastAsia" w:ascii="仿宋" w:hAnsi="仿宋" w:eastAsia="仿宋" w:cs="仿宋"/>
          <w:sz w:val="32"/>
          <w:szCs w:val="32"/>
        </w:rPr>
        <w:t>支出</w:t>
      </w:r>
      <w:r>
        <w:rPr>
          <w:rFonts w:hint="eastAsia" w:ascii="仿宋" w:hAnsi="仿宋" w:eastAsia="仿宋" w:cs="仿宋"/>
          <w:sz w:val="32"/>
          <w:szCs w:val="32"/>
          <w:lang w:val="en-US" w:eastAsia="zh-CN"/>
        </w:rPr>
        <w:t>102.23万</w:t>
      </w:r>
      <w:r>
        <w:rPr>
          <w:rFonts w:hint="eastAsia" w:ascii="仿宋" w:hAnsi="仿宋" w:eastAsia="仿宋" w:cs="仿宋"/>
          <w:sz w:val="32"/>
          <w:szCs w:val="32"/>
        </w:rPr>
        <w:t>元，</w:t>
      </w:r>
      <w:r>
        <w:rPr>
          <w:rFonts w:hint="eastAsia" w:ascii="仿宋" w:hAnsi="仿宋" w:eastAsia="仿宋" w:cs="仿宋"/>
          <w:sz w:val="32"/>
          <w:szCs w:val="32"/>
          <w:lang w:val="en-US" w:eastAsia="zh-CN"/>
        </w:rPr>
        <w:t>全为基本支出，其中人员经费87.48万元，公用经费14.75万元。所有资金均按照财政预算程序及时支付，不存在拖欠行为。</w:t>
      </w:r>
    </w:p>
    <w:p>
      <w:pPr>
        <w:pStyle w:val="10"/>
        <w:widowControl/>
        <w:spacing w:line="600" w:lineRule="exact"/>
        <w:jc w:val="left"/>
        <w:rPr>
          <w:rFonts w:hint="eastAsia" w:ascii="仿宋" w:hAnsi="仿宋" w:eastAsia="仿宋" w:cs="仿宋"/>
          <w:sz w:val="32"/>
          <w:szCs w:val="32"/>
        </w:rPr>
      </w:pPr>
      <w:r>
        <w:rPr>
          <w:rFonts w:hint="eastAsia" w:ascii="仿宋" w:hAnsi="仿宋" w:eastAsia="仿宋" w:cs="仿宋"/>
          <w:sz w:val="32"/>
          <w:szCs w:val="32"/>
        </w:rPr>
        <w:t>（2）预决算公开情况：202</w:t>
      </w:r>
      <w:r>
        <w:rPr>
          <w:rFonts w:hint="eastAsia" w:ascii="仿宋" w:hAnsi="仿宋" w:eastAsia="仿宋" w:cs="仿宋"/>
          <w:sz w:val="32"/>
          <w:szCs w:val="32"/>
          <w:lang w:val="en-US" w:eastAsia="zh-CN"/>
        </w:rPr>
        <w:t>1</w:t>
      </w:r>
      <w:r>
        <w:rPr>
          <w:rFonts w:hint="eastAsia" w:ascii="仿宋" w:hAnsi="仿宋" w:eastAsia="仿宋" w:cs="仿宋"/>
          <w:sz w:val="32"/>
          <w:szCs w:val="32"/>
        </w:rPr>
        <w:t>年度决算、202</w:t>
      </w:r>
      <w:r>
        <w:rPr>
          <w:rFonts w:hint="eastAsia" w:ascii="仿宋" w:hAnsi="仿宋" w:eastAsia="仿宋" w:cs="仿宋"/>
          <w:sz w:val="32"/>
          <w:szCs w:val="32"/>
          <w:lang w:val="en-US" w:eastAsia="zh-CN"/>
        </w:rPr>
        <w:t>1</w:t>
      </w:r>
      <w:r>
        <w:rPr>
          <w:rFonts w:hint="eastAsia" w:ascii="仿宋" w:hAnsi="仿宋" w:eastAsia="仿宋" w:cs="仿宋"/>
          <w:sz w:val="32"/>
          <w:szCs w:val="32"/>
        </w:rPr>
        <w:t>年度部门整体支出和项目支出绩效自评、202</w:t>
      </w:r>
      <w:r>
        <w:rPr>
          <w:rFonts w:hint="eastAsia" w:ascii="仿宋" w:hAnsi="仿宋" w:eastAsia="仿宋" w:cs="仿宋"/>
          <w:sz w:val="32"/>
          <w:szCs w:val="32"/>
          <w:lang w:val="en-US" w:eastAsia="zh-CN"/>
        </w:rPr>
        <w:t>2</w:t>
      </w:r>
      <w:r>
        <w:rPr>
          <w:rFonts w:hint="eastAsia" w:ascii="仿宋" w:hAnsi="仿宋" w:eastAsia="仿宋" w:cs="仿宋"/>
          <w:sz w:val="32"/>
          <w:szCs w:val="32"/>
        </w:rPr>
        <w:t>年度预算按时向社会公开。</w:t>
      </w:r>
    </w:p>
    <w:p>
      <w:pPr>
        <w:pStyle w:val="10"/>
        <w:widowControl/>
        <w:spacing w:line="600" w:lineRule="exact"/>
        <w:jc w:val="left"/>
        <w:rPr>
          <w:rFonts w:hint="eastAsia" w:ascii="仿宋" w:hAnsi="仿宋" w:eastAsia="仿宋" w:cs="仿宋"/>
          <w:sz w:val="32"/>
          <w:szCs w:val="32"/>
          <w:lang w:eastAsia="zh-CN"/>
        </w:rPr>
      </w:pPr>
      <w:r>
        <w:rPr>
          <w:rFonts w:hint="eastAsia" w:ascii="仿宋" w:hAnsi="仿宋" w:eastAsia="仿宋" w:cs="仿宋"/>
          <w:b/>
          <w:bCs/>
          <w:sz w:val="32"/>
          <w:szCs w:val="32"/>
        </w:rPr>
        <w:t>3.成本指标</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val="en-US" w:eastAsia="zh-CN"/>
        </w:rPr>
        <w:t>指标分值10分，得分10分，得分率100%。</w:t>
      </w:r>
    </w:p>
    <w:p>
      <w:pPr>
        <w:pStyle w:val="10"/>
        <w:widowControl/>
        <w:spacing w:line="60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（1）在职人员控制情况：202</w:t>
      </w:r>
      <w:r>
        <w:rPr>
          <w:rFonts w:hint="eastAsia" w:ascii="仿宋" w:hAnsi="仿宋" w:eastAsia="仿宋" w:cs="仿宋"/>
          <w:sz w:val="32"/>
          <w:szCs w:val="32"/>
          <w:lang w:val="en-US" w:eastAsia="zh-CN"/>
        </w:rPr>
        <w:t>2</w:t>
      </w:r>
      <w:r>
        <w:rPr>
          <w:rFonts w:hint="eastAsia" w:ascii="仿宋" w:hAnsi="仿宋" w:eastAsia="仿宋" w:cs="仿宋"/>
          <w:sz w:val="32"/>
          <w:szCs w:val="32"/>
        </w:rPr>
        <w:t>年人员编制</w:t>
      </w:r>
      <w:r>
        <w:rPr>
          <w:rFonts w:hint="eastAsia" w:ascii="仿宋" w:hAnsi="仿宋" w:eastAsia="仿宋" w:cs="仿宋"/>
          <w:sz w:val="32"/>
          <w:szCs w:val="32"/>
          <w:lang w:val="en-US" w:eastAsia="zh-CN"/>
        </w:rPr>
        <w:t>19</w:t>
      </w:r>
      <w:r>
        <w:rPr>
          <w:rFonts w:hint="eastAsia" w:ascii="仿宋" w:hAnsi="仿宋" w:eastAsia="仿宋" w:cs="仿宋"/>
          <w:sz w:val="32"/>
          <w:szCs w:val="32"/>
        </w:rPr>
        <w:t>人，其中：行政编制 1</w:t>
      </w:r>
      <w:r>
        <w:rPr>
          <w:rFonts w:hint="eastAsia" w:ascii="仿宋" w:hAnsi="仿宋" w:eastAsia="仿宋" w:cs="仿宋"/>
          <w:sz w:val="32"/>
          <w:szCs w:val="32"/>
          <w:lang w:val="en-US" w:eastAsia="zh-CN"/>
        </w:rPr>
        <w:t>0</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9</w:t>
      </w:r>
      <w:r>
        <w:rPr>
          <w:rFonts w:hint="eastAsia" w:ascii="仿宋" w:hAnsi="仿宋" w:eastAsia="仿宋" w:cs="仿宋"/>
          <w:sz w:val="32"/>
          <w:szCs w:val="32"/>
        </w:rPr>
        <w:t>人。2021年末在职实有</w:t>
      </w:r>
      <w:r>
        <w:rPr>
          <w:rFonts w:hint="eastAsia" w:ascii="仿宋" w:hAnsi="仿宋" w:eastAsia="仿宋" w:cs="仿宋"/>
          <w:sz w:val="32"/>
          <w:szCs w:val="32"/>
          <w:lang w:val="en-US" w:eastAsia="zh-CN"/>
        </w:rPr>
        <w:t>12</w:t>
      </w:r>
      <w:r>
        <w:rPr>
          <w:rFonts w:hint="eastAsia" w:ascii="仿宋" w:hAnsi="仿宋" w:eastAsia="仿宋" w:cs="仿宋"/>
          <w:sz w:val="32"/>
          <w:szCs w:val="32"/>
        </w:rPr>
        <w:t>人，行政</w:t>
      </w:r>
      <w:r>
        <w:rPr>
          <w:rFonts w:hint="eastAsia" w:ascii="仿宋" w:hAnsi="仿宋" w:eastAsia="仿宋" w:cs="仿宋"/>
          <w:sz w:val="32"/>
          <w:szCs w:val="32"/>
          <w:lang w:val="en-US" w:eastAsia="zh-CN"/>
        </w:rPr>
        <w:t>6</w:t>
      </w:r>
      <w:r>
        <w:rPr>
          <w:rFonts w:hint="eastAsia" w:ascii="仿宋" w:hAnsi="仿宋" w:eastAsia="仿宋" w:cs="仿宋"/>
          <w:sz w:val="32"/>
          <w:szCs w:val="32"/>
        </w:rPr>
        <w:t>人，事业</w:t>
      </w:r>
      <w:r>
        <w:rPr>
          <w:rFonts w:hint="eastAsia" w:ascii="仿宋" w:hAnsi="仿宋" w:eastAsia="仿宋" w:cs="仿宋"/>
          <w:sz w:val="32"/>
          <w:szCs w:val="32"/>
          <w:lang w:val="en-US" w:eastAsia="zh-CN"/>
        </w:rPr>
        <w:t>6</w:t>
      </w:r>
      <w:r>
        <w:rPr>
          <w:rFonts w:hint="eastAsia" w:ascii="仿宋" w:hAnsi="仿宋" w:eastAsia="仿宋" w:cs="仿宋"/>
          <w:sz w:val="32"/>
          <w:szCs w:val="32"/>
        </w:rPr>
        <w:t>人</w:t>
      </w:r>
      <w:r>
        <w:rPr>
          <w:rFonts w:hint="eastAsia" w:ascii="仿宋" w:hAnsi="仿宋" w:eastAsia="仿宋" w:cs="仿宋"/>
          <w:sz w:val="32"/>
          <w:szCs w:val="32"/>
          <w:lang w:eastAsia="zh-CN"/>
        </w:rPr>
        <w:t>。</w:t>
      </w:r>
    </w:p>
    <w:p>
      <w:pPr>
        <w:pStyle w:val="10"/>
        <w:widowControl/>
        <w:spacing w:line="600" w:lineRule="exact"/>
        <w:jc w:val="left"/>
        <w:rPr>
          <w:rFonts w:hint="eastAsia" w:ascii="仿宋" w:hAnsi="仿宋" w:eastAsia="仿宋" w:cs="仿宋"/>
          <w:sz w:val="32"/>
          <w:szCs w:val="32"/>
        </w:rPr>
      </w:pPr>
      <w:r>
        <w:rPr>
          <w:rFonts w:hint="eastAsia" w:ascii="仿宋" w:hAnsi="仿宋" w:eastAsia="仿宋" w:cs="仿宋"/>
          <w:sz w:val="32"/>
          <w:szCs w:val="32"/>
        </w:rPr>
        <w:t>（2）“三公”经费变动率：</w:t>
      </w:r>
      <w:r>
        <w:rPr>
          <w:rFonts w:hint="eastAsia" w:ascii="仿宋" w:hAnsi="仿宋" w:eastAsia="仿宋" w:cs="仿宋"/>
          <w:sz w:val="32"/>
          <w:szCs w:val="32"/>
          <w:lang w:val="en-US" w:eastAsia="zh-CN"/>
        </w:rPr>
        <w:t>无三公经费支出。</w:t>
      </w:r>
    </w:p>
    <w:p>
      <w:pPr>
        <w:pStyle w:val="10"/>
        <w:widowControl/>
        <w:spacing w:line="600" w:lineRule="exact"/>
        <w:ind w:left="640" w:firstLine="0" w:firstLineChars="0"/>
        <w:jc w:val="left"/>
        <w:rPr>
          <w:rFonts w:hint="eastAsia" w:ascii="仿宋" w:hAnsi="仿宋" w:eastAsia="楷体" w:cs="仿宋"/>
          <w:sz w:val="32"/>
          <w:szCs w:val="32"/>
          <w:lang w:eastAsia="zh-CN"/>
        </w:rPr>
      </w:pPr>
      <w:r>
        <w:rPr>
          <w:rFonts w:hint="eastAsia" w:ascii="楷体" w:hAnsi="楷体" w:eastAsia="楷体" w:cs="楷体"/>
          <w:b/>
          <w:bCs/>
          <w:sz w:val="32"/>
          <w:szCs w:val="32"/>
        </w:rPr>
        <w:t>（二）效益指标</w:t>
      </w:r>
      <w:r>
        <w:rPr>
          <w:rFonts w:hint="eastAsia" w:ascii="楷体" w:hAnsi="楷体" w:eastAsia="楷体" w:cs="楷体"/>
          <w:b/>
          <w:bCs/>
          <w:sz w:val="32"/>
          <w:szCs w:val="32"/>
          <w:lang w:eastAsia="zh-CN"/>
        </w:rPr>
        <w:t>。</w:t>
      </w:r>
    </w:p>
    <w:p>
      <w:pPr>
        <w:pStyle w:val="10"/>
        <w:widowControl/>
        <w:spacing w:line="600" w:lineRule="exact"/>
        <w:ind w:left="640" w:firstLine="321" w:firstLineChars="100"/>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w:t>1.社会效益</w:t>
      </w:r>
      <w:r>
        <w:rPr>
          <w:rFonts w:hint="eastAsia"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指标分值15分，得分14分，得分率93.33%。</w:t>
      </w:r>
    </w:p>
    <w:p>
      <w:pPr>
        <w:pStyle w:val="10"/>
        <w:widowControl/>
        <w:spacing w:line="600" w:lineRule="exact"/>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年部门确定的工作目标任务完成，保障了本地区网络意识形态安全，管网治网工作稳步推进，</w:t>
      </w:r>
      <w:r>
        <w:rPr>
          <w:rFonts w:hint="eastAsia" w:ascii="仿宋" w:hAnsi="仿宋" w:eastAsia="仿宋" w:cs="仿宋"/>
          <w:sz w:val="32"/>
          <w:szCs w:val="32"/>
          <w:lang w:val="en-US" w:eastAsia="zh-CN"/>
        </w:rPr>
        <w:t>网络留言回复率进一步得到提高，网民问题得到解决。因部分网民留言为历史遗留问题，回复率未能达到100%。</w:t>
      </w:r>
    </w:p>
    <w:p>
      <w:pPr>
        <w:pStyle w:val="10"/>
        <w:widowControl/>
        <w:spacing w:line="600" w:lineRule="exact"/>
        <w:ind w:left="640" w:firstLine="321" w:firstLineChars="1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rPr>
        <w:t>2.生态效益指标</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val="en-US" w:eastAsia="zh-CN"/>
        </w:rPr>
        <w:t>指标分值10分，得分9分，得分率90%</w:t>
      </w:r>
      <w:r>
        <w:rPr>
          <w:rFonts w:hint="eastAsia" w:ascii="仿宋" w:hAnsi="仿宋" w:eastAsia="仿宋" w:cs="仿宋"/>
          <w:b/>
          <w:bCs/>
          <w:sz w:val="32"/>
          <w:szCs w:val="32"/>
          <w:lang w:val="en-US" w:eastAsia="zh-CN"/>
        </w:rPr>
        <w:t>。</w:t>
      </w:r>
    </w:p>
    <w:p>
      <w:pPr>
        <w:pStyle w:val="10"/>
        <w:widowControl/>
        <w:spacing w:line="60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把牢网络舆情导向，为全县社会和谐稳定营造了良好的生态网络环境</w:t>
      </w:r>
      <w:r>
        <w:rPr>
          <w:rFonts w:hint="eastAsia" w:ascii="仿宋" w:hAnsi="仿宋" w:eastAsia="仿宋" w:cs="仿宋"/>
          <w:sz w:val="32"/>
          <w:szCs w:val="32"/>
        </w:rPr>
        <w:t>。</w:t>
      </w:r>
    </w:p>
    <w:p>
      <w:pPr>
        <w:pStyle w:val="10"/>
        <w:widowControl/>
        <w:spacing w:line="600" w:lineRule="exact"/>
        <w:ind w:left="640" w:firstLine="321" w:firstLineChars="1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3.可持续影响力：</w:t>
      </w:r>
      <w:r>
        <w:rPr>
          <w:rFonts w:hint="eastAsia" w:ascii="仿宋" w:hAnsi="仿宋" w:eastAsia="仿宋" w:cs="仿宋"/>
          <w:b w:val="0"/>
          <w:bCs w:val="0"/>
          <w:sz w:val="32"/>
          <w:szCs w:val="32"/>
          <w:lang w:val="en-US" w:eastAsia="zh-CN"/>
        </w:rPr>
        <w:t>指标分5分，得分5分，得分率100%。</w:t>
      </w:r>
      <w:r>
        <w:rPr>
          <w:rFonts w:hint="eastAsia" w:ascii="仿宋" w:hAnsi="仿宋" w:eastAsia="仿宋" w:cs="仿宋"/>
          <w:sz w:val="32"/>
          <w:szCs w:val="32"/>
          <w:lang w:val="en-US" w:eastAsia="zh-CN"/>
        </w:rPr>
        <w:t>网</w:t>
      </w:r>
    </w:p>
    <w:p>
      <w:pPr>
        <w:pStyle w:val="10"/>
        <w:widowControl/>
        <w:spacing w:line="600" w:lineRule="exact"/>
        <w:ind w:left="0" w:leftChars="0" w:firstLine="0"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络问政得到一致好评，我办被评为先进留言单位。</w:t>
      </w:r>
    </w:p>
    <w:p>
      <w:pPr>
        <w:pStyle w:val="10"/>
        <w:widowControl/>
        <w:spacing w:line="600" w:lineRule="exact"/>
        <w:ind w:left="640" w:firstLine="0" w:firstLineChars="0"/>
        <w:jc w:val="left"/>
        <w:rPr>
          <w:rFonts w:hint="eastAsia" w:ascii="楷体" w:hAnsi="楷体" w:eastAsia="楷体" w:cs="楷体"/>
          <w:sz w:val="32"/>
          <w:szCs w:val="32"/>
        </w:rPr>
      </w:pPr>
      <w:r>
        <w:rPr>
          <w:rFonts w:hint="eastAsia" w:ascii="楷体" w:hAnsi="楷体" w:eastAsia="楷体" w:cs="楷体"/>
          <w:sz w:val="32"/>
          <w:szCs w:val="32"/>
        </w:rPr>
        <w:t>（三）满意度指标</w:t>
      </w:r>
    </w:p>
    <w:p>
      <w:pPr>
        <w:pStyle w:val="10"/>
        <w:widowControl/>
        <w:spacing w:line="600" w:lineRule="exact"/>
        <w:jc w:val="left"/>
        <w:rPr>
          <w:rFonts w:hint="eastAsia" w:ascii="仿宋" w:hAnsi="仿宋" w:eastAsia="仿宋" w:cs="仿宋"/>
          <w:sz w:val="32"/>
          <w:szCs w:val="32"/>
        </w:rPr>
      </w:pPr>
      <w:r>
        <w:rPr>
          <w:rFonts w:hint="eastAsia" w:ascii="仿宋" w:hAnsi="仿宋" w:eastAsia="仿宋" w:cs="仿宋"/>
          <w:sz w:val="32"/>
          <w:szCs w:val="32"/>
          <w:lang w:val="en-US" w:eastAsia="zh-CN"/>
        </w:rPr>
        <w:t>指标分10分，得分9分，得分率90%。</w:t>
      </w:r>
      <w:r>
        <w:rPr>
          <w:rFonts w:hint="eastAsia" w:ascii="仿宋" w:hAnsi="仿宋" w:eastAsia="仿宋" w:cs="仿宋"/>
          <w:sz w:val="32"/>
          <w:szCs w:val="32"/>
        </w:rPr>
        <w:t>服务对象满意度指</w:t>
      </w:r>
    </w:p>
    <w:p>
      <w:pPr>
        <w:pStyle w:val="10"/>
        <w:widowControl/>
        <w:spacing w:line="600" w:lineRule="exact"/>
        <w:ind w:left="0" w:leftChars="0" w:firstLine="0" w:firstLineChars="0"/>
        <w:jc w:val="left"/>
        <w:rPr>
          <w:rFonts w:hint="eastAsia" w:eastAsia="黑体"/>
          <w:sz w:val="32"/>
          <w:szCs w:val="32"/>
        </w:rPr>
      </w:pPr>
      <w:r>
        <w:rPr>
          <w:rFonts w:hint="eastAsia" w:ascii="仿宋" w:hAnsi="仿宋" w:eastAsia="仿宋" w:cs="仿宋"/>
          <w:sz w:val="32"/>
          <w:szCs w:val="32"/>
        </w:rPr>
        <w:t>标达到9</w:t>
      </w:r>
      <w:r>
        <w:rPr>
          <w:rFonts w:hint="eastAsia" w:ascii="仿宋" w:hAnsi="仿宋" w:eastAsia="仿宋" w:cs="仿宋"/>
          <w:sz w:val="32"/>
          <w:szCs w:val="32"/>
          <w:lang w:val="en-US" w:eastAsia="zh-CN"/>
        </w:rPr>
        <w:t>5</w:t>
      </w:r>
      <w:r>
        <w:rPr>
          <w:rFonts w:hint="eastAsia" w:ascii="仿宋" w:hAnsi="仿宋" w:eastAsia="仿宋" w:cs="仿宋"/>
          <w:sz w:val="32"/>
          <w:szCs w:val="32"/>
        </w:rPr>
        <w:t>%。</w:t>
      </w:r>
    </w:p>
    <w:p>
      <w:pPr>
        <w:pStyle w:val="10"/>
        <w:widowControl/>
        <w:spacing w:line="600" w:lineRule="exact"/>
        <w:ind w:left="640" w:firstLine="0" w:firstLineChars="0"/>
        <w:jc w:val="left"/>
        <w:rPr>
          <w:rFonts w:eastAsia="黑体"/>
          <w:sz w:val="32"/>
          <w:szCs w:val="32"/>
        </w:rPr>
      </w:pPr>
      <w:r>
        <w:rPr>
          <w:rFonts w:hint="eastAsia" w:eastAsia="黑体"/>
          <w:sz w:val="32"/>
          <w:szCs w:val="32"/>
        </w:rPr>
        <w:t>七、存在的问题及原因分析</w:t>
      </w:r>
    </w:p>
    <w:p>
      <w:pPr>
        <w:widowControl/>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1.部分单位内部管理制度未及时更新。主要原因是对政策、制度的学习不够，导致单位现有制度已不能完全适应新形势、新要求。</w:t>
      </w:r>
    </w:p>
    <w:p>
      <w:pPr>
        <w:widowControl/>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2.预算绩效管理水平有待进一步提升。主要原因是针对预算绩效管理工作的学习、培训较少。</w:t>
      </w:r>
    </w:p>
    <w:p>
      <w:pPr>
        <w:widowControl/>
        <w:spacing w:line="600" w:lineRule="exact"/>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八、下一步改进措施</w:t>
      </w:r>
    </w:p>
    <w:p>
      <w:pPr>
        <w:pStyle w:val="7"/>
        <w:keepNext w:val="0"/>
        <w:keepLines w:val="0"/>
        <w:widowControl w:val="0"/>
        <w:shd w:val="clear" w:color="auto" w:fill="auto"/>
        <w:bidi w:val="0"/>
        <w:spacing w:before="0" w:after="0" w:line="598" w:lineRule="exact"/>
        <w:ind w:left="0" w:right="0" w:firstLine="640"/>
        <w:jc w:val="both"/>
        <w:rPr>
          <w:rFonts w:hint="default" w:ascii="仿宋" w:hAnsi="仿宋" w:eastAsia="仿宋" w:cs="仿宋"/>
          <w:color w:val="000000"/>
          <w:spacing w:val="0"/>
          <w:w w:val="100"/>
          <w:position w:val="0"/>
          <w:sz w:val="28"/>
          <w:szCs w:val="28"/>
          <w:lang w:val="en-US" w:eastAsia="zh-CN"/>
        </w:rPr>
      </w:pPr>
      <w:r>
        <w:rPr>
          <w:rFonts w:hint="eastAsia" w:ascii="仿宋" w:hAnsi="仿宋" w:eastAsia="仿宋" w:cs="仿宋"/>
          <w:color w:val="000000"/>
          <w:spacing w:val="0"/>
          <w:w w:val="100"/>
          <w:position w:val="0"/>
          <w:sz w:val="28"/>
          <w:szCs w:val="28"/>
          <w:lang w:val="en-US" w:eastAsia="zh-CN"/>
        </w:rPr>
        <w:t>针对上述问题，</w:t>
      </w:r>
      <w:r>
        <w:rPr>
          <w:rFonts w:hint="eastAsia" w:ascii="仿宋" w:hAnsi="仿宋" w:eastAsia="仿宋" w:cs="仿宋"/>
          <w:color w:val="000000"/>
          <w:spacing w:val="0"/>
          <w:w w:val="100"/>
          <w:position w:val="0"/>
          <w:sz w:val="28"/>
          <w:szCs w:val="28"/>
        </w:rPr>
        <w:t>一是</w:t>
      </w:r>
      <w:r>
        <w:rPr>
          <w:rFonts w:hint="eastAsia" w:ascii="仿宋" w:hAnsi="仿宋" w:eastAsia="仿宋" w:cs="仿宋"/>
          <w:color w:val="000000"/>
          <w:spacing w:val="0"/>
          <w:w w:val="100"/>
          <w:position w:val="0"/>
          <w:sz w:val="28"/>
          <w:szCs w:val="28"/>
          <w:lang w:val="en-US" w:eastAsia="zh-CN"/>
        </w:rPr>
        <w:t>加强对财务人员知识学习与培训工作，通过专业的学习和培训，让财务人员能够科学合理地使用资金，切实提高部门预算收支管理水平。二是严格按照经费使用管理规定及运行过程中的监督，努力保质保量完成各项任务。三是进一步健全管理责任制，强化实施主体责任，切实提高财政资金使用效益和工作效率。</w:t>
      </w:r>
    </w:p>
    <w:p>
      <w:pPr>
        <w:widowControl/>
        <w:spacing w:line="600" w:lineRule="exact"/>
        <w:ind w:firstLine="645"/>
        <w:jc w:val="left"/>
        <w:rPr>
          <w:rFonts w:ascii="Times New Roman" w:hAnsi="Times New Roman" w:eastAsia="黑体"/>
          <w:sz w:val="32"/>
          <w:szCs w:val="32"/>
        </w:rPr>
      </w:pPr>
      <w:r>
        <w:rPr>
          <w:rFonts w:hint="eastAsia" w:ascii="Times New Roman" w:hAnsi="Times New Roman" w:eastAsia="黑体"/>
          <w:sz w:val="32"/>
          <w:szCs w:val="32"/>
        </w:rPr>
        <w:t>九、其他需要说明的情况</w:t>
      </w:r>
    </w:p>
    <w:bookmarkEnd w:id="0"/>
    <w:p>
      <w:pPr>
        <w:widowControl/>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bidi="ar"/>
        </w:rPr>
        <w:t>附件1-1：</w:t>
      </w:r>
      <w:r>
        <w:rPr>
          <w:rFonts w:hint="eastAsia" w:ascii="仿宋" w:hAnsi="仿宋" w:eastAsia="仿宋" w:cs="仿宋"/>
          <w:sz w:val="28"/>
          <w:szCs w:val="28"/>
        </w:rPr>
        <w:t>部门整体支出绩效评价基础数据表</w:t>
      </w:r>
    </w:p>
    <w:p>
      <w:pPr>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附件1-2：</w:t>
      </w:r>
      <w:r>
        <w:rPr>
          <w:rFonts w:hint="eastAsia" w:ascii="仿宋" w:hAnsi="仿宋" w:eastAsia="仿宋" w:cs="仿宋"/>
          <w:sz w:val="28"/>
          <w:szCs w:val="28"/>
        </w:rPr>
        <w:t>部门整体支出绩效自评表</w:t>
      </w:r>
    </w:p>
    <w:p>
      <w:pPr>
        <w:jc w:val="center"/>
        <w:rPr>
          <w:rFonts w:hint="eastAsia" w:ascii="仿宋" w:hAnsi="仿宋" w:eastAsia="仿宋" w:cs="仿宋"/>
          <w:sz w:val="28"/>
          <w:szCs w:val="28"/>
        </w:rPr>
      </w:pPr>
    </w:p>
    <w:p>
      <w:pPr>
        <w:spacing w:line="480" w:lineRule="exact"/>
        <w:ind w:firstLine="560" w:firstLineChars="200"/>
        <w:rPr>
          <w:rFonts w:hint="eastAsia" w:ascii="仿宋" w:hAnsi="仿宋" w:eastAsia="仿宋" w:cs="仿宋"/>
          <w:color w:val="000000"/>
          <w:kern w:val="0"/>
          <w:sz w:val="28"/>
          <w:szCs w:val="28"/>
          <w:lang w:bidi="ar"/>
        </w:rPr>
      </w:pPr>
    </w:p>
    <w:p>
      <w:pPr>
        <w:spacing w:line="480" w:lineRule="exact"/>
        <w:ind w:firstLine="560" w:firstLineChars="200"/>
        <w:rPr>
          <w:rFonts w:hint="eastAsia" w:ascii="仿宋" w:hAnsi="仿宋" w:eastAsia="仿宋" w:cs="仿宋"/>
          <w:color w:val="000000"/>
          <w:kern w:val="0"/>
          <w:sz w:val="28"/>
          <w:szCs w:val="28"/>
          <w:lang w:bidi="ar"/>
        </w:rPr>
      </w:pPr>
    </w:p>
    <w:p>
      <w:pPr>
        <w:spacing w:line="480" w:lineRule="exact"/>
        <w:ind w:firstLine="560" w:firstLineChars="200"/>
        <w:rPr>
          <w:rFonts w:hint="eastAsia" w:ascii="仿宋" w:hAnsi="仿宋" w:eastAsia="仿宋" w:cs="仿宋"/>
          <w:color w:val="000000"/>
          <w:kern w:val="0"/>
          <w:sz w:val="28"/>
          <w:szCs w:val="28"/>
          <w:lang w:bidi="ar"/>
        </w:rPr>
      </w:pPr>
    </w:p>
    <w:p>
      <w:pPr>
        <w:spacing w:line="480" w:lineRule="exact"/>
        <w:ind w:firstLine="560" w:firstLineChars="200"/>
        <w:rPr>
          <w:rFonts w:hint="eastAsia" w:ascii="仿宋" w:hAnsi="仿宋" w:eastAsia="仿宋" w:cs="仿宋"/>
          <w:color w:val="000000"/>
          <w:kern w:val="0"/>
          <w:sz w:val="28"/>
          <w:szCs w:val="28"/>
          <w:lang w:bidi="ar"/>
        </w:rPr>
      </w:pPr>
    </w:p>
    <w:p>
      <w:pPr>
        <w:spacing w:line="480" w:lineRule="exact"/>
        <w:ind w:firstLine="560" w:firstLineChars="200"/>
        <w:rPr>
          <w:rFonts w:hint="eastAsia" w:ascii="仿宋" w:hAnsi="仿宋" w:eastAsia="仿宋" w:cs="仿宋"/>
          <w:color w:val="000000"/>
          <w:kern w:val="0"/>
          <w:sz w:val="28"/>
          <w:szCs w:val="28"/>
          <w:lang w:bidi="ar"/>
        </w:rPr>
      </w:pPr>
    </w:p>
    <w:p>
      <w:pPr>
        <w:spacing w:line="480" w:lineRule="exact"/>
        <w:ind w:firstLine="560" w:firstLineChars="200"/>
        <w:rPr>
          <w:rFonts w:hint="eastAsia" w:ascii="仿宋" w:hAnsi="仿宋" w:eastAsia="仿宋" w:cs="仿宋"/>
          <w:color w:val="000000"/>
          <w:kern w:val="0"/>
          <w:sz w:val="28"/>
          <w:szCs w:val="28"/>
          <w:lang w:bidi="ar"/>
        </w:rPr>
      </w:pPr>
    </w:p>
    <w:p>
      <w:pPr>
        <w:spacing w:line="480" w:lineRule="exact"/>
        <w:ind w:firstLine="560" w:firstLineChars="200"/>
        <w:rPr>
          <w:rFonts w:hint="eastAsia" w:ascii="仿宋" w:hAnsi="仿宋" w:eastAsia="仿宋" w:cs="仿宋"/>
          <w:color w:val="000000"/>
          <w:kern w:val="0"/>
          <w:sz w:val="28"/>
          <w:szCs w:val="28"/>
          <w:lang w:bidi="ar"/>
        </w:rPr>
      </w:pPr>
    </w:p>
    <w:p>
      <w:pPr>
        <w:spacing w:line="480" w:lineRule="exact"/>
        <w:ind w:firstLine="560" w:firstLineChars="200"/>
        <w:rPr>
          <w:rFonts w:hint="eastAsia" w:ascii="仿宋" w:hAnsi="仿宋" w:eastAsia="仿宋" w:cs="仿宋"/>
          <w:color w:val="000000"/>
          <w:kern w:val="0"/>
          <w:sz w:val="28"/>
          <w:szCs w:val="28"/>
          <w:lang w:bidi="ar"/>
        </w:rPr>
      </w:pPr>
    </w:p>
    <w:p>
      <w:pPr>
        <w:spacing w:line="480" w:lineRule="exact"/>
        <w:ind w:firstLine="560" w:firstLineChars="200"/>
        <w:rPr>
          <w:rFonts w:hint="eastAsia" w:ascii="仿宋" w:hAnsi="仿宋" w:eastAsia="仿宋" w:cs="仿宋"/>
          <w:color w:val="000000"/>
          <w:kern w:val="0"/>
          <w:sz w:val="28"/>
          <w:szCs w:val="28"/>
          <w:lang w:bidi="ar"/>
        </w:rPr>
      </w:pP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br w:type="page"/>
      </w:r>
    </w:p>
    <w:p>
      <w:pPr>
        <w:widowControl/>
        <w:rPr>
          <w:rFonts w:hint="eastAsia" w:ascii="仿宋" w:hAnsi="仿宋" w:eastAsia="仿宋" w:cs="仿宋"/>
          <w:color w:val="000000"/>
          <w:kern w:val="0"/>
          <w:sz w:val="24"/>
          <w:szCs w:val="24"/>
        </w:rPr>
      </w:pPr>
    </w:p>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附件1-1      </w:t>
      </w:r>
    </w:p>
    <w:p>
      <w:pPr>
        <w:widowControl/>
        <w:jc w:val="center"/>
        <w:rPr>
          <w:rFonts w:hint="eastAsia" w:ascii="宋体" w:hAnsi="宋体" w:eastAsia="宋体" w:cs="宋体"/>
          <w:color w:val="000000"/>
          <w:kern w:val="0"/>
          <w:sz w:val="36"/>
          <w:szCs w:val="36"/>
        </w:rPr>
      </w:pPr>
      <w:r>
        <w:rPr>
          <w:rFonts w:hint="eastAsia" w:ascii="宋体" w:hAnsi="宋体" w:eastAsia="宋体" w:cs="宋体"/>
          <w:sz w:val="36"/>
          <w:szCs w:val="36"/>
        </w:rPr>
        <w:t>部门整体支出绩效评价基础数据表</w:t>
      </w:r>
    </w:p>
    <w:p>
      <w:pPr>
        <w:widowControl/>
        <w:tabs>
          <w:tab w:val="left" w:pos="3611"/>
          <w:tab w:val="left" w:pos="4791"/>
          <w:tab w:val="left" w:pos="5951"/>
          <w:tab w:val="left" w:pos="7071"/>
          <w:tab w:val="left" w:pos="8191"/>
          <w:tab w:val="left" w:pos="9311"/>
        </w:tabs>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填报单位：</w:t>
      </w:r>
      <w:r>
        <w:rPr>
          <w:rFonts w:hint="eastAsia" w:ascii="仿宋" w:hAnsi="仿宋" w:eastAsia="仿宋" w:cs="仿宋"/>
          <w:kern w:val="0"/>
          <w:sz w:val="24"/>
          <w:szCs w:val="24"/>
          <w:lang w:val="en-US" w:eastAsia="zh-CN"/>
        </w:rPr>
        <w:t xml:space="preserve">网信办      </w:t>
      </w:r>
      <w:r>
        <w:rPr>
          <w:rFonts w:hint="eastAsia" w:ascii="仿宋" w:hAnsi="仿宋" w:eastAsia="仿宋" w:cs="仿宋"/>
          <w:kern w:val="0"/>
          <w:sz w:val="24"/>
          <w:szCs w:val="24"/>
        </w:rPr>
        <w:t>填报时间：</w:t>
      </w:r>
      <w:r>
        <w:rPr>
          <w:rFonts w:hint="eastAsia" w:ascii="仿宋" w:hAnsi="仿宋" w:eastAsia="仿宋" w:cs="仿宋"/>
          <w:kern w:val="0"/>
          <w:sz w:val="24"/>
          <w:szCs w:val="24"/>
          <w:lang w:val="en-US" w:eastAsia="zh-CN"/>
        </w:rPr>
        <w:t>2023年3月14日       单位：万元</w:t>
      </w:r>
      <w:r>
        <w:rPr>
          <w:rFonts w:hint="eastAsia" w:ascii="仿宋" w:hAnsi="仿宋" w:eastAsia="仿宋" w:cs="仿宋"/>
          <w:kern w:val="0"/>
          <w:sz w:val="24"/>
          <w:szCs w:val="24"/>
        </w:rPr>
        <w:tab/>
      </w:r>
    </w:p>
    <w:tbl>
      <w:tblPr>
        <w:tblStyle w:val="5"/>
        <w:tblW w:w="9111" w:type="dxa"/>
        <w:jc w:val="center"/>
        <w:tblLayout w:type="fixed"/>
        <w:tblCellMar>
          <w:top w:w="0" w:type="dxa"/>
          <w:left w:w="108" w:type="dxa"/>
          <w:bottom w:w="0" w:type="dxa"/>
          <w:right w:w="108" w:type="dxa"/>
        </w:tblCellMar>
      </w:tblPr>
      <w:tblGrid>
        <w:gridCol w:w="3545"/>
        <w:gridCol w:w="1518"/>
        <w:gridCol w:w="2172"/>
        <w:gridCol w:w="1876"/>
      </w:tblGrid>
      <w:tr>
        <w:tblPrEx>
          <w:tblCellMar>
            <w:top w:w="0" w:type="dxa"/>
            <w:left w:w="108" w:type="dxa"/>
            <w:bottom w:w="0" w:type="dxa"/>
            <w:right w:w="108" w:type="dxa"/>
          </w:tblCellMar>
        </w:tblPrEx>
        <w:trPr>
          <w:trHeight w:val="425" w:hRule="atLeast"/>
          <w:jc w:val="center"/>
        </w:trPr>
        <w:tc>
          <w:tcPr>
            <w:tcW w:w="35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财政供养人员情况</w:t>
            </w:r>
          </w:p>
        </w:tc>
        <w:tc>
          <w:tcPr>
            <w:tcW w:w="15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编制数</w:t>
            </w:r>
          </w:p>
        </w:tc>
        <w:tc>
          <w:tcPr>
            <w:tcW w:w="21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年实际在职人数</w:t>
            </w:r>
          </w:p>
        </w:tc>
        <w:tc>
          <w:tcPr>
            <w:tcW w:w="18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控制率</w:t>
            </w:r>
          </w:p>
        </w:tc>
      </w:tr>
      <w:tr>
        <w:tblPrEx>
          <w:tblCellMar>
            <w:top w:w="0" w:type="dxa"/>
            <w:left w:w="108" w:type="dxa"/>
            <w:bottom w:w="0" w:type="dxa"/>
            <w:right w:w="108" w:type="dxa"/>
          </w:tblCellMar>
        </w:tblPrEx>
        <w:trPr>
          <w:trHeight w:val="425" w:hRule="atLeast"/>
          <w:jc w:val="center"/>
        </w:trPr>
        <w:tc>
          <w:tcPr>
            <w:tcW w:w="35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p>
        </w:tc>
        <w:tc>
          <w:tcPr>
            <w:tcW w:w="15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19</w:t>
            </w:r>
          </w:p>
        </w:tc>
        <w:tc>
          <w:tcPr>
            <w:tcW w:w="2172"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12</w:t>
            </w:r>
          </w:p>
        </w:tc>
        <w:tc>
          <w:tcPr>
            <w:tcW w:w="18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 xml:space="preserve">                                                                                                                </w:t>
            </w: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经费控制情况</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当</w:t>
            </w:r>
            <w:r>
              <w:rPr>
                <w:rFonts w:hint="eastAsia" w:ascii="仿宋" w:hAnsi="仿宋" w:eastAsia="仿宋" w:cs="仿宋"/>
                <w:kern w:val="0"/>
                <w:sz w:val="24"/>
                <w:szCs w:val="24"/>
              </w:rPr>
              <w:t>年决算数</w:t>
            </w: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当前</w:t>
            </w:r>
            <w:r>
              <w:rPr>
                <w:rFonts w:hint="eastAsia" w:ascii="仿宋" w:hAnsi="仿宋" w:eastAsia="仿宋" w:cs="仿宋"/>
                <w:kern w:val="0"/>
                <w:sz w:val="24"/>
                <w:szCs w:val="24"/>
              </w:rPr>
              <w:t>年预算数</w:t>
            </w: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上</w:t>
            </w:r>
            <w:r>
              <w:rPr>
                <w:rFonts w:hint="eastAsia" w:ascii="仿宋" w:hAnsi="仿宋" w:eastAsia="仿宋" w:cs="仿宋"/>
                <w:kern w:val="0"/>
                <w:sz w:val="24"/>
                <w:szCs w:val="24"/>
              </w:rPr>
              <w:t>年决算数</w:t>
            </w:r>
          </w:p>
        </w:tc>
      </w:tr>
      <w:tr>
        <w:tblPrEx>
          <w:tblCellMar>
            <w:top w:w="0" w:type="dxa"/>
            <w:left w:w="108" w:type="dxa"/>
            <w:bottom w:w="0" w:type="dxa"/>
            <w:right w:w="108" w:type="dxa"/>
          </w:tblCellMar>
        </w:tblPrEx>
        <w:trPr>
          <w:trHeight w:val="51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一、部门基本支出</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102.23</w:t>
            </w: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101.85</w:t>
            </w: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85.4561</w:t>
            </w:r>
          </w:p>
        </w:tc>
      </w:tr>
      <w:tr>
        <w:tblPrEx>
          <w:tblCellMar>
            <w:top w:w="0" w:type="dxa"/>
            <w:left w:w="108" w:type="dxa"/>
            <w:bottom w:w="0" w:type="dxa"/>
            <w:right w:w="108" w:type="dxa"/>
          </w:tblCellMar>
        </w:tblPrEx>
        <w:trPr>
          <w:trHeight w:val="447"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其中： 1、压缩一般性支出</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lang w:val="en-US" w:eastAsia="zh-CN"/>
              </w:rPr>
            </w:pP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lang w:val="en-US" w:eastAsia="zh-CN"/>
              </w:rPr>
            </w:pP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8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2、三公经费</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公务用车购置和维护经费</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其中：公车购置</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公车运行维护</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公务接待</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出国经费</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二、部门项目支出</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1、业务工作专项(一个项目一行)</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hint="eastAsia" w:ascii="仿宋" w:hAnsi="仿宋" w:eastAsia="仿宋" w:cs="仿宋"/>
                <w:kern w:val="0"/>
                <w:sz w:val="21"/>
                <w:szCs w:val="21"/>
              </w:rPr>
            </w:pP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70"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2、运行维护专项(一个项目一行)</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ind w:firstLine="945" w:firstLineChars="450"/>
              <w:jc w:val="left"/>
              <w:rPr>
                <w:rFonts w:hint="eastAsia" w:ascii="仿宋" w:hAnsi="仿宋" w:eastAsia="仿宋" w:cs="仿宋"/>
                <w:kern w:val="0"/>
                <w:sz w:val="21"/>
                <w:szCs w:val="21"/>
              </w:rPr>
            </w:pP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ind w:firstLine="945" w:firstLineChars="450"/>
              <w:jc w:val="left"/>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3、县级专项资金（一个专项一行）</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 xml:space="preserve">         ……</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70"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政府采购金额</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57"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厉行节约保障措施</w:t>
            </w:r>
          </w:p>
        </w:tc>
        <w:tc>
          <w:tcPr>
            <w:tcW w:w="556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bl>
    <w:p>
      <w:pPr>
        <w:spacing w:before="62" w:beforeLines="20"/>
        <w:rPr>
          <w:rFonts w:hint="eastAsia" w:ascii="仿宋" w:hAnsi="仿宋" w:eastAsia="仿宋" w:cs="仿宋"/>
          <w:kern w:val="0"/>
          <w:sz w:val="24"/>
          <w:szCs w:val="24"/>
        </w:rPr>
      </w:pPr>
      <w:r>
        <w:rPr>
          <w:rFonts w:hint="eastAsia" w:ascii="仿宋" w:hAnsi="仿宋" w:eastAsia="仿宋" w:cs="仿宋"/>
          <w:kern w:val="0"/>
          <w:sz w:val="24"/>
          <w:szCs w:val="24"/>
        </w:rPr>
        <w:t>说明：“公用经费”填报基本支出中的一般商品和服务支出；“项目支出”需要填报基本支出以外的所有项目支出情况，包括业务工作项目、运行维护项目和县级专项资金等。</w:t>
      </w:r>
    </w:p>
    <w:p>
      <w:pPr>
        <w:spacing w:before="156" w:beforeLines="50" w:line="300" w:lineRule="exact"/>
        <w:rPr>
          <w:rFonts w:hint="eastAsia" w:ascii="仿宋" w:hAnsi="仿宋" w:eastAsia="仿宋" w:cs="仿宋"/>
          <w:sz w:val="24"/>
          <w:szCs w:val="24"/>
        </w:rPr>
      </w:pPr>
      <w:r>
        <w:rPr>
          <w:rFonts w:hint="eastAsia" w:ascii="仿宋" w:hAnsi="仿宋" w:eastAsia="仿宋" w:cs="仿宋"/>
          <w:sz w:val="24"/>
          <w:szCs w:val="24"/>
        </w:rPr>
        <w:t>填表人：</w:t>
      </w:r>
      <w:r>
        <w:rPr>
          <w:rFonts w:hint="eastAsia" w:ascii="仿宋" w:hAnsi="仿宋" w:eastAsia="仿宋" w:cs="仿宋"/>
          <w:sz w:val="24"/>
          <w:szCs w:val="24"/>
          <w:lang w:val="en-US" w:eastAsia="zh-CN"/>
        </w:rPr>
        <w:t>阳桂兰</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13787340508</w:t>
      </w:r>
      <w:r>
        <w:rPr>
          <w:rFonts w:hint="eastAsia" w:ascii="仿宋" w:hAnsi="仿宋" w:eastAsia="仿宋" w:cs="仿宋"/>
          <w:sz w:val="24"/>
          <w:szCs w:val="24"/>
        </w:rPr>
        <w:t xml:space="preserve">    单位负责人签字：</w:t>
      </w:r>
    </w:p>
    <w:p>
      <w:pPr>
        <w:spacing w:before="62" w:beforeLines="20"/>
        <w:rPr>
          <w:rFonts w:hint="eastAsia" w:ascii="宋体" w:hAnsi="宋体" w:cs="宋体"/>
          <w:kern w:val="0"/>
          <w:sz w:val="24"/>
        </w:rPr>
      </w:pPr>
    </w:p>
    <w:p>
      <w:pPr>
        <w:keepNext w:val="0"/>
        <w:keepLines w:val="0"/>
        <w:pageBreakBefore w:val="0"/>
        <w:widowControl/>
        <w:kinsoku/>
        <w:wordWrap/>
        <w:overflowPunct/>
        <w:topLinePunct w:val="0"/>
        <w:autoSpaceDE/>
        <w:autoSpaceDN/>
        <w:bidi w:val="0"/>
        <w:adjustRightInd/>
        <w:spacing w:before="62" w:beforeLines="20" w:line="240" w:lineRule="exact"/>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pacing w:before="62" w:beforeLines="20" w:line="240" w:lineRule="exact"/>
        <w:rPr>
          <w:rFonts w:hint="eastAsia" w:ascii="仿宋" w:hAnsi="仿宋" w:eastAsia="仿宋" w:cs="仿宋"/>
          <w:sz w:val="24"/>
          <w:szCs w:val="24"/>
        </w:rPr>
      </w:pPr>
      <w:bookmarkStart w:id="1" w:name="_GoBack"/>
      <w:bookmarkEnd w:id="1"/>
    </w:p>
    <w:p>
      <w:pPr>
        <w:keepNext w:val="0"/>
        <w:keepLines w:val="0"/>
        <w:pageBreakBefore w:val="0"/>
        <w:widowControl/>
        <w:kinsoku/>
        <w:wordWrap/>
        <w:overflowPunct/>
        <w:topLinePunct w:val="0"/>
        <w:autoSpaceDE/>
        <w:autoSpaceDN/>
        <w:bidi w:val="0"/>
        <w:adjustRightInd/>
        <w:spacing w:before="62" w:beforeLines="20" w:line="240" w:lineRule="exact"/>
        <w:rPr>
          <w:rFonts w:hint="eastAsia" w:ascii="仿宋" w:hAnsi="仿宋" w:eastAsia="仿宋" w:cs="仿宋"/>
          <w:b/>
          <w:bCs/>
          <w:sz w:val="32"/>
          <w:szCs w:val="32"/>
        </w:rPr>
      </w:pPr>
      <w:r>
        <w:rPr>
          <w:rFonts w:hint="eastAsia" w:ascii="仿宋" w:hAnsi="仿宋" w:eastAsia="仿宋" w:cs="仿宋"/>
          <w:sz w:val="24"/>
          <w:szCs w:val="24"/>
        </w:rPr>
        <w:t>附件</w:t>
      </w:r>
      <w:r>
        <w:rPr>
          <w:rFonts w:hint="eastAsia" w:ascii="仿宋" w:hAnsi="仿宋" w:eastAsia="仿宋" w:cs="仿宋"/>
          <w:color w:val="000000"/>
          <w:kern w:val="0"/>
          <w:sz w:val="24"/>
          <w:szCs w:val="24"/>
        </w:rPr>
        <w:t xml:space="preserve">1-2 </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部门整体支出绩效自评表</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18"/>
          <w:szCs w:val="18"/>
        </w:rPr>
      </w:pPr>
      <w:r>
        <w:rPr>
          <w:rFonts w:hint="eastAsia" w:ascii="仿宋" w:hAnsi="仿宋" w:eastAsia="仿宋" w:cs="仿宋"/>
          <w:sz w:val="18"/>
          <w:szCs w:val="18"/>
        </w:rPr>
        <w:t xml:space="preserve">（ </w:t>
      </w:r>
      <w:r>
        <w:rPr>
          <w:rFonts w:hint="eastAsia" w:ascii="仿宋" w:hAnsi="仿宋" w:eastAsia="仿宋" w:cs="仿宋"/>
          <w:sz w:val="18"/>
          <w:szCs w:val="18"/>
          <w:lang w:val="en-US" w:eastAsia="zh-CN"/>
        </w:rPr>
        <w:t>2022</w:t>
      </w:r>
      <w:r>
        <w:rPr>
          <w:rFonts w:hint="eastAsia" w:ascii="仿宋" w:hAnsi="仿宋" w:eastAsia="仿宋" w:cs="仿宋"/>
          <w:sz w:val="18"/>
          <w:szCs w:val="18"/>
        </w:rPr>
        <w:t>年度）</w:t>
      </w:r>
    </w:p>
    <w:p>
      <w:pPr>
        <w:keepNext w:val="0"/>
        <w:keepLines w:val="0"/>
        <w:pageBreakBefore w:val="0"/>
        <w:widowControl/>
        <w:kinsoku/>
        <w:wordWrap/>
        <w:overflowPunct/>
        <w:topLinePunct w:val="0"/>
        <w:autoSpaceDE/>
        <w:autoSpaceDN/>
        <w:bidi w:val="0"/>
        <w:adjustRightInd/>
        <w:spacing w:line="240" w:lineRule="exact"/>
        <w:rPr>
          <w:rFonts w:hint="default" w:ascii="仿宋" w:hAnsi="仿宋" w:eastAsia="仿宋" w:cs="仿宋"/>
          <w:sz w:val="18"/>
          <w:szCs w:val="18"/>
          <w:lang w:val="en-US" w:eastAsia="zh-CN"/>
        </w:rPr>
      </w:pPr>
      <w:r>
        <w:rPr>
          <w:rFonts w:hint="eastAsia" w:ascii="仿宋" w:hAnsi="仿宋" w:eastAsia="仿宋" w:cs="仿宋"/>
          <w:sz w:val="18"/>
          <w:szCs w:val="18"/>
        </w:rPr>
        <w:t>填报单位（盖章）：                              填报时间：</w:t>
      </w:r>
      <w:r>
        <w:rPr>
          <w:rFonts w:hint="eastAsia" w:ascii="仿宋" w:hAnsi="仿宋" w:eastAsia="仿宋" w:cs="仿宋"/>
          <w:sz w:val="18"/>
          <w:szCs w:val="18"/>
          <w:lang w:val="en-US" w:eastAsia="zh-CN"/>
        </w:rPr>
        <w:t>2023.3.14</w:t>
      </w:r>
    </w:p>
    <w:tbl>
      <w:tblPr>
        <w:tblStyle w:val="5"/>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382"/>
        <w:gridCol w:w="399"/>
        <w:gridCol w:w="816"/>
        <w:gridCol w:w="534"/>
        <w:gridCol w:w="1638"/>
        <w:gridCol w:w="987"/>
        <w:gridCol w:w="1110"/>
        <w:gridCol w:w="825"/>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00" w:type="dxa"/>
            <w:vMerge w:val="restart"/>
            <w:noWrap w:val="0"/>
            <w:textDirection w:val="tbRlV"/>
            <w:vAlign w:val="center"/>
          </w:tcPr>
          <w:p>
            <w:pPr>
              <w:keepNext w:val="0"/>
              <w:keepLines w:val="0"/>
              <w:pageBreakBefore w:val="0"/>
              <w:widowControl/>
              <w:kinsoku/>
              <w:wordWrap/>
              <w:overflowPunct/>
              <w:topLinePunct w:val="0"/>
              <w:autoSpaceDE/>
              <w:autoSpaceDN/>
              <w:bidi w:val="0"/>
              <w:adjustRightInd/>
              <w:spacing w:line="240" w:lineRule="exact"/>
              <w:ind w:left="113" w:right="113"/>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部门资金（万元）</w:t>
            </w:r>
          </w:p>
        </w:tc>
        <w:tc>
          <w:tcPr>
            <w:tcW w:w="1781"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p>
        </w:tc>
        <w:tc>
          <w:tcPr>
            <w:tcW w:w="1350"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年初预算数</w:t>
            </w:r>
          </w:p>
        </w:tc>
        <w:tc>
          <w:tcPr>
            <w:tcW w:w="1638"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全年预算数</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全年执行数</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执行率</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分值</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00"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pacing w:line="240" w:lineRule="exact"/>
              <w:ind w:left="113" w:right="113"/>
              <w:jc w:val="left"/>
              <w:rPr>
                <w:rFonts w:hint="eastAsia" w:ascii="仿宋" w:hAnsi="仿宋" w:eastAsia="仿宋" w:cs="仿宋"/>
                <w:color w:val="000000"/>
                <w:kern w:val="0"/>
                <w:sz w:val="18"/>
                <w:szCs w:val="18"/>
              </w:rPr>
            </w:pPr>
          </w:p>
        </w:tc>
        <w:tc>
          <w:tcPr>
            <w:tcW w:w="1781"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年度资金总额</w:t>
            </w:r>
          </w:p>
        </w:tc>
        <w:tc>
          <w:tcPr>
            <w:tcW w:w="1350"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101.85</w:t>
            </w:r>
          </w:p>
        </w:tc>
        <w:tc>
          <w:tcPr>
            <w:tcW w:w="1638" w:type="dxa"/>
            <w:noWrap w:val="0"/>
            <w:vAlign w:val="center"/>
          </w:tcPr>
          <w:p>
            <w:pPr>
              <w:keepNext w:val="0"/>
              <w:keepLines w:val="0"/>
              <w:pageBreakBefore w:val="0"/>
              <w:widowControl/>
              <w:kinsoku/>
              <w:wordWrap/>
              <w:overflowPunct/>
              <w:topLinePunct w:val="0"/>
              <w:autoSpaceDE/>
              <w:autoSpaceDN/>
              <w:bidi w:val="0"/>
              <w:adjustRightInd/>
              <w:spacing w:line="240" w:lineRule="exact"/>
              <w:jc w:val="both"/>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101.85</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102.23</w:t>
            </w:r>
            <w:r>
              <w:rPr>
                <w:rFonts w:hint="eastAsia" w:ascii="仿宋" w:hAnsi="仿宋" w:eastAsia="仿宋" w:cs="仿宋"/>
                <w:color w:val="000000"/>
                <w:kern w:val="0"/>
                <w:sz w:val="18"/>
                <w:szCs w:val="18"/>
              </w:rPr>
              <w:t>　</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100.37%</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00"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pacing w:line="240" w:lineRule="exact"/>
              <w:ind w:left="113" w:right="113"/>
              <w:jc w:val="left"/>
              <w:rPr>
                <w:rFonts w:hint="eastAsia" w:ascii="仿宋" w:hAnsi="仿宋" w:eastAsia="仿宋" w:cs="仿宋"/>
                <w:color w:val="000000"/>
                <w:kern w:val="0"/>
                <w:sz w:val="18"/>
                <w:szCs w:val="18"/>
              </w:rPr>
            </w:pPr>
          </w:p>
        </w:tc>
        <w:tc>
          <w:tcPr>
            <w:tcW w:w="4769" w:type="dxa"/>
            <w:gridSpan w:val="5"/>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按收入性质分</w:t>
            </w:r>
          </w:p>
        </w:tc>
        <w:tc>
          <w:tcPr>
            <w:tcW w:w="4143" w:type="dxa"/>
            <w:gridSpan w:val="4"/>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按支出性质分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0"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pacing w:line="240" w:lineRule="exact"/>
              <w:ind w:left="113" w:right="113"/>
              <w:jc w:val="left"/>
              <w:rPr>
                <w:rFonts w:hint="eastAsia" w:ascii="仿宋" w:hAnsi="仿宋" w:eastAsia="仿宋" w:cs="仿宋"/>
                <w:color w:val="000000"/>
                <w:kern w:val="0"/>
                <w:sz w:val="18"/>
                <w:szCs w:val="18"/>
              </w:rPr>
            </w:pPr>
          </w:p>
        </w:tc>
        <w:tc>
          <w:tcPr>
            <w:tcW w:w="3131" w:type="dxa"/>
            <w:gridSpan w:val="4"/>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其中：一般公共预算</w:t>
            </w:r>
          </w:p>
        </w:tc>
        <w:tc>
          <w:tcPr>
            <w:tcW w:w="1638"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102.23</w:t>
            </w:r>
          </w:p>
        </w:tc>
        <w:tc>
          <w:tcPr>
            <w:tcW w:w="2097"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基本支出</w:t>
            </w:r>
          </w:p>
        </w:tc>
        <w:tc>
          <w:tcPr>
            <w:tcW w:w="2046"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00"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pacing w:line="240" w:lineRule="exact"/>
              <w:ind w:left="113" w:right="113"/>
              <w:jc w:val="left"/>
              <w:rPr>
                <w:rFonts w:hint="eastAsia" w:ascii="仿宋" w:hAnsi="仿宋" w:eastAsia="仿宋" w:cs="仿宋"/>
                <w:color w:val="000000"/>
                <w:kern w:val="0"/>
                <w:sz w:val="18"/>
                <w:szCs w:val="18"/>
              </w:rPr>
            </w:pPr>
          </w:p>
        </w:tc>
        <w:tc>
          <w:tcPr>
            <w:tcW w:w="3131" w:type="dxa"/>
            <w:gridSpan w:val="4"/>
            <w:noWrap w:val="0"/>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政府性基金拨款</w:t>
            </w:r>
          </w:p>
        </w:tc>
        <w:tc>
          <w:tcPr>
            <w:tcW w:w="1638"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w:t>
            </w:r>
          </w:p>
        </w:tc>
        <w:tc>
          <w:tcPr>
            <w:tcW w:w="2097"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righ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其中：人员经费</w:t>
            </w:r>
          </w:p>
        </w:tc>
        <w:tc>
          <w:tcPr>
            <w:tcW w:w="2046"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87.4772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0"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pacing w:line="240" w:lineRule="exact"/>
              <w:ind w:left="113" w:right="113"/>
              <w:jc w:val="left"/>
              <w:rPr>
                <w:rFonts w:hint="eastAsia" w:ascii="仿宋" w:hAnsi="仿宋" w:eastAsia="仿宋" w:cs="仿宋"/>
                <w:color w:val="000000"/>
                <w:kern w:val="0"/>
                <w:sz w:val="18"/>
                <w:szCs w:val="18"/>
              </w:rPr>
            </w:pPr>
          </w:p>
        </w:tc>
        <w:tc>
          <w:tcPr>
            <w:tcW w:w="3131" w:type="dxa"/>
            <w:gridSpan w:val="4"/>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纳入管理的非税收入拨款</w:t>
            </w:r>
          </w:p>
        </w:tc>
        <w:tc>
          <w:tcPr>
            <w:tcW w:w="1638"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w:t>
            </w:r>
          </w:p>
        </w:tc>
        <w:tc>
          <w:tcPr>
            <w:tcW w:w="2097"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ind w:firstLine="360" w:firstLineChars="200"/>
              <w:jc w:val="righ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公用经费</w:t>
            </w:r>
          </w:p>
        </w:tc>
        <w:tc>
          <w:tcPr>
            <w:tcW w:w="2046"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14.7513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00"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pacing w:line="240" w:lineRule="exact"/>
              <w:ind w:left="113" w:right="113"/>
              <w:jc w:val="left"/>
              <w:rPr>
                <w:rFonts w:hint="eastAsia" w:ascii="仿宋" w:hAnsi="仿宋" w:eastAsia="仿宋" w:cs="仿宋"/>
                <w:color w:val="000000"/>
                <w:kern w:val="0"/>
                <w:sz w:val="18"/>
                <w:szCs w:val="18"/>
              </w:rPr>
            </w:pPr>
          </w:p>
        </w:tc>
        <w:tc>
          <w:tcPr>
            <w:tcW w:w="3131" w:type="dxa"/>
            <w:gridSpan w:val="4"/>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....拨款</w:t>
            </w:r>
          </w:p>
        </w:tc>
        <w:tc>
          <w:tcPr>
            <w:tcW w:w="1638"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0</w:t>
            </w:r>
          </w:p>
        </w:tc>
        <w:tc>
          <w:tcPr>
            <w:tcW w:w="2097"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其中三公经费</w:t>
            </w:r>
          </w:p>
        </w:tc>
        <w:tc>
          <w:tcPr>
            <w:tcW w:w="2046"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00"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pacing w:line="240" w:lineRule="exact"/>
              <w:ind w:left="113" w:right="113"/>
              <w:jc w:val="left"/>
              <w:rPr>
                <w:rFonts w:hint="eastAsia" w:ascii="仿宋" w:hAnsi="仿宋" w:eastAsia="仿宋" w:cs="仿宋"/>
                <w:color w:val="000000"/>
                <w:kern w:val="0"/>
                <w:sz w:val="18"/>
                <w:szCs w:val="18"/>
              </w:rPr>
            </w:pPr>
          </w:p>
        </w:tc>
        <w:tc>
          <w:tcPr>
            <w:tcW w:w="3131" w:type="dxa"/>
            <w:gridSpan w:val="4"/>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其他资金</w:t>
            </w:r>
          </w:p>
        </w:tc>
        <w:tc>
          <w:tcPr>
            <w:tcW w:w="1638"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p>
        </w:tc>
        <w:tc>
          <w:tcPr>
            <w:tcW w:w="2097"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项目支出</w:t>
            </w:r>
          </w:p>
        </w:tc>
        <w:tc>
          <w:tcPr>
            <w:tcW w:w="2046"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00" w:type="dxa"/>
            <w:vMerge w:val="restart"/>
            <w:noWrap w:val="0"/>
            <w:textDirection w:val="tbRlV"/>
            <w:vAlign w:val="center"/>
          </w:tcPr>
          <w:p>
            <w:pPr>
              <w:keepNext w:val="0"/>
              <w:keepLines w:val="0"/>
              <w:pageBreakBefore w:val="0"/>
              <w:widowControl/>
              <w:kinsoku/>
              <w:wordWrap/>
              <w:overflowPunct/>
              <w:topLinePunct w:val="0"/>
              <w:autoSpaceDE/>
              <w:autoSpaceDN/>
              <w:bidi w:val="0"/>
              <w:adjustRightInd/>
              <w:spacing w:line="240" w:lineRule="exact"/>
              <w:ind w:left="113" w:right="113"/>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年度总体目标</w:t>
            </w:r>
          </w:p>
        </w:tc>
        <w:tc>
          <w:tcPr>
            <w:tcW w:w="4769" w:type="dxa"/>
            <w:gridSpan w:val="5"/>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年初预期（设定）目标　</w:t>
            </w:r>
          </w:p>
        </w:tc>
        <w:tc>
          <w:tcPr>
            <w:tcW w:w="4143" w:type="dxa"/>
            <w:gridSpan w:val="4"/>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800"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pacing w:line="240" w:lineRule="exact"/>
              <w:ind w:left="113" w:right="113"/>
              <w:jc w:val="left"/>
              <w:rPr>
                <w:rFonts w:hint="eastAsia" w:ascii="仿宋" w:hAnsi="仿宋" w:eastAsia="仿宋" w:cs="仿宋"/>
                <w:color w:val="000000"/>
                <w:kern w:val="0"/>
                <w:sz w:val="18"/>
                <w:szCs w:val="18"/>
              </w:rPr>
            </w:pPr>
          </w:p>
        </w:tc>
        <w:tc>
          <w:tcPr>
            <w:tcW w:w="4769" w:type="dxa"/>
            <w:gridSpan w:val="5"/>
            <w:noWrap w:val="0"/>
            <w:vAlign w:val="center"/>
          </w:tcPr>
          <w:p>
            <w:pPr>
              <w:keepNext w:val="0"/>
              <w:keepLines w:val="0"/>
              <w:pageBreakBefore w:val="0"/>
              <w:widowControl/>
              <w:numPr>
                <w:ilvl w:val="0"/>
                <w:numId w:val="2"/>
              </w:numPr>
              <w:kinsoku/>
              <w:wordWrap/>
              <w:overflowPunct/>
              <w:topLinePunct w:val="0"/>
              <w:autoSpaceDE/>
              <w:autoSpaceDN/>
              <w:bidi w:val="0"/>
              <w:adjustRightInd/>
              <w:spacing w:line="240" w:lineRule="exact"/>
              <w:ind w:left="240" w:leftChars="0" w:firstLine="0" w:firstLineChars="0"/>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坚持以抓好网上舆情管控为重点。坚决打赢网上意识形态斗争</w:t>
            </w:r>
          </w:p>
          <w:p>
            <w:pPr>
              <w:keepNext w:val="0"/>
              <w:keepLines w:val="0"/>
              <w:pageBreakBefore w:val="0"/>
              <w:widowControl/>
              <w:numPr>
                <w:ilvl w:val="0"/>
                <w:numId w:val="2"/>
              </w:numPr>
              <w:kinsoku/>
              <w:wordWrap/>
              <w:overflowPunct/>
              <w:topLinePunct w:val="0"/>
              <w:autoSpaceDE/>
              <w:autoSpaceDN/>
              <w:bidi w:val="0"/>
              <w:adjustRightInd/>
              <w:spacing w:line="240" w:lineRule="exact"/>
              <w:ind w:left="240" w:leftChars="0" w:firstLine="0" w:firstLineChars="0"/>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坚持以加强网络安全保障体系建设为重点，扎实推进网络安全工作</w:t>
            </w:r>
          </w:p>
          <w:p>
            <w:pPr>
              <w:keepNext w:val="0"/>
              <w:keepLines w:val="0"/>
              <w:pageBreakBefore w:val="0"/>
              <w:widowControl/>
              <w:numPr>
                <w:ilvl w:val="0"/>
                <w:numId w:val="2"/>
              </w:numPr>
              <w:kinsoku/>
              <w:wordWrap/>
              <w:overflowPunct/>
              <w:topLinePunct w:val="0"/>
              <w:autoSpaceDE/>
              <w:autoSpaceDN/>
              <w:bidi w:val="0"/>
              <w:adjustRightInd/>
              <w:spacing w:line="240" w:lineRule="exact"/>
              <w:ind w:left="240" w:leftChars="0" w:firstLine="0" w:firstLineChars="0"/>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坚持以健全工作体系为重点，努力 形成推动网信工作的整体合力。</w:t>
            </w:r>
          </w:p>
        </w:tc>
        <w:tc>
          <w:tcPr>
            <w:tcW w:w="4143" w:type="dxa"/>
            <w:gridSpan w:val="4"/>
            <w:noWrap w:val="0"/>
            <w:vAlign w:val="center"/>
          </w:tcPr>
          <w:p>
            <w:pPr>
              <w:keepNext w:val="0"/>
              <w:keepLines w:val="0"/>
              <w:pageBreakBefore w:val="0"/>
              <w:widowControl/>
              <w:shd w:val="clear" w:color="auto" w:fill="FFFFFF"/>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1、</w:t>
            </w:r>
            <w:r>
              <w:rPr>
                <w:rFonts w:hint="eastAsia" w:ascii="仿宋" w:hAnsi="仿宋" w:eastAsia="仿宋" w:cs="仿宋"/>
                <w:color w:val="000000"/>
                <w:kern w:val="0"/>
                <w:sz w:val="18"/>
                <w:szCs w:val="18"/>
                <w:lang w:val="en-US" w:eastAsia="zh-CN"/>
              </w:rPr>
              <w:t>疫情期间，</w:t>
            </w:r>
            <w:r>
              <w:rPr>
                <w:rFonts w:hint="eastAsia" w:ascii="仿宋" w:hAnsi="仿宋" w:eastAsia="仿宋" w:cs="仿宋"/>
                <w:color w:val="000000"/>
                <w:kern w:val="0"/>
                <w:sz w:val="18"/>
                <w:szCs w:val="18"/>
              </w:rPr>
              <w:t>正确引导网上舆论，第一时间辟谣发声。</w:t>
            </w:r>
          </w:p>
          <w:p>
            <w:pPr>
              <w:keepNext w:val="0"/>
              <w:keepLines w:val="0"/>
              <w:pageBreakBefore w:val="0"/>
              <w:widowControl/>
              <w:shd w:val="clear" w:color="auto" w:fill="FFFFFF"/>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2、及时回复网民信息，网络问政得到有效实行。</w:t>
            </w:r>
            <w:r>
              <w:rPr>
                <w:rFonts w:hint="eastAsia" w:ascii="仿宋" w:hAnsi="仿宋" w:eastAsia="仿宋" w:cs="仿宋"/>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800" w:type="dxa"/>
            <w:vMerge w:val="restart"/>
            <w:noWrap w:val="0"/>
            <w:textDirection w:val="tbRlV"/>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绩效指标</w:t>
            </w:r>
          </w:p>
        </w:tc>
        <w:tc>
          <w:tcPr>
            <w:tcW w:w="1382"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一级指标</w:t>
            </w:r>
          </w:p>
        </w:tc>
        <w:tc>
          <w:tcPr>
            <w:tcW w:w="1215"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二级指标</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三级指标　</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指标值</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完成值</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分值</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382" w:type="dxa"/>
            <w:vMerge w:val="restart"/>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产出</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（50分）</w:t>
            </w:r>
          </w:p>
        </w:tc>
        <w:tc>
          <w:tcPr>
            <w:tcW w:w="1215"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数量指标</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eastAsia" w:ascii="仿宋" w:hAnsi="仿宋" w:eastAsia="仿宋" w:cs="仿宋"/>
                <w:color w:val="000000"/>
                <w:kern w:val="0"/>
                <w:sz w:val="18"/>
                <w:szCs w:val="18"/>
                <w:lang w:val="en-US"/>
              </w:rPr>
            </w:pP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bidi="ar-SA"/>
              </w:rPr>
            </w:pP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bidi="ar-SA"/>
              </w:rPr>
            </w:pP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382"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215" w:type="dxa"/>
            <w:gridSpan w:val="2"/>
            <w:vMerge w:val="restart"/>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质量指标</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eastAsia" w:ascii="仿宋" w:hAnsi="仿宋" w:eastAsia="仿宋" w:cs="仿宋"/>
                <w:color w:val="000000"/>
                <w:kern w:val="0"/>
                <w:sz w:val="18"/>
                <w:szCs w:val="18"/>
                <w:lang w:val="en-US" w:eastAsia="zh-CN"/>
              </w:rPr>
            </w:pPr>
            <w:r>
              <w:rPr>
                <w:rFonts w:hint="default" w:ascii="仿宋" w:hAnsi="仿宋" w:eastAsia="仿宋" w:cs="仿宋"/>
                <w:color w:val="000000"/>
                <w:kern w:val="0"/>
                <w:sz w:val="18"/>
                <w:szCs w:val="18"/>
                <w:lang w:val="en-US"/>
              </w:rPr>
              <w:t>管理制度</w:t>
            </w:r>
            <w:r>
              <w:rPr>
                <w:rFonts w:hint="eastAsia" w:ascii="仿宋" w:hAnsi="仿宋" w:eastAsia="仿宋" w:cs="仿宋"/>
                <w:color w:val="000000"/>
                <w:kern w:val="0"/>
                <w:sz w:val="18"/>
                <w:szCs w:val="18"/>
                <w:lang w:val="en-US" w:eastAsia="zh-CN"/>
              </w:rPr>
              <w:t>日趋完善</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rPr>
            </w:pPr>
            <w:r>
              <w:rPr>
                <w:rFonts w:hint="eastAsia" w:ascii="仿宋" w:hAnsi="仿宋" w:eastAsia="仿宋" w:cs="仿宋"/>
                <w:color w:val="000000"/>
                <w:kern w:val="0"/>
                <w:sz w:val="18"/>
                <w:szCs w:val="18"/>
                <w:lang w:val="en-US" w:eastAsia="zh-CN"/>
              </w:rPr>
              <w:t>100%</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pPr>
          </w:p>
        </w:tc>
        <w:tc>
          <w:tcPr>
            <w:tcW w:w="1382"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pPr>
          </w:p>
        </w:tc>
        <w:tc>
          <w:tcPr>
            <w:tcW w:w="1215"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pP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资产管理规范</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   100%</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    100%</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ind w:firstLine="180" w:firstLineChars="100"/>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10</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ind w:firstLine="360" w:firstLineChars="200"/>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pPr>
          </w:p>
        </w:tc>
        <w:tc>
          <w:tcPr>
            <w:tcW w:w="1382"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pPr>
          </w:p>
        </w:tc>
        <w:tc>
          <w:tcPr>
            <w:tcW w:w="1215"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pP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较好履行了工作职责，按期按质按量完成相关工作任务：</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ind w:left="360" w:hanging="360" w:hangingChars="200"/>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     100%</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    95%</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   10</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382"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21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时效指标</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资金按时拨付</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100%</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100%</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382"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215"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成本指标</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规范使用经费</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rPr>
            </w:pPr>
            <w:r>
              <w:rPr>
                <w:rFonts w:hint="eastAsia" w:ascii="仿宋" w:hAnsi="仿宋" w:eastAsia="仿宋" w:cs="仿宋"/>
                <w:color w:val="000000"/>
                <w:sz w:val="18"/>
                <w:szCs w:val="18"/>
                <w:lang w:val="en-US" w:eastAsia="zh-CN"/>
              </w:rPr>
              <w:t>100%</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100%</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jc w:val="center"/>
        </w:trPr>
        <w:tc>
          <w:tcPr>
            <w:tcW w:w="800" w:type="dxa"/>
            <w:vMerge w:val="restart"/>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绩效指标</w:t>
            </w:r>
          </w:p>
        </w:tc>
        <w:tc>
          <w:tcPr>
            <w:tcW w:w="1382" w:type="dxa"/>
            <w:vMerge w:val="restart"/>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效益</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（30分）</w:t>
            </w:r>
          </w:p>
        </w:tc>
        <w:tc>
          <w:tcPr>
            <w:tcW w:w="1215"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经济效益指标</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382"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215" w:type="dxa"/>
            <w:gridSpan w:val="2"/>
            <w:vMerge w:val="restart"/>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社会效益指标</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网络留言回复率</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≥98%</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382"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215"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上级下发网宣网评任务完成率</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5</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382"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215"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生态效益指标</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eastAsia" w:ascii="仿宋" w:hAnsi="仿宋" w:eastAsia="仿宋" w:cs="仿宋"/>
                <w:color w:val="000000"/>
                <w:kern w:val="0"/>
                <w:sz w:val="18"/>
                <w:szCs w:val="18"/>
                <w:lang w:val="en-US" w:eastAsia="zh-CN"/>
              </w:rPr>
            </w:pPr>
            <w:r>
              <w:rPr>
                <w:rFonts w:hint="eastAsia" w:ascii="仿宋" w:hAnsi="仿宋" w:eastAsia="仿宋" w:cs="仿宋"/>
                <w:color w:val="000000"/>
                <w:sz w:val="18"/>
                <w:szCs w:val="18"/>
                <w:lang w:val="en-US" w:eastAsia="zh-CN"/>
              </w:rPr>
              <w:t>把牢网络舆论导向，为全县社会和谐稳定营造 良好的网络舆论氛围</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100%</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≥98%</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382"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215"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可持续影响指标</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eastAsia" w:ascii="仿宋" w:hAnsi="仿宋" w:eastAsia="仿宋" w:cs="仿宋"/>
                <w:color w:val="000000"/>
                <w:kern w:val="0"/>
                <w:sz w:val="18"/>
                <w:szCs w:val="18"/>
              </w:rPr>
            </w:pPr>
            <w:r>
              <w:rPr>
                <w:rFonts w:hint="eastAsia" w:ascii="仿宋" w:hAnsi="仿宋" w:eastAsia="仿宋" w:cs="仿宋"/>
                <w:color w:val="000000"/>
                <w:sz w:val="18"/>
                <w:szCs w:val="18"/>
                <w:lang w:val="en-US" w:eastAsia="zh-CN"/>
              </w:rPr>
              <w:t>综合影响力</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100%</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rPr>
            </w:pPr>
            <w:r>
              <w:rPr>
                <w:rFonts w:hint="eastAsia" w:ascii="仿宋" w:hAnsi="仿宋" w:eastAsia="仿宋" w:cs="仿宋"/>
                <w:color w:val="000000"/>
                <w:kern w:val="0"/>
                <w:sz w:val="18"/>
                <w:szCs w:val="18"/>
                <w:lang w:val="en-US" w:eastAsia="zh-CN"/>
              </w:rPr>
              <w:t>100%</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5</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382"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满意度</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10分）</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（10分）</w:t>
            </w:r>
          </w:p>
        </w:tc>
        <w:tc>
          <w:tcPr>
            <w:tcW w:w="1215"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社会公众或服务对象满意度指标</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社会公众或服务对象满意度</w:t>
            </w: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lang w:val="en-US" w:eastAsia="zh-CN"/>
              </w:rPr>
              <w:t>95%</w:t>
            </w:r>
            <w:r>
              <w:rPr>
                <w:rFonts w:hint="eastAsia" w:ascii="仿宋" w:hAnsi="仿宋" w:eastAsia="仿宋" w:cs="仿宋"/>
                <w:color w:val="000000"/>
                <w:kern w:val="0"/>
                <w:sz w:val="18"/>
                <w:szCs w:val="18"/>
              </w:rPr>
              <w:t>　</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lang w:val="en-US" w:eastAsia="zh-CN"/>
              </w:rPr>
              <w:t>95</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397" w:type="dxa"/>
            <w:gridSpan w:val="4"/>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综合评定等级</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优秀</w:t>
            </w:r>
          </w:p>
        </w:tc>
        <w:tc>
          <w:tcPr>
            <w:tcW w:w="2097"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总  分</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100</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说明</w:t>
            </w:r>
          </w:p>
        </w:tc>
        <w:tc>
          <w:tcPr>
            <w:tcW w:w="4769" w:type="dxa"/>
            <w:gridSpan w:val="5"/>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偏差及原因分析</w:t>
            </w:r>
          </w:p>
        </w:tc>
        <w:tc>
          <w:tcPr>
            <w:tcW w:w="4143" w:type="dxa"/>
            <w:gridSpan w:val="4"/>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18"/>
                <w:szCs w:val="18"/>
              </w:rPr>
            </w:pPr>
          </w:p>
        </w:tc>
        <w:tc>
          <w:tcPr>
            <w:tcW w:w="4769" w:type="dxa"/>
            <w:gridSpan w:val="5"/>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4143" w:type="dxa"/>
            <w:gridSpan w:val="4"/>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r>
    </w:tbl>
    <w:p>
      <w:pPr>
        <w:keepNext w:val="0"/>
        <w:keepLines w:val="0"/>
        <w:pageBreakBefore w:val="0"/>
        <w:widowControl/>
        <w:kinsoku/>
        <w:wordWrap/>
        <w:overflowPunct/>
        <w:topLinePunct w:val="0"/>
        <w:autoSpaceDE/>
        <w:autoSpaceDN/>
        <w:bidi w:val="0"/>
        <w:adjustRightInd/>
        <w:spacing w:before="312" w:beforeLines="100" w:line="240" w:lineRule="exact"/>
        <w:rPr>
          <w:rFonts w:hint="eastAsia" w:ascii="仿宋" w:hAnsi="仿宋" w:eastAsia="仿宋" w:cs="仿宋"/>
          <w:sz w:val="24"/>
          <w:szCs w:val="24"/>
        </w:rPr>
      </w:pPr>
      <w:r>
        <w:rPr>
          <w:rFonts w:hint="eastAsia" w:ascii="仿宋" w:hAnsi="仿宋" w:eastAsia="仿宋" w:cs="仿宋"/>
          <w:sz w:val="18"/>
          <w:szCs w:val="18"/>
        </w:rPr>
        <w:t>填表人：</w:t>
      </w:r>
      <w:r>
        <w:rPr>
          <w:rFonts w:hint="eastAsia" w:ascii="仿宋" w:hAnsi="仿宋" w:eastAsia="仿宋" w:cs="仿宋"/>
          <w:sz w:val="18"/>
          <w:szCs w:val="18"/>
          <w:lang w:val="en-US" w:eastAsia="zh-CN"/>
        </w:rPr>
        <w:t>阳桂兰</w:t>
      </w:r>
      <w:r>
        <w:rPr>
          <w:rFonts w:hint="eastAsia" w:ascii="仿宋" w:hAnsi="仿宋" w:eastAsia="仿宋" w:cs="仿宋"/>
          <w:sz w:val="18"/>
          <w:szCs w:val="18"/>
        </w:rPr>
        <w:t xml:space="preserve">              联系电话：</w:t>
      </w:r>
      <w:r>
        <w:rPr>
          <w:rFonts w:hint="eastAsia" w:ascii="仿宋" w:hAnsi="仿宋" w:eastAsia="仿宋" w:cs="仿宋"/>
          <w:sz w:val="18"/>
          <w:szCs w:val="18"/>
          <w:lang w:val="en-US" w:eastAsia="zh-CN"/>
        </w:rPr>
        <w:t>13787340508</w:t>
      </w:r>
      <w:r>
        <w:rPr>
          <w:rFonts w:hint="eastAsia" w:ascii="仿宋" w:hAnsi="仿宋" w:eastAsia="仿宋" w:cs="仿宋"/>
          <w:sz w:val="18"/>
          <w:szCs w:val="18"/>
        </w:rPr>
        <w:t xml:space="preserve">                 单位负责人签字：</w:t>
      </w:r>
    </w:p>
    <w:sectPr>
      <w:pgSz w:w="11906" w:h="16838"/>
      <w:pgMar w:top="1191" w:right="1304" w:bottom="1134" w:left="130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BCA88"/>
    <w:multiLevelType w:val="singleLevel"/>
    <w:tmpl w:val="E5FBCA88"/>
    <w:lvl w:ilvl="0" w:tentative="0">
      <w:start w:val="1"/>
      <w:numFmt w:val="decimal"/>
      <w:suff w:val="nothing"/>
      <w:lvlText w:val="%1、"/>
      <w:lvlJc w:val="left"/>
      <w:pPr>
        <w:ind w:left="240" w:leftChars="0" w:firstLine="0" w:firstLineChars="0"/>
      </w:pPr>
    </w:lvl>
  </w:abstractNum>
  <w:abstractNum w:abstractNumId="1">
    <w:nsid w:val="148C20B6"/>
    <w:multiLevelType w:val="singleLevel"/>
    <w:tmpl w:val="148C20B6"/>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NWYyN2VlN2VhM2MwOWFhMGE0OWJiNTU3MTAzZmYifQ=="/>
  </w:docVars>
  <w:rsids>
    <w:rsidRoot w:val="6A4F5A6F"/>
    <w:rsid w:val="00E461CF"/>
    <w:rsid w:val="020D3827"/>
    <w:rsid w:val="02196936"/>
    <w:rsid w:val="021A4C26"/>
    <w:rsid w:val="04B60931"/>
    <w:rsid w:val="05AB4722"/>
    <w:rsid w:val="06F370FD"/>
    <w:rsid w:val="0A562BDA"/>
    <w:rsid w:val="0ABC7B86"/>
    <w:rsid w:val="0BC8706C"/>
    <w:rsid w:val="0C66722A"/>
    <w:rsid w:val="10BD333B"/>
    <w:rsid w:val="10E616EE"/>
    <w:rsid w:val="11A57152"/>
    <w:rsid w:val="13886EC9"/>
    <w:rsid w:val="14301F58"/>
    <w:rsid w:val="14FF452C"/>
    <w:rsid w:val="18960E21"/>
    <w:rsid w:val="1C383744"/>
    <w:rsid w:val="1DD03B2B"/>
    <w:rsid w:val="1F007E6D"/>
    <w:rsid w:val="21490E12"/>
    <w:rsid w:val="214F4E79"/>
    <w:rsid w:val="22114216"/>
    <w:rsid w:val="23377894"/>
    <w:rsid w:val="24277192"/>
    <w:rsid w:val="25574ED0"/>
    <w:rsid w:val="26802599"/>
    <w:rsid w:val="26B32F5E"/>
    <w:rsid w:val="276F4D22"/>
    <w:rsid w:val="277766B9"/>
    <w:rsid w:val="2A296B87"/>
    <w:rsid w:val="2F2353C8"/>
    <w:rsid w:val="2FDC2871"/>
    <w:rsid w:val="31D25D61"/>
    <w:rsid w:val="34EB3484"/>
    <w:rsid w:val="3B2E02B6"/>
    <w:rsid w:val="40913C74"/>
    <w:rsid w:val="415779B6"/>
    <w:rsid w:val="43F57345"/>
    <w:rsid w:val="4629020C"/>
    <w:rsid w:val="48E52E96"/>
    <w:rsid w:val="4B675865"/>
    <w:rsid w:val="4BFF7701"/>
    <w:rsid w:val="4EF179BD"/>
    <w:rsid w:val="4F9902D9"/>
    <w:rsid w:val="503A4AFD"/>
    <w:rsid w:val="51A62BCA"/>
    <w:rsid w:val="53CC79EA"/>
    <w:rsid w:val="54591796"/>
    <w:rsid w:val="54C146B6"/>
    <w:rsid w:val="55AE1F0D"/>
    <w:rsid w:val="590D4D14"/>
    <w:rsid w:val="5C400A0D"/>
    <w:rsid w:val="5C724862"/>
    <w:rsid w:val="601E26BD"/>
    <w:rsid w:val="607A56DD"/>
    <w:rsid w:val="60B62814"/>
    <w:rsid w:val="61783658"/>
    <w:rsid w:val="628B31CF"/>
    <w:rsid w:val="65390CE1"/>
    <w:rsid w:val="69A1296B"/>
    <w:rsid w:val="6A4F5A6F"/>
    <w:rsid w:val="6D1A37FF"/>
    <w:rsid w:val="6DEC5CC3"/>
    <w:rsid w:val="70876E0A"/>
    <w:rsid w:val="711F0102"/>
    <w:rsid w:val="72A02DFA"/>
    <w:rsid w:val="72BA579A"/>
    <w:rsid w:val="741F658D"/>
    <w:rsid w:val="7459694F"/>
    <w:rsid w:val="75B00F74"/>
    <w:rsid w:val="7ABF0670"/>
    <w:rsid w:val="7AF93824"/>
    <w:rsid w:val="7B664F2A"/>
    <w:rsid w:val="7E5C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Microsoft YaHei UI" w:hAnsi="Microsoft YaHei UI" w:eastAsia="Microsoft YaHei UI" w:cs="Microsoft YaHei UI"/>
      <w:sz w:val="24"/>
      <w:szCs w:val="24"/>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Body text|1"/>
    <w:basedOn w:val="1"/>
    <w:qFormat/>
    <w:uiPriority w:val="0"/>
    <w:pPr>
      <w:widowControl w:val="0"/>
      <w:shd w:val="clear" w:color="auto" w:fill="auto"/>
      <w:spacing w:line="415" w:lineRule="auto"/>
      <w:ind w:firstLine="400"/>
    </w:pPr>
    <w:rPr>
      <w:rFonts w:ascii="宋体" w:hAnsi="宋体" w:eastAsia="宋体" w:cs="宋体"/>
      <w:sz w:val="30"/>
      <w:szCs w:val="30"/>
      <w:u w:val="none"/>
      <w:shd w:val="clear" w:color="auto" w:fill="auto"/>
      <w:lang w:val="zh-TW" w:eastAsia="zh-TW" w:bidi="zh-TW"/>
    </w:rPr>
  </w:style>
  <w:style w:type="character" w:customStyle="1" w:styleId="8">
    <w:name w:val="font11"/>
    <w:basedOn w:val="6"/>
    <w:qFormat/>
    <w:uiPriority w:val="0"/>
    <w:rPr>
      <w:rFonts w:ascii="宋体" w:hAnsi="宋体" w:eastAsia="宋体" w:cs="宋体"/>
      <w:color w:val="000000"/>
      <w:sz w:val="18"/>
      <w:szCs w:val="18"/>
      <w:u w:val="none"/>
    </w:rPr>
  </w:style>
  <w:style w:type="character" w:customStyle="1" w:styleId="9">
    <w:name w:val="font01"/>
    <w:basedOn w:val="6"/>
    <w:qFormat/>
    <w:uiPriority w:val="0"/>
    <w:rPr>
      <w:rFonts w:hint="eastAsia" w:ascii="宋体" w:hAnsi="宋体" w:eastAsia="宋体" w:cs="宋体"/>
      <w:color w:val="000000"/>
      <w:sz w:val="18"/>
      <w:szCs w:val="18"/>
      <w:u w:val="none"/>
    </w:rPr>
  </w:style>
  <w:style w:type="paragraph" w:customStyle="1" w:styleId="10">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2573</Words>
  <Characters>2899</Characters>
  <Lines>0</Lines>
  <Paragraphs>0</Paragraphs>
  <TotalTime>22</TotalTime>
  <ScaleCrop>false</ScaleCrop>
  <LinksUpToDate>false</LinksUpToDate>
  <CharactersWithSpaces>4145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2021-05-13T03:13:00Z</dcterms:created>
  <dc:creator>Administrator</dc:creator>
  <cp:lastModifiedBy>执手听风吟</cp:lastModifiedBy>
  <cp:lastPrinted>2023-03-14T03:42:30Z</cp:lastPrinted>
  <dcterms:modified xsi:type="dcterms:W3CDTF">2023-03-14T03:42:59Z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2CA81948C8F048E8B62D1501242DE791</vt:lpwstr>
  </property>
</Properties>
</file>