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1</w:t>
      </w:r>
    </w:p>
    <w:p>
      <w:pPr>
        <w:jc w:val="center"/>
        <w:rPr>
          <w:rFonts w:hint="eastAsia" w:ascii="方正小标宋_GBK" w:eastAsia="方正小标宋_GBK"/>
          <w:color w:val="FF0000"/>
          <w:sz w:val="109"/>
          <w:lang w:eastAsia="zh-CN"/>
        </w:rPr>
      </w:pPr>
      <w:r>
        <w:rPr>
          <w:rFonts w:hint="eastAsia" w:ascii="方正小标宋_GBK" w:eastAsia="方正小标宋_GBK"/>
          <w:color w:val="FF0000"/>
          <w:spacing w:val="115"/>
          <w:w w:val="50"/>
          <w:kern w:val="0"/>
          <w:sz w:val="109"/>
        </w:rPr>
        <w:t>衡</w:t>
      </w:r>
      <w:r>
        <w:rPr>
          <w:rFonts w:hint="eastAsia" w:ascii="方正小标宋_GBK" w:eastAsia="方正小标宋_GBK"/>
          <w:color w:val="FF0000"/>
          <w:w w:val="50"/>
          <w:kern w:val="0"/>
          <w:sz w:val="109"/>
        </w:rPr>
        <w:t>阳 县</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lang w:eastAsia="zh-CN"/>
        </w:rPr>
        <w:t>市</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lang w:eastAsia="zh-CN"/>
        </w:rPr>
        <w:t>场</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lang w:eastAsia="zh-CN"/>
        </w:rPr>
        <w:t>服</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lang w:eastAsia="zh-CN"/>
        </w:rPr>
        <w:t>务</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lang w:eastAsia="zh-CN"/>
        </w:rPr>
        <w:t>中</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lang w:eastAsia="zh-CN"/>
        </w:rPr>
        <w:t>心</w:t>
      </w: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YixXRAAAABQEAAA8AAAAAAAAAAQAgAAAAIgAAAGRycy9kb3ducmV2LnhtbFBLAQIUABQA&#10;AAAIAIdO4kAYeVUz9wEAAOUDAAAOAAAAAAAAAAEAIAAAACABAABkcnMvZTJvRG9jLnhtbFBLBQYA&#10;AAAABgAGAFkBAACJBQAAAAA=&#10;">
                <v:fill on="f" focussize="0,0"/>
                <v:stroke weight="2.25pt" color="#FF0000" joinstyle="round"/>
                <v:imagedata o:title=""/>
                <o:lock v:ext="edit" aspectratio="f"/>
              </v:line>
            </w:pict>
          </mc:Fallback>
        </mc:AlternateContent>
      </w:r>
    </w:p>
    <w:p>
      <w:pPr>
        <w:spacing w:line="600" w:lineRule="exact"/>
        <w:jc w:val="center"/>
        <w:rPr>
          <w:rFonts w:hint="eastAsia" w:ascii="方正小标宋_GBK" w:eastAsia="方正小标宋_GBK"/>
          <w:b/>
          <w:bCs/>
          <w:sz w:val="36"/>
          <w:szCs w:val="36"/>
        </w:rPr>
      </w:pPr>
      <w:r>
        <w:rPr>
          <w:rFonts w:hint="eastAsia" w:ascii="方正小标宋_GBK" w:eastAsia="方正小标宋_GBK"/>
          <w:b/>
          <w:bCs/>
          <w:sz w:val="36"/>
          <w:szCs w:val="36"/>
        </w:rPr>
        <w:t>部门整体支出绩效自评报告</w:t>
      </w:r>
    </w:p>
    <w:p>
      <w:pPr>
        <w:spacing w:line="600" w:lineRule="exact"/>
        <w:jc w:val="center"/>
        <w:rPr>
          <w:rFonts w:hint="eastAsia" w:ascii="仿宋_GB2312" w:hAnsi="仿宋_GB2312" w:eastAsia="仿宋_GB2312" w:cs="仿宋_GB2312"/>
          <w:sz w:val="32"/>
          <w:szCs w:val="32"/>
        </w:rPr>
      </w:pPr>
    </w:p>
    <w:p>
      <w:pPr>
        <w:pStyle w:val="8"/>
        <w:widowControl/>
        <w:spacing w:line="600" w:lineRule="exact"/>
        <w:ind w:left="640" w:firstLine="0" w:firstLineChars="0"/>
        <w:rPr>
          <w:rFonts w:eastAsia="黑体"/>
          <w:sz w:val="32"/>
          <w:szCs w:val="32"/>
        </w:rPr>
      </w:pPr>
      <w:r>
        <w:rPr>
          <w:rFonts w:hint="eastAsia" w:eastAsia="黑体"/>
          <w:sz w:val="32"/>
          <w:szCs w:val="32"/>
        </w:rPr>
        <w:t>一、部门、单位基本情况</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ascii="楷体_GB2312" w:eastAsia="楷体_GB2312"/>
          <w:b/>
          <w:bCs/>
          <w:sz w:val="32"/>
          <w:szCs w:val="32"/>
        </w:rPr>
      </w:pPr>
      <w:r>
        <w:rPr>
          <w:rFonts w:hint="eastAsia" w:ascii="楷体_GB2312" w:eastAsia="楷体_GB2312"/>
          <w:b/>
          <w:bCs/>
          <w:sz w:val="32"/>
          <w:szCs w:val="32"/>
        </w:rPr>
        <w:t>（一）机构设置情况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eastAsia="楷体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根据编委规定，内设一室四股。即办公室，市场运行保障股，市场管理和服务股，</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组织人事</w:t>
      </w:r>
      <w:r>
        <w:rPr>
          <w:rFonts w:hint="eastAsia" w:ascii="仿宋_GB2312" w:hAnsi="仿宋_GB2312" w:eastAsia="仿宋_GB2312" w:cs="仿宋_GB2312"/>
          <w:color w:val="000000" w:themeColor="text1"/>
          <w:sz w:val="32"/>
          <w:szCs w:val="32"/>
          <w14:textFill>
            <w14:solidFill>
              <w14:schemeClr w14:val="tx1"/>
            </w14:solidFill>
          </w14:textFill>
        </w:rPr>
        <w:t>股，财务股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ascii="楷体_GB2312" w:eastAsia="楷体_GB2312"/>
          <w:b/>
          <w:bCs/>
          <w:sz w:val="32"/>
          <w:szCs w:val="32"/>
        </w:rPr>
      </w:pPr>
      <w:r>
        <w:rPr>
          <w:rFonts w:hint="eastAsia" w:ascii="楷体_GB2312" w:eastAsia="楷体_GB2312"/>
          <w:b/>
          <w:bCs/>
          <w:sz w:val="32"/>
          <w:szCs w:val="32"/>
          <w:lang w:eastAsia="zh-CN"/>
        </w:rPr>
        <w:t>（二）</w:t>
      </w:r>
      <w:r>
        <w:rPr>
          <w:rFonts w:hint="eastAsia" w:ascii="楷体_GB2312" w:eastAsia="楷体_GB2312"/>
          <w:b/>
          <w:bCs/>
          <w:sz w:val="32"/>
          <w:szCs w:val="32"/>
        </w:rPr>
        <w:t>人员编制情况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eastAsia="楷体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我中心定编85个，现有在职人员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w:t>
      </w:r>
      <w:r>
        <w:rPr>
          <w:rFonts w:hint="eastAsia" w:ascii="仿宋_GB2312" w:hAnsi="仿宋_GB2312" w:eastAsia="仿宋_GB2312" w:cs="仿宋_GB2312"/>
          <w:color w:val="000000" w:themeColor="text1"/>
          <w:sz w:val="32"/>
          <w:szCs w:val="32"/>
          <w14:textFill>
            <w14:solidFill>
              <w14:schemeClr w14:val="tx1"/>
            </w14:solidFill>
          </w14:textFill>
        </w:rPr>
        <w:t>人。</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ascii="楷体_GB2312" w:eastAsia="楷体_GB2312"/>
          <w:b/>
          <w:bCs/>
          <w:sz w:val="32"/>
          <w:szCs w:val="32"/>
          <w:lang w:eastAsia="zh-CN"/>
        </w:rPr>
      </w:pPr>
      <w:r>
        <w:rPr>
          <w:rFonts w:hint="eastAsia" w:ascii="楷体_GB2312" w:eastAsia="楷体_GB2312"/>
          <w:b/>
          <w:bCs/>
          <w:sz w:val="32"/>
          <w:szCs w:val="32"/>
          <w:lang w:eastAsia="zh-CN"/>
        </w:rPr>
        <w:t>（三）主要职能职责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贯彻执行国务院及省政府集市贸易管理方针、政策，提供市场内划行归类、分区布局等规划性服务工作。负责县城区红线范围内市场管理与服务工作。负责自办市场的物业管理，为市场业主提供服务设施和服务项目，收取自办市场设施租赁费、市场卫生服务费和其他符合国家和省级规定的有偿服务费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协助有关部门搞好市场消防、安全、卫生与经营管理事务性工作。受县市场监督管理局委托，在县城城区有形农（集）贸市场、专业市场内履行协助县市场监督管理局在城区农（集）贸市场和专业市场开展的执法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负责城区农（集）贸市场和专业市场的质量、计量、价格、广告等方面的政策宣传及相关服务工作，协同县市场监督管理局相关股、所、队对城区农（集）贸市场和专业市场开展质量、计量、价格、广告等日常监督工作。发现上述方面违法线索，及时向县市场监督管理局相关执法部门或属地监管所移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4、协助县市场监督管理局在城区农（集）贸市场和专业市场开展法制宣传和消费维权工作。协助县市场监督管理局在城区农（集）贸市场和专业市场开展个体工商户等市场主体登记注册的宣传、动员工作。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5、完成县委、县政府及县市场监督管理局交办的疫情防控、四城同创、城乡同治、支农办点等中心工作。</w:t>
      </w:r>
    </w:p>
    <w:p>
      <w:pPr>
        <w:pStyle w:val="8"/>
        <w:keepNext w:val="0"/>
        <w:keepLines w:val="0"/>
        <w:pageBreakBefore w:val="0"/>
        <w:widowControl/>
        <w:numPr>
          <w:ilvl w:val="0"/>
          <w:numId w:val="1"/>
        </w:numPr>
        <w:kinsoku/>
        <w:wordWrap/>
        <w:overflowPunct/>
        <w:topLinePunct w:val="0"/>
        <w:autoSpaceDE/>
        <w:autoSpaceDN/>
        <w:bidi w:val="0"/>
        <w:spacing w:line="560" w:lineRule="exact"/>
        <w:ind w:left="640" w:firstLine="0" w:firstLineChars="0"/>
        <w:textAlignment w:val="auto"/>
        <w:rPr>
          <w:rFonts w:hint="eastAsia" w:ascii="楷体_GB2312" w:eastAsia="楷体_GB2312"/>
          <w:b/>
          <w:bCs/>
          <w:sz w:val="32"/>
          <w:szCs w:val="32"/>
          <w:lang w:eastAsia="zh-CN"/>
        </w:rPr>
      </w:pPr>
      <w:r>
        <w:rPr>
          <w:rFonts w:hint="eastAsia" w:ascii="楷体_GB2312" w:eastAsia="楷体_GB2312"/>
          <w:b/>
          <w:bCs/>
          <w:sz w:val="32"/>
          <w:szCs w:val="32"/>
          <w:lang w:eastAsia="zh-CN"/>
        </w:rPr>
        <w:t>绩效目标设定情况</w:t>
      </w:r>
    </w:p>
    <w:p>
      <w:pPr>
        <w:pStyle w:val="8"/>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eastAsia" w:ascii="楷体_GB2312" w:eastAsia="楷体_GB2312"/>
          <w:b/>
          <w:bCs/>
          <w:sz w:val="32"/>
          <w:szCs w:val="32"/>
          <w:lang w:eastAsia="zh-CN"/>
        </w:rPr>
      </w:pP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eastAsia="黑体"/>
          <w:sz w:val="32"/>
          <w:szCs w:val="32"/>
        </w:rPr>
      </w:pPr>
      <w:r>
        <w:rPr>
          <w:rFonts w:hint="eastAsia" w:eastAsia="黑体"/>
          <w:sz w:val="32"/>
          <w:szCs w:val="32"/>
        </w:rPr>
        <w:t>二、一般公共预算支出情况</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ascii="楷体_GB2312" w:hAnsi="楷体" w:eastAsia="楷体_GB2312" w:cs="楷体"/>
          <w:b/>
          <w:bCs/>
          <w:sz w:val="32"/>
          <w:szCs w:val="32"/>
        </w:rPr>
      </w:pPr>
      <w:r>
        <w:rPr>
          <w:rFonts w:hint="eastAsia" w:ascii="楷体_GB2312" w:hAnsi="楷体" w:eastAsia="楷体_GB2312" w:cs="楷体"/>
          <w:b/>
          <w:bCs/>
          <w:sz w:val="32"/>
          <w:szCs w:val="32"/>
        </w:rPr>
        <w:t>（一）经批复的预、决算情况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2022 年度财政拨款支出年初预算数为792.53万元，支出决算数为847.06万元，完成年初预算的106.88%。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1、一般公共服务支出（类）市场监督管理事务（款）行政运行（项）。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年初预算为 608.58 万元，支出决算为610.67万元，完成年初预算的 100.34%,决算数大于预算数主要原因是：年中根据实际增拨在职人员正常晋级工资等。 </w:t>
      </w:r>
    </w:p>
    <w:p>
      <w:pPr>
        <w:keepNext w:val="0"/>
        <w:keepLines w:val="0"/>
        <w:pageBreakBefore w:val="0"/>
        <w:numPr>
          <w:ilvl w:val="0"/>
          <w:numId w:val="2"/>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一般公共服务支出（类）市场监督管理事务（款）一般行政管理事务（项）。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年初预算为0万元，支出决算为 52.45万元，年初预算为0万元，无法计算完成比率，决算数大于预算数的主要原因是：根据实际工作需要拨回非税收入。</w:t>
      </w:r>
    </w:p>
    <w:p>
      <w:pPr>
        <w:keepNext w:val="0"/>
        <w:keepLines w:val="0"/>
        <w:pageBreakBefore w:val="0"/>
        <w:numPr>
          <w:ilvl w:val="0"/>
          <w:numId w:val="2"/>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社会保障和就业支出（类）行政事业单位养老支出（款）机关事业单位基本养老保险缴费支出（项）。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年初预算为78.54万元，支出决算为78.54万元，完成年初预算的 100%。</w:t>
      </w:r>
    </w:p>
    <w:p>
      <w:pPr>
        <w:keepNext w:val="0"/>
        <w:keepLines w:val="0"/>
        <w:pageBreakBefore w:val="0"/>
        <w:numPr>
          <w:ilvl w:val="0"/>
          <w:numId w:val="2"/>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社会保障和就业支出（类）抚恤（款）死亡抚恤（项）。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年初预算为6.18万元，支出决算为6.18 万元，完成年初预算的100%。 </w:t>
      </w:r>
    </w:p>
    <w:p>
      <w:pPr>
        <w:keepNext w:val="0"/>
        <w:keepLines w:val="0"/>
        <w:pageBreakBefore w:val="0"/>
        <w:numPr>
          <w:ilvl w:val="0"/>
          <w:numId w:val="2"/>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卫生健康支出（类）行政事业单位医疗（款）事业单位医疗（项）。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年初预算为 42.12 万元，支出决算为 42.12 万元，完成年初预算 的 100%。 </w:t>
      </w:r>
    </w:p>
    <w:p>
      <w:pPr>
        <w:keepNext w:val="0"/>
        <w:keepLines w:val="0"/>
        <w:pageBreakBefore w:val="0"/>
        <w:numPr>
          <w:ilvl w:val="0"/>
          <w:numId w:val="2"/>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住房保障支出（类）住房改革支出（款）住房公积金（项）。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年初预算为57.11万元，支出决算为57.11万元，完成年初预算的100%。</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（二）部门预算执行情况</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ascii="仿宋_GB2312" w:eastAsia="仿宋_GB2312"/>
          <w:b/>
          <w:bCs/>
          <w:sz w:val="32"/>
          <w:szCs w:val="32"/>
        </w:rPr>
      </w:pPr>
      <w:r>
        <w:rPr>
          <w:rFonts w:hint="eastAsia" w:ascii="仿宋_GB2312" w:eastAsia="仿宋_GB2312"/>
          <w:b/>
          <w:bCs/>
          <w:sz w:val="32"/>
          <w:szCs w:val="32"/>
        </w:rPr>
        <w:t>1.基本支出情况</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2022年度财政拨款基本支出794.62万元，其中： 人员经费745.33万元，占基本支出的93.80%，主要包括：基本工资、津贴补贴、奖金、伙食补助费、机关事业单位基本养老保险缴费、职业年金缴费、职工基本医疗保险缴费、其他社会保障缴费、住房公积金、退休费、抚恤金、生活补助、救济费、奖励金、其他对个人和家庭的补助。公用经费49.28 万元，占基本支出的6.20%，主要包括：办公费、印刷费、咨询费、水费、电费、邮电费、物业管理费、差旅费、维修（护）费、会议费、培训费、公务接待费、劳务费、委托业务费、工会经费、福利费、公务用车运行维护费、其他商品和服务支出。</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2、</w:t>
      </w:r>
      <w:r>
        <w:rPr>
          <w:rFonts w:hint="eastAsia" w:ascii="仿宋_GB2312" w:hAnsi="Times New Roman" w:eastAsia="仿宋_GB2312" w:cs="Times New Roman"/>
          <w:b/>
          <w:bCs/>
          <w:sz w:val="32"/>
          <w:szCs w:val="32"/>
        </w:rPr>
        <w:t>项目支出情况</w:t>
      </w:r>
      <w:r>
        <w:rPr>
          <w:rFonts w:hint="eastAsia" w:ascii="仿宋_GB2312" w:hAnsi="Times New Roman" w:eastAsia="仿宋_GB2312" w:cs="Times New Roman"/>
          <w:b/>
          <w:bCs/>
          <w:sz w:val="32"/>
          <w:szCs w:val="32"/>
        </w:rPr>
        <w:tab/>
      </w:r>
    </w:p>
    <w:p>
      <w:pPr>
        <w:pStyle w:val="8"/>
        <w:keepNext w:val="0"/>
        <w:keepLines w:val="0"/>
        <w:pageBreakBefore w:val="0"/>
        <w:widowControl/>
        <w:numPr>
          <w:numId w:val="0"/>
        </w:numPr>
        <w:kinsoku/>
        <w:wordWrap/>
        <w:overflowPunct/>
        <w:topLinePunct w:val="0"/>
        <w:autoSpaceDE/>
        <w:autoSpaceDN/>
        <w:bidi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2022年财政拨转市场常态化管理经费非税收入52.45万元，主要用于市场清洗、清扫，维修维护等常态化管理工作费用。</w:t>
      </w:r>
    </w:p>
    <w:p>
      <w:pPr>
        <w:pStyle w:val="8"/>
        <w:keepNext w:val="0"/>
        <w:keepLines w:val="0"/>
        <w:pageBreakBefore w:val="0"/>
        <w:widowControl/>
        <w:numPr>
          <w:ilvl w:val="0"/>
          <w:numId w:val="3"/>
        </w:numPr>
        <w:kinsoku/>
        <w:wordWrap/>
        <w:overflowPunct/>
        <w:topLinePunct w:val="0"/>
        <w:autoSpaceDE/>
        <w:autoSpaceDN/>
        <w:bidi w:val="0"/>
        <w:spacing w:line="560" w:lineRule="exact"/>
        <w:ind w:left="640" w:firstLine="0" w:firstLineChars="0"/>
        <w:textAlignment w:val="auto"/>
        <w:rPr>
          <w:rFonts w:hint="eastAsia" w:ascii="楷体_GB2312" w:hAnsi="楷体" w:eastAsia="楷体_GB2312" w:cs="楷体"/>
          <w:b/>
          <w:bCs w:val="0"/>
          <w:sz w:val="32"/>
          <w:szCs w:val="32"/>
        </w:rPr>
      </w:pPr>
      <w:r>
        <w:rPr>
          <w:rFonts w:hint="eastAsia" w:ascii="楷体_GB2312" w:hAnsi="楷体" w:eastAsia="楷体_GB2312" w:cs="楷体"/>
          <w:b/>
          <w:bCs w:val="0"/>
          <w:sz w:val="32"/>
          <w:szCs w:val="32"/>
        </w:rPr>
        <w:t>“三公”经费使用和管理情况</w:t>
      </w:r>
    </w:p>
    <w:p>
      <w:pPr>
        <w:pStyle w:val="8"/>
        <w:keepNext w:val="0"/>
        <w:keepLines w:val="0"/>
        <w:pageBreakBefore w:val="0"/>
        <w:widowControl/>
        <w:numPr>
          <w:numId w:val="0"/>
        </w:numPr>
        <w:kinsoku/>
        <w:wordWrap/>
        <w:overflowPunct/>
        <w:topLinePunct w:val="0"/>
        <w:autoSpaceDE/>
        <w:autoSpaceDN/>
        <w:bidi w:val="0"/>
        <w:spacing w:line="560" w:lineRule="exact"/>
        <w:ind w:firstLine="64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2022 年度“三公”经费财政拨款支出决算中，公务接待费支出决算0.00万元，由于决算数为0万元，无法计算百分比，因公出国（境）费支出决算0.00万元，由于决算数为0万元，无法计算百分比，公务用车购置费及运行维护费支出决算 0.00 万元，由于决算数为0万元，无法计算百分比。具体情况如下： </w:t>
      </w:r>
    </w:p>
    <w:p>
      <w:pPr>
        <w:pStyle w:val="8"/>
        <w:keepNext w:val="0"/>
        <w:keepLines w:val="0"/>
        <w:pageBreakBefore w:val="0"/>
        <w:widowControl/>
        <w:numPr>
          <w:numId w:val="0"/>
        </w:numPr>
        <w:kinsoku/>
        <w:wordWrap/>
        <w:overflowPunct/>
        <w:topLinePunct w:val="0"/>
        <w:autoSpaceDE/>
        <w:autoSpaceDN/>
        <w:bidi w:val="0"/>
        <w:spacing w:line="56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1、因公出国（境）费支出</w:t>
      </w:r>
      <w:r>
        <w:rPr>
          <w:rFonts w:hint="eastAsia" w:ascii="仿宋_GB2312" w:hAnsi="Times New Roman" w:eastAsia="仿宋_GB2312" w:cs="Times New Roman"/>
          <w:b/>
          <w:bCs/>
          <w:sz w:val="32"/>
          <w:szCs w:val="32"/>
          <w:lang w:val="en-US" w:eastAsia="zh-CN"/>
        </w:rPr>
        <w:t>决算</w:t>
      </w:r>
      <w:r>
        <w:rPr>
          <w:rFonts w:hint="eastAsia" w:ascii="仿宋_GB2312" w:hAnsi="Times New Roman" w:eastAsia="仿宋_GB2312" w:cs="Times New Roman"/>
          <w:sz w:val="32"/>
          <w:szCs w:val="32"/>
          <w:lang w:val="en-US" w:eastAsia="zh-CN"/>
        </w:rPr>
        <w:t xml:space="preserve">为0.00万元，全年安排因公出国（境） 团组0个，累计团组0人次。 </w:t>
      </w:r>
    </w:p>
    <w:p>
      <w:pPr>
        <w:pStyle w:val="8"/>
        <w:keepNext w:val="0"/>
        <w:keepLines w:val="0"/>
        <w:pageBreakBefore w:val="0"/>
        <w:widowControl/>
        <w:numPr>
          <w:numId w:val="0"/>
        </w:numPr>
        <w:kinsoku/>
        <w:wordWrap/>
        <w:overflowPunct/>
        <w:topLinePunct w:val="0"/>
        <w:autoSpaceDE/>
        <w:autoSpaceDN/>
        <w:bidi w:val="0"/>
        <w:spacing w:line="56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2、公务接待费支出决算</w:t>
      </w:r>
      <w:r>
        <w:rPr>
          <w:rFonts w:hint="eastAsia" w:ascii="仿宋_GB2312" w:hAnsi="Times New Roman" w:eastAsia="仿宋_GB2312" w:cs="Times New Roman"/>
          <w:sz w:val="32"/>
          <w:szCs w:val="32"/>
          <w:lang w:val="en-US" w:eastAsia="zh-CN"/>
        </w:rPr>
        <w:t>为0.00万元，全年共接待来访团组0个，来宾0人次。</w:t>
      </w:r>
    </w:p>
    <w:p>
      <w:pPr>
        <w:pStyle w:val="8"/>
        <w:keepNext w:val="0"/>
        <w:keepLines w:val="0"/>
        <w:pageBreakBefore w:val="0"/>
        <w:widowControl/>
        <w:numPr>
          <w:numId w:val="0"/>
        </w:numPr>
        <w:kinsoku/>
        <w:wordWrap/>
        <w:overflowPunct/>
        <w:topLinePunct w:val="0"/>
        <w:autoSpaceDE/>
        <w:autoSpaceDN/>
        <w:bidi w:val="0"/>
        <w:spacing w:line="560" w:lineRule="exact"/>
        <w:ind w:firstLine="643"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3、公务用车购置费及运行维护费支出决算</w:t>
      </w:r>
      <w:r>
        <w:rPr>
          <w:rFonts w:hint="eastAsia" w:ascii="仿宋_GB2312" w:hAnsi="Times New Roman" w:eastAsia="仿宋_GB2312" w:cs="Times New Roman"/>
          <w:sz w:val="32"/>
          <w:szCs w:val="32"/>
          <w:lang w:val="en-US" w:eastAsia="zh-CN"/>
        </w:rPr>
        <w:t>为0.00万元，其中：公务用车购置费0.00万元，衡阳县市场服务中心更新公务用车0 辆。公务用车运行维护费0.00万元，截止 2022年12月31 日，我单位开支财政拨款的公务用车保有量为0 辆。</w:t>
      </w:r>
    </w:p>
    <w:p>
      <w:pPr>
        <w:pStyle w:val="8"/>
        <w:keepNext w:val="0"/>
        <w:keepLines w:val="0"/>
        <w:pageBreakBefore w:val="0"/>
        <w:widowControl/>
        <w:numPr>
          <w:ilvl w:val="0"/>
          <w:numId w:val="3"/>
        </w:numPr>
        <w:kinsoku/>
        <w:wordWrap/>
        <w:overflowPunct/>
        <w:topLinePunct w:val="0"/>
        <w:autoSpaceDE/>
        <w:autoSpaceDN/>
        <w:bidi w:val="0"/>
        <w:spacing w:line="560" w:lineRule="exact"/>
        <w:ind w:left="640" w:firstLine="0" w:firstLineChars="0"/>
        <w:textAlignment w:val="auto"/>
        <w:rPr>
          <w:rFonts w:hint="eastAsia" w:ascii="楷体_GB2312" w:hAnsi="楷体" w:eastAsia="楷体_GB2312" w:cs="楷体"/>
          <w:b/>
          <w:bCs w:val="0"/>
          <w:sz w:val="32"/>
          <w:szCs w:val="32"/>
        </w:rPr>
      </w:pPr>
      <w:r>
        <w:rPr>
          <w:rFonts w:hint="eastAsia" w:ascii="楷体_GB2312" w:hAnsi="楷体" w:eastAsia="楷体_GB2312" w:cs="楷体"/>
          <w:b/>
          <w:bCs w:val="0"/>
          <w:sz w:val="32"/>
          <w:szCs w:val="32"/>
        </w:rPr>
        <w:t>资金结转和结余情况</w:t>
      </w:r>
    </w:p>
    <w:p>
      <w:pPr>
        <w:pStyle w:val="8"/>
        <w:keepNext w:val="0"/>
        <w:keepLines w:val="0"/>
        <w:pageBreakBefore w:val="0"/>
        <w:widowControl/>
        <w:kinsoku/>
        <w:wordWrap/>
        <w:overflowPunct/>
        <w:topLinePunct w:val="0"/>
        <w:autoSpaceDE/>
        <w:autoSpaceDN/>
        <w:bidi w:val="0"/>
        <w:spacing w:line="560" w:lineRule="exact"/>
        <w:ind w:left="0" w:leftChars="0" w:firstLine="640" w:firstLineChars="200"/>
        <w:textAlignment w:val="auto"/>
        <w:rPr>
          <w:rFonts w:hint="default" w:ascii="楷体_GB2312" w:hAnsi="楷体" w:eastAsia="楷体_GB2312" w:cs="楷体"/>
          <w:bCs/>
          <w:sz w:val="32"/>
          <w:szCs w:val="32"/>
          <w:lang w:val="en-US" w:eastAsia="zh-CN"/>
        </w:rPr>
      </w:pPr>
      <w:r>
        <w:rPr>
          <w:rFonts w:hint="eastAsia" w:ascii="仿宋_GB2312" w:hAnsi="Times New Roman" w:eastAsia="仿宋_GB2312" w:cs="Times New Roman"/>
          <w:sz w:val="32"/>
          <w:szCs w:val="32"/>
          <w:lang w:val="en-US" w:eastAsia="zh-CN"/>
        </w:rPr>
        <w:t>2022年度预算内无结转结余，非财政拨款结转2.74万元。主要是因为年末存在应付未付导致的虚假结余。</w:t>
      </w:r>
    </w:p>
    <w:p>
      <w:pPr>
        <w:pStyle w:val="8"/>
        <w:keepNext w:val="0"/>
        <w:keepLines w:val="0"/>
        <w:pageBreakBefore w:val="0"/>
        <w:widowControl/>
        <w:numPr>
          <w:ilvl w:val="0"/>
          <w:numId w:val="3"/>
        </w:numPr>
        <w:kinsoku/>
        <w:wordWrap/>
        <w:overflowPunct/>
        <w:topLinePunct w:val="0"/>
        <w:autoSpaceDE/>
        <w:autoSpaceDN/>
        <w:bidi w:val="0"/>
        <w:spacing w:line="560" w:lineRule="exact"/>
        <w:ind w:left="640" w:firstLine="0" w:firstLineChars="0"/>
        <w:textAlignment w:val="auto"/>
        <w:rPr>
          <w:rFonts w:hint="eastAsia" w:ascii="楷体_GB2312" w:hAnsi="楷体" w:eastAsia="楷体_GB2312" w:cs="楷体"/>
          <w:b/>
          <w:bCs w:val="0"/>
          <w:sz w:val="32"/>
          <w:szCs w:val="32"/>
        </w:rPr>
      </w:pPr>
      <w:r>
        <w:rPr>
          <w:rFonts w:hint="eastAsia" w:ascii="楷体_GB2312" w:hAnsi="楷体" w:eastAsia="楷体_GB2312" w:cs="楷体"/>
          <w:b/>
          <w:bCs w:val="0"/>
          <w:sz w:val="32"/>
          <w:szCs w:val="32"/>
        </w:rPr>
        <w:t>部门整体支出管理与制度建设情况</w:t>
      </w:r>
    </w:p>
    <w:p>
      <w:pPr>
        <w:pStyle w:val="8"/>
        <w:keepNext w:val="0"/>
        <w:keepLines w:val="0"/>
        <w:pageBreakBefore w:val="0"/>
        <w:widowControl/>
        <w:kinsoku/>
        <w:wordWrap/>
        <w:overflowPunct/>
        <w:topLinePunct w:val="0"/>
        <w:autoSpaceDE/>
        <w:autoSpaceDN/>
        <w:bidi w:val="0"/>
        <w:spacing w:line="560" w:lineRule="exact"/>
        <w:ind w:left="640" w:firstLine="0" w:firstLineChars="0"/>
        <w:jc w:val="left"/>
        <w:textAlignment w:val="auto"/>
        <w:rPr>
          <w:rFonts w:hint="eastAsia" w:eastAsia="黑体"/>
          <w:sz w:val="32"/>
          <w:szCs w:val="32"/>
        </w:rPr>
      </w:pPr>
      <w:r>
        <w:rPr>
          <w:rFonts w:hint="eastAsia" w:eastAsia="黑体"/>
          <w:sz w:val="32"/>
          <w:szCs w:val="32"/>
        </w:rPr>
        <w:t>三、政府性基金预算支出情况</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ascii="楷体_GB2312" w:hAnsi="楷体" w:eastAsia="楷体_GB2312" w:cs="楷体"/>
          <w:bCs/>
          <w:sz w:val="32"/>
          <w:szCs w:val="32"/>
          <w:lang w:eastAsia="zh-CN"/>
        </w:rPr>
      </w:pPr>
      <w:r>
        <w:rPr>
          <w:rFonts w:hint="eastAsia" w:ascii="楷体_GB2312" w:hAnsi="楷体" w:eastAsia="楷体_GB2312" w:cs="楷体"/>
          <w:bCs/>
          <w:sz w:val="32"/>
          <w:szCs w:val="32"/>
          <w:lang w:eastAsia="zh-CN"/>
        </w:rPr>
        <w:t>无</w:t>
      </w:r>
    </w:p>
    <w:p>
      <w:pPr>
        <w:pStyle w:val="8"/>
        <w:keepNext w:val="0"/>
        <w:keepLines w:val="0"/>
        <w:pageBreakBefore w:val="0"/>
        <w:widowControl/>
        <w:numPr>
          <w:ilvl w:val="0"/>
          <w:numId w:val="4"/>
        </w:numPr>
        <w:kinsoku/>
        <w:wordWrap/>
        <w:overflowPunct/>
        <w:topLinePunct w:val="0"/>
        <w:autoSpaceDE/>
        <w:autoSpaceDN/>
        <w:bidi w:val="0"/>
        <w:spacing w:line="560" w:lineRule="exact"/>
        <w:ind w:left="640" w:firstLine="0" w:firstLineChars="0"/>
        <w:jc w:val="left"/>
        <w:textAlignment w:val="auto"/>
        <w:rPr>
          <w:rFonts w:hint="eastAsia" w:eastAsia="黑体"/>
          <w:sz w:val="32"/>
          <w:szCs w:val="32"/>
        </w:rPr>
      </w:pPr>
      <w:r>
        <w:rPr>
          <w:rFonts w:hint="eastAsia" w:eastAsia="黑体"/>
          <w:sz w:val="32"/>
          <w:szCs w:val="32"/>
        </w:rPr>
        <w:t>国有资本经营预算支出情况</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eastAsia="黑体"/>
          <w:sz w:val="32"/>
          <w:szCs w:val="32"/>
        </w:rPr>
      </w:pPr>
      <w:r>
        <w:rPr>
          <w:rFonts w:hint="eastAsia" w:ascii="楷体_GB2312" w:hAnsi="楷体" w:eastAsia="楷体_GB2312" w:cs="楷体"/>
          <w:bCs/>
          <w:sz w:val="32"/>
          <w:szCs w:val="32"/>
          <w:lang w:eastAsia="zh-CN"/>
        </w:rPr>
        <w:t>无</w:t>
      </w:r>
    </w:p>
    <w:p>
      <w:pPr>
        <w:pStyle w:val="8"/>
        <w:keepNext w:val="0"/>
        <w:keepLines w:val="0"/>
        <w:pageBreakBefore w:val="0"/>
        <w:widowControl/>
        <w:numPr>
          <w:ilvl w:val="0"/>
          <w:numId w:val="4"/>
        </w:numPr>
        <w:kinsoku/>
        <w:wordWrap/>
        <w:overflowPunct/>
        <w:topLinePunct w:val="0"/>
        <w:autoSpaceDE/>
        <w:autoSpaceDN/>
        <w:bidi w:val="0"/>
        <w:spacing w:line="560" w:lineRule="exact"/>
        <w:ind w:left="640" w:leftChars="0" w:firstLine="0" w:firstLineChars="0"/>
        <w:jc w:val="left"/>
        <w:textAlignment w:val="auto"/>
        <w:rPr>
          <w:rFonts w:hint="eastAsia" w:eastAsia="黑体"/>
          <w:sz w:val="32"/>
          <w:szCs w:val="32"/>
        </w:rPr>
      </w:pPr>
      <w:r>
        <w:rPr>
          <w:rFonts w:hint="eastAsia" w:eastAsia="黑体"/>
          <w:sz w:val="32"/>
          <w:szCs w:val="32"/>
        </w:rPr>
        <w:t>社会保险基金预算支出情况</w:t>
      </w:r>
    </w:p>
    <w:p>
      <w:pPr>
        <w:pStyle w:val="8"/>
        <w:keepNext w:val="0"/>
        <w:keepLines w:val="0"/>
        <w:pageBreakBefore w:val="0"/>
        <w:widowControl/>
        <w:kinsoku/>
        <w:wordWrap/>
        <w:overflowPunct/>
        <w:topLinePunct w:val="0"/>
        <w:autoSpaceDE/>
        <w:autoSpaceDN/>
        <w:bidi w:val="0"/>
        <w:spacing w:line="560" w:lineRule="exact"/>
        <w:ind w:left="640" w:firstLine="0" w:firstLineChars="0"/>
        <w:textAlignment w:val="auto"/>
        <w:rPr>
          <w:rFonts w:hint="eastAsia" w:eastAsia="黑体"/>
          <w:sz w:val="32"/>
          <w:szCs w:val="32"/>
        </w:rPr>
      </w:pPr>
      <w:r>
        <w:rPr>
          <w:rFonts w:hint="eastAsia" w:ascii="楷体_GB2312" w:hAnsi="楷体" w:eastAsia="楷体_GB2312" w:cs="楷体"/>
          <w:bCs/>
          <w:sz w:val="32"/>
          <w:szCs w:val="32"/>
          <w:lang w:eastAsia="zh-CN"/>
        </w:rPr>
        <w:t>无</w:t>
      </w:r>
    </w:p>
    <w:p>
      <w:pPr>
        <w:keepNext w:val="0"/>
        <w:keepLines w:val="0"/>
        <w:pageBreakBefore w:val="0"/>
        <w:widowControl/>
        <w:numPr>
          <w:ilvl w:val="0"/>
          <w:numId w:val="4"/>
        </w:numPr>
        <w:kinsoku/>
        <w:wordWrap/>
        <w:overflowPunct/>
        <w:topLinePunct w:val="0"/>
        <w:autoSpaceDE/>
        <w:autoSpaceDN/>
        <w:bidi w:val="0"/>
        <w:spacing w:line="560" w:lineRule="exact"/>
        <w:ind w:left="640" w:leftChars="0" w:firstLine="0" w:firstLineChars="0"/>
        <w:jc w:val="left"/>
        <w:textAlignment w:val="auto"/>
        <w:rPr>
          <w:rFonts w:hint="eastAsia" w:ascii="Times New Roman" w:hAnsi="Times New Roman" w:eastAsia="黑体"/>
          <w:sz w:val="32"/>
          <w:szCs w:val="32"/>
        </w:rPr>
      </w:pPr>
      <w:r>
        <w:rPr>
          <w:rFonts w:hint="eastAsia" w:ascii="Times New Roman" w:hAnsi="Times New Roman" w:eastAsia="黑体"/>
          <w:sz w:val="32"/>
          <w:szCs w:val="32"/>
        </w:rPr>
        <w:t>部门整体支出绩效情况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（一）评价情况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1、预算执行。</w:t>
      </w:r>
      <w:r>
        <w:rPr>
          <w:rFonts w:hint="eastAsia" w:ascii="仿宋" w:hAnsi="仿宋" w:eastAsia="仿宋" w:cs="仿宋"/>
          <w:bCs/>
          <w:color w:val="000000"/>
          <w:sz w:val="32"/>
          <w:szCs w:val="32"/>
        </w:rPr>
        <w:t>严按照预算规定的费用项目和用途进行资金使用，杜绝超支现象发生。</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2、预算管理。</w:t>
      </w:r>
      <w:r>
        <w:rPr>
          <w:rFonts w:hint="eastAsia" w:ascii="仿宋" w:hAnsi="仿宋" w:eastAsia="仿宋" w:cs="仿宋"/>
          <w:bCs/>
          <w:color w:val="000000"/>
          <w:sz w:val="32"/>
          <w:szCs w:val="32"/>
        </w:rPr>
        <w:t>完善制度体系，提高支出的规范性。加强“三公”经费制度和管理，不得超过预算</w:t>
      </w:r>
      <w:r>
        <w:rPr>
          <w:rFonts w:hint="eastAsia" w:ascii="仿宋" w:hAnsi="仿宋" w:eastAsia="仿宋" w:cs="仿宋"/>
          <w:color w:val="000000"/>
          <w:sz w:val="32"/>
          <w:szCs w:val="32"/>
        </w:rPr>
        <w:t>资金。</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3、资产管理。</w:t>
      </w:r>
      <w:r>
        <w:rPr>
          <w:rFonts w:hint="eastAsia" w:ascii="仿宋" w:hAnsi="仿宋" w:eastAsia="仿宋" w:cs="仿宋"/>
          <w:bCs/>
          <w:color w:val="000000"/>
          <w:sz w:val="32"/>
          <w:szCs w:val="32"/>
        </w:rPr>
        <w:t>坚持</w:t>
      </w:r>
      <w:r>
        <w:rPr>
          <w:rFonts w:hint="eastAsia" w:ascii="仿宋" w:hAnsi="仿宋" w:eastAsia="仿宋" w:cs="仿宋"/>
          <w:color w:val="000000"/>
          <w:sz w:val="32"/>
          <w:szCs w:val="32"/>
        </w:rPr>
        <w:t>资产管理与预算管理相结合原则，做好资产配置工作，加强新增资产配置审核工作，由专人负责资产使用和管理，建立固定资产明细帐及使用核销台帐。</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4、职责履行。</w:t>
      </w:r>
      <w:r>
        <w:rPr>
          <w:rFonts w:hint="eastAsia" w:ascii="仿宋" w:hAnsi="仿宋" w:eastAsia="仿宋" w:cs="仿宋"/>
          <w:color w:val="000000"/>
          <w:sz w:val="32"/>
          <w:szCs w:val="32"/>
        </w:rPr>
        <w:t>积极认真履行各项职责，积极完成上级下达的202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年度各项目标任务。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（二）实施效果</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1、经济性分析。</w:t>
      </w:r>
      <w:r>
        <w:rPr>
          <w:rFonts w:hint="eastAsia" w:ascii="仿宋" w:hAnsi="仿宋" w:eastAsia="仿宋" w:cs="仿宋"/>
          <w:color w:val="000000"/>
          <w:sz w:val="32"/>
          <w:szCs w:val="32"/>
        </w:rPr>
        <w:t>在组织执行预算支出时，始终坚持预算约束、严控行政成本、加快支出进度的要求，严格按预算执行支出，支出没有超过规定范畴和数量，整体经济效应较好。</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2、效率性分析。</w:t>
      </w:r>
      <w:r>
        <w:rPr>
          <w:rFonts w:hint="eastAsia" w:ascii="仿宋" w:hAnsi="仿宋" w:eastAsia="仿宋" w:cs="仿宋"/>
          <w:color w:val="000000"/>
          <w:sz w:val="32"/>
          <w:szCs w:val="32"/>
        </w:rPr>
        <w:t>在规定的时间内按步骤开展了各项工作，项目资金全部用于项目对象，没有挤占挪用等现象，且所有项目均能按要求及时完成。</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3、有效性分析。</w:t>
      </w:r>
      <w:r>
        <w:rPr>
          <w:rFonts w:hint="eastAsia" w:ascii="仿宋" w:hAnsi="仿宋" w:eastAsia="仿宋" w:cs="仿宋"/>
          <w:color w:val="000000"/>
          <w:sz w:val="32"/>
          <w:szCs w:val="32"/>
        </w:rPr>
        <w:t xml:space="preserve">部门整体支出取得了较好的社会效应，相关服务对象满意度高。 </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000000"/>
          <w:sz w:val="32"/>
          <w:szCs w:val="32"/>
        </w:rPr>
        <w:t>4、可持续性分析。</w:t>
      </w:r>
      <w:r>
        <w:rPr>
          <w:rFonts w:hint="eastAsia" w:ascii="仿宋" w:hAnsi="仿宋" w:eastAsia="仿宋" w:cs="仿宋"/>
          <w:color w:val="000000"/>
          <w:sz w:val="32"/>
          <w:szCs w:val="32"/>
        </w:rPr>
        <w:t>支出完成后，后续政策仍保持连贯性，具体实施的人员机构安排仍然没有转变，资金各级财政将持续予以保障。</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绩效评价工作情况</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绩效评价目的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通过绩效评价进一步规范部门整体支出管理，强化部门整体支出绩效理念和责任意识，切实提高部门整体支出资金使用效益。</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绩效评价过程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前期准备。为使绩效评价工作顺利开展，召开专题会议成立绩效评价工作组，负责绩效评价的组织管理和实施工作。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组织实施。成立了绩效评价工作组，召开绩效评价工作会议。组织相关人员对部门各项支出进行分析和审核，绩效评价小组对本单位整体支出情况进行了自评打分并撰写绩效自评报告，形成评价结论并上报。</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综合评价结论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olor w:val="0000FF"/>
          <w:sz w:val="32"/>
          <w:szCs w:val="32"/>
        </w:rPr>
      </w:pPr>
      <w:r>
        <w:rPr>
          <w:rFonts w:hint="eastAsia" w:ascii="仿宋" w:hAnsi="仿宋" w:eastAsia="仿宋" w:cs="仿宋"/>
          <w:color w:val="333333"/>
          <w:sz w:val="32"/>
          <w:szCs w:val="32"/>
        </w:rPr>
        <w:t>经绩效评价工作组一致认为，202</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年度我单位整体支出使用合理、效果显著，绩效评价得分为</w:t>
      </w:r>
      <w:r>
        <w:rPr>
          <w:rFonts w:hint="eastAsia" w:ascii="仿宋" w:hAnsi="仿宋" w:eastAsia="仿宋" w:cs="仿宋"/>
          <w:sz w:val="32"/>
          <w:szCs w:val="32"/>
          <w:highlight w:val="none"/>
        </w:rPr>
        <w:t>9</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黑体"/>
          <w:sz w:val="32"/>
          <w:szCs w:val="32"/>
        </w:rPr>
      </w:pPr>
      <w:r>
        <w:rPr>
          <w:rFonts w:hint="eastAsia" w:eastAsia="黑体"/>
          <w:sz w:val="32"/>
          <w:szCs w:val="32"/>
          <w:lang w:val="en-US" w:eastAsia="zh-CN"/>
        </w:rPr>
        <w:t>七</w:t>
      </w:r>
      <w:r>
        <w:rPr>
          <w:rFonts w:hint="eastAsia" w:eastAsia="黑体"/>
          <w:sz w:val="32"/>
          <w:szCs w:val="32"/>
          <w:lang w:eastAsia="zh-CN"/>
        </w:rPr>
        <w:t>、</w:t>
      </w:r>
      <w:r>
        <w:rPr>
          <w:rFonts w:hint="eastAsia" w:eastAsia="黑体"/>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1、预算编制工作有待细化。预算编制不够明确和细化，预算编制的合理性需要提高，预算执行力度还要进一步加强。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绩效管理还停留在文字层面，意识薄弱。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八、下一步改进措施</w:t>
      </w:r>
    </w:p>
    <w:p>
      <w:pPr>
        <w:pStyle w:val="2"/>
        <w:ind w:firstLine="640" w:firstLineChars="200"/>
        <w:rPr>
          <w:rFonts w:hint="eastAsia"/>
          <w:lang w:val="en-US" w:eastAsia="zh-CN"/>
        </w:rPr>
      </w:pPr>
      <w:r>
        <w:rPr>
          <w:rFonts w:hint="eastAsia" w:ascii="仿宋" w:hAnsi="仿宋" w:eastAsia="仿宋" w:cs="仿宋"/>
          <w:sz w:val="32"/>
          <w:szCs w:val="32"/>
        </w:rPr>
        <w:t>为提高绩效管理水平，首先，正确认识绩效管理的重要意义，增强绩效管理意识，强化单位负责人责任意识。其次，积极开展业务培训，广泛学习绩效管理规定，夯实各项基础工作。最后，加强本单位内部机构纵横双向联系，增进沟通和理解，充分发挥绩效管理的作用，建立有效的激励机制，调动内部工作人员的工作积极</w:t>
      </w:r>
      <w:r>
        <w:rPr>
          <w:rFonts w:hint="eastAsia" w:ascii="宋体" w:hAnsi="宋体" w:eastAsia="宋体" w:cs="宋体"/>
          <w:i w:val="0"/>
          <w:iCs w:val="0"/>
          <w:caps w:val="0"/>
          <w:color w:val="333333"/>
          <w:spacing w:val="0"/>
          <w:sz w:val="24"/>
          <w:szCs w:val="24"/>
          <w:shd w:val="clear" w:fill="FFFFFF"/>
        </w:rPr>
        <w:t>性。</w:t>
      </w:r>
    </w:p>
    <w:p>
      <w:pPr>
        <w:keepNext w:val="0"/>
        <w:keepLines w:val="0"/>
        <w:pageBreakBefore w:val="0"/>
        <w:widowControl/>
        <w:kinsoku/>
        <w:wordWrap/>
        <w:overflowPunct/>
        <w:topLinePunct w:val="0"/>
        <w:autoSpaceDE/>
        <w:autoSpaceDN/>
        <w:bidi w:val="0"/>
        <w:spacing w:line="560" w:lineRule="exact"/>
        <w:ind w:firstLine="645"/>
        <w:jc w:val="left"/>
        <w:textAlignment w:val="auto"/>
        <w:rPr>
          <w:rFonts w:ascii="Times New Roman" w:hAnsi="Times New Roman" w:eastAsia="黑体"/>
          <w:sz w:val="32"/>
          <w:szCs w:val="32"/>
        </w:rPr>
      </w:pPr>
      <w:r>
        <w:rPr>
          <w:rFonts w:hint="eastAsia" w:ascii="Times New Roman" w:hAnsi="Times New Roman" w:eastAsia="黑体"/>
          <w:sz w:val="32"/>
          <w:szCs w:val="32"/>
        </w:rPr>
        <w:t>九、其他需要说明的情况</w:t>
      </w: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eastAsia" w:ascii="仿宋_GB2312" w:hAnsi="Times New Roman" w:eastAsia="仿宋_GB2312"/>
          <w:sz w:val="32"/>
          <w:szCs w:val="32"/>
        </w:rPr>
      </w:pP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eastAsia" w:ascii="仿宋_GB2312" w:hAnsi="Times New Roman" w:eastAsia="仿宋_GB2312"/>
          <w:sz w:val="32"/>
          <w:szCs w:val="32"/>
        </w:rPr>
      </w:pPr>
      <w:r>
        <w:rPr>
          <w:rFonts w:hint="eastAsia" w:ascii="仿宋_GB2312" w:hAnsi="Times New Roman" w:eastAsia="仿宋_GB2312"/>
          <w:sz w:val="32"/>
          <w:szCs w:val="32"/>
        </w:rPr>
        <w:t>报告应包括以下附件：</w:t>
      </w:r>
    </w:p>
    <w:p>
      <w:pPr>
        <w:keepNext w:val="0"/>
        <w:keepLines w:val="0"/>
        <w:pageBreakBefore w:val="0"/>
        <w:widowControl/>
        <w:kinsoku/>
        <w:wordWrap/>
        <w:overflowPunct/>
        <w:topLinePunct w:val="0"/>
        <w:autoSpaceDE/>
        <w:autoSpaceDN/>
        <w:bidi w:val="0"/>
        <w:spacing w:line="560" w:lineRule="exact"/>
        <w:ind w:firstLine="645"/>
        <w:jc w:val="left"/>
        <w:textAlignment w:val="auto"/>
        <w:rPr>
          <w:rFonts w:hint="eastAsia" w:ascii="仿宋_GB2312" w:hAnsi="Times New Roman" w:eastAsia="仿宋_GB2312"/>
          <w:sz w:val="32"/>
          <w:szCs w:val="32"/>
        </w:rPr>
      </w:pPr>
      <w:r>
        <w:rPr>
          <w:rFonts w:hint="eastAsia" w:ascii="仿宋_GB2312" w:hAnsi="Times New Roman" w:eastAsia="仿宋_GB2312"/>
          <w:sz w:val="32"/>
          <w:szCs w:val="32"/>
        </w:rPr>
        <w:t>1.部门整体支出绩效评价基础数据表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Times New Roman" w:eastAsia="仿宋_GB2312"/>
          <w:sz w:val="32"/>
          <w:szCs w:val="32"/>
        </w:rPr>
      </w:pPr>
      <w:r>
        <w:rPr>
          <w:rFonts w:hint="eastAsia" w:ascii="仿宋_GB2312" w:hAnsi="Times New Roman" w:eastAsia="仿宋_GB2312"/>
          <w:sz w:val="32"/>
          <w:szCs w:val="32"/>
        </w:rPr>
        <w:t>2.部门整体支出绩效自评表</w:t>
      </w:r>
    </w:p>
    <w:p/>
    <w:p/>
    <w:p/>
    <w:p/>
    <w:p/>
    <w:p>
      <w:pPr>
        <w:pStyle w:val="2"/>
      </w:pPr>
    </w:p>
    <w:p/>
    <w:p>
      <w:pPr>
        <w:pStyle w:val="2"/>
      </w:pPr>
    </w:p>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b/>
          <w:bCs/>
          <w:color w:val="000000"/>
          <w:kern w:val="0"/>
          <w:sz w:val="32"/>
          <w:szCs w:val="32"/>
        </w:rPr>
      </w:pPr>
      <w:r>
        <w:rPr>
          <w:rFonts w:hint="eastAsia" w:ascii="方正小标宋_GBK" w:hAnsi="方正小标宋_GBK" w:eastAsia="方正小标宋_GBK" w:cs="方正小标宋_GBK"/>
          <w:b/>
          <w:bCs/>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rPr>
        <w:t>填报时间：</w:t>
      </w:r>
      <w:r>
        <w:rPr>
          <w:rFonts w:ascii="Times New Roman" w:hAnsi="Times New Roman" w:eastAsia="PMingLiU"/>
          <w:kern w:val="0"/>
          <w:sz w:val="24"/>
        </w:rPr>
        <w:tab/>
      </w:r>
    </w:p>
    <w:tbl>
      <w:tblPr>
        <w:tblStyle w:val="6"/>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85</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78</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91.76%</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833.26</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792.53</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866.67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 xml:space="preserve"> 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 xml:space="preserve">0 </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52.45</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lang w:val="en-US" w:eastAsia="zh-CN"/>
              </w:rPr>
              <w:t>1</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eastAsia="zh-CN"/>
              </w:rPr>
              <w:t>市场常态化管理经费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52.45</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62.73</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1、切实加强用餐管理； 2、推进节能减排。</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156" w:beforeLines="50" w:line="300" w:lineRule="exact"/>
        <w:rPr>
          <w:rFonts w:hint="eastAsia" w:ascii="宋体" w:hAnsi="宋体" w:cs="宋体"/>
          <w:sz w:val="24"/>
        </w:rPr>
      </w:pPr>
      <w:r>
        <w:rPr>
          <w:rFonts w:hint="eastAsia" w:ascii="宋体" w:hAnsi="宋体" w:cs="宋体"/>
          <w:sz w:val="24"/>
        </w:rPr>
        <w:t>填表人：</w:t>
      </w:r>
      <w:r>
        <w:rPr>
          <w:rFonts w:hint="eastAsia" w:ascii="宋体" w:hAnsi="宋体" w:cs="宋体"/>
          <w:sz w:val="24"/>
          <w:lang w:eastAsia="zh-CN"/>
        </w:rPr>
        <w:t>凌华</w:t>
      </w:r>
      <w:r>
        <w:rPr>
          <w:rFonts w:hint="eastAsia" w:ascii="宋体" w:hAnsi="宋体" w:cs="宋体"/>
          <w:sz w:val="24"/>
        </w:rPr>
        <w:t xml:space="preserve">      联系电话：</w:t>
      </w:r>
      <w:r>
        <w:rPr>
          <w:rFonts w:hint="eastAsia" w:ascii="宋体" w:hAnsi="宋体" w:cs="宋体"/>
          <w:sz w:val="24"/>
          <w:lang w:val="en-US" w:eastAsia="zh-CN"/>
        </w:rPr>
        <w:t>15197412115</w:t>
      </w:r>
      <w:r>
        <w:rPr>
          <w:rFonts w:hint="eastAsia" w:ascii="宋体" w:hAnsi="宋体" w:cs="宋体"/>
          <w:sz w:val="24"/>
        </w:rPr>
        <w:t xml:space="preserve">        单位负责人签字：</w:t>
      </w:r>
    </w:p>
    <w:p>
      <w:pPr>
        <w:spacing w:before="62" w:beforeLines="20"/>
        <w:rPr>
          <w:rFonts w:ascii="Times New Roman" w:hAnsi="Times New Roman" w:eastAsia="仿宋_GB2312"/>
          <w:kern w:val="0"/>
          <w:sz w:val="22"/>
        </w:rPr>
        <w:sectPr>
          <w:pgSz w:w="11906" w:h="16838"/>
          <w:pgMar w:top="1440" w:right="1800" w:bottom="1440" w:left="1800" w:header="851" w:footer="992" w:gutter="0"/>
          <w:cols w:space="720" w:num="1"/>
          <w:docGrid w:type="lines" w:linePitch="312" w:charSpace="0"/>
        </w:sectPr>
      </w:pP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hint="eastAsia" w:ascii="方正小标宋_GBK" w:eastAsia="方正小标宋_GBK"/>
          <w:sz w:val="28"/>
          <w:szCs w:val="28"/>
          <w:lang w:val="en-US" w:eastAsia="zh-CN"/>
        </w:rPr>
        <w:t>2022</w:t>
      </w:r>
      <w:r>
        <w:rPr>
          <w:rFonts w:hint="eastAsia"/>
          <w:sz w:val="28"/>
          <w:szCs w:val="28"/>
        </w:rPr>
        <w:t>年度</w:t>
      </w:r>
      <w:r>
        <w:rPr>
          <w:rFonts w:hint="eastAsia" w:ascii="方正小标宋_GBK" w:eastAsia="方正小标宋_GBK"/>
          <w:sz w:val="28"/>
          <w:szCs w:val="28"/>
        </w:rPr>
        <w:t>）</w:t>
      </w:r>
    </w:p>
    <w:p>
      <w:pPr>
        <w:spacing w:line="300" w:lineRule="exact"/>
        <w:jc w:val="left"/>
        <w:rPr>
          <w:rFonts w:hint="default" w:ascii="宋体" w:eastAsia="宋体"/>
          <w:sz w:val="24"/>
          <w:lang w:val="en-US" w:eastAsia="zh-CN"/>
        </w:rPr>
      </w:pPr>
      <w:r>
        <w:rPr>
          <w:rFonts w:hint="eastAsia" w:ascii="宋体"/>
          <w:sz w:val="24"/>
        </w:rPr>
        <w:t>填报单位：</w:t>
      </w:r>
      <w:r>
        <w:rPr>
          <w:rFonts w:hint="eastAsia" w:ascii="宋体"/>
          <w:sz w:val="24"/>
          <w:lang w:eastAsia="zh-CN"/>
        </w:rPr>
        <w:t>衡阳县市场服务中心</w:t>
      </w:r>
      <w:r>
        <w:rPr>
          <w:rFonts w:ascii="宋体"/>
          <w:sz w:val="24"/>
        </w:rPr>
        <w:t xml:space="preserve">               </w:t>
      </w:r>
      <w:r>
        <w:rPr>
          <w:rFonts w:hint="eastAsia" w:ascii="宋体"/>
          <w:sz w:val="24"/>
        </w:rPr>
        <w:t>填报时间：</w:t>
      </w:r>
      <w:r>
        <w:rPr>
          <w:rFonts w:hint="eastAsia" w:ascii="宋体"/>
          <w:sz w:val="24"/>
          <w:lang w:val="en-US" w:eastAsia="zh-CN"/>
        </w:rPr>
        <w:t>2023年10月15日</w:t>
      </w:r>
    </w:p>
    <w:tbl>
      <w:tblPr>
        <w:tblStyle w:val="6"/>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050"/>
        <w:gridCol w:w="1005"/>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noWrap w:val="0"/>
            <w:vAlign w:val="center"/>
          </w:tcPr>
          <w:p>
            <w:pPr>
              <w:widowControl/>
              <w:jc w:val="center"/>
              <w:rPr>
                <w:rFonts w:hint="eastAsia" w:ascii="宋体" w:hAnsi="宋体" w:cs="宋体"/>
                <w:color w:val="000000"/>
                <w:kern w:val="0"/>
                <w:szCs w:val="21"/>
              </w:rPr>
            </w:pPr>
          </w:p>
        </w:tc>
        <w:tc>
          <w:tcPr>
            <w:tcW w:w="1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52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6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792.53</w:t>
            </w:r>
          </w:p>
        </w:tc>
        <w:tc>
          <w:tcPr>
            <w:tcW w:w="152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885.71</w:t>
            </w:r>
            <w:r>
              <w:rPr>
                <w:rFonts w:hint="eastAsia" w:ascii="宋体" w:hAnsi="宋体" w:cs="宋体"/>
                <w:color w:val="000000"/>
                <w:kern w:val="0"/>
                <w:szCs w:val="21"/>
              </w:rPr>
              <w:t>　</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117.56%</w:t>
            </w:r>
            <w:r>
              <w:rPr>
                <w:rFonts w:hint="eastAsia" w:ascii="宋体" w:hAnsi="宋体" w:cs="宋体"/>
                <w:color w:val="000000"/>
                <w:kern w:val="0"/>
                <w:szCs w:val="21"/>
              </w:rPr>
              <w:t>　</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650"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6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793.87</w:t>
            </w:r>
          </w:p>
        </w:tc>
        <w:tc>
          <w:tcPr>
            <w:tcW w:w="287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771"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95" w:type="dxa"/>
            <w:noWrap w:val="0"/>
            <w:vAlign w:val="center"/>
          </w:tcPr>
          <w:p>
            <w:pPr>
              <w:widowControl/>
              <w:jc w:val="center"/>
              <w:rPr>
                <w:rFonts w:hint="eastAsia" w:ascii="宋体" w:hAnsi="宋体" w:cs="宋体"/>
                <w:color w:val="000000"/>
                <w:kern w:val="0"/>
                <w:szCs w:val="21"/>
              </w:rPr>
            </w:pPr>
          </w:p>
        </w:tc>
        <w:tc>
          <w:tcPr>
            <w:tcW w:w="2879"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771"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749.87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52.45</w:t>
            </w:r>
          </w:p>
        </w:tc>
        <w:tc>
          <w:tcPr>
            <w:tcW w:w="2879" w:type="dxa"/>
            <w:gridSpan w:val="2"/>
            <w:noWrap w:val="0"/>
            <w:vAlign w:val="center"/>
          </w:tcPr>
          <w:p>
            <w:pPr>
              <w:widowControl/>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771"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……拨款</w:t>
            </w:r>
          </w:p>
        </w:tc>
        <w:tc>
          <w:tcPr>
            <w:tcW w:w="1695" w:type="dxa"/>
            <w:noWrap w:val="0"/>
            <w:vAlign w:val="center"/>
          </w:tcPr>
          <w:p>
            <w:pPr>
              <w:widowControl/>
              <w:jc w:val="center"/>
              <w:rPr>
                <w:rFonts w:hint="eastAsia" w:ascii="宋体" w:hAnsi="宋体" w:cs="宋体"/>
                <w:color w:val="000000"/>
                <w:kern w:val="0"/>
                <w:szCs w:val="21"/>
              </w:rPr>
            </w:pPr>
          </w:p>
        </w:tc>
        <w:tc>
          <w:tcPr>
            <w:tcW w:w="2879" w:type="dxa"/>
            <w:gridSpan w:val="2"/>
            <w:noWrap w:val="0"/>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771" w:type="dxa"/>
            <w:gridSpan w:val="2"/>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39.39</w:t>
            </w:r>
          </w:p>
        </w:tc>
        <w:tc>
          <w:tcPr>
            <w:tcW w:w="287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771"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52.44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650"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63"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650" w:type="dxa"/>
            <w:gridSpan w:val="5"/>
            <w:noWrap w:val="0"/>
            <w:vAlign w:val="center"/>
          </w:tcPr>
          <w:p>
            <w:pPr>
              <w:widowControl/>
              <w:numPr>
                <w:ilvl w:val="0"/>
                <w:numId w:val="0"/>
              </w:num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1、加强市场管理，提高服务质量。2、保障市场供应，规范安全运行，确保市场发展。</w:t>
            </w:r>
          </w:p>
        </w:tc>
        <w:tc>
          <w:tcPr>
            <w:tcW w:w="4650" w:type="dxa"/>
            <w:gridSpan w:val="4"/>
            <w:noWrap w:val="0"/>
            <w:vAlign w:val="center"/>
          </w:tcPr>
          <w:p>
            <w:pPr>
              <w:widowControl/>
              <w:numPr>
                <w:ilvl w:val="0"/>
                <w:numId w:val="0"/>
              </w:num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加大城区市场日常管理力度，制订了管理方案，落实具体举措，取得了良好社会效应；2、确保城乡治理标准化顺利开展，中心年初相继出台了相关的文件和方案，压实了各股、所职责，先后十多次迎接了中央、省、市检查，圆满完成了县局党组交给的任务；3、同城区各市场业主签订安全责任状，每季度召开了一次安全生产专题会议，每月开展一次安全生产大排查工作，对发现的问题及时下发交办函到市场业主并督促业主整改到位，发放消防安全告知书２万余份；4、发放疫情防控宣传单10万余份协助县疾控中心对城区市场进行每周一次的外环境检测取样和冷链食品从业人员的一周一次核酸检测工作；</w:t>
            </w:r>
          </w:p>
          <w:p>
            <w:pPr>
              <w:widowControl/>
              <w:numPr>
                <w:ilvl w:val="0"/>
                <w:numId w:val="0"/>
              </w:numPr>
              <w:rPr>
                <w:rFonts w:hint="eastAsia" w:ascii="宋体" w:hAnsi="宋体" w:eastAsia="宋体" w:cs="宋体"/>
                <w:color w:val="000000"/>
                <w:szCs w:val="21"/>
                <w:lang w:val="en-US" w:eastAsia="zh-CN"/>
              </w:rPr>
            </w:pPr>
          </w:p>
          <w:p>
            <w:pPr>
              <w:widowControl/>
              <w:numPr>
                <w:ilvl w:val="0"/>
                <w:numId w:val="0"/>
              </w:num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7" w:hRule="exact"/>
          <w:jc w:val="center"/>
        </w:trPr>
        <w:tc>
          <w:tcPr>
            <w:tcW w:w="612" w:type="dxa"/>
            <w:vMerge w:val="restart"/>
            <w:noWrap w:val="0"/>
            <w:textDirection w:val="tbRlV"/>
            <w:vAlign w:val="center"/>
          </w:tcPr>
          <w:p>
            <w:pPr>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9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一级</w:t>
            </w:r>
          </w:p>
          <w:p>
            <w:pPr>
              <w:widowControl/>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10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7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三级指标　</w:t>
            </w:r>
          </w:p>
        </w:tc>
        <w:tc>
          <w:tcPr>
            <w:tcW w:w="152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40"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2700"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eastAsia="宋体" w:cs="宋体"/>
                <w:color w:val="000000"/>
                <w:sz w:val="15"/>
                <w:szCs w:val="15"/>
                <w:lang w:val="en-US" w:eastAsia="zh-CN"/>
              </w:rPr>
              <w:t>消防、食品安全、疫情防控等宣传册发放册数</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default"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5000份</w:t>
            </w:r>
          </w:p>
        </w:tc>
        <w:tc>
          <w:tcPr>
            <w:tcW w:w="1358"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十万余份</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widowControl/>
              <w:rPr>
                <w:rFonts w:hint="eastAsia" w:ascii="宋体" w:hAnsi="宋体" w:cs="宋体"/>
                <w:color w:val="000000"/>
                <w:kern w:val="0"/>
                <w:szCs w:val="21"/>
              </w:rPr>
            </w:pPr>
            <w:r>
              <w:rPr>
                <w:rFonts w:hint="eastAsia" w:ascii="宋体" w:hAnsi="宋体" w:eastAsia="宋体" w:cs="宋体"/>
                <w:color w:val="000000"/>
                <w:kern w:val="0"/>
                <w:sz w:val="20"/>
                <w:szCs w:val="20"/>
                <w:lang w:eastAsia="zh-CN" w:bidi="ar"/>
              </w:rPr>
              <w:t>环卫清理整治</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default"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100摊次</w:t>
            </w:r>
          </w:p>
        </w:tc>
        <w:tc>
          <w:tcPr>
            <w:tcW w:w="1358" w:type="dxa"/>
            <w:noWrap w:val="0"/>
            <w:vAlign w:val="center"/>
          </w:tcPr>
          <w:p>
            <w:pPr>
              <w:widowControl/>
              <w:jc w:val="center"/>
              <w:rPr>
                <w:rFonts w:hint="eastAsia" w:ascii="宋体" w:hAnsi="宋体" w:cs="宋体"/>
                <w:color w:val="000000"/>
                <w:kern w:val="0"/>
                <w:szCs w:val="21"/>
              </w:rPr>
            </w:pP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widowControl/>
              <w:rPr>
                <w:rFonts w:hint="eastAsia" w:ascii="宋体" w:hAnsi="宋体" w:cs="宋体"/>
                <w:color w:val="000000"/>
                <w:kern w:val="0"/>
                <w:szCs w:val="21"/>
              </w:rPr>
            </w:pPr>
            <w:r>
              <w:rPr>
                <w:rFonts w:hint="eastAsia" w:ascii="宋体" w:hAnsi="宋体" w:eastAsia="宋体" w:cs="宋体"/>
                <w:color w:val="000000"/>
                <w:kern w:val="0"/>
                <w:sz w:val="20"/>
                <w:szCs w:val="20"/>
                <w:lang w:eastAsia="zh-CN" w:bidi="ar"/>
              </w:rPr>
              <w:t>人员经费保障人数</w:t>
            </w:r>
          </w:p>
        </w:tc>
        <w:tc>
          <w:tcPr>
            <w:tcW w:w="1521"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=78人</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78</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2700" w:type="dxa"/>
            <w:gridSpan w:val="2"/>
            <w:noWrap w:val="0"/>
            <w:vAlign w:val="center"/>
          </w:tcPr>
          <w:p>
            <w:pPr>
              <w:widowControl/>
              <w:rPr>
                <w:rFonts w:hint="eastAsia" w:ascii="宋体" w:hAnsi="宋体" w:cs="宋体"/>
                <w:color w:val="000000"/>
                <w:kern w:val="0"/>
                <w:szCs w:val="21"/>
              </w:rPr>
            </w:pPr>
            <w:r>
              <w:rPr>
                <w:rFonts w:hint="eastAsia" w:ascii="宋体" w:hAnsi="宋体" w:eastAsia="宋体" w:cs="宋体"/>
                <w:color w:val="000000"/>
                <w:kern w:val="0"/>
                <w:sz w:val="20"/>
                <w:szCs w:val="20"/>
                <w:lang w:val="en-US" w:eastAsia="zh-CN" w:bidi="ar"/>
              </w:rPr>
              <w:t>机关事务正常运转率</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eastAsia="宋体" w:cs="宋体"/>
                <w:color w:val="auto"/>
                <w:kern w:val="0"/>
                <w:sz w:val="20"/>
                <w:szCs w:val="20"/>
                <w:lang w:val="en-US" w:eastAsia="zh-CN" w:bidi="ar"/>
              </w:rPr>
              <w:t>100%</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100%</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widowControl/>
              <w:rPr>
                <w:rFonts w:hint="eastAsia" w:ascii="宋体" w:hAnsi="宋体" w:cs="宋体"/>
                <w:color w:val="000000"/>
                <w:kern w:val="0"/>
                <w:szCs w:val="21"/>
              </w:rPr>
            </w:pPr>
            <w:r>
              <w:rPr>
                <w:rFonts w:hint="eastAsia" w:ascii="宋体" w:hAnsi="宋体" w:eastAsia="宋体" w:cs="宋体"/>
                <w:color w:val="000000"/>
                <w:kern w:val="0"/>
                <w:sz w:val="20"/>
                <w:szCs w:val="20"/>
                <w:lang w:val="en-US" w:eastAsia="zh-CN" w:bidi="ar"/>
              </w:rPr>
              <w:t>重特大事故发生率</w:t>
            </w:r>
          </w:p>
        </w:tc>
        <w:tc>
          <w:tcPr>
            <w:tcW w:w="1521" w:type="dxa"/>
            <w:noWrap w:val="0"/>
            <w:vAlign w:val="center"/>
          </w:tcPr>
          <w:p>
            <w:pPr>
              <w:widowControl/>
              <w:rPr>
                <w:rFonts w:hint="eastAsia"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0</w:t>
            </w:r>
          </w:p>
        </w:tc>
        <w:tc>
          <w:tcPr>
            <w:tcW w:w="1358"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2700" w:type="dxa"/>
            <w:gridSpan w:val="2"/>
            <w:noWrap w:val="0"/>
            <w:vAlign w:val="center"/>
          </w:tcPr>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年度工作按计划完成及时率</w:t>
            </w:r>
          </w:p>
        </w:tc>
        <w:tc>
          <w:tcPr>
            <w:tcW w:w="1521"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358" w:type="dxa"/>
            <w:noWrap w:val="0"/>
            <w:vAlign w:val="center"/>
          </w:tcPr>
          <w:p>
            <w:pPr>
              <w:widowControl/>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100%</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2700"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基本支出规范率</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358"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100%</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项目支出规范率</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100%</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（30分）</w:t>
            </w:r>
          </w:p>
        </w:tc>
        <w:tc>
          <w:tcPr>
            <w:tcW w:w="10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13"/>
                <w:szCs w:val="13"/>
              </w:rPr>
              <w:t>经济效益指标</w:t>
            </w:r>
          </w:p>
        </w:tc>
        <w:tc>
          <w:tcPr>
            <w:tcW w:w="2700"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所辖农贸市场总额</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default"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2000万</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1997万元</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10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2700"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提供就业岗位</w:t>
            </w:r>
          </w:p>
        </w:tc>
        <w:tc>
          <w:tcPr>
            <w:tcW w:w="1521" w:type="dxa"/>
            <w:noWrap w:val="0"/>
            <w:vAlign w:val="center"/>
          </w:tcPr>
          <w:p>
            <w:pPr>
              <w:widowControl/>
              <w:jc w:val="center"/>
              <w:rPr>
                <w:rFonts w:hint="eastAsia" w:ascii="宋体" w:hAnsi="宋体" w:cs="宋体"/>
                <w:color w:val="000000"/>
                <w:kern w:val="0"/>
                <w:szCs w:val="21"/>
              </w:rPr>
            </w:pPr>
            <w:r>
              <w:rPr>
                <w:rFonts w:hint="default"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500人</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1000+人</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10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2700"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食用农产品绿色安全</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eastAsia="宋体" w:cs="宋体"/>
                <w:color w:val="000000"/>
                <w:kern w:val="0"/>
                <w:sz w:val="20"/>
                <w:szCs w:val="20"/>
                <w:lang w:eastAsia="zh-CN" w:bidi="ar"/>
              </w:rPr>
              <w:t>保障</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eastAsia="宋体" w:cs="宋体"/>
                <w:color w:val="000000"/>
                <w:kern w:val="0"/>
                <w:sz w:val="20"/>
                <w:szCs w:val="20"/>
                <w:lang w:eastAsia="zh-CN" w:bidi="ar"/>
              </w:rPr>
              <w:t>保障</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2700" w:type="dxa"/>
            <w:gridSpan w:val="2"/>
            <w:noWrap w:val="0"/>
            <w:vAlign w:val="center"/>
          </w:tcPr>
          <w:p>
            <w:pPr>
              <w:widowControl/>
              <w:spacing w:line="280" w:lineRule="exact"/>
              <w:rPr>
                <w:rFonts w:hint="eastAsia" w:ascii="宋体" w:hAnsi="宋体" w:cs="宋体"/>
                <w:color w:val="000000"/>
                <w:kern w:val="0"/>
                <w:szCs w:val="21"/>
              </w:rPr>
            </w:pPr>
            <w:r>
              <w:rPr>
                <w:rFonts w:hint="eastAsia" w:ascii="宋体" w:hAnsi="宋体" w:eastAsia="宋体" w:cs="宋体"/>
                <w:color w:val="000000"/>
                <w:kern w:val="0"/>
                <w:sz w:val="20"/>
                <w:szCs w:val="20"/>
                <w:lang w:val="en-US" w:eastAsia="zh-CN" w:bidi="ar"/>
              </w:rPr>
              <w:t>农贸市发展民生性、公益性</w:t>
            </w:r>
          </w:p>
        </w:tc>
        <w:tc>
          <w:tcPr>
            <w:tcW w:w="1521" w:type="dxa"/>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w:t>
            </w:r>
            <w:r>
              <w:rPr>
                <w:rFonts w:hint="eastAsia" w:ascii="宋体" w:hAnsi="宋体" w:eastAsia="宋体" w:cs="宋体"/>
                <w:color w:val="000000"/>
                <w:kern w:val="0"/>
                <w:sz w:val="20"/>
                <w:szCs w:val="20"/>
                <w:lang w:eastAsia="zh-CN" w:bidi="ar"/>
              </w:rPr>
              <w:t>保障</w:t>
            </w:r>
          </w:p>
        </w:tc>
        <w:tc>
          <w:tcPr>
            <w:tcW w:w="1358" w:type="dxa"/>
            <w:noWrap w:val="0"/>
            <w:vAlign w:val="center"/>
          </w:tcPr>
          <w:p>
            <w:pPr>
              <w:widowControl/>
              <w:spacing w:line="280" w:lineRule="exact"/>
              <w:jc w:val="center"/>
              <w:rPr>
                <w:rFonts w:hint="eastAsia" w:ascii="宋体" w:hAnsi="宋体" w:cs="宋体"/>
                <w:color w:val="000000"/>
                <w:kern w:val="0"/>
                <w:szCs w:val="21"/>
              </w:rPr>
            </w:pPr>
            <w:r>
              <w:rPr>
                <w:rFonts w:hint="eastAsia" w:ascii="宋体" w:hAnsi="宋体" w:eastAsia="宋体" w:cs="宋体"/>
                <w:color w:val="000000"/>
                <w:kern w:val="0"/>
                <w:sz w:val="20"/>
                <w:szCs w:val="20"/>
                <w:lang w:eastAsia="zh-CN" w:bidi="ar"/>
              </w:rPr>
              <w:t>保障</w:t>
            </w:r>
          </w:p>
        </w:tc>
        <w:tc>
          <w:tcPr>
            <w:tcW w:w="840" w:type="dxa"/>
            <w:noWrap w:val="0"/>
            <w:vAlign w:val="center"/>
          </w:tcPr>
          <w:p>
            <w:pPr>
              <w:widowControl/>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931" w:type="dxa"/>
            <w:noWrap w:val="0"/>
            <w:vAlign w:val="center"/>
          </w:tcPr>
          <w:p>
            <w:pPr>
              <w:widowControl/>
              <w:spacing w:line="28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（10分）</w:t>
            </w:r>
          </w:p>
        </w:tc>
        <w:tc>
          <w:tcPr>
            <w:tcW w:w="10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2700" w:type="dxa"/>
            <w:gridSpan w:val="2"/>
            <w:noWrap w:val="0"/>
            <w:vAlign w:val="center"/>
          </w:tcPr>
          <w:p>
            <w:pPr>
              <w:widowControl/>
              <w:rPr>
                <w:rFonts w:hint="eastAsia" w:ascii="宋体" w:hAnsi="宋体" w:cs="宋体"/>
                <w:color w:val="000000"/>
                <w:kern w:val="0"/>
                <w:szCs w:val="21"/>
              </w:rPr>
            </w:pPr>
            <w:r>
              <w:rPr>
                <w:rFonts w:hint="eastAsia" w:ascii="宋体" w:hAnsi="宋体" w:eastAsia="宋体" w:cs="宋体"/>
                <w:color w:val="000000"/>
                <w:kern w:val="0"/>
                <w:sz w:val="20"/>
                <w:szCs w:val="20"/>
                <w:lang w:val="en-US" w:eastAsia="zh-CN" w:bidi="ar"/>
              </w:rPr>
              <w:t>消费者、经营者满意度</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default"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90%</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95%</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56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700" w:type="dxa"/>
            <w:gridSpan w:val="2"/>
            <w:noWrap w:val="0"/>
            <w:vAlign w:val="center"/>
          </w:tcPr>
          <w:p>
            <w:pPr>
              <w:widowControl/>
              <w:jc w:val="center"/>
              <w:rPr>
                <w:rFonts w:hint="eastAsia" w:ascii="宋体" w:hAnsi="宋体" w:cs="宋体"/>
                <w:color w:val="000000"/>
                <w:kern w:val="0"/>
                <w:szCs w:val="21"/>
              </w:rPr>
            </w:pPr>
          </w:p>
        </w:tc>
        <w:tc>
          <w:tcPr>
            <w:tcW w:w="287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w:t>
            </w:r>
            <w:bookmarkStart w:id="0" w:name="_GoBack"/>
            <w:bookmarkEnd w:id="0"/>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noWrap w:val="0"/>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4"/>
              </w:rPr>
              <w:t>说明</w:t>
            </w:r>
          </w:p>
        </w:tc>
        <w:tc>
          <w:tcPr>
            <w:tcW w:w="4044"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841" w:hRule="atLeast"/>
          <w:jc w:val="center"/>
        </w:trPr>
        <w:tc>
          <w:tcPr>
            <w:tcW w:w="1218" w:type="dxa"/>
            <w:gridSpan w:val="2"/>
            <w:vMerge w:val="continue"/>
            <w:noWrap w:val="0"/>
            <w:vAlign w:val="center"/>
          </w:tcPr>
          <w:p>
            <w:pPr>
              <w:widowControl/>
              <w:jc w:val="center"/>
            </w:pPr>
          </w:p>
        </w:tc>
        <w:tc>
          <w:tcPr>
            <w:tcW w:w="4044" w:type="dxa"/>
            <w:gridSpan w:val="4"/>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由于疫情放开等原因造成市场销售额较预期有些误差。</w:t>
            </w:r>
          </w:p>
        </w:tc>
        <w:tc>
          <w:tcPr>
            <w:tcW w:w="4650" w:type="dxa"/>
            <w:gridSpan w:val="4"/>
            <w:noWrap w:val="0"/>
            <w:vAlign w:val="center"/>
          </w:tcPr>
          <w:p>
            <w:pPr>
              <w:widowControl/>
              <w:jc w:val="left"/>
              <w:rPr>
                <w:rFonts w:hint="eastAsia" w:ascii="宋体" w:hAnsi="宋体" w:cs="宋体"/>
                <w:color w:val="000000"/>
                <w:kern w:val="0"/>
                <w:szCs w:val="21"/>
              </w:rPr>
            </w:pPr>
            <w:r>
              <w:rPr>
                <w:rFonts w:hint="eastAsia" w:ascii="宋体" w:hAnsi="宋体" w:eastAsia="宋体" w:cs="宋体"/>
                <w:color w:val="000000"/>
                <w:kern w:val="0"/>
                <w:szCs w:val="21"/>
                <w:lang w:eastAsia="zh-CN"/>
              </w:rPr>
              <w:t>加大资金投入力度，改造和完善基础设施，吸引消费者。</w:t>
            </w:r>
          </w:p>
        </w:tc>
      </w:tr>
    </w:tbl>
    <w:p>
      <w:pPr>
        <w:spacing w:before="156" w:beforeLines="50" w:line="300" w:lineRule="exact"/>
        <w:jc w:val="left"/>
        <w:rPr>
          <w:rFonts w:hint="eastAsia" w:ascii="宋体" w:hAnsi="宋体" w:cs="宋体"/>
          <w:sz w:val="24"/>
        </w:rPr>
      </w:pPr>
      <w:r>
        <w:rPr>
          <w:rFonts w:hint="eastAsia" w:ascii="宋体" w:hAnsi="宋体" w:cs="宋体"/>
          <w:sz w:val="22"/>
          <w:szCs w:val="22"/>
        </w:rPr>
        <w:t>填表人：</w:t>
      </w:r>
      <w:r>
        <w:rPr>
          <w:rFonts w:hint="eastAsia" w:ascii="宋体" w:hAnsi="宋体" w:cs="宋体"/>
          <w:sz w:val="22"/>
          <w:szCs w:val="22"/>
          <w:lang w:eastAsia="zh-CN"/>
        </w:rPr>
        <w:t>凌华</w:t>
      </w:r>
      <w:r>
        <w:rPr>
          <w:rFonts w:hint="eastAsia" w:ascii="宋体" w:hAnsi="宋体" w:cs="宋体"/>
          <w:sz w:val="22"/>
          <w:szCs w:val="22"/>
        </w:rPr>
        <w:t xml:space="preserve">              联系电话：</w:t>
      </w:r>
      <w:r>
        <w:rPr>
          <w:rFonts w:hint="eastAsia" w:ascii="宋体" w:hAnsi="宋体" w:cs="宋体"/>
          <w:sz w:val="24"/>
          <w:lang w:val="en-US" w:eastAsia="zh-CN"/>
        </w:rPr>
        <w:t>15197412115</w:t>
      </w:r>
      <w:r>
        <w:rPr>
          <w:rFonts w:hint="eastAsia" w:ascii="宋体" w:hAnsi="宋体" w:cs="宋体"/>
          <w:sz w:val="24"/>
        </w:rPr>
        <w:t xml:space="preserve"> </w:t>
      </w:r>
      <w:r>
        <w:rPr>
          <w:rFonts w:hint="eastAsia" w:ascii="宋体" w:hAnsi="宋体" w:cs="宋体"/>
          <w:sz w:val="22"/>
          <w:szCs w:val="22"/>
        </w:rPr>
        <w:t xml:space="preserve">         单位负责人签字</w:t>
      </w:r>
      <w:r>
        <w:rPr>
          <w:rFonts w:hint="eastAsia" w:ascii="宋体" w:hAnsi="宋体" w:cs="宋体"/>
          <w:sz w:val="24"/>
        </w:rPr>
        <w:t>：</w:t>
      </w: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r>
        <w:rPr>
          <w:rFonts w:hint="eastAsia" w:ascii="仿宋_GB2312" w:hAnsi="仿宋_GB2312" w:eastAsia="仿宋_GB2312" w:cs="仿宋_GB2312"/>
          <w:sz w:val="24"/>
        </w:rPr>
        <w:t xml:space="preserve">      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B3AE2"/>
    <w:multiLevelType w:val="singleLevel"/>
    <w:tmpl w:val="8D4B3AE2"/>
    <w:lvl w:ilvl="0" w:tentative="0">
      <w:start w:val="4"/>
      <w:numFmt w:val="chineseCounting"/>
      <w:suff w:val="nothing"/>
      <w:lvlText w:val="%1、"/>
      <w:lvlJc w:val="left"/>
      <w:rPr>
        <w:rFonts w:hint="eastAsia"/>
      </w:rPr>
    </w:lvl>
  </w:abstractNum>
  <w:abstractNum w:abstractNumId="1">
    <w:nsid w:val="94042E18"/>
    <w:multiLevelType w:val="singleLevel"/>
    <w:tmpl w:val="94042E18"/>
    <w:lvl w:ilvl="0" w:tentative="0">
      <w:start w:val="2"/>
      <w:numFmt w:val="decimal"/>
      <w:suff w:val="nothing"/>
      <w:lvlText w:val="%1、"/>
      <w:lvlJc w:val="left"/>
    </w:lvl>
  </w:abstractNum>
  <w:abstractNum w:abstractNumId="2">
    <w:nsid w:val="DF8BB4A3"/>
    <w:multiLevelType w:val="singleLevel"/>
    <w:tmpl w:val="DF8BB4A3"/>
    <w:lvl w:ilvl="0" w:tentative="0">
      <w:start w:val="4"/>
      <w:numFmt w:val="chineseCounting"/>
      <w:suff w:val="nothing"/>
      <w:lvlText w:val="（%1）"/>
      <w:lvlJc w:val="left"/>
      <w:rPr>
        <w:rFonts w:hint="eastAsia"/>
      </w:rPr>
    </w:lvl>
  </w:abstractNum>
  <w:abstractNum w:abstractNumId="3">
    <w:nsid w:val="4783F377"/>
    <w:multiLevelType w:val="singleLevel"/>
    <w:tmpl w:val="4783F377"/>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zllOTRhZGNiNjFkZTEwZDAwODQwYmQ2N2E0ZTAifQ=="/>
  </w:docVars>
  <w:rsids>
    <w:rsidRoot w:val="26A24B52"/>
    <w:rsid w:val="05FD381F"/>
    <w:rsid w:val="26A24B52"/>
    <w:rsid w:val="2A8A2D4D"/>
    <w:rsid w:val="35D15EBB"/>
    <w:rsid w:val="36B521E6"/>
    <w:rsid w:val="3ED244ED"/>
    <w:rsid w:val="49B5493C"/>
    <w:rsid w:val="55FF59A5"/>
    <w:rsid w:val="58051A71"/>
    <w:rsid w:val="6352472A"/>
    <w:rsid w:val="63A80D4A"/>
    <w:rsid w:val="67C01DD0"/>
    <w:rsid w:val="6F7E0543"/>
    <w:rsid w:val="7A1B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outlineLvl w:val="1"/>
    </w:pPr>
    <w:rPr>
      <w:rFonts w:eastAsia="黑体"/>
      <w:bCs/>
      <w:sz w:val="30"/>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99"/>
    <w:pPr>
      <w:spacing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1523</Words>
  <Characters>1559</Characters>
  <Lines>0</Lines>
  <Paragraphs>0</Paragraphs>
  <TotalTime>18</TotalTime>
  <ScaleCrop>false</ScaleCrop>
  <LinksUpToDate>false</LinksUpToDate>
  <CharactersWithSpaces>2848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2022-04-14T08:31:00Z</dcterms:created>
  <dc:creator>纯天然的老流氓</dc:creator>
  <cp:lastModifiedBy>Administrator</cp:lastModifiedBy>
  <dcterms:modified xsi:type="dcterms:W3CDTF">2023-10-22T12:43:27Z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9376E37C83704E0C9E7E1F2EAF060B29</vt:lpwstr>
  </property>
</Properties>
</file>