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衡阳县部门整体支出绩效自评报告</w:t>
      </w:r>
    </w:p>
    <w:p/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年度 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部门(单位)名称：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衡阳县企业改制服务中心</w:t>
      </w:r>
      <w:r>
        <w:rPr>
          <w:rFonts w:hint="eastAsia" w:ascii="仿宋_GB2312" w:eastAsia="仿宋_GB2312"/>
          <w:sz w:val="32"/>
          <w:szCs w:val="32"/>
        </w:rPr>
        <w:t xml:space="preserve">  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预算编码：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404</w:t>
      </w: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评价方式：部门（单位）自评</w:t>
      </w:r>
      <w:r>
        <w:rPr>
          <w:rFonts w:hint="eastAsia" w:ascii="仿宋_GB2312" w:eastAsia="仿宋_GB2312"/>
          <w:sz w:val="32"/>
          <w:szCs w:val="32"/>
        </w:rPr>
        <w:sym w:font="Wingdings 2" w:char="0052"/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中介机构评价□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评价机构：部门（单位）评价组</w:t>
      </w:r>
      <w:r>
        <w:rPr>
          <w:rFonts w:hint="eastAsia" w:ascii="仿宋_GB2312" w:eastAsia="仿宋_GB2312"/>
          <w:sz w:val="32"/>
          <w:szCs w:val="32"/>
        </w:rPr>
        <w:sym w:font="Wingdings 2" w:char="0052"/>
      </w:r>
    </w:p>
    <w:p>
      <w:pPr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中介机构□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报告日期：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 xml:space="preserve"> 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247650</wp:posOffset>
                </wp:positionV>
                <wp:extent cx="5805805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80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隶书简体" w:hAnsi="方正隶书简体" w:eastAsia="方正隶书简体" w:cs="方正隶书简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衡阳县企业改制服务中心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5pt;margin-top:19.5pt;height:144pt;width:457.15pt;z-index:251660288;mso-width-relative:page;mso-height-relative:page;" filled="f" stroked="f" coordsize="21600,21600" o:gfxdata="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takdUAAAAJAQAADwAAAAAAAAABACAAAAAiAAAAZHJzL2Rv&#10;d25yZXYueG1sUEsBAhQAFAAAAAgAh07iQGTilF49AgAAZwQAAA4AAAAAAAAAAQAgAAAAJA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隶书简体" w:hAnsi="方正隶书简体" w:eastAsia="方正隶书简体" w:cs="方正隶书简体"/>
                          <w:b/>
                          <w:bCs/>
                          <w:color w:val="FF0000"/>
                          <w:sz w:val="72"/>
                          <w:szCs w:val="7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衡阳县企业改制服务中心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1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53340</wp:posOffset>
                </wp:positionV>
                <wp:extent cx="5476875" cy="571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27760" y="1738630"/>
                          <a:ext cx="5476875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pt;margin-top:4.2pt;height:0.45pt;width:431.25pt;z-index:251659264;mso-width-relative:page;mso-height-relative:page;" filled="f" stroked="t" coordsize="21600,21600" o:gfxdata="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xPrVbWAAAABgEAAA8AAAAAAAAAAQAgAAAAIgAAAGRycy9kb3ducmV2&#10;LnhtbFBLAQIUABQAAAAIAIdO4kBCxvCx/gEAAMsDAAAOAAAAAAAAAAEAIAAAACUBAABkcnMvZTJv&#10;RG9jLnhtbFBLBQYAAAAABgAGAFkBAACV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610" w:lineRule="exact"/>
        <w:jc w:val="both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61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整体支出绩效自评报告</w:t>
      </w:r>
    </w:p>
    <w:p>
      <w:pPr>
        <w:spacing w:line="61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1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一、部门基本情况</w:t>
      </w:r>
    </w:p>
    <w:p>
      <w:pPr>
        <w:spacing w:line="610" w:lineRule="exact"/>
        <w:ind w:left="1602" w:leftChars="304" w:hanging="964" w:hanging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(一）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机构设置情况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我单位于</w:t>
      </w:r>
      <w:r>
        <w:rPr>
          <w:rFonts w:ascii="仿宋_GB2312" w:hAnsi="仿宋_GB2312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月份成立由原物资行业管理办公室、商业行业管理办公室、二轻行业管理办公室三个单位合并组成，机构下设办公室、财务室、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政工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人事股、纪检监察室，改制维稳股等十三个股室。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(二）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人员编制情况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年末，本单位实有人数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人，在编人数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(三）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主要职能职责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主要负责所属国有（集体）企业改制相关事务，负责所属企业信访维稳工作，协助县委、县政府做好所属企业党政主要负责人的安置工作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承办县人民政府交办的其他事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绩效目标设定情况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解决改制企业遗留问题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20人.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“三公”经费此上年同期减少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2.4万元，下降21%，严格执行中央八项规定缩减公务接待开支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</w:p>
    <w:p>
      <w:pPr>
        <w:spacing w:line="61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收取改制企业流拍资产门面租金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58万元，全额上缴财政。</w:t>
      </w:r>
    </w:p>
    <w:p>
      <w:pPr>
        <w:spacing w:line="61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2022年实际完成情况：目标1、2、3全部完成。</w:t>
      </w:r>
    </w:p>
    <w:p>
      <w:pPr>
        <w:spacing w:line="61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二、一般公共预算支出情况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1283" w:leftChars="305" w:hanging="643" w:hanging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（一）经批复的预算情况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一般公共预算收入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984.87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，其中：经费拨款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934.87万元，纳入一般公共预算管理的非税收入拨款50.00万元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、一般公共预算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基本支出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934.87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其中：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工资福利支出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847.33万元，商品和服务支出79.55万元，对个人和家庭补助支出7.99万元。按项目管理的商品和服务支出50万元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。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部门预算执行情况</w:t>
      </w:r>
    </w:p>
    <w:p>
      <w:pPr>
        <w:spacing w:line="61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1、基本支出情况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1684.51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万元，具体情况为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1115.73万元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。其中：基本工资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527.96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万元，津贴补贴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213.40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万元，奖金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万元，伙食补助费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机关养老保险金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113.23万元，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医疗保险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万元，其他社会保障缴费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万元，住房公积金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73.75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万元，其他工资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329.75万元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对个人和家庭补助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213.59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61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2、项目支出情况：</w:t>
      </w:r>
    </w:p>
    <w:p>
      <w:pPr>
        <w:spacing w:line="61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spacing w:line="610" w:lineRule="exact"/>
        <w:ind w:firstLine="643" w:firstLineChars="200"/>
        <w:jc w:val="left"/>
        <w:rPr>
          <w:rFonts w:hint="eastAsia" w:ascii="方正粗黑宋简体" w:hAnsi="方正粗黑宋简体" w:eastAsia="方正粗黑宋简体" w:cs="方正粗黑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  <w:lang w:eastAsia="zh-CN"/>
        </w:rPr>
        <w:t>“三公”</w:t>
      </w:r>
      <w:r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</w:rPr>
        <w:t>经费使用</w:t>
      </w:r>
      <w:r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  <w:lang w:eastAsia="zh-CN"/>
        </w:rPr>
        <w:t>和管理</w:t>
      </w:r>
      <w:r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</w:rPr>
        <w:t>情况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“三公”经费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万元，实际支出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同期</w:t>
      </w:r>
      <w:r>
        <w:rPr>
          <w:rFonts w:hint="eastAsia" w:ascii="仿宋_GB2312" w:hAnsi="仿宋_GB2312" w:eastAsia="仿宋_GB2312" w:cs="仿宋_GB2312"/>
          <w:sz w:val="32"/>
          <w:szCs w:val="32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，采取了厉行节约原则，严格执行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中央八项规定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      </w:t>
      </w:r>
    </w:p>
    <w:p>
      <w:pPr>
        <w:numPr>
          <w:ilvl w:val="0"/>
          <w:numId w:val="1"/>
        </w:numPr>
        <w:spacing w:line="610" w:lineRule="exact"/>
        <w:ind w:left="638" w:leftChars="304" w:firstLine="0" w:firstLineChars="0"/>
        <w:jc w:val="left"/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</w:rPr>
        <w:t>资金</w:t>
      </w:r>
      <w:r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  <w:lang w:eastAsia="zh-CN"/>
        </w:rPr>
        <w:t>结转和结余情况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2022年企业改制服务中心一般公共预算无结转结余资金。其他资金结转45.39万元。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政府性基金预算支持情况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国有资本经营预算支出情况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社会保险基金预算支出情况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部门整体支出绩效情况</w:t>
      </w:r>
      <w:r>
        <w:rPr>
          <w:rFonts w:ascii="黑体" w:hAnsi="黑体" w:eastAsia="黑体" w:cs="黑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综合评价结论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在县委、县政府的正确领导下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以习近平新时代中国特色社会主义思想为指导，不忘初心，聚焦主责主业，牢记企业改制工作职责和使命，认真履职，勇于担当，积极作为，圆满地完成了各项工作任务，为促进全县企业改制和社会大局稳定发挥了积极作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通过加强预算收支管理，不断健全内部管理制度，不断完善财务管理制度，部门整体支出管理水平得到提升。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2022年部门整体支出绩效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综合评价等级为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优秀，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评分为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评价指标分析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1、部门资金情况总分10分，得分10分。年度资金金额1729.9万元，执行率为100%。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2、绩效指标总分为90分，得分84分，主要情况如下：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产出指标总分为50分，得分48分。一是数量指标2个均完成指标值，得分18分；二是质量指标2个均完成指标值，得分18分；三是时效指标2个，其中一个未完成扣2分，得7分。主要是2022年疫情原因，市场环境不好，门面租金收取难度加大，对所有的出租门面减免了3个月租金；四是成本指标1个完成，得分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（2）效益指标总分30分，得分28分。由于单位资金有限，不能完全解决改制企业职工困难，因此社会效益指标有1个未完成，得分18分。生态效益指标1个完成，得分10分。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（3）满意度指标10分，得分8分，由于资金有限，不能让所有服务对象满意，改制企业上访职工困难不能完全解决。</w:t>
      </w:r>
    </w:p>
    <w:p>
      <w:pPr>
        <w:spacing w:line="610" w:lineRule="exact"/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、存在的问题及原因分析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、绩效管理制度及方法体系，需要完善，业务流程需要设置得更合理。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、预算管理制度有待加强。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提升改制服务水平。完成所属企业改制收属定工作。加大对所属改制企业资产和流拍资产处置力度，加强流拍资产门面租金收取，更好的解决改制企业职工困难。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、尽职尽责做好维稳工作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争取更多的资金解决特困下岗职工实际生活困难。耐心细致做好政策宣传解释工作，把矛盾化解在萌芽状态。</w:t>
      </w:r>
    </w:p>
    <w:p>
      <w:pPr>
        <w:spacing w:line="610" w:lineRule="exact"/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、下一步的工作措施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、加强财务队伍建设，学习相关专业技术，抓好业务技能培训，提高财务人员政策水平。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、设立全面的评价指标，评价指标全面渗透到评价单位内部的全过程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同时，评价指标要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事实为基础，指标结构科学、清晰、合理、评价指标，要具有独立性，保证评价各个环节独立。</w:t>
      </w:r>
    </w:p>
    <w:p>
      <w:pPr>
        <w:spacing w:line="61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、对评价过程中发现的问题，应结合单位内部整体支出评价特点制定改进措施。</w:t>
      </w:r>
    </w:p>
    <w:p>
      <w:pPr>
        <w:spacing w:line="61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4、加强内控制度建设，严格执行中央八项规定，厉行节约措施。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B4FF2"/>
    <w:multiLevelType w:val="singleLevel"/>
    <w:tmpl w:val="809B4F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4EE151F"/>
    <w:multiLevelType w:val="singleLevel"/>
    <w:tmpl w:val="84EE151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N2Q0ZGIzYjcyY2MxZjQyZTI3NjJhYTI5NmU3MjIifQ=="/>
  </w:docVars>
  <w:rsids>
    <w:rsidRoot w:val="5C46343C"/>
    <w:rsid w:val="0D327F33"/>
    <w:rsid w:val="228D26CE"/>
    <w:rsid w:val="2BAA609E"/>
    <w:rsid w:val="311417DC"/>
    <w:rsid w:val="33E8208A"/>
    <w:rsid w:val="3FF11AFB"/>
    <w:rsid w:val="4BDC700E"/>
    <w:rsid w:val="5C46343C"/>
    <w:rsid w:val="6A3F387A"/>
    <w:rsid w:val="7313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1872</Words>
  <Characters>2049</Characters>
  <Lines>0</Lines>
  <Paragraphs>0</Paragraphs>
  <TotalTime>166</TotalTime>
  <ScaleCrop>false</ScaleCrop>
  <LinksUpToDate>false</LinksUpToDate>
  <CharactersWithSpaces>2295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2022-04-15T05:31:00Z</dcterms:created>
  <dc:creator>Administrator</dc:creator>
  <cp:lastModifiedBy>Administrator</cp:lastModifiedBy>
  <cp:lastPrinted>2023-02-21T08:02:00Z</cp:lastPrinted>
  <dcterms:modified xsi:type="dcterms:W3CDTF">2023-02-21T08:50:41Z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3F47A2EC305A41079DE124E569DC828D</vt:lpwstr>
  </property>
  <property fmtid="{D5CDD505-2E9C-101B-9397-08002B2CF9AE}" pid="4" name="commondata">
    <vt:lpwstr>eyJoZGlkIjoiMTIwZDhhYmIzMDdkODdjMDYwNjJlNjdiNzVjZDAzNzUifQ==</vt:lpwstr>
  </property>
</Properties>
</file>