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衡阳县部门整体支出绩效自评报告</w:t>
      </w:r>
    </w:p>
    <w:p/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 20</w:t>
      </w:r>
      <w:r>
        <w:rPr>
          <w:rFonts w:hint="eastAsia" w:ascii="仿宋" w:hAnsi="仿宋" w:eastAsia="仿宋"/>
          <w:sz w:val="32"/>
          <w:szCs w:val="32"/>
          <w:u w:val="single"/>
        </w:rPr>
        <w:t>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 ）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部门(单位)名称：衡阳县</w:t>
      </w:r>
      <w:r>
        <w:rPr>
          <w:rFonts w:hint="eastAsia" w:ascii="仿宋" w:hAnsi="仿宋" w:eastAsia="仿宋"/>
          <w:sz w:val="32"/>
          <w:szCs w:val="32"/>
          <w:lang w:eastAsia="zh-CN"/>
        </w:rPr>
        <w:t>住房和城乡建设局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预算编码：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402001</w: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评价方式：部门（单位）自评■</w:t>
      </w:r>
    </w:p>
    <w:p>
      <w:pPr>
        <w:ind w:firstLine="2240" w:firstLineChars="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中介机构评价□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评价机构：部门（单位）评价组■</w:t>
      </w:r>
    </w:p>
    <w:p>
      <w:pPr>
        <w:ind w:firstLine="2240" w:firstLineChars="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中介机构□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报告日期：202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方正小标宋_GBK"/>
          <w:color w:val="FF0000"/>
          <w:sz w:val="109"/>
        </w:rPr>
      </w:pPr>
      <w:r>
        <w:rPr>
          <w:rFonts w:ascii="Times New Roman" w:hAnsi="Times New Roman" w:eastAsia="方正小标宋_GBK"/>
          <w:color w:val="FF0000"/>
          <w:spacing w:val="115"/>
          <w:w w:val="50"/>
          <w:sz w:val="109"/>
        </w:rPr>
        <w:t>衡</w:t>
      </w:r>
      <w:r>
        <w:rPr>
          <w:rFonts w:ascii="Times New Roman" w:hAnsi="Times New Roman" w:eastAsia="方正小标宋_GBK"/>
          <w:color w:val="FF0000"/>
          <w:w w:val="50"/>
          <w:sz w:val="109"/>
        </w:rPr>
        <w:t xml:space="preserve">阳县 </w:t>
      </w:r>
      <w:r>
        <w:rPr>
          <w:rFonts w:hint="eastAsia" w:ascii="Times New Roman" w:hAnsi="Times New Roman" w:eastAsia="方正小标宋_GBK"/>
          <w:color w:val="FF0000"/>
          <w:w w:val="50"/>
          <w:sz w:val="109"/>
          <w:lang w:eastAsia="zh-CN"/>
        </w:rPr>
        <w:t>住房和城乡建设局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jYixXRAAAA&#10;BQEAAA8AAAAAAAAAAQAgAAAAIgAAAGRycy9kb3ducmV2LnhtbFBLAQIUABQAAAAIAIdO4kCDPqNS&#10;6wEAAN0DAAAOAAAAAAAAAAEAIAAAACA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部门整体支出绩效自评报告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为进一步规范财政资金管理，强化绩效理念，提高预算单位责任意识，切实提高资金使用效益，根据衡阳县财政局《关于开展202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年度财政支出绩效自评工作的通知》（蒸财绩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函</w:t>
      </w:r>
      <w:r>
        <w:rPr>
          <w:rFonts w:hint="eastAsia" w:ascii="仿宋" w:hAnsi="仿宋" w:eastAsia="仿宋" w:cs="仿宋_GB2312"/>
          <w:sz w:val="32"/>
          <w:szCs w:val="32"/>
        </w:rPr>
        <w:t>2022〕1号）等文件和通知精神，我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_GB2312"/>
          <w:sz w:val="32"/>
          <w:szCs w:val="32"/>
        </w:rPr>
        <w:t>认真组织进行了202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年度预算绩效自评工作，现将部门整体支出绩效评价情况报告如下：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　　一、</w:t>
      </w:r>
      <w:r>
        <w:rPr>
          <w:rFonts w:hint="eastAsia" w:ascii="仿宋" w:hAnsi="仿宋" w:eastAsia="仿宋" w:cs="仿宋"/>
          <w:b/>
          <w:sz w:val="32"/>
          <w:szCs w:val="32"/>
        </w:rPr>
        <w:t>部门、单位基本情况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（一）机构设置情况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我局内设14个股室，</w:t>
      </w:r>
      <w:r>
        <w:rPr>
          <w:rFonts w:hint="eastAsia" w:ascii="仿宋" w:hAnsi="仿宋" w:eastAsia="仿宋" w:cs="仿宋"/>
          <w:sz w:val="32"/>
          <w:szCs w:val="32"/>
        </w:rPr>
        <w:t>分别是办公室、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计财</w:t>
      </w:r>
      <w:r>
        <w:rPr>
          <w:rFonts w:hint="eastAsia" w:ascii="仿宋" w:hAnsi="仿宋" w:eastAsia="仿宋" w:cs="仿宋"/>
          <w:sz w:val="32"/>
          <w:szCs w:val="32"/>
        </w:rPr>
        <w:t>股、人事政工股、行政审批服务股、政策法规股、勘察设计管理股、公用事业管理股、建筑工程管理股（加挂危房鉴定办公室牌子）、产权管理股、物业管理股、消防管理股、人防工程管理股（战时转换为工程信息部）、人防稽查宣教股（战时转换为政治工作部）、人防战备保障股(战时转换为综合保障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）人员编制情况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我局为一级预算单位，</w:t>
      </w:r>
      <w:r>
        <w:rPr>
          <w:rFonts w:hint="eastAsia" w:ascii="仿宋" w:hAnsi="仿宋" w:eastAsia="仿宋" w:cs="仿宋"/>
          <w:bCs/>
          <w:sz w:val="32"/>
          <w:szCs w:val="32"/>
        </w:rPr>
        <w:t>共有</w:t>
      </w:r>
      <w:r>
        <w:rPr>
          <w:rFonts w:hint="eastAsia" w:ascii="仿宋" w:hAnsi="仿宋" w:eastAsia="仿宋" w:cs="仿宋"/>
          <w:sz w:val="32"/>
          <w:szCs w:val="32"/>
        </w:rPr>
        <w:t>编制10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人，其中：行政编制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人；事业编制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人（下设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二级机构</w:t>
      </w:r>
      <w:r>
        <w:rPr>
          <w:rFonts w:hint="eastAsia" w:ascii="仿宋" w:hAnsi="仿宋" w:eastAsia="仿宋" w:cs="仿宋"/>
          <w:sz w:val="32"/>
          <w:szCs w:val="32"/>
        </w:rPr>
        <w:t>城建档案馆、中洲公园并入）。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　　（三）</w:t>
      </w:r>
      <w:r>
        <w:rPr>
          <w:rFonts w:hint="eastAsia" w:ascii="仿宋" w:hAnsi="仿宋" w:eastAsia="仿宋" w:cs="仿宋"/>
          <w:b/>
          <w:sz w:val="32"/>
          <w:szCs w:val="32"/>
        </w:rPr>
        <w:t>部门职责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工作任务是管理全县住房和房地产行业、监督管理城乡建筑市场、建筑装修准入、施工许可、建筑企业资质、工程招投标、国家工程建设标准定额，监督指导各类工程建设标准定额实施；管理工程质量及对安全生产监督、检查，管理全县人防工程建设，城建档案，城市供水、排水管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3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（四）绩效目标设定情况。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44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在本年度收支预算内，确保完成以下整体目标：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目标1：重点抓好：“老旧小区改造、农村危房改造、供水、供气、突出治水工程”。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目标2：监督管理城乡建筑市场、建筑装修准入、施工许可、建筑企业资质、工程招投标、国家工程建设标准定额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目标3：管理工程质量及对安全生产监督、检查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目标4：管理全县人防工程建设，城建档案，城市供水、排水管理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left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自建房排查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eastAsia="zh-CN"/>
        </w:rPr>
        <w:t>严格按照“六步工作法”（即一看房、二看图、三看证、四认定、五整改、六验收），扎实开展居民自建房排查。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2022年实际完成情况：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目标1、2、3、4、5全部完成。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二、一般公共预算支出情况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64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（一）经批复的预、决算情况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1、预算情况：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2150.26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1081.1万元，共计3231.36万元。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3231.36万元，基本支出791.26万元，项目支出2440.1万元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2、决算情况：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5187.95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6137.17万元。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5187.95，其中基本支出1196.54万元，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3991.41万元。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政府性基金预算财政拨款收入支出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6137.17万元。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（二）部门预算执行情况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2022年总收入11505.1万元，其中：一般财政拨款收入5187.98万元，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6137.17万元，其他收入179.98万元。总支出11505.1万元，其中：基本支出1196.54万元，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4171.39万元，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政府性基金预算财政拨款收入支出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6137.17万元，年底总结余0万元。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62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基本支出情况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基本支出共计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1196.54</w:t>
      </w:r>
      <w:r>
        <w:rPr>
          <w:rFonts w:hint="eastAsia" w:ascii="仿宋" w:hAnsi="仿宋" w:eastAsia="仿宋" w:cs="仿宋"/>
          <w:sz w:val="32"/>
          <w:szCs w:val="32"/>
        </w:rPr>
        <w:t xml:space="preserve">万元，具体情况为：（1）工资福利支出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1038.58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（2）公用经费支出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125.41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</w:rPr>
        <w:t>（3）对个人和家庭补助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32.55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62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项目支出情况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资金实行使用部门提出支出申请报告，财务进行审核，主要领导同意后据实安排支出。涉及招标采购的项目严格执行项目招标和竣工验收，事前按照政府采购的规定申报采购计划，实施中对资金投向及年度资金调度进行详细规划，并及时将项目支出按预算科目编报财务决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10308.57</w:t>
      </w:r>
      <w:r>
        <w:rPr>
          <w:rFonts w:hint="eastAsia" w:ascii="仿宋" w:hAnsi="仿宋" w:eastAsia="仿宋" w:cs="仿宋"/>
          <w:sz w:val="32"/>
          <w:szCs w:val="32"/>
        </w:rPr>
        <w:t>万元，具体情况为：人民防空支出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156.25</w:t>
      </w:r>
      <w:r>
        <w:rPr>
          <w:rFonts w:hint="eastAsia" w:ascii="仿宋" w:hAnsi="仿宋" w:eastAsia="仿宋" w:cs="仿宋"/>
          <w:sz w:val="32"/>
          <w:szCs w:val="32"/>
        </w:rPr>
        <w:t>万元、一般行政管理事务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719.45</w:t>
      </w:r>
      <w:r>
        <w:rPr>
          <w:rFonts w:hint="eastAsia" w:ascii="仿宋" w:hAnsi="仿宋" w:eastAsia="仿宋" w:cs="仿宋"/>
          <w:sz w:val="32"/>
          <w:szCs w:val="32"/>
        </w:rPr>
        <w:t>万元、其他城乡社区管理事务支出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157.05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旧小区改造支出1250.63万元、其他污染防治支出13.01万元、保障性住房租金补贴支出108.16万元、城乡社区规划与管理支出356.4万元、水体支出1300万元、城乡社区环境卫生支出60.45万元、小城镇基础设施建设支出50万元、其他城市基础设施配套费安排的支出137.17万元、其他地方自行试点项目收益专项债券收入支出6000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（三）“三公”经费使用和管理情况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2022年初批复预算的“三公”经费为13.76万元，其中公务接待10.56万元，因公出国费用0万元，公务用车3.2万元。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全年决算支出“三公”经费13.76万元万元，其中公务接待10.56万元，因公出国费用0万元，公务用车3.2万元。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资金结转和结余情况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因决算报表改革，无结转结余。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部门整体支出管理与制度建设情况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进一步规范财务管理。今年，根据中央八项规定有关精神以及财务管理方面的法律、法规和审计等部门的意见，我局对财务管理制度进一步进行了完善。同时，在财务开支把关方面认真执行相关文件并严格财务开支审批程序，加强对各项开支的管理。重点保障日常运转及重点工作的需要，大力压缩一般性支出，提高财政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2、依法依规公开部门预决算。根据全县部门预决算公开工作统一安排部署，我局已在衡阳县党政门户网站公开了2022年部门预算和2021年决算，社会反响良好，圆满完成了预决算公开工作。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3、进一步加强固定资产管理。我局对资产进行了较为全面的清查核实，加强国有资产管理。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三、政府性基金预算支出情况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2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政府性基金预算财政拨款收入支出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6137.17万元。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spacing w:line="620" w:lineRule="exact"/>
        <w:ind w:left="64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国有资本经营预算支出情况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2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spacing w:line="620" w:lineRule="exact"/>
        <w:ind w:left="64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社会保险基金预算支出情况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2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5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六、部门整体支出绩效情况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（一）绩效评价目的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2022年，我局积极履职，强化管理，较好的完成了年度工作目标。通过加强预算收支管理，不断建立健全内部管理制度，梳理内部管理流程，整体支出管理水平得到提升。</w:t>
      </w:r>
      <w:r>
        <w:rPr>
          <w:rFonts w:hint="eastAsia" w:ascii="仿宋" w:hAnsi="仿宋" w:eastAsia="仿宋" w:cs="华文仿宋"/>
          <w:sz w:val="32"/>
          <w:szCs w:val="32"/>
        </w:rPr>
        <w:t>通过评价组自评，根据《部门整体支出绩效评价指标评分表》评分，得分9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华文仿宋"/>
          <w:sz w:val="32"/>
          <w:szCs w:val="32"/>
        </w:rPr>
        <w:t>分，按照《关于规范绩效评价结果等级划分标准的通知》规定，综合评价等级为“优”。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　　　　　　　　　　　　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2022年部门整体支出绩效评价自查自评结果为优秀。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（二）综合评价情况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⒈部门资金情况总分10分，得分10分。年度资金金额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11505.11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万元，执行率为100%。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⒉产出及效益指标总分为80分，得分80分，主要情况如下：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⑴产出指标总分为50分，得分50分。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36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数量指标实际完成值达到预期目标，完成指标值：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新正街单建式平战结合人防工程。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于2022年9月全部竣工，2022年10月份正式开始商业运行.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老旧小区改造：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2022年全县纳入中央补助支持改造项目28个（其中13个小区纳入重点民生实事），涉及2448户居民、102栋房屋、住宅建筑面积31.15万平方米。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农村危房改造：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年全县任务数560户，到目前为止，已全部竣工，竣工率为100。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保障性租赁住房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2022年全县建设任务数为642套，共6个项目，为全市试点建设任务，现已全部建设完成。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住房租赁补贴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2022年全县发放任务数为550户，实际完成发放774户，完成任务数140%。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既有住宅加装电梯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2022年省厅下达我县任务数15台，全县实际完成审批25台（其中已建成14台，施工阶段的9台），超额完成全年既有住宅加装电梯任务。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乡镇污水处理设施建设：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期启动的金兰、洪市2座污水处理厂正常运行，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库宗桥、井头、渣江、界牌、台源、集兵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及二期启动的曲兰、大安、岘山、关市、演陂、三湖、金溪、石市、杉桥共15座乡镇污水处理设施厂区及配套管网已全部建成，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有望在今年年底通水试运。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自建房排查：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eastAsia="zh-CN"/>
        </w:rPr>
        <w:t>严格按照“六步工作法”（即一看房、二看图、三看证、四认定、五整改、六验收），扎实开展居民自建房排查。累计排查居民自建房231638栋（经营性4044栋，非经营性227594栋），排查率和信息录入率均达100%。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质量指标实际完成值达到预期目标，完成指标。　　　　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时效指标实际完成值达到预期，完成指标值。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成本指标实际完成值达到预期目，完成指标值。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56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⑵效益指标总分30分，得分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　　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经济效益数量指标实际完成值达到预期目标，完成指标值。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②</w:t>
      </w:r>
      <w:r>
        <w:rPr>
          <w:rFonts w:hint="eastAsia" w:ascii="Sitka Subheading" w:hAnsi="Sitka Subheading" w:eastAsia="仿宋_GB2312" w:cs="Sitka Subheading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效益数量指标实际完成值达到预期目标，完成指标值，但还有所提升，扣2分。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生态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效益数量指标实际完成值达到预期目标，完成指标值，但还可有所改善，扣1分。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可持续影响指标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实际完成值达到预期目标，完成指标值，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始终坚持以人民为中心推进城乡建设，在发展中保障和改善民生，不断实现人民群众对美好生活的向往。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但还可有所提升，扣1分。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　　3、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满意度指标总分为10分，得分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一年来，全县住建工作在省市住建部门的关心指导下，在“县四大家”的正确领导下，认真贯彻落实“三五一”工作思路，主动作为，攻坚克难，聚力中心化攻坚年，统筹推进安全与发展，圆满完成各项目标任务。</w:t>
      </w:r>
    </w:p>
    <w:p>
      <w:pPr>
        <w:pStyle w:val="14"/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通过发放满意度佂意见表，群众对我单位反馈结果都满意。</w:t>
      </w:r>
    </w:p>
    <w:p>
      <w:pPr>
        <w:pStyle w:val="14"/>
        <w:ind w:firstLine="56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1、账务处理有待进一步规范，健全财务制度。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年初预算的编制较为精细，按照费用支出的使用范围和内容，进行了基本支出、项目支出的严格区分，并按照预算的最末级明细进行预算支出管理，专款专用。但对于追加项目支出、上年结余结转的项目资金，没有进行预算分解，编制明细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3.资金使用效益有待进一步提高，绩效目标设立不够明确、细化和量化。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bidi w:val="0"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1、抓好财务预算管理，严格执行财务管理制度，充分发挥监督作用。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2、严格财务支出审批。抓好审核和审批两个环节，在审核审批中严把支出关，切实维护财务纪律的严肃性。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3、强化经费管理。重点加强招待费和公务用车的管理，严格控制支出，降低经费支出。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5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九、其他需要说明的情况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附件1-1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jc w:val="center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部门整体支出绩效评价基础数据表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sz w:val="24"/>
        </w:rPr>
        <w:t>填报单位：</w:t>
      </w:r>
      <w:r>
        <w:rPr>
          <w:rFonts w:hint="eastAsia" w:ascii="Times New Roman" w:hAnsi="Times New Roman"/>
          <w:sz w:val="24"/>
          <w:lang w:eastAsia="zh-CN"/>
        </w:rPr>
        <w:t>衡阳县住房和城乡建设局　　　</w:t>
      </w:r>
      <w:r>
        <w:rPr>
          <w:rFonts w:ascii="Times New Roman" w:hAnsi="Times New Roman"/>
          <w:sz w:val="24"/>
        </w:rPr>
        <w:t>填报时间：</w:t>
      </w:r>
      <w:r>
        <w:rPr>
          <w:rFonts w:ascii="Times New Roman" w:hAnsi="Times New Roman" w:eastAsia="PMingLiU"/>
          <w:sz w:val="24"/>
        </w:rPr>
        <w:tab/>
      </w:r>
      <w:r>
        <w:rPr>
          <w:rFonts w:hint="eastAsia" w:ascii="Times New Roman" w:hAnsi="Times New Roman" w:eastAsia="宋体"/>
          <w:sz w:val="24"/>
          <w:lang w:val="en-US" w:eastAsia="zh-CN"/>
        </w:rPr>
        <w:t>2023年2月20日</w:t>
      </w:r>
    </w:p>
    <w:tbl>
      <w:tblPr>
        <w:tblStyle w:val="7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104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104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当年决算数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1196.54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791.26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2319.07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其中： 1、压缩一般性支出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10%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10%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13.76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13.76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4.81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3.2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3.2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1.91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3.2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3.2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10.56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10.56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出国（境）经费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10308.57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3340.15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1、业务工作专项(一个项目一行)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2、运行维护专项(一个项目一行)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加强领导，确保节约落到实处。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加强宣传，促进正确观念的树立。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完善机制，确保节约措施的落实。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开展节约的活动，制订节约的具体规定。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20" w:line="240" w:lineRule="exac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说明：“公用经费”填报基本支出中的一般商品和服务支出；“项目支出”需要填报基本支出以外的所有项目支出情况，包括业务工作项目、运行维护项目和县级专项资金等。</w:t>
      </w:r>
    </w:p>
    <w:p>
      <w:pPr>
        <w:spacing w:beforeLines="50" w:line="300" w:lineRule="exact"/>
        <w:rPr>
          <w:rFonts w:ascii="Times New Roman" w:hAnsi="Times New Roman"/>
          <w:sz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Times New Roman" w:hAnsi="Times New Roman"/>
          <w:sz w:val="24"/>
          <w:lang w:eastAsia="zh-CN"/>
        </w:rPr>
        <w:t>王利归</w:t>
      </w:r>
      <w:r>
        <w:rPr>
          <w:rFonts w:ascii="Times New Roman" w:hAnsi="Times New Roman"/>
          <w:sz w:val="24"/>
        </w:rPr>
        <w:t xml:space="preserve">           联系电话：  </w:t>
      </w:r>
      <w:r>
        <w:rPr>
          <w:rFonts w:hint="eastAsia" w:ascii="Times New Roman" w:hAnsi="Times New Roman"/>
          <w:sz w:val="24"/>
          <w:lang w:val="en-US" w:eastAsia="zh-CN"/>
        </w:rPr>
        <w:t>18627686228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</w:t>
      </w:r>
      <w:r>
        <w:rPr>
          <w:rFonts w:hint="eastAsia" w:ascii="Times New Roman" w:hAnsi="Times New Roman"/>
          <w:sz w:val="24"/>
          <w:lang w:val="en-US" w:eastAsia="zh-CN"/>
        </w:rPr>
        <w:t xml:space="preserve">   </w:t>
      </w:r>
      <w:r>
        <w:rPr>
          <w:rFonts w:ascii="Times New Roman" w:hAnsi="Times New Roman"/>
          <w:sz w:val="24"/>
        </w:rPr>
        <w:t xml:space="preserve"> 单位负责人签字：</w:t>
      </w:r>
      <w:r>
        <w:rPr>
          <w:rFonts w:hint="eastAsia" w:ascii="Times New Roman" w:hAnsi="Times New Roman"/>
          <w:sz w:val="24"/>
          <w:lang w:eastAsia="zh-CN"/>
        </w:rPr>
        <w:t>邹立新</w:t>
      </w:r>
    </w:p>
    <w:p>
      <w:pPr>
        <w:spacing w:beforeLines="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1-2 </w: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Times New Roman" w:hAnsi="Times New Roman" w:eastAsia="方正小标宋_GBK"/>
          <w:sz w:val="28"/>
          <w:szCs w:val="28"/>
        </w:rPr>
      </w:pPr>
      <w:r>
        <w:rPr>
          <w:rFonts w:ascii="Times New Roman" w:hAnsi="Times New Roman" w:eastAsia="方正小标宋_GBK"/>
          <w:sz w:val="28"/>
          <w:szCs w:val="28"/>
        </w:rPr>
        <w:t xml:space="preserve">（   </w:t>
      </w:r>
      <w:r>
        <w:rPr>
          <w:rFonts w:hint="eastAsia" w:ascii="Times New Roman" w:hAnsi="Times New Roman" w:eastAsia="方正小标宋_GBK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方正小标宋_GBK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年度</w:t>
      </w:r>
      <w:r>
        <w:rPr>
          <w:rFonts w:ascii="Times New Roman" w:hAnsi="Times New Roman" w:eastAsia="方正小标宋_GBK"/>
          <w:sz w:val="28"/>
          <w:szCs w:val="28"/>
        </w:rPr>
        <w:t>）</w:t>
      </w:r>
    </w:p>
    <w:p>
      <w:pPr>
        <w:spacing w:line="300" w:lineRule="exact"/>
        <w:rPr>
          <w:rFonts w:hint="default" w:ascii="Times New Roman" w:hAnsi="Times New Roman" w:eastAsia="微软雅黑"/>
          <w:sz w:val="24"/>
          <w:lang w:val="en-US" w:eastAsia="zh-CN"/>
        </w:rPr>
      </w:pPr>
      <w:r>
        <w:rPr>
          <w:rFonts w:ascii="Times New Roman" w:hAnsi="Times New Roman"/>
          <w:sz w:val="24"/>
        </w:rPr>
        <w:t>填报单位（盖章）：</w:t>
      </w:r>
      <w:r>
        <w:rPr>
          <w:rFonts w:hint="eastAsia" w:ascii="Times New Roman" w:hAnsi="Times New Roman"/>
          <w:sz w:val="24"/>
          <w:lang w:eastAsia="zh-CN"/>
        </w:rPr>
        <w:t>衡阳县住房和城乡建设局</w:t>
      </w:r>
      <w:r>
        <w:rPr>
          <w:rFonts w:ascii="Times New Roman" w:hAnsi="Times New Roman"/>
          <w:sz w:val="24"/>
        </w:rPr>
        <w:t xml:space="preserve">        填报时间：</w:t>
      </w:r>
      <w:r>
        <w:rPr>
          <w:rFonts w:hint="eastAsia" w:ascii="Times New Roman" w:hAnsi="Times New Roman"/>
          <w:sz w:val="24"/>
          <w:lang w:val="en-US" w:eastAsia="zh-CN"/>
        </w:rPr>
        <w:t>2023年2月20日</w:t>
      </w:r>
    </w:p>
    <w:tbl>
      <w:tblPr>
        <w:tblStyle w:val="7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606"/>
        <w:gridCol w:w="200"/>
        <w:gridCol w:w="1214"/>
        <w:gridCol w:w="935"/>
        <w:gridCol w:w="1014"/>
        <w:gridCol w:w="2155"/>
        <w:gridCol w:w="1814"/>
        <w:gridCol w:w="668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部门资金（万元）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全年预算数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全年执行数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预算执行率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分值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年度资金总额　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3231.36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11505.11</w:t>
            </w: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356%</w:t>
            </w: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按收入性质分类</w:t>
            </w:r>
          </w:p>
        </w:tc>
        <w:tc>
          <w:tcPr>
            <w:tcW w:w="53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按支出性质分类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一般公共预算拨款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5187.95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基本支出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1196.54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政府性基金拨款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6137.17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1.人员经费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1071.13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纳入管理的非税收入拨款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440" w:firstLineChars="20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2.公用经费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125.41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……拨款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其中：三公经费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其他资金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179.98</w:t>
            </w: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项目支出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10308.57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年度总体目标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年初预期（设定）目标　</w:t>
            </w:r>
          </w:p>
        </w:tc>
        <w:tc>
          <w:tcPr>
            <w:tcW w:w="53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40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在本年度收支预算内，确保完成以下整体目标：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目标1：重点抓好：“老旧小区改造、农村危房改造、供水、供气、突出治水工程”。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目标2：监督管理城乡建筑市场、建筑装修准入、施工许可、建筑企业资质、工程招投标、国家工程建设标准定额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目标3：管理工程质量及对安全生产监督、检查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目标4：管理全县人防工程建设，城建档案，城市供水、排水管理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目标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自建房排查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严格按照“六步工作法”（即一看房、二看图、三看证、四认定、五整改、六验收），扎实开展居民自建房排查。</w:t>
            </w:r>
          </w:p>
          <w:p>
            <w:pPr>
              <w:rPr>
                <w:rFonts w:hint="eastAsia" w:ascii="Times New Roman" w:hAnsi="Times New Roman" w:eastAsia="微软雅黑"/>
                <w:color w:val="000000"/>
                <w:szCs w:val="21"/>
                <w:lang w:eastAsia="zh-CN"/>
              </w:rPr>
            </w:pPr>
          </w:p>
        </w:tc>
        <w:tc>
          <w:tcPr>
            <w:tcW w:w="5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全年实际完成：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6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新正街单建式平战结合人防工程。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于2022年9月全部竣工，2022年10月份正式开始商业运行.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60"/>
              <w:jc w:val="left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老旧小区改造：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2022年全县纳入中央补助支持改造项目28个（其中13个小区纳入重点民生实事），涉及2448户居民、102栋房屋、住宅建筑面积31.15万平方米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农村危房改造：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年全县任务数560户，到目前为止，已全部竣工，竣工率为100%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保障性租赁住房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2022年全县建设任务数为642套，共6个项目，为全市试点建设任务，现已全部建设完成。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住房租赁补贴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2022年全县发放任务数为550户，实际完成发放774户，完成任务数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140%。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既有住宅加装电梯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2022年省厅下达我县任务数15台，全县实际完成审批25台（其中已建成14台，施工阶段的9台），超额完成全年既有住宅加装电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梯任务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　乡镇污水处理设施建设：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期启动的金兰、洪市2座污水处理厂正常运行，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库宗桥、井头、渣江、界牌、台源、集兵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及二期启动的曲兰、大安、岘山、关市、演陂、三湖、金溪、石市、杉桥共15座乡镇污水处理设施厂区及配套管网已全部建成，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有望在今年年底通水试运行；</w:t>
            </w:r>
          </w:p>
          <w:p>
            <w:pPr>
              <w:pStyle w:val="2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自建房排查：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严格按照“六步工作法”（即一看房、二看图、三看证、四认定、五整改、六验收），扎实开展居民自建房排查。累计排查居民自建房231638栋（经营性4044栋，非经营性227594栋），排查率和信息录入率均达100%。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绩效指标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一级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指标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二级指标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三级指标　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年度指标值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实际完成值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分值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产出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指标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（50分）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数量指标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Cs w:val="21"/>
              </w:rPr>
              <w:t>老旧小区改造</w:t>
            </w: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60"/>
              <w:jc w:val="left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2022年全县纳入中央补助支持改造项目28个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仿宋" w:hAnsi="仿宋" w:eastAsia="仿宋" w:cstheme="minorBidi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全部竣工，竣工率100%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Cs w:val="21"/>
              </w:rPr>
              <w:t>农村危房改造</w:t>
            </w: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仿宋" w:hAnsi="仿宋" w:eastAsia="仿宋" w:cstheme="minorBidi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年全县任务数560户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全部竣工，竣工率100%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保障性租赁住房</w:t>
            </w: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仿宋" w:hAnsi="仿宋" w:eastAsia="仿宋" w:cstheme="minorBidi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2022年全县建设任务数为642套，共6个项目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已全部建设完成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住房租赁补贴</w:t>
            </w: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仿宋" w:hAnsi="仿宋" w:eastAsia="仿宋" w:cstheme="minorBidi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022年全县发放任务数为550户，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完成任务数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既有住宅加装电梯</w:t>
            </w: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仿宋" w:hAnsi="仿宋" w:eastAsia="仿宋" w:cstheme="minorBidi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2022年省厅下达我县任务数15台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超额完成全年既有住宅加装电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梯任务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自建房排查</w:t>
            </w: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仿宋" w:hAnsi="仿宋" w:eastAsia="仿宋" w:cstheme="minorBidi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要求排查率和信息录入率均要确保达到100%。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排查率和信息录入率均达100%。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质量指标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Cs w:val="21"/>
              </w:rPr>
              <w:t>老旧小区改造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Arial" w:hAnsi="Arial" w:eastAsia="微软雅黑" w:cs="Arial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</w:t>
            </w:r>
            <w:r>
              <w:rPr>
                <w:rFonts w:hint="eastAsia" w:cs="Arial"/>
                <w:color w:val="000000"/>
                <w:szCs w:val="21"/>
              </w:rPr>
              <w:t>100%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100%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Cs w:val="21"/>
              </w:rPr>
              <w:t>农村危房改造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eastAsia="微软雅黑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≧100%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100%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保障性租赁住房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eastAsia="微软雅黑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≧100%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100%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住房租赁补贴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eastAsia="微软雅黑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≧100%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既有住宅加装电梯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eastAsia="微软雅黑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≧100%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自建房排查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eastAsia="微软雅黑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≧100%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时效指标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月-12月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年1月-12月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成本指标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11505.11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11505.11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绩效指标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效益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指标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（30分）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经济效益指标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  <w:lang w:bidi="ar"/>
              </w:rPr>
              <w:t>公益项目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  <w:lang w:bidi="ar"/>
              </w:rPr>
              <w:t>公益项目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社会效益指标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市民休闲舒适度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有所提升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生态效益指标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人居环境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有所改善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可持续影响指标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城市文化品味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有所提升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满意度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指标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（10分）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社会公众或服务对象满意度指标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社会公众满意度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满意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综合评定等级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优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总  分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说明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偏差及原因分析</w:t>
            </w:r>
          </w:p>
        </w:tc>
        <w:tc>
          <w:tcPr>
            <w:tcW w:w="53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331" w:type="dxa"/>
            <w:gridSpan w:val="4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beforeLines="50" w:line="300" w:lineRule="exact"/>
        <w:rPr>
          <w:rFonts w:hint="eastAsia" w:ascii="Times New Roman" w:hAnsi="Times New Roman" w:eastAsia="微软雅黑"/>
          <w:sz w:val="24"/>
          <w:lang w:eastAsia="zh-CN"/>
        </w:rPr>
      </w:pPr>
      <w:r>
        <w:rPr>
          <w:rFonts w:ascii="Times New Roman" w:hAnsi="Times New Roman"/>
        </w:rPr>
        <w:t xml:space="preserve">填表人：   </w:t>
      </w:r>
      <w:r>
        <w:rPr>
          <w:rFonts w:hint="eastAsia" w:ascii="Times New Roman" w:hAnsi="Times New Roman"/>
          <w:lang w:eastAsia="zh-CN"/>
        </w:rPr>
        <w:t>王利归</w:t>
      </w:r>
      <w:r>
        <w:rPr>
          <w:rFonts w:ascii="Times New Roman" w:hAnsi="Times New Roman"/>
        </w:rPr>
        <w:t xml:space="preserve">           联系电话：   </w:t>
      </w:r>
      <w:r>
        <w:rPr>
          <w:rFonts w:hint="eastAsia" w:ascii="Times New Roman" w:hAnsi="Times New Roman"/>
          <w:lang w:val="en-US" w:eastAsia="zh-CN"/>
        </w:rPr>
        <w:t>18627686228</w:t>
      </w:r>
      <w:r>
        <w:rPr>
          <w:rFonts w:ascii="Times New Roman" w:hAnsi="Times New Roman"/>
        </w:rPr>
        <w:t xml:space="preserve">             单位负责人签字</w:t>
      </w:r>
      <w:r>
        <w:rPr>
          <w:rFonts w:ascii="Times New Roman" w:hAnsi="Times New Roman"/>
          <w:sz w:val="24"/>
        </w:rPr>
        <w:t>：</w:t>
      </w:r>
      <w:r>
        <w:rPr>
          <w:rFonts w:hint="eastAsia" w:ascii="Times New Roman" w:hAnsi="Times New Roman"/>
          <w:sz w:val="24"/>
          <w:lang w:eastAsia="zh-CN"/>
        </w:rPr>
        <w:t>邹立新</w:t>
      </w:r>
    </w:p>
    <w:p>
      <w:pPr>
        <w:spacing w:line="300" w:lineRule="exact"/>
        <w:rPr>
          <w:rFonts w:ascii="Times New Roman" w:hAnsi="Times New Roman" w:eastAsia="仿宋_GB2312"/>
          <w:sz w:val="24"/>
        </w:rPr>
      </w:pPr>
    </w:p>
    <w:p>
      <w:pPr>
        <w:spacing w:line="300" w:lineRule="exact"/>
        <w:rPr>
          <w:rFonts w:ascii="Times New Roman" w:hAnsi="Times New Roman" w:eastAsia="仿宋_GB2312"/>
          <w:sz w:val="24"/>
        </w:rPr>
      </w:pPr>
    </w:p>
    <w:p>
      <w:pPr>
        <w:spacing w:line="32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spacing w:line="32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2.综合评价等级分为优秀（S≥90）、良好（90＞S≥80）、较差（80＞S≥60）、 差（S＜60）。</w:t>
      </w:r>
    </w:p>
    <w:p>
      <w:pPr>
        <w:spacing w:line="32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3.三级绩效指标按需自行增减行。个别不涉及的二级指标可自行删除。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itka Subheading">
    <w:altName w:val="Microsoft Sans Serif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E5D5F"/>
    <w:multiLevelType w:val="singleLevel"/>
    <w:tmpl w:val="B5DE5D5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5A3651"/>
    <w:multiLevelType w:val="singleLevel"/>
    <w:tmpl w:val="CE5A365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abstractNum w:abstractNumId="2">
    <w:nsid w:val="D0EC07E9"/>
    <w:multiLevelType w:val="singleLevel"/>
    <w:tmpl w:val="D0EC07E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9EF39EC"/>
    <w:multiLevelType w:val="singleLevel"/>
    <w:tmpl w:val="39EF39EC"/>
    <w:lvl w:ilvl="0" w:tentative="0">
      <w:start w:val="4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2VkYjZkYjRjYWQ3ZDZmNDc4NDEwODI4NTExOGMifQ=="/>
  </w:docVars>
  <w:rsids>
    <w:rsidRoot w:val="00D31D50"/>
    <w:rsid w:val="000504C4"/>
    <w:rsid w:val="00323B43"/>
    <w:rsid w:val="003D37D8"/>
    <w:rsid w:val="00426133"/>
    <w:rsid w:val="004358AB"/>
    <w:rsid w:val="008B7726"/>
    <w:rsid w:val="00AD3B56"/>
    <w:rsid w:val="00D31D50"/>
    <w:rsid w:val="01145D62"/>
    <w:rsid w:val="015307B2"/>
    <w:rsid w:val="05F43F13"/>
    <w:rsid w:val="060B4461"/>
    <w:rsid w:val="08A8620D"/>
    <w:rsid w:val="0A1843EE"/>
    <w:rsid w:val="0A60611B"/>
    <w:rsid w:val="0EB52FD7"/>
    <w:rsid w:val="102F70F3"/>
    <w:rsid w:val="10F90765"/>
    <w:rsid w:val="116C5A58"/>
    <w:rsid w:val="16491601"/>
    <w:rsid w:val="1D0B2AEC"/>
    <w:rsid w:val="20BD34BA"/>
    <w:rsid w:val="358A77A0"/>
    <w:rsid w:val="382F7507"/>
    <w:rsid w:val="415B0AC4"/>
    <w:rsid w:val="4C6E37BE"/>
    <w:rsid w:val="4DD36AA3"/>
    <w:rsid w:val="4FCF0C15"/>
    <w:rsid w:val="527B122F"/>
    <w:rsid w:val="52CE6600"/>
    <w:rsid w:val="531F0511"/>
    <w:rsid w:val="56012134"/>
    <w:rsid w:val="5D5F35AB"/>
    <w:rsid w:val="5D68297C"/>
    <w:rsid w:val="5DE91F2C"/>
    <w:rsid w:val="5F6D4FC5"/>
    <w:rsid w:val="600E57C2"/>
    <w:rsid w:val="620178BD"/>
    <w:rsid w:val="62235BF6"/>
    <w:rsid w:val="646E3125"/>
    <w:rsid w:val="6AA5526F"/>
    <w:rsid w:val="6EDC3D97"/>
    <w:rsid w:val="72FE5575"/>
    <w:rsid w:val="7381692B"/>
    <w:rsid w:val="762944FC"/>
    <w:rsid w:val="7D813517"/>
    <w:rsid w:val="7EAE0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kern w:val="2"/>
      <w:sz w:val="18"/>
      <w:szCs w:val="24"/>
    </w:rPr>
  </w:style>
  <w:style w:type="paragraph" w:styleId="5">
    <w:name w:val="header"/>
    <w:basedOn w:val="1"/>
    <w:link w:val="1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paragraph" w:styleId="6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24"/>
    </w:rPr>
  </w:style>
  <w:style w:type="character" w:customStyle="1" w:styleId="11">
    <w:name w:val="页眉 Char1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1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4">
    <w:name w:val="04正文"/>
    <w:basedOn w:val="1"/>
    <w:qFormat/>
    <w:uiPriority w:val="0"/>
    <w:pPr>
      <w:keepNext w:val="0"/>
      <w:keepLines w:val="0"/>
      <w:widowControl/>
      <w:adjustRightInd w:val="0"/>
      <w:snapToGrid w:val="0"/>
      <w:spacing w:before="0" w:after="0" w:line="360" w:lineRule="auto"/>
      <w:ind w:firstLine="200" w:firstLineChars="200"/>
      <w:jc w:val="both"/>
      <w:outlineLvl w:val="9"/>
    </w:pPr>
    <w:rPr>
      <w:rFonts w:ascii="Times New Roman" w:hAnsi="Times New Roman" w:eastAsia="仿宋" w:cs="Times New Roman"/>
      <w:color w:val="auto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5567</Words>
  <Characters>6336</Characters>
  <Lines>51</Lines>
  <Paragraphs>14</Paragraphs>
  <TotalTime>0</TotalTime>
  <ScaleCrop>false</ScaleCrop>
  <LinksUpToDate>false</LinksUpToDate>
  <CharactersWithSpaces>7599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龙世明</cp:lastModifiedBy>
  <cp:lastPrinted>2023-03-09T01:17:00Z</cp:lastPrinted>
  <dcterms:modified xsi:type="dcterms:W3CDTF">2023-10-16T09:20:09Z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B8D3D0ABB1084DC2BF9A83EF4F13B80B_12</vt:lpwstr>
  </property>
</Properties>
</file>