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olor w:val="FF0000"/>
          <w:sz w:val="109"/>
          <w:lang w:eastAsia="zh-CN"/>
        </w:rPr>
      </w:pPr>
      <w:r>
        <w:rPr>
          <w:rFonts w:ascii="Times New Roman" w:hAnsi="Times New Roman" w:eastAsia="方正小标宋_GBK"/>
          <w:color w:val="FF0000"/>
          <w:spacing w:val="115"/>
          <w:w w:val="50"/>
          <w:sz w:val="109"/>
        </w:rPr>
        <w:t>衡</w:t>
      </w:r>
      <w:r>
        <w:rPr>
          <w:rFonts w:hint="eastAsia" w:ascii="Times New Roman" w:hAnsi="Times New Roman" w:eastAsia="方正小标宋_GBK"/>
          <w:color w:val="FF0000"/>
          <w:spacing w:val="115"/>
          <w:w w:val="50"/>
          <w:sz w:val="109"/>
          <w:lang w:val="en-US" w:eastAsia="zh-CN"/>
        </w:rPr>
        <w:t xml:space="preserve"> </w:t>
      </w:r>
      <w:r>
        <w:rPr>
          <w:rFonts w:ascii="Times New Roman" w:hAnsi="Times New Roman" w:eastAsia="方正小标宋_GBK"/>
          <w:color w:val="FF0000"/>
          <w:w w:val="50"/>
          <w:sz w:val="109"/>
        </w:rPr>
        <w:t>阳</w:t>
      </w:r>
      <w:r>
        <w:rPr>
          <w:rFonts w:hint="eastAsia" w:ascii="Times New Roman" w:hAnsi="Times New Roman" w:eastAsia="方正小标宋_GBK"/>
          <w:color w:val="FF0000"/>
          <w:w w:val="50"/>
          <w:sz w:val="109"/>
          <w:lang w:val="en-US" w:eastAsia="zh-CN"/>
        </w:rPr>
        <w:t xml:space="preserve">  </w:t>
      </w:r>
      <w:r>
        <w:rPr>
          <w:rFonts w:ascii="Times New Roman" w:hAnsi="Times New Roman" w:eastAsia="方正小标宋_GBK"/>
          <w:color w:val="FF0000"/>
          <w:w w:val="50"/>
          <w:sz w:val="109"/>
        </w:rPr>
        <w:t xml:space="preserve">县 </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市</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政</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工</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程</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管</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理</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处</w:t>
      </w:r>
    </w:p>
    <w:p>
      <w:pPr>
        <w:rPr>
          <w:rFonts w:ascii="Times New Roman" w:hAnsi="Times New Roman"/>
        </w:rPr>
      </w:pPr>
      <w:r>
        <w:rPr>
          <w:rFonts w:ascii="Times New Roman" w:hAnsi="Times New Roman"/>
          <w:lang w:val="en-US" w:eastAsia="zh-CN"/>
        </w:rPr>
        <w:pict>
          <v:line id="直线 12" o:spid="_x0000_s1026" o:spt="20" style="position:absolute;left:0pt;margin-left:0.65pt;margin-top:0.65pt;height:0pt;width:414pt;z-index:251659264;mso-width-relative:page;mso-height-relative:page;" stroked="t" coordsize="21600,21600">
            <v:path arrowok="t"/>
            <v:fill focussize="0,0"/>
            <v:stroke weight="2.25pt" color="#FF0000"/>
            <v:imagedata o:title=""/>
            <o:lock v:ext="edit"/>
          </v:line>
        </w:pict>
      </w:r>
    </w:p>
    <w:p>
      <w:pPr>
        <w:spacing w:line="600" w:lineRule="exact"/>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部门整体支出绩效自评报告</w:t>
      </w:r>
    </w:p>
    <w:p>
      <w:pPr>
        <w:spacing w:line="600" w:lineRule="exact"/>
        <w:jc w:val="center"/>
        <w:rPr>
          <w:rFonts w:ascii="Times New Roman" w:hAnsi="Times New Roman" w:eastAsia="仿宋_GB2312"/>
          <w:sz w:val="32"/>
          <w:szCs w:val="32"/>
        </w:rPr>
      </w:pPr>
    </w:p>
    <w:p>
      <w:pPr>
        <w:pStyle w:val="13"/>
        <w:widowControl/>
        <w:spacing w:line="600" w:lineRule="exact"/>
        <w:ind w:left="640" w:firstLine="0" w:firstLineChars="0"/>
        <w:rPr>
          <w:rFonts w:eastAsia="黑体"/>
          <w:sz w:val="32"/>
          <w:szCs w:val="32"/>
        </w:rPr>
      </w:pPr>
      <w:r>
        <w:rPr>
          <w:rFonts w:eastAsia="黑体"/>
          <w:sz w:val="32"/>
          <w:szCs w:val="32"/>
        </w:rPr>
        <w:t>一、部门、单位基本情况</w:t>
      </w:r>
    </w:p>
    <w:p>
      <w:pPr>
        <w:pStyle w:val="13"/>
        <w:widowControl/>
        <w:spacing w:line="600" w:lineRule="exact"/>
        <w:ind w:left="640" w:firstLine="0" w:firstLineChars="0"/>
        <w:rPr>
          <w:rFonts w:eastAsia="楷体_GB2312"/>
          <w:sz w:val="32"/>
          <w:szCs w:val="32"/>
        </w:rPr>
      </w:pPr>
      <w:r>
        <w:rPr>
          <w:rFonts w:eastAsia="楷体_GB2312"/>
          <w:sz w:val="32"/>
          <w:szCs w:val="32"/>
        </w:rPr>
        <w:t>（一）机构设置情况</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left="0" w:leftChars="0" w:right="0" w:rightChars="0" w:firstLine="640" w:firstLineChars="200"/>
        <w:jc w:val="both"/>
        <w:textAlignment w:val="auto"/>
        <w:outlineLvl w:val="9"/>
        <w:rPr>
          <w:rFonts w:eastAsia="楷体_GB2312"/>
          <w:sz w:val="32"/>
          <w:szCs w:val="32"/>
        </w:rPr>
      </w:pPr>
      <w:r>
        <w:rPr>
          <w:rFonts w:hint="eastAsia" w:ascii="仿宋_GB2312" w:eastAsia="仿宋_GB2312"/>
          <w:sz w:val="32"/>
          <w:szCs w:val="32"/>
          <w:lang w:eastAsia="zh-CN"/>
        </w:rPr>
        <w:t>衡阳县</w:t>
      </w:r>
      <w:r>
        <w:rPr>
          <w:rFonts w:hint="eastAsia" w:ascii="仿宋_GB2312" w:eastAsia="仿宋_GB2312"/>
          <w:sz w:val="32"/>
          <w:szCs w:val="32"/>
        </w:rPr>
        <w:t>市政</w:t>
      </w:r>
      <w:r>
        <w:rPr>
          <w:rFonts w:hint="eastAsia" w:ascii="仿宋_GB2312" w:eastAsia="仿宋_GB2312"/>
          <w:sz w:val="32"/>
          <w:szCs w:val="32"/>
          <w:lang w:eastAsia="zh-CN"/>
        </w:rPr>
        <w:t>工程</w:t>
      </w:r>
      <w:r>
        <w:rPr>
          <w:rFonts w:hint="eastAsia" w:ascii="仿宋_GB2312" w:eastAsia="仿宋_GB2312"/>
          <w:sz w:val="32"/>
          <w:szCs w:val="32"/>
        </w:rPr>
        <w:t>管理</w:t>
      </w:r>
      <w:r>
        <w:rPr>
          <w:rFonts w:hint="eastAsia" w:ascii="仿宋_GB2312" w:eastAsia="仿宋_GB2312"/>
          <w:sz w:val="32"/>
          <w:szCs w:val="32"/>
          <w:lang w:eastAsia="zh-CN"/>
        </w:rPr>
        <w:t>处</w:t>
      </w:r>
      <w:r>
        <w:rPr>
          <w:rFonts w:hint="eastAsia" w:ascii="仿宋_GB2312" w:eastAsia="仿宋_GB2312"/>
          <w:sz w:val="32"/>
          <w:szCs w:val="32"/>
          <w:lang w:val="en-US" w:eastAsia="zh-CN"/>
        </w:rPr>
        <w:t>内</w:t>
      </w:r>
      <w:r>
        <w:rPr>
          <w:rFonts w:hint="eastAsia" w:ascii="仿宋_GB2312" w:eastAsia="仿宋_GB2312"/>
          <w:sz w:val="32"/>
          <w:szCs w:val="32"/>
        </w:rPr>
        <w:t>设</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仿宋_GB2312" w:eastAsia="仿宋_GB2312"/>
          <w:sz w:val="32"/>
          <w:szCs w:val="32"/>
          <w:lang w:eastAsia="zh-CN"/>
        </w:rPr>
        <w:t>内设机构</w:t>
      </w:r>
      <w:r>
        <w:rPr>
          <w:rFonts w:hint="eastAsia" w:ascii="仿宋_GB2312" w:eastAsia="仿宋_GB2312"/>
          <w:sz w:val="32"/>
          <w:szCs w:val="32"/>
        </w:rPr>
        <w:t>：</w:t>
      </w:r>
      <w:r>
        <w:rPr>
          <w:rFonts w:hint="eastAsia" w:ascii="仿宋_GB2312" w:eastAsia="仿宋_GB2312"/>
          <w:sz w:val="32"/>
          <w:szCs w:val="32"/>
          <w:lang w:eastAsia="zh-CN"/>
        </w:rPr>
        <w:t>办公室、财务室、生技室、督查考核室、路灯队、道路维护队、管网维护队。</w:t>
      </w:r>
    </w:p>
    <w:p>
      <w:pPr>
        <w:pStyle w:val="13"/>
        <w:widowControl/>
        <w:numPr>
          <w:ilvl w:val="0"/>
          <w:numId w:val="1"/>
        </w:numPr>
        <w:spacing w:line="600" w:lineRule="exact"/>
        <w:ind w:left="1100" w:leftChars="0" w:firstLine="0" w:firstLineChars="0"/>
        <w:rPr>
          <w:rFonts w:eastAsia="楷体_GB2312"/>
          <w:sz w:val="32"/>
          <w:szCs w:val="32"/>
        </w:rPr>
      </w:pPr>
      <w:r>
        <w:rPr>
          <w:rFonts w:eastAsia="楷体_GB2312"/>
          <w:sz w:val="32"/>
          <w:szCs w:val="32"/>
        </w:rPr>
        <w:t>人员编制情况</w:t>
      </w:r>
    </w:p>
    <w:p>
      <w:pPr>
        <w:pStyle w:val="13"/>
        <w:widowControl/>
        <w:numPr>
          <w:ilvl w:val="0"/>
          <w:numId w:val="0"/>
        </w:numPr>
        <w:spacing w:line="600" w:lineRule="exact"/>
        <w:ind w:left="640" w:leftChars="0"/>
        <w:rPr>
          <w:rFonts w:eastAsia="楷体_GB2312"/>
          <w:sz w:val="32"/>
          <w:szCs w:val="32"/>
        </w:rPr>
      </w:pPr>
      <w:r>
        <w:rPr>
          <w:rFonts w:hint="eastAsia" w:ascii="仿宋_GB2312" w:eastAsia="仿宋_GB2312"/>
          <w:sz w:val="32"/>
          <w:szCs w:val="32"/>
          <w:lang w:eastAsia="zh-CN"/>
        </w:rPr>
        <w:t>差额拨款事业单位，编制</w:t>
      </w:r>
      <w:r>
        <w:rPr>
          <w:rFonts w:hint="eastAsia" w:ascii="仿宋_GB2312" w:eastAsia="仿宋_GB2312"/>
          <w:sz w:val="32"/>
          <w:szCs w:val="32"/>
          <w:lang w:val="en-US" w:eastAsia="zh-CN"/>
        </w:rPr>
        <w:t>57人。</w:t>
      </w:r>
    </w:p>
    <w:p>
      <w:pPr>
        <w:pStyle w:val="13"/>
        <w:widowControl/>
        <w:numPr>
          <w:ilvl w:val="0"/>
          <w:numId w:val="1"/>
        </w:numPr>
        <w:spacing w:line="600" w:lineRule="exact"/>
        <w:ind w:left="1100" w:leftChars="0" w:firstLine="0" w:firstLineChars="0"/>
        <w:rPr>
          <w:rFonts w:eastAsia="楷体_GB2312"/>
          <w:sz w:val="32"/>
          <w:szCs w:val="32"/>
        </w:rPr>
      </w:pPr>
      <w:r>
        <w:rPr>
          <w:rFonts w:eastAsia="楷体_GB2312"/>
          <w:sz w:val="32"/>
          <w:szCs w:val="32"/>
        </w:rPr>
        <w:t>主要职能职责</w:t>
      </w:r>
    </w:p>
    <w:p>
      <w:pPr>
        <w:pStyle w:val="13"/>
        <w:widowControl/>
        <w:numPr>
          <w:ilvl w:val="0"/>
          <w:numId w:val="0"/>
        </w:numPr>
        <w:spacing w:line="600" w:lineRule="exact"/>
        <w:ind w:left="640" w:leftChars="0"/>
        <w:rPr>
          <w:rFonts w:eastAsia="楷体_GB2312"/>
          <w:sz w:val="32"/>
          <w:szCs w:val="32"/>
        </w:rPr>
      </w:pPr>
      <w:r>
        <w:rPr>
          <w:rFonts w:hint="eastAsia" w:ascii="仿宋_GB2312" w:eastAsia="仿宋_GB2312"/>
          <w:sz w:val="32"/>
          <w:szCs w:val="32"/>
          <w:lang w:eastAsia="zh-CN"/>
        </w:rPr>
        <w:t>负责</w:t>
      </w:r>
      <w:r>
        <w:rPr>
          <w:rFonts w:hint="eastAsia" w:ascii="仿宋_GB2312" w:eastAsia="仿宋_GB2312"/>
          <w:sz w:val="32"/>
          <w:szCs w:val="32"/>
        </w:rPr>
        <w:t>城市道路、路灯、</w:t>
      </w:r>
      <w:r>
        <w:rPr>
          <w:rFonts w:hint="eastAsia" w:ascii="仿宋_GB2312" w:eastAsia="仿宋_GB2312"/>
          <w:sz w:val="32"/>
          <w:szCs w:val="32"/>
          <w:lang w:eastAsia="zh-CN"/>
        </w:rPr>
        <w:t>管网等</w:t>
      </w:r>
      <w:r>
        <w:rPr>
          <w:rFonts w:hint="eastAsia" w:ascii="仿宋_GB2312" w:eastAsia="仿宋_GB2312"/>
          <w:sz w:val="32"/>
          <w:szCs w:val="32"/>
        </w:rPr>
        <w:t>市政设施管理</w:t>
      </w:r>
      <w:r>
        <w:rPr>
          <w:rFonts w:hint="eastAsia" w:ascii="仿宋_GB2312" w:eastAsia="仿宋_GB2312"/>
          <w:sz w:val="32"/>
          <w:szCs w:val="32"/>
          <w:lang w:eastAsia="zh-CN"/>
        </w:rPr>
        <w:t>。</w:t>
      </w:r>
    </w:p>
    <w:p>
      <w:pPr>
        <w:pStyle w:val="13"/>
        <w:widowControl/>
        <w:numPr>
          <w:ilvl w:val="0"/>
          <w:numId w:val="1"/>
        </w:numPr>
        <w:spacing w:line="600" w:lineRule="exact"/>
        <w:ind w:left="1100" w:leftChars="0" w:firstLine="0" w:firstLineChars="0"/>
        <w:rPr>
          <w:rFonts w:eastAsia="楷体_GB2312"/>
          <w:sz w:val="32"/>
          <w:szCs w:val="32"/>
        </w:rPr>
      </w:pPr>
      <w:r>
        <w:rPr>
          <w:rFonts w:eastAsia="楷体_GB2312"/>
          <w:sz w:val="32"/>
          <w:szCs w:val="32"/>
        </w:rPr>
        <w:t>绩效目标设定情况</w:t>
      </w:r>
    </w:p>
    <w:p>
      <w:pPr>
        <w:pStyle w:val="13"/>
        <w:widowControl/>
        <w:numPr>
          <w:ilvl w:val="0"/>
          <w:numId w:val="0"/>
        </w:numPr>
        <w:spacing w:line="600" w:lineRule="exact"/>
        <w:ind w:left="640" w:leftChars="0"/>
        <w:rPr>
          <w:rFonts w:eastAsia="楷体_GB2312"/>
          <w:sz w:val="32"/>
          <w:szCs w:val="32"/>
        </w:rPr>
      </w:pPr>
      <w:r>
        <w:rPr>
          <w:rFonts w:hint="eastAsia" w:ascii="仿宋_GB2312" w:hAnsi="Times New Roman" w:eastAsia="仿宋_GB2312" w:cs="Times New Roman"/>
          <w:sz w:val="32"/>
          <w:szCs w:val="32"/>
          <w:lang w:eastAsia="zh-CN"/>
        </w:rPr>
        <w:t>保障县城内路平、沟通、灯亮。</w:t>
      </w:r>
    </w:p>
    <w:p>
      <w:pPr>
        <w:pStyle w:val="13"/>
        <w:widowControl/>
        <w:numPr>
          <w:ilvl w:val="0"/>
          <w:numId w:val="0"/>
        </w:numPr>
        <w:spacing w:line="600" w:lineRule="exact"/>
        <w:ind w:left="640" w:leftChars="0"/>
        <w:rPr>
          <w:rFonts w:eastAsia="黑体"/>
          <w:sz w:val="32"/>
          <w:szCs w:val="32"/>
        </w:rPr>
      </w:pPr>
      <w:r>
        <w:rPr>
          <w:rFonts w:eastAsia="黑体"/>
          <w:sz w:val="32"/>
          <w:szCs w:val="32"/>
        </w:rPr>
        <w:t>二、一般公共预算支出情况</w:t>
      </w:r>
    </w:p>
    <w:p>
      <w:pPr>
        <w:pStyle w:val="13"/>
        <w:widowControl/>
        <w:spacing w:line="600" w:lineRule="exact"/>
        <w:ind w:left="640" w:firstLine="0" w:firstLineChars="0"/>
        <w:rPr>
          <w:rFonts w:eastAsia="楷体_GB2312"/>
          <w:sz w:val="32"/>
          <w:szCs w:val="32"/>
        </w:rPr>
      </w:pPr>
      <w:r>
        <w:rPr>
          <w:rFonts w:eastAsia="楷体_GB2312"/>
          <w:sz w:val="32"/>
          <w:szCs w:val="32"/>
        </w:rPr>
        <w:t>（一）经批复的预、决算情况</w:t>
      </w:r>
    </w:p>
    <w:p>
      <w:pPr>
        <w:pStyle w:val="13"/>
        <w:widowControl/>
        <w:numPr>
          <w:ilvl w:val="0"/>
          <w:numId w:val="0"/>
        </w:num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批复的一般公共预算财政拨款收入为803.45万元，社会保障和就业支出23.33万元，卫生健康支出11.65万元，城区社区支出752.32万元，住房保障支出16.15万元；2022年收入决算数为1602.96万元，其中一般公共预算财政拨款收入1146.99万元，其他收入为455.98万元。支出决算为1602.96万元，其中1061.23万元，其中基本支出400.59万元，项目支出917.8万元。</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p>
    <w:p>
      <w:pPr>
        <w:pStyle w:val="13"/>
        <w:widowControl/>
        <w:spacing w:line="600" w:lineRule="exact"/>
        <w:ind w:left="640" w:firstLine="0" w:firstLineChars="0"/>
        <w:rPr>
          <w:rFonts w:eastAsia="楷体_GB2312"/>
          <w:sz w:val="32"/>
          <w:szCs w:val="32"/>
        </w:rPr>
      </w:pPr>
      <w:r>
        <w:rPr>
          <w:rFonts w:eastAsia="楷体_GB2312"/>
          <w:sz w:val="32"/>
          <w:szCs w:val="32"/>
        </w:rPr>
        <w:t>（二）部门预算执行情况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1.基本支出情况</w:t>
      </w:r>
    </w:p>
    <w:p>
      <w:pPr>
        <w:pStyle w:val="13"/>
        <w:widowControl/>
        <w:numPr>
          <w:ilvl w:val="0"/>
          <w:numId w:val="0"/>
        </w:num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基本支出共计522.93万元,具体情况为:(1)工资福利支出522.43万元:基本工资217.81万元,津贴补贴74.36万元,奖金60.48万元，保险缴费112.47万元,住房公积金40.18万元，对个人和家庭补助17.13万元；(2)公用经费支出0.5万元。</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2.项目支出情况</w:t>
      </w:r>
      <w:r>
        <w:rPr>
          <w:rFonts w:hint="eastAsia" w:ascii="仿宋_GB2312" w:hAnsi="Times New Roman" w:eastAsia="仿宋_GB2312" w:cs="Times New Roman"/>
          <w:sz w:val="32"/>
          <w:szCs w:val="32"/>
          <w:lang w:val="en-US" w:eastAsia="zh-CN"/>
        </w:rPr>
        <w:tab/>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（1）2022年度专项资金安排和使用管理情况。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县城路灯电费：2022年路灯电费452.7万元。</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2、管网普查及维修171.35万元。</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（2）无专项资金以外的其他项目支出情况。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（三）“三公”经费使用和管理情况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我单位严格控制“三公”经费的支出，2022年无“三公”经费的支出。</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（四)资金结转和结余情况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2022年无结转结余</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（五）部门整体支出管理与制度建设情况</w:t>
      </w:r>
    </w:p>
    <w:p>
      <w:pPr>
        <w:pStyle w:val="13"/>
        <w:widowControl/>
        <w:spacing w:line="600" w:lineRule="exact"/>
        <w:ind w:left="640" w:firstLine="0" w:firstLineChars="0"/>
        <w:jc w:val="left"/>
        <w:rPr>
          <w:rFonts w:eastAsia="黑体"/>
          <w:sz w:val="32"/>
          <w:szCs w:val="32"/>
        </w:rPr>
      </w:pPr>
      <w:r>
        <w:rPr>
          <w:rFonts w:eastAsia="黑体"/>
          <w:sz w:val="32"/>
          <w:szCs w:val="32"/>
        </w:rPr>
        <w:t>三、政府性基金预算支出情况</w:t>
      </w:r>
    </w:p>
    <w:p>
      <w:pPr>
        <w:pStyle w:val="13"/>
        <w:widowControl/>
        <w:spacing w:line="600" w:lineRule="exact"/>
        <w:ind w:left="640" w:firstLine="0" w:firstLineChars="0"/>
        <w:jc w:val="left"/>
        <w:rPr>
          <w:rFonts w:eastAsia="黑体"/>
          <w:sz w:val="32"/>
          <w:szCs w:val="32"/>
        </w:rPr>
      </w:pPr>
      <w:r>
        <w:rPr>
          <w:rFonts w:hint="eastAsia" w:ascii="仿宋_GB2312" w:hAnsi="Times New Roman" w:eastAsia="仿宋_GB2312" w:cs="Times New Roman"/>
          <w:kern w:val="2"/>
          <w:sz w:val="32"/>
          <w:szCs w:val="32"/>
          <w:lang w:val="en-US" w:eastAsia="zh-CN" w:bidi="ar-SA"/>
        </w:rPr>
        <w:t>无政府性基金预算支出</w:t>
      </w:r>
    </w:p>
    <w:p>
      <w:pPr>
        <w:pStyle w:val="13"/>
        <w:widowControl/>
        <w:numPr>
          <w:ilvl w:val="0"/>
          <w:numId w:val="2"/>
        </w:numPr>
        <w:spacing w:line="600" w:lineRule="exact"/>
        <w:ind w:left="640" w:firstLine="0" w:firstLineChars="0"/>
        <w:jc w:val="left"/>
        <w:rPr>
          <w:rFonts w:eastAsia="黑体"/>
          <w:sz w:val="32"/>
          <w:szCs w:val="32"/>
        </w:rPr>
      </w:pPr>
      <w:r>
        <w:rPr>
          <w:rFonts w:eastAsia="黑体"/>
          <w:sz w:val="32"/>
          <w:szCs w:val="32"/>
        </w:rPr>
        <w:t>国有资本经营预算支出情况</w:t>
      </w:r>
    </w:p>
    <w:p>
      <w:pPr>
        <w:pStyle w:val="13"/>
        <w:widowControl/>
        <w:spacing w:line="600" w:lineRule="exact"/>
        <w:ind w:left="640" w:firstLine="0" w:firstLineChars="0"/>
        <w:jc w:val="left"/>
        <w:rPr>
          <w:rFonts w:eastAsia="黑体"/>
          <w:sz w:val="32"/>
          <w:szCs w:val="32"/>
        </w:rPr>
      </w:pPr>
      <w:r>
        <w:rPr>
          <w:rFonts w:hint="eastAsia" w:ascii="仿宋_GB2312" w:hAnsi="Times New Roman" w:eastAsia="仿宋_GB2312" w:cs="Times New Roman"/>
          <w:kern w:val="2"/>
          <w:sz w:val="32"/>
          <w:szCs w:val="32"/>
          <w:lang w:val="en-US" w:eastAsia="zh-CN" w:bidi="ar-SA"/>
        </w:rPr>
        <w:t>无国有资本经营预算支出</w:t>
      </w:r>
    </w:p>
    <w:p>
      <w:pPr>
        <w:pStyle w:val="13"/>
        <w:widowControl/>
        <w:numPr>
          <w:ilvl w:val="0"/>
          <w:numId w:val="2"/>
        </w:numPr>
        <w:spacing w:line="600" w:lineRule="exact"/>
        <w:ind w:left="640" w:leftChars="0" w:firstLine="0" w:firstLineChars="0"/>
        <w:jc w:val="left"/>
        <w:rPr>
          <w:rFonts w:eastAsia="黑体"/>
          <w:sz w:val="32"/>
          <w:szCs w:val="32"/>
        </w:rPr>
      </w:pPr>
      <w:r>
        <w:rPr>
          <w:rFonts w:eastAsia="黑体"/>
          <w:sz w:val="32"/>
          <w:szCs w:val="32"/>
        </w:rPr>
        <w:t>社会保险基金预算支出情况</w:t>
      </w:r>
    </w:p>
    <w:p>
      <w:pPr>
        <w:pStyle w:val="13"/>
        <w:widowControl/>
        <w:spacing w:line="600" w:lineRule="exact"/>
        <w:ind w:left="640" w:firstLine="0" w:firstLineChars="0"/>
        <w:jc w:val="left"/>
        <w:rPr>
          <w:rFonts w:eastAsia="黑体"/>
          <w:sz w:val="32"/>
          <w:szCs w:val="32"/>
        </w:rPr>
      </w:pPr>
      <w:r>
        <w:rPr>
          <w:rFonts w:hint="eastAsia" w:ascii="仿宋_GB2312" w:hAnsi="Times New Roman" w:eastAsia="仿宋_GB2312" w:cs="Times New Roman"/>
          <w:kern w:val="2"/>
          <w:sz w:val="32"/>
          <w:szCs w:val="32"/>
          <w:lang w:val="en-US" w:eastAsia="zh-CN" w:bidi="ar-SA"/>
        </w:rPr>
        <w:t>无社会保险基金预算支出</w:t>
      </w:r>
    </w:p>
    <w:p>
      <w:pPr>
        <w:spacing w:line="600" w:lineRule="exact"/>
        <w:ind w:firstLine="645"/>
        <w:rPr>
          <w:rFonts w:ascii="Times New Roman" w:hAnsi="Times New Roman" w:eastAsia="黑体"/>
          <w:sz w:val="32"/>
          <w:szCs w:val="32"/>
        </w:rPr>
      </w:pPr>
      <w:r>
        <w:rPr>
          <w:rFonts w:ascii="Times New Roman" w:hAnsi="Times New Roman" w:eastAsia="黑体"/>
          <w:sz w:val="32"/>
          <w:szCs w:val="32"/>
        </w:rPr>
        <w:t>六、部门整体支出绩效情况</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（一）综合评价结论。2022年部门整体支出绩效评价自查自评得分97分结果为优秀。</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ascii="Times New Roman" w:hAnsi="Times New Roman" w:eastAsia="楷体_GB2312"/>
          <w:bCs/>
          <w:sz w:val="32"/>
          <w:szCs w:val="32"/>
        </w:rPr>
        <w:t>（二）评价指标分析（或综合评价情况）。</w:t>
      </w:r>
      <w:r>
        <w:rPr>
          <w:rFonts w:hint="eastAsia" w:ascii="仿宋_GB2312" w:hAnsi="Times New Roman" w:eastAsia="仿宋_GB2312" w:cs="Times New Roman"/>
          <w:sz w:val="32"/>
          <w:szCs w:val="32"/>
          <w:lang w:val="en-US" w:eastAsia="zh-CN"/>
        </w:rPr>
        <w:t>我单位坚持以习近平新时代中国特色社会主义思想为指导,坚决贯彻落实中央、省委省政府决策部署,牢固树立过“紧日子”思想,带头厉行节约,认真履行职责,精准精细管理,全面完成了各项工作任务,同时切实加强预算收支的管理,健全内部管理制度,严格财务工作流程,部门整体支出管理得到了有效提升。</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全年共维修破损路面13000余平方米，人行道道板砖10000余平方米，人行道火烧板4000余平方米，人行道隔离墩200余个，树围600余套，路沿石、花坛边石3000余米，滨江防洪堤葫芦200余个。加强对市政设施的督查，共查处损坏市政设施16起，违章挖掘道路4起；办理占用、挖掘道路手续15起,挽回经济损失12万余元;并对施工现场进行现场指导、对恢复情况进行验收。</w:t>
      </w:r>
    </w:p>
    <w:p>
      <w:pPr>
        <w:pStyle w:val="13"/>
        <w:widowControl/>
        <w:numPr>
          <w:ilvl w:val="0"/>
          <w:numId w:val="0"/>
        </w:num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全年共疏通浚水孔2500余个，疏通下水道8000余米；清理雨水井、沉沙井700余个；维修及更换溜水板200余块，沟盖板600余块，污水井盖板27套，沉沙井20余套，雨水井300余套；更换窨井防坠网30个。定期巡查、巡修污水提升泵站20余次。  </w:t>
      </w:r>
    </w:p>
    <w:p>
      <w:pPr>
        <w:pStyle w:val="13"/>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保证县城居民夜间出行安全，确保县城路灯亮灯率平时99.5%以上,重大节假日亮灯率100%。全年共维修县城城区、S315线及背街小巷路灯2500余盏，射灯100余盏，高杆灯20余盏；检修县城路灯开关箱及线路50余处，拆除被撞路灯10余杆；清洗县城三火庭院灯及园林灯具3次；补装、维修、校正灯笼及中国结500余个；多次维修县城30余栋楼宇，向阳桥、憩园古建筑群、夏明翰广场等公共场所亮化工程。</w:t>
      </w:r>
    </w:p>
    <w:p>
      <w:pPr>
        <w:pStyle w:val="13"/>
        <w:widowControl/>
        <w:spacing w:line="600" w:lineRule="exact"/>
        <w:ind w:left="640" w:firstLine="0" w:firstLineChars="0"/>
        <w:jc w:val="left"/>
        <w:rPr>
          <w:rFonts w:eastAsia="黑体"/>
          <w:sz w:val="32"/>
          <w:szCs w:val="32"/>
        </w:rPr>
      </w:pPr>
      <w:r>
        <w:rPr>
          <w:rFonts w:eastAsia="黑体"/>
          <w:sz w:val="32"/>
          <w:szCs w:val="32"/>
        </w:rPr>
        <w:t>七、存在的问题及原因分析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主要反映各种</w:t>
      </w:r>
      <w:r>
        <w:rPr>
          <w:rFonts w:ascii="Times New Roman" w:hAnsi="Times New Roman" w:eastAsia="仿宋_GB2312"/>
          <w:color w:val="000000"/>
          <w:sz w:val="32"/>
          <w:szCs w:val="32"/>
        </w:rPr>
        <w:t>预算支出执行偏离绩效目标的情况，</w:t>
      </w:r>
      <w:r>
        <w:rPr>
          <w:rFonts w:ascii="Times New Roman" w:hAnsi="Times New Roman" w:eastAsia="仿宋_GB2312"/>
          <w:sz w:val="32"/>
          <w:szCs w:val="32"/>
        </w:rPr>
        <w:t>并分析其原因。</w:t>
      </w:r>
    </w:p>
    <w:p>
      <w:pPr>
        <w:numPr>
          <w:ilvl w:val="0"/>
          <w:numId w:val="3"/>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一是科学设置绩效评估指标体系。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是进一步提高资产内部管理的效能。根据资产管理过程中发现的问题,认真分析原因,研究切实可行的措施和办法,完善资产管理制度。明确分工,责任到人,资产申购、审批调剂和处置进一步实现动态化、规范化管理。落实固定资产清查盘点工作,定期盘点,摸清资产的使用情况,盘点发现应报废、已毁损等情况,及时进行处理。</w:t>
      </w:r>
    </w:p>
    <w:p>
      <w:pPr>
        <w:spacing w:line="600" w:lineRule="exact"/>
        <w:ind w:firstLine="645"/>
        <w:rPr>
          <w:rFonts w:ascii="Times New Roman" w:hAnsi="Times New Roman" w:eastAsia="仿宋_GB2312"/>
          <w:sz w:val="32"/>
          <w:szCs w:val="32"/>
        </w:rPr>
      </w:pPr>
      <w:r>
        <w:rPr>
          <w:rFonts w:ascii="Times New Roman" w:hAnsi="Times New Roman" w:eastAsia="黑体"/>
          <w:sz w:val="32"/>
          <w:szCs w:val="32"/>
        </w:rPr>
        <w:t>九、其他需要说明的情况</w:t>
      </w:r>
    </w:p>
    <w:p>
      <w:pPr>
        <w:spacing w:line="600" w:lineRule="exact"/>
        <w:ind w:firstLine="645"/>
        <w:rPr>
          <w:rFonts w:ascii="Times New Roman" w:hAnsi="Times New Roman" w:eastAsia="仿宋_GB2312"/>
          <w:sz w:val="32"/>
          <w:szCs w:val="32"/>
        </w:rPr>
      </w:pPr>
      <w:r>
        <w:rPr>
          <w:rFonts w:ascii="Times New Roman" w:hAnsi="Times New Roman" w:eastAsia="仿宋_GB2312"/>
          <w:sz w:val="32"/>
          <w:szCs w:val="32"/>
        </w:rPr>
        <w:t>报告应包括以下附件：</w:t>
      </w:r>
    </w:p>
    <w:p>
      <w:pPr>
        <w:spacing w:line="600" w:lineRule="exact"/>
        <w:ind w:firstLine="645"/>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
          <w:color w:val="000000"/>
          <w:sz w:val="32"/>
          <w:szCs w:val="32"/>
        </w:rPr>
      </w:pPr>
      <w:r>
        <w:rPr>
          <w:rFonts w:ascii="Times New Roman" w:hAnsi="Times New Roman" w:eastAsia="仿宋"/>
          <w:color w:val="000000"/>
          <w:sz w:val="32"/>
          <w:szCs w:val="32"/>
        </w:rPr>
        <w:t xml:space="preserve">附件1-1      </w:t>
      </w:r>
    </w:p>
    <w:p>
      <w:pPr>
        <w:jc w:val="center"/>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ascii="Times New Roman" w:hAnsi="Times New Roman"/>
          <w:sz w:val="24"/>
        </w:rPr>
        <w:t>填报单位：</w:t>
      </w:r>
      <w:r>
        <w:rPr>
          <w:rFonts w:hint="eastAsia" w:ascii="Times New Roman" w:hAnsi="Times New Roman"/>
          <w:sz w:val="24"/>
          <w:lang w:eastAsia="zh-CN"/>
        </w:rPr>
        <w:t>衡阳县市政工程管理处</w:t>
      </w:r>
      <w:r>
        <w:rPr>
          <w:rFonts w:ascii="Times New Roman" w:hAnsi="Times New Roman" w:eastAsia="PMingLiU"/>
          <w:sz w:val="24"/>
        </w:rPr>
        <w:tab/>
      </w:r>
      <w:r>
        <w:rPr>
          <w:rFonts w:ascii="Times New Roman" w:hAnsi="Times New Roman" w:eastAsia="PMingLiU"/>
          <w:sz w:val="24"/>
        </w:rPr>
        <w:tab/>
      </w:r>
      <w:r>
        <w:rPr>
          <w:rFonts w:ascii="Times New Roman" w:hAnsi="Times New Roman" w:eastAsia="PMingLiU"/>
          <w:sz w:val="24"/>
        </w:rPr>
        <w:tab/>
      </w:r>
      <w:r>
        <w:rPr>
          <w:rFonts w:ascii="Times New Roman" w:hAnsi="Times New Roman"/>
          <w:sz w:val="24"/>
        </w:rPr>
        <w:t>填报时间：</w:t>
      </w:r>
      <w:r>
        <w:rPr>
          <w:rFonts w:ascii="Times New Roman" w:hAnsi="Times New Roman" w:eastAsia="PMingLiU"/>
          <w:sz w:val="24"/>
        </w:rPr>
        <w:tab/>
      </w:r>
    </w:p>
    <w:tbl>
      <w:tblPr>
        <w:tblStyle w:val="7"/>
        <w:tblW w:w="9578" w:type="dxa"/>
        <w:jc w:val="center"/>
        <w:tblLayout w:type="fixed"/>
        <w:tblCellMar>
          <w:top w:w="0" w:type="dxa"/>
          <w:left w:w="108" w:type="dxa"/>
          <w:bottom w:w="0" w:type="dxa"/>
          <w:right w:w="108" w:type="dxa"/>
        </w:tblCellMar>
      </w:tblPr>
      <w:tblGrid>
        <w:gridCol w:w="3903"/>
        <w:gridCol w:w="1420"/>
        <w:gridCol w:w="2459"/>
        <w:gridCol w:w="1796"/>
      </w:tblGrid>
      <w:tr>
        <w:tblPrEx>
          <w:tblCellMar>
            <w:top w:w="0" w:type="dxa"/>
            <w:left w:w="108" w:type="dxa"/>
            <w:bottom w:w="0" w:type="dxa"/>
            <w:right w:w="108" w:type="dxa"/>
          </w:tblCellMar>
        </w:tblPrEx>
        <w:trPr>
          <w:trHeight w:val="495" w:hRule="atLeast"/>
          <w:jc w:val="center"/>
        </w:trPr>
        <w:tc>
          <w:tcPr>
            <w:tcW w:w="390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财政供养人员情况</w:t>
            </w:r>
          </w:p>
        </w:tc>
        <w:tc>
          <w:tcPr>
            <w:tcW w:w="142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编制数</w:t>
            </w:r>
          </w:p>
        </w:tc>
        <w:tc>
          <w:tcPr>
            <w:tcW w:w="245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年末实际在职人数</w:t>
            </w:r>
          </w:p>
        </w:tc>
        <w:tc>
          <w:tcPr>
            <w:tcW w:w="1796"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控制率</w:t>
            </w:r>
          </w:p>
        </w:tc>
      </w:tr>
      <w:tr>
        <w:tblPrEx>
          <w:tblCellMar>
            <w:top w:w="0" w:type="dxa"/>
            <w:left w:w="108" w:type="dxa"/>
            <w:bottom w:w="0" w:type="dxa"/>
            <w:right w:w="108" w:type="dxa"/>
          </w:tblCellMar>
        </w:tblPrEx>
        <w:trPr>
          <w:trHeight w:val="400" w:hRule="atLeast"/>
          <w:jc w:val="center"/>
        </w:trPr>
        <w:tc>
          <w:tcPr>
            <w:tcW w:w="390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p>
        </w:tc>
        <w:tc>
          <w:tcPr>
            <w:tcW w:w="142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57</w:t>
            </w:r>
          </w:p>
        </w:tc>
        <w:tc>
          <w:tcPr>
            <w:tcW w:w="245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47</w:t>
            </w:r>
          </w:p>
        </w:tc>
        <w:tc>
          <w:tcPr>
            <w:tcW w:w="1796"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82%</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经费控制情况</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当年决算数</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当年预算数</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上年决算数</w:t>
            </w:r>
          </w:p>
        </w:tc>
      </w:tr>
      <w:tr>
        <w:tblPrEx>
          <w:tblCellMar>
            <w:top w:w="0" w:type="dxa"/>
            <w:left w:w="108" w:type="dxa"/>
            <w:bottom w:w="0" w:type="dxa"/>
            <w:right w:w="108" w:type="dxa"/>
          </w:tblCellMar>
        </w:tblPrEx>
        <w:trPr>
          <w:trHeight w:val="429"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一、部门基本支出</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631.04</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187.45</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400.59</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其中： 1、压缩一般性支出</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2、三公经费</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公务用车购置和维护经费</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其中：公车购置</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公车运行维护</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公务接待</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出国（境）经费</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44"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二、部门项目支出</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971.92</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450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917.81</w:t>
            </w:r>
          </w:p>
        </w:tc>
      </w:tr>
      <w:tr>
        <w:tblPrEx>
          <w:tblCellMar>
            <w:top w:w="0" w:type="dxa"/>
            <w:left w:w="108" w:type="dxa"/>
            <w:bottom w:w="0" w:type="dxa"/>
            <w:right w:w="108" w:type="dxa"/>
          </w:tblCellMar>
        </w:tblPrEx>
        <w:trPr>
          <w:trHeight w:val="49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1、业务工作专项(一个项目一行)</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83"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2、运行维护专项(一个项目一行)</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971.92</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450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661.02</w:t>
            </w:r>
            <w:bookmarkStart w:id="0" w:name="_GoBack"/>
            <w:bookmarkEnd w:id="0"/>
          </w:p>
        </w:tc>
      </w:tr>
      <w:tr>
        <w:tblPrEx>
          <w:tblCellMar>
            <w:top w:w="0" w:type="dxa"/>
            <w:left w:w="108" w:type="dxa"/>
            <w:bottom w:w="0" w:type="dxa"/>
            <w:right w:w="108" w:type="dxa"/>
          </w:tblCellMar>
        </w:tblPrEx>
        <w:trPr>
          <w:trHeight w:val="427"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县城路灯电费</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452.7</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450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330</w:t>
            </w:r>
          </w:p>
        </w:tc>
      </w:tr>
      <w:tr>
        <w:tblPrEx>
          <w:tblCellMar>
            <w:top w:w="0" w:type="dxa"/>
            <w:left w:w="108" w:type="dxa"/>
            <w:bottom w:w="0" w:type="dxa"/>
            <w:right w:w="108" w:type="dxa"/>
          </w:tblCellMar>
        </w:tblPrEx>
        <w:trPr>
          <w:trHeight w:val="427"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管网普查及抢修</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50.39</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373"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主管网塌陷抢修</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70.32</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18"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管道抢修</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50.64</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331.02</w:t>
            </w:r>
          </w:p>
        </w:tc>
      </w:tr>
      <w:tr>
        <w:tblPrEx>
          <w:tblCellMar>
            <w:top w:w="0" w:type="dxa"/>
            <w:left w:w="108" w:type="dxa"/>
            <w:bottom w:w="0" w:type="dxa"/>
            <w:right w:w="108" w:type="dxa"/>
          </w:tblCellMar>
        </w:tblPrEx>
        <w:trPr>
          <w:trHeight w:val="430"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其他支出</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347.87</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256.78</w:t>
            </w:r>
          </w:p>
        </w:tc>
      </w:tr>
      <w:tr>
        <w:tblPrEx>
          <w:tblCellMar>
            <w:top w:w="0" w:type="dxa"/>
            <w:left w:w="108" w:type="dxa"/>
            <w:bottom w:w="0" w:type="dxa"/>
            <w:right w:w="108" w:type="dxa"/>
          </w:tblCellMar>
        </w:tblPrEx>
        <w:trPr>
          <w:trHeight w:val="430"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3、县级专项资金（一个专项一行）</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p>
        </w:tc>
      </w:tr>
      <w:tr>
        <w:tblPrEx>
          <w:tblCellMar>
            <w:top w:w="0" w:type="dxa"/>
            <w:left w:w="108" w:type="dxa"/>
            <w:bottom w:w="0" w:type="dxa"/>
            <w:right w:w="108" w:type="dxa"/>
          </w:tblCellMar>
        </w:tblPrEx>
        <w:trPr>
          <w:trHeight w:val="405"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其他支出</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392"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政府采购金额</w:t>
            </w:r>
          </w:p>
        </w:tc>
        <w:tc>
          <w:tcPr>
            <w:tcW w:w="1420"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2459"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c>
          <w:tcPr>
            <w:tcW w:w="1796" w:type="dxa"/>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550" w:hRule="atLeast"/>
          <w:jc w:val="center"/>
        </w:trPr>
        <w:tc>
          <w:tcPr>
            <w:tcW w:w="3903"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厉行节约保障措施</w:t>
            </w:r>
          </w:p>
        </w:tc>
        <w:tc>
          <w:tcPr>
            <w:tcW w:w="5675" w:type="dxa"/>
            <w:gridSpan w:val="3"/>
            <w:tcBorders>
              <w:top w:val="single" w:color="auto" w:sz="4" w:space="0"/>
              <w:left w:val="nil"/>
              <w:bottom w:val="single" w:color="auto" w:sz="4" w:space="0"/>
              <w:right w:val="single" w:color="000000" w:sz="4" w:space="0"/>
            </w:tcBorders>
            <w:vAlign w:val="center"/>
          </w:tcPr>
          <w:p>
            <w:pPr>
              <w:widowControl/>
              <w:adjustRightInd/>
              <w:snapToGrid/>
              <w:spacing w:after="0" w:line="240" w:lineRule="auto"/>
              <w:jc w:val="center"/>
              <w:rPr>
                <w:rFonts w:hint="eastAsia" w:ascii="Times New Roman" w:hAnsi="Times New Roman" w:eastAsia="宋体" w:cs="Times New Roman"/>
                <w:kern w:val="0"/>
                <w:sz w:val="21"/>
                <w:szCs w:val="21"/>
              </w:rPr>
            </w:pPr>
          </w:p>
        </w:tc>
      </w:tr>
    </w:tbl>
    <w:p>
      <w:pPr>
        <w:spacing w:beforeLines="20"/>
        <w:rPr>
          <w:rFonts w:hint="eastAsia" w:ascii="Times New Roman" w:hAnsi="Times New Roman" w:eastAsia="微软雅黑"/>
          <w:sz w:val="24"/>
          <w:lang w:eastAsia="zh-CN"/>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ascii="Times New Roman" w:hAnsi="Times New Roman"/>
          <w:sz w:val="24"/>
        </w:rPr>
        <w:t xml:space="preserve">填表人： </w:t>
      </w:r>
      <w:r>
        <w:rPr>
          <w:rFonts w:hint="eastAsia" w:ascii="Times New Roman" w:hAnsi="Times New Roman"/>
          <w:sz w:val="24"/>
          <w:lang w:eastAsia="zh-CN"/>
        </w:rPr>
        <w:t>李华</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联系电话：               单位负责人签字：</w:t>
      </w:r>
      <w:r>
        <w:rPr>
          <w:rFonts w:hint="eastAsia" w:ascii="Times New Roman" w:hAnsi="Times New Roman"/>
          <w:sz w:val="24"/>
          <w:lang w:eastAsia="zh-CN"/>
        </w:rPr>
        <w:t>宋敏</w:t>
      </w:r>
    </w:p>
    <w:p>
      <w:pPr>
        <w:spacing w:beforeLines="2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pPr>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w:t>
      </w:r>
      <w:r>
        <w:rPr>
          <w:rFonts w:hint="eastAsia" w:ascii="Times New Roman" w:hAnsi="Times New Roman" w:eastAsia="方正小标宋_GBK"/>
          <w:sz w:val="28"/>
          <w:szCs w:val="28"/>
          <w:lang w:val="en-US" w:eastAsia="zh-CN"/>
        </w:rPr>
        <w:t>2022</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lang w:eastAsia="zh-CN"/>
        </w:rPr>
        <w:t>衡阳县市政工程管理处</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填报时间：</w:t>
      </w:r>
    </w:p>
    <w:tbl>
      <w:tblPr>
        <w:tblStyle w:val="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161"/>
        <w:gridCol w:w="894"/>
        <w:gridCol w:w="1823"/>
        <w:gridCol w:w="1393"/>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2955" w:type="dxa"/>
            <w:gridSpan w:val="4"/>
            <w:vAlign w:val="center"/>
          </w:tcPr>
          <w:p>
            <w:pPr>
              <w:jc w:val="center"/>
              <w:rPr>
                <w:rFonts w:ascii="Times New Roman" w:hAnsi="Times New Roman"/>
                <w:color w:val="000000"/>
                <w:szCs w:val="21"/>
              </w:rPr>
            </w:pPr>
          </w:p>
        </w:tc>
        <w:tc>
          <w:tcPr>
            <w:tcW w:w="1823" w:type="dxa"/>
            <w:vAlign w:val="center"/>
          </w:tcPr>
          <w:p>
            <w:pPr>
              <w:jc w:val="center"/>
              <w:rPr>
                <w:rFonts w:ascii="Times New Roman" w:hAnsi="Times New Roman"/>
                <w:color w:val="000000"/>
                <w:szCs w:val="21"/>
              </w:rPr>
            </w:pPr>
            <w:r>
              <w:rPr>
                <w:rFonts w:ascii="Times New Roman" w:hAnsi="Times New Roman"/>
                <w:color w:val="000000"/>
                <w:szCs w:val="21"/>
              </w:rPr>
              <w:t>全年预算数</w:t>
            </w:r>
          </w:p>
        </w:tc>
        <w:tc>
          <w:tcPr>
            <w:tcW w:w="1393" w:type="dxa"/>
            <w:vAlign w:val="center"/>
          </w:tcPr>
          <w:p>
            <w:pPr>
              <w:jc w:val="center"/>
              <w:rPr>
                <w:rFonts w:ascii="Times New Roman" w:hAnsi="Times New Roman"/>
                <w:color w:val="000000"/>
                <w:szCs w:val="21"/>
              </w:rPr>
            </w:pPr>
            <w:r>
              <w:rPr>
                <w:rFonts w:ascii="Times New Roman" w:hAnsi="Times New Roman"/>
                <w:color w:val="000000"/>
                <w:szCs w:val="21"/>
              </w:rPr>
              <w:t>全年执行数</w:t>
            </w:r>
          </w:p>
        </w:tc>
        <w:tc>
          <w:tcPr>
            <w:tcW w:w="1358" w:type="dxa"/>
            <w:vAlign w:val="center"/>
          </w:tcPr>
          <w:p>
            <w:pPr>
              <w:jc w:val="center"/>
              <w:rPr>
                <w:rFonts w:ascii="Times New Roman" w:hAnsi="Times New Roman"/>
                <w:color w:val="000000"/>
                <w:szCs w:val="21"/>
              </w:rPr>
            </w:pPr>
            <w:r>
              <w:rPr>
                <w:rFonts w:ascii="Times New Roman" w:hAnsi="Times New Roman"/>
                <w:color w:val="000000"/>
                <w:szCs w:val="21"/>
              </w:rPr>
              <w:t>预算执行率</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年度资金总额　</w:t>
            </w:r>
          </w:p>
        </w:tc>
        <w:tc>
          <w:tcPr>
            <w:tcW w:w="182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641.45</w:t>
            </w:r>
          </w:p>
        </w:tc>
        <w:tc>
          <w:tcPr>
            <w:tcW w:w="1393"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1602.96</w:t>
            </w:r>
            <w:r>
              <w:rPr>
                <w:rFonts w:ascii="Times New Roman" w:hAnsi="Times New Roman"/>
                <w:color w:val="000000"/>
                <w:szCs w:val="21"/>
              </w:rPr>
              <w:t>　</w:t>
            </w:r>
          </w:p>
        </w:tc>
        <w:tc>
          <w:tcPr>
            <w:tcW w:w="1358"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100%</w:t>
            </w:r>
            <w:r>
              <w:rPr>
                <w:rFonts w:ascii="Times New Roman" w:hAnsi="Times New Roman"/>
                <w:color w:val="000000"/>
                <w:szCs w:val="21"/>
              </w:rPr>
              <w:t>　</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93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778" w:type="dxa"/>
            <w:gridSpan w:val="5"/>
            <w:vAlign w:val="center"/>
          </w:tcPr>
          <w:p>
            <w:pPr>
              <w:jc w:val="center"/>
              <w:rPr>
                <w:rFonts w:ascii="Times New Roman" w:hAnsi="Times New Roman"/>
                <w:color w:val="000000"/>
                <w:szCs w:val="21"/>
              </w:rPr>
            </w:pPr>
            <w:r>
              <w:rPr>
                <w:rFonts w:ascii="Times New Roman" w:hAnsi="Times New Roman"/>
                <w:color w:val="000000"/>
                <w:szCs w:val="21"/>
              </w:rPr>
              <w:t>按收入性质分类</w:t>
            </w:r>
          </w:p>
        </w:tc>
        <w:tc>
          <w:tcPr>
            <w:tcW w:w="4522" w:type="dxa"/>
            <w:gridSpan w:val="4"/>
            <w:vAlign w:val="center"/>
          </w:tcPr>
          <w:p>
            <w:pPr>
              <w:jc w:val="center"/>
              <w:rPr>
                <w:rFonts w:ascii="Times New Roman" w:hAnsi="Times New Roman"/>
                <w:color w:val="000000"/>
                <w:szCs w:val="21"/>
              </w:rPr>
            </w:pPr>
            <w:r>
              <w:rPr>
                <w:rFonts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一般公共预算拨款</w:t>
            </w:r>
          </w:p>
        </w:tc>
        <w:tc>
          <w:tcPr>
            <w:tcW w:w="182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1146.99</w:t>
            </w:r>
          </w:p>
        </w:tc>
        <w:tc>
          <w:tcPr>
            <w:tcW w:w="2751" w:type="dxa"/>
            <w:gridSpan w:val="2"/>
            <w:vAlign w:val="center"/>
          </w:tcPr>
          <w:p>
            <w:pPr>
              <w:jc w:val="center"/>
              <w:rPr>
                <w:rFonts w:ascii="Times New Roman" w:hAnsi="Times New Roman"/>
                <w:color w:val="000000"/>
                <w:szCs w:val="21"/>
              </w:rPr>
            </w:pPr>
            <w:r>
              <w:rPr>
                <w:rFonts w:ascii="Times New Roman" w:hAnsi="Times New Roman"/>
                <w:color w:val="000000"/>
                <w:szCs w:val="21"/>
              </w:rPr>
              <w:t>基本支出</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631.04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政府性基金拨款</w:t>
            </w:r>
          </w:p>
        </w:tc>
        <w:tc>
          <w:tcPr>
            <w:tcW w:w="1823"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0</w:t>
            </w:r>
          </w:p>
        </w:tc>
        <w:tc>
          <w:tcPr>
            <w:tcW w:w="2751" w:type="dxa"/>
            <w:gridSpan w:val="2"/>
            <w:vAlign w:val="center"/>
          </w:tcPr>
          <w:p>
            <w:pPr>
              <w:jc w:val="center"/>
              <w:textAlignment w:val="center"/>
              <w:rPr>
                <w:rFonts w:ascii="Times New Roman" w:hAnsi="Times New Roman"/>
                <w:color w:val="000000"/>
                <w:szCs w:val="21"/>
              </w:rPr>
            </w:pPr>
            <w:r>
              <w:rPr>
                <w:rFonts w:ascii="Times New Roman" w:hAnsi="Times New Roman"/>
                <w:color w:val="000000"/>
                <w:szCs w:val="21"/>
              </w:rPr>
              <w:t xml:space="preserve">         1.人员经费</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纳入管理的非税收入拨款</w:t>
            </w:r>
          </w:p>
        </w:tc>
        <w:tc>
          <w:tcPr>
            <w:tcW w:w="1823" w:type="dxa"/>
            <w:vAlign w:val="center"/>
          </w:tcPr>
          <w:p>
            <w:pPr>
              <w:jc w:val="center"/>
              <w:rPr>
                <w:rFonts w:hint="eastAsia" w:ascii="Times New Roman" w:hAnsi="Times New Roman" w:eastAsia="微软雅黑"/>
                <w:color w:val="000000"/>
                <w:szCs w:val="21"/>
                <w:lang w:val="en-US" w:eastAsia="zh-CN"/>
              </w:rPr>
            </w:pPr>
            <w:r>
              <w:rPr>
                <w:rFonts w:ascii="Times New Roman" w:hAnsi="Times New Roman"/>
                <w:color w:val="000000"/>
                <w:szCs w:val="21"/>
              </w:rPr>
              <w:t>　</w:t>
            </w:r>
            <w:r>
              <w:rPr>
                <w:rFonts w:hint="eastAsia" w:ascii="Times New Roman" w:hAnsi="Times New Roman"/>
                <w:color w:val="000000"/>
                <w:szCs w:val="21"/>
                <w:lang w:val="en-US" w:eastAsia="zh-CN"/>
              </w:rPr>
              <w:t>0</w:t>
            </w:r>
          </w:p>
        </w:tc>
        <w:tc>
          <w:tcPr>
            <w:tcW w:w="2751" w:type="dxa"/>
            <w:gridSpan w:val="2"/>
            <w:vAlign w:val="center"/>
          </w:tcPr>
          <w:p>
            <w:pPr>
              <w:ind w:firstLine="440" w:firstLineChars="200"/>
              <w:jc w:val="center"/>
              <w:textAlignment w:val="center"/>
              <w:rPr>
                <w:rFonts w:ascii="Times New Roman" w:hAnsi="Times New Roman"/>
                <w:color w:val="000000"/>
                <w:szCs w:val="21"/>
              </w:rPr>
            </w:pPr>
            <w:r>
              <w:rPr>
                <w:rFonts w:ascii="Times New Roman" w:hAnsi="Times New Roman"/>
                <w:color w:val="000000"/>
                <w:szCs w:val="21"/>
              </w:rPr>
              <w:t xml:space="preserve">     2.公用经费</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……拨款</w:t>
            </w:r>
          </w:p>
        </w:tc>
        <w:tc>
          <w:tcPr>
            <w:tcW w:w="1823"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0</w:t>
            </w:r>
          </w:p>
        </w:tc>
        <w:tc>
          <w:tcPr>
            <w:tcW w:w="2751" w:type="dxa"/>
            <w:gridSpan w:val="2"/>
            <w:vAlign w:val="center"/>
          </w:tcPr>
          <w:p>
            <w:pPr>
              <w:jc w:val="right"/>
              <w:rPr>
                <w:rFonts w:ascii="Times New Roman" w:hAnsi="Times New Roman"/>
                <w:color w:val="000000"/>
                <w:szCs w:val="21"/>
              </w:rPr>
            </w:pPr>
            <w:r>
              <w:rPr>
                <w:rFonts w:ascii="Times New Roman" w:hAnsi="Times New Roman"/>
                <w:color w:val="000000"/>
                <w:szCs w:val="21"/>
              </w:rPr>
              <w:t>其中：三公经费</w:t>
            </w:r>
          </w:p>
        </w:tc>
        <w:tc>
          <w:tcPr>
            <w:tcW w:w="1771" w:type="dxa"/>
            <w:gridSpan w:val="2"/>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其他资金</w:t>
            </w:r>
          </w:p>
        </w:tc>
        <w:tc>
          <w:tcPr>
            <w:tcW w:w="1823"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455.98</w:t>
            </w:r>
            <w:r>
              <w:rPr>
                <w:rFonts w:ascii="Times New Roman" w:hAnsi="Times New Roman"/>
                <w:color w:val="000000"/>
                <w:szCs w:val="21"/>
              </w:rPr>
              <w:t>　</w:t>
            </w:r>
          </w:p>
        </w:tc>
        <w:tc>
          <w:tcPr>
            <w:tcW w:w="2751" w:type="dxa"/>
            <w:gridSpan w:val="2"/>
            <w:vAlign w:val="center"/>
          </w:tcPr>
          <w:p>
            <w:pPr>
              <w:jc w:val="center"/>
              <w:rPr>
                <w:rFonts w:ascii="Times New Roman" w:hAnsi="Times New Roman"/>
                <w:color w:val="000000"/>
                <w:szCs w:val="21"/>
              </w:rPr>
            </w:pPr>
            <w:r>
              <w:rPr>
                <w:rFonts w:ascii="Times New Roman" w:hAnsi="Times New Roman"/>
                <w:color w:val="000000"/>
                <w:szCs w:val="21"/>
              </w:rPr>
              <w:t>项目支出</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971.92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4778" w:type="dxa"/>
            <w:gridSpan w:val="5"/>
            <w:vAlign w:val="center"/>
          </w:tcPr>
          <w:p>
            <w:pPr>
              <w:jc w:val="center"/>
              <w:rPr>
                <w:rFonts w:ascii="Times New Roman" w:hAnsi="Times New Roman"/>
                <w:color w:val="000000"/>
                <w:szCs w:val="21"/>
              </w:rPr>
            </w:pPr>
            <w:r>
              <w:rPr>
                <w:rFonts w:ascii="Times New Roman" w:hAnsi="Times New Roman"/>
                <w:color w:val="000000"/>
                <w:szCs w:val="21"/>
              </w:rPr>
              <w:t>年初预期（设定）目标　</w:t>
            </w:r>
          </w:p>
        </w:tc>
        <w:tc>
          <w:tcPr>
            <w:tcW w:w="4522" w:type="dxa"/>
            <w:gridSpan w:val="4"/>
            <w:vAlign w:val="center"/>
          </w:tcPr>
          <w:p>
            <w:pPr>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778" w:type="dxa"/>
            <w:gridSpan w:val="5"/>
            <w:vAlign w:val="center"/>
          </w:tcPr>
          <w:p>
            <w:pPr>
              <w:widowControl/>
              <w:rPr>
                <w:rFonts w:hint="eastAsia" w:ascii="宋体" w:hAnsi="宋体" w:eastAsia="宋体" w:cs="宋体"/>
                <w:color w:val="000000"/>
                <w:kern w:val="0"/>
                <w:szCs w:val="21"/>
                <w:lang w:eastAsia="zh-CN" w:bidi="ar"/>
              </w:rPr>
            </w:pPr>
            <w:r>
              <w:rPr>
                <w:rFonts w:ascii="Times New Roman" w:hAnsi="Times New Roman"/>
                <w:color w:val="000000"/>
                <w:szCs w:val="21"/>
              </w:rPr>
              <w:t>　</w:t>
            </w:r>
            <w:r>
              <w:rPr>
                <w:rFonts w:hint="eastAsia" w:ascii="宋体" w:hAnsi="宋体" w:cs="宋体"/>
                <w:color w:val="000000"/>
                <w:kern w:val="0"/>
                <w:szCs w:val="21"/>
              </w:rPr>
              <w:t>　</w:t>
            </w:r>
            <w:r>
              <w:rPr>
                <w:rFonts w:hint="eastAsia" w:ascii="宋体" w:hAnsi="宋体" w:cs="宋体"/>
                <w:color w:val="000000"/>
                <w:kern w:val="0"/>
                <w:szCs w:val="21"/>
                <w:lang w:eastAsia="zh-CN" w:bidi="ar"/>
              </w:rPr>
              <w:t>完成好市政设施维护工作，确保市政设施完好率在</w:t>
            </w:r>
            <w:r>
              <w:rPr>
                <w:rFonts w:hint="eastAsia" w:ascii="宋体" w:hAnsi="宋体" w:cs="宋体"/>
                <w:color w:val="000000"/>
                <w:kern w:val="0"/>
                <w:szCs w:val="21"/>
                <w:lang w:val="en-US" w:eastAsia="zh-CN" w:bidi="ar"/>
              </w:rPr>
              <w:t>95%以上；</w:t>
            </w:r>
            <w:r>
              <w:rPr>
                <w:rFonts w:hint="eastAsia" w:ascii="宋体" w:hAnsi="宋体" w:cs="宋体"/>
                <w:color w:val="000000"/>
                <w:kern w:val="0"/>
                <w:szCs w:val="21"/>
                <w:lang w:eastAsia="zh-CN" w:bidi="ar"/>
              </w:rPr>
              <w:t>积极开展多项民生事业项目，获得广大群众好评；圆满完成各项责任目标。</w:t>
            </w:r>
          </w:p>
          <w:p>
            <w:pPr>
              <w:rPr>
                <w:rFonts w:ascii="Times New Roman" w:hAnsi="Times New Roman"/>
                <w:color w:val="000000"/>
                <w:szCs w:val="21"/>
              </w:rPr>
            </w:pPr>
          </w:p>
        </w:tc>
        <w:tc>
          <w:tcPr>
            <w:tcW w:w="4522" w:type="dxa"/>
            <w:gridSpan w:val="4"/>
            <w:vAlign w:val="center"/>
          </w:tcPr>
          <w:p>
            <w:pPr>
              <w:jc w:val="center"/>
              <w:rPr>
                <w:rFonts w:ascii="Times New Roman" w:hAnsi="Times New Roman"/>
                <w:color w:val="000000"/>
                <w:szCs w:val="21"/>
              </w:rPr>
            </w:pP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eastAsia="zh-CN" w:bidi="ar"/>
              </w:rPr>
              <w:t>已完成好市政设施维护工作，确保市政设施完好率在</w:t>
            </w:r>
            <w:r>
              <w:rPr>
                <w:rFonts w:hint="eastAsia" w:ascii="宋体" w:hAnsi="宋体" w:cs="宋体"/>
                <w:color w:val="000000"/>
                <w:kern w:val="0"/>
                <w:szCs w:val="21"/>
                <w:lang w:val="en-US" w:eastAsia="zh-CN" w:bidi="ar"/>
              </w:rPr>
              <w:t>96%以上；</w:t>
            </w:r>
            <w:r>
              <w:rPr>
                <w:rFonts w:hint="eastAsia" w:ascii="宋体" w:hAnsi="宋体" w:cs="宋体"/>
                <w:color w:val="000000"/>
                <w:kern w:val="0"/>
                <w:szCs w:val="21"/>
                <w:lang w:eastAsia="zh-CN" w:bidi="ar"/>
              </w:rPr>
              <w:t>积极开展多项民生事业项目，获得广大群众好评；圆满完成各项责任目标。</w:t>
            </w:r>
            <w:r>
              <w:rPr>
                <w:rFonts w:ascii="Times New Roman" w:hAnsi="Times New Roman"/>
                <w:color w:val="000000"/>
                <w:szCs w:val="21"/>
              </w:rPr>
              <w:t>　</w:t>
            </w:r>
          </w:p>
          <w:p>
            <w:pPr>
              <w:jc w:val="center"/>
              <w:rPr>
                <w:rFonts w:ascii="Times New Roman" w:hAnsi="Times New Roman"/>
                <w:color w:val="000000"/>
                <w:szCs w:val="21"/>
              </w:rPr>
            </w:pP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textDirection w:val="tbRlV"/>
            <w:vAlign w:val="center"/>
          </w:tcPr>
          <w:p>
            <w:pPr>
              <w:jc w:val="center"/>
              <w:rPr>
                <w:rFonts w:ascii="Times New Roman" w:hAnsi="Times New Roman"/>
                <w:color w:val="000000"/>
                <w:sz w:val="24"/>
              </w:rPr>
            </w:pPr>
            <w:r>
              <w:rPr>
                <w:rFonts w:ascii="Times New Roman" w:hAnsi="Times New Roman"/>
                <w:color w:val="000000"/>
                <w:sz w:val="24"/>
              </w:rPr>
              <w:t>绩效指标</w:t>
            </w:r>
          </w:p>
        </w:tc>
        <w:tc>
          <w:tcPr>
            <w:tcW w:w="900" w:type="dxa"/>
            <w:gridSpan w:val="2"/>
            <w:vAlign w:val="center"/>
          </w:tcPr>
          <w:p>
            <w:pPr>
              <w:jc w:val="center"/>
              <w:rPr>
                <w:rFonts w:ascii="Times New Roman" w:hAnsi="Times New Roman"/>
                <w:color w:val="000000"/>
                <w:szCs w:val="21"/>
              </w:rPr>
            </w:pPr>
            <w:r>
              <w:rPr>
                <w:rFonts w:ascii="Times New Roman" w:hAnsi="Times New Roman"/>
                <w:color w:val="000000"/>
                <w:szCs w:val="21"/>
              </w:rPr>
              <w:t>一级</w:t>
            </w:r>
          </w:p>
          <w:p>
            <w:pPr>
              <w:jc w:val="center"/>
              <w:rPr>
                <w:rFonts w:ascii="Times New Roman" w:hAnsi="Times New Roman"/>
                <w:color w:val="000000"/>
                <w:szCs w:val="21"/>
              </w:rPr>
            </w:pPr>
            <w:r>
              <w:rPr>
                <w:rFonts w:ascii="Times New Roman" w:hAnsi="Times New Roman"/>
                <w:color w:val="000000"/>
                <w:szCs w:val="21"/>
              </w:rPr>
              <w:t>指标</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二级指标</w:t>
            </w:r>
          </w:p>
        </w:tc>
        <w:tc>
          <w:tcPr>
            <w:tcW w:w="2717" w:type="dxa"/>
            <w:gridSpan w:val="2"/>
            <w:vAlign w:val="center"/>
          </w:tcPr>
          <w:p>
            <w:pPr>
              <w:jc w:val="center"/>
              <w:rPr>
                <w:rFonts w:ascii="Times New Roman" w:hAnsi="Times New Roman"/>
                <w:color w:val="000000"/>
                <w:szCs w:val="21"/>
              </w:rPr>
            </w:pPr>
            <w:r>
              <w:rPr>
                <w:rFonts w:ascii="Times New Roman" w:hAnsi="Times New Roman"/>
                <w:color w:val="000000"/>
                <w:szCs w:val="21"/>
              </w:rPr>
              <w:t>三级指标　</w:t>
            </w:r>
          </w:p>
        </w:tc>
        <w:tc>
          <w:tcPr>
            <w:tcW w:w="1393" w:type="dxa"/>
            <w:vAlign w:val="center"/>
          </w:tcPr>
          <w:p>
            <w:pPr>
              <w:jc w:val="center"/>
              <w:rPr>
                <w:rFonts w:ascii="Times New Roman" w:hAnsi="Times New Roman"/>
                <w:color w:val="000000"/>
                <w:szCs w:val="21"/>
              </w:rPr>
            </w:pPr>
            <w:r>
              <w:rPr>
                <w:rFonts w:ascii="Times New Roman" w:hAnsi="Times New Roman"/>
                <w:color w:val="000000"/>
                <w:szCs w:val="21"/>
              </w:rPr>
              <w:t>年度指标值</w:t>
            </w:r>
          </w:p>
        </w:tc>
        <w:tc>
          <w:tcPr>
            <w:tcW w:w="1358" w:type="dxa"/>
            <w:vAlign w:val="center"/>
          </w:tcPr>
          <w:p>
            <w:pPr>
              <w:jc w:val="center"/>
              <w:rPr>
                <w:rFonts w:ascii="Times New Roman" w:hAnsi="Times New Roman"/>
                <w:color w:val="000000"/>
                <w:szCs w:val="21"/>
              </w:rPr>
            </w:pPr>
            <w:r>
              <w:rPr>
                <w:rFonts w:ascii="Times New Roman" w:hAnsi="Times New Roman"/>
                <w:color w:val="000000"/>
                <w:szCs w:val="21"/>
              </w:rPr>
              <w:t>实际完成值</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50"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restart"/>
            <w:vAlign w:val="center"/>
          </w:tcPr>
          <w:p>
            <w:pPr>
              <w:jc w:val="center"/>
              <w:rPr>
                <w:rFonts w:ascii="Times New Roman" w:hAnsi="Times New Roman"/>
                <w:color w:val="000000"/>
              </w:rPr>
            </w:pPr>
            <w:r>
              <w:rPr>
                <w:rFonts w:ascii="Times New Roman" w:hAnsi="Times New Roman"/>
                <w:color w:val="000000"/>
              </w:rPr>
              <w:t>产出</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（50分）</w:t>
            </w:r>
          </w:p>
        </w:tc>
        <w:tc>
          <w:tcPr>
            <w:tcW w:w="1161" w:type="dxa"/>
            <w:vMerge w:val="restart"/>
            <w:vAlign w:val="center"/>
          </w:tcPr>
          <w:p>
            <w:pPr>
              <w:jc w:val="center"/>
              <w:rPr>
                <w:rFonts w:ascii="Times New Roman" w:hAnsi="Times New Roman"/>
                <w:color w:val="000000"/>
                <w:szCs w:val="21"/>
              </w:rPr>
            </w:pPr>
            <w:r>
              <w:rPr>
                <w:rFonts w:ascii="Times New Roman" w:hAnsi="Times New Roman"/>
                <w:color w:val="000000"/>
                <w:szCs w:val="21"/>
              </w:rPr>
              <w:t>数量指标</w:t>
            </w:r>
          </w:p>
        </w:tc>
        <w:tc>
          <w:tcPr>
            <w:tcW w:w="2717" w:type="dxa"/>
            <w:gridSpan w:val="2"/>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完成年度市政设施维护任务</w:t>
            </w:r>
          </w:p>
        </w:tc>
        <w:tc>
          <w:tcPr>
            <w:tcW w:w="1393"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8"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c>
          <w:tcPr>
            <w:tcW w:w="840"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31"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717" w:type="dxa"/>
            <w:gridSpan w:val="2"/>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12345工单回复处理</w:t>
            </w:r>
          </w:p>
        </w:tc>
        <w:tc>
          <w:tcPr>
            <w:tcW w:w="1393"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8"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840"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31"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51"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质量指标</w:t>
            </w:r>
          </w:p>
        </w:tc>
        <w:tc>
          <w:tcPr>
            <w:tcW w:w="2717" w:type="dxa"/>
            <w:gridSpan w:val="2"/>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开展多项民生项目，完成各项责任目标</w:t>
            </w:r>
          </w:p>
        </w:tc>
        <w:tc>
          <w:tcPr>
            <w:tcW w:w="1393"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8"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w:t>
            </w:r>
          </w:p>
        </w:tc>
        <w:tc>
          <w:tcPr>
            <w:tcW w:w="840"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31"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时效指标</w:t>
            </w:r>
          </w:p>
        </w:tc>
        <w:tc>
          <w:tcPr>
            <w:tcW w:w="2717" w:type="dxa"/>
            <w:gridSpan w:val="2"/>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完成时限率</w:t>
            </w:r>
          </w:p>
        </w:tc>
        <w:tc>
          <w:tcPr>
            <w:tcW w:w="1393"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8"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840"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31"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成本指标</w:t>
            </w:r>
          </w:p>
        </w:tc>
        <w:tc>
          <w:tcPr>
            <w:tcW w:w="2717" w:type="dxa"/>
            <w:gridSpan w:val="2"/>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控制成本率</w:t>
            </w:r>
          </w:p>
        </w:tc>
        <w:tc>
          <w:tcPr>
            <w:tcW w:w="1393" w:type="dxa"/>
            <w:vAlign w:val="center"/>
          </w:tcPr>
          <w:p>
            <w:pPr>
              <w:widowControl/>
              <w:adjustRightInd/>
              <w:snapToGrid/>
              <w:spacing w:after="0"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8" w:type="dxa"/>
            <w:vAlign w:val="center"/>
          </w:tcPr>
          <w:p>
            <w:pPr>
              <w:widowControl/>
              <w:adjustRightInd/>
              <w:snapToGrid/>
              <w:spacing w:after="0" w:line="24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840" w:type="dxa"/>
            <w:vAlign w:val="center"/>
          </w:tcPr>
          <w:p>
            <w:pPr>
              <w:widowControl/>
              <w:adjustRightInd/>
              <w:snapToGrid/>
              <w:spacing w:after="0" w:line="24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31" w:type="dxa"/>
            <w:vAlign w:val="center"/>
          </w:tcPr>
          <w:p>
            <w:pPr>
              <w:widowControl/>
              <w:adjustRightInd/>
              <w:snapToGrid/>
              <w:spacing w:after="0" w:line="24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67" w:hRule="exact"/>
          <w:jc w:val="center"/>
        </w:trPr>
        <w:tc>
          <w:tcPr>
            <w:tcW w:w="612" w:type="dxa"/>
            <w:vMerge w:val="restart"/>
            <w:vAlign w:val="center"/>
          </w:tcPr>
          <w:p>
            <w:pPr>
              <w:jc w:val="center"/>
              <w:rPr>
                <w:rFonts w:ascii="Times New Roman" w:hAnsi="Times New Roman"/>
                <w:color w:val="000000"/>
                <w:szCs w:val="21"/>
              </w:rPr>
            </w:pPr>
            <w:r>
              <w:rPr>
                <w:rFonts w:ascii="Times New Roman" w:hAnsi="Times New Roman"/>
                <w:color w:val="000000"/>
                <w:sz w:val="24"/>
              </w:rPr>
              <w:t>绩效指标</w:t>
            </w:r>
          </w:p>
        </w:tc>
        <w:tc>
          <w:tcPr>
            <w:tcW w:w="900" w:type="dxa"/>
            <w:gridSpan w:val="2"/>
            <w:vMerge w:val="restart"/>
            <w:vAlign w:val="center"/>
          </w:tcPr>
          <w:p>
            <w:pPr>
              <w:jc w:val="center"/>
              <w:rPr>
                <w:rFonts w:ascii="Times New Roman" w:hAnsi="Times New Roman"/>
                <w:color w:val="000000"/>
                <w:sz w:val="24"/>
              </w:rPr>
            </w:pPr>
            <w:r>
              <w:rPr>
                <w:rFonts w:ascii="Times New Roman" w:hAnsi="Times New Roman"/>
                <w:color w:val="000000"/>
              </w:rPr>
              <w:t>效益</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（30分）</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经济效益指标</w:t>
            </w:r>
          </w:p>
        </w:tc>
        <w:tc>
          <w:tcPr>
            <w:tcW w:w="2717" w:type="dxa"/>
            <w:gridSpan w:val="2"/>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 w:val="18"/>
                <w:szCs w:val="18"/>
                <w:lang w:eastAsia="zh-CN" w:bidi="ar"/>
              </w:rPr>
              <w:t>单位主要负责市政设施维护与管理</w:t>
            </w:r>
            <w:r>
              <w:rPr>
                <w:rFonts w:hint="eastAsia" w:ascii="宋体" w:hAnsi="宋体" w:cs="宋体"/>
                <w:color w:val="000000"/>
                <w:kern w:val="0"/>
                <w:szCs w:val="21"/>
              </w:rPr>
              <w:t>　</w:t>
            </w:r>
          </w:p>
        </w:tc>
        <w:tc>
          <w:tcPr>
            <w:tcW w:w="1393" w:type="dxa"/>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sz w:val="18"/>
                <w:szCs w:val="18"/>
                <w:lang w:eastAsia="zh-CN"/>
              </w:rPr>
              <w:t>无经济效益</w:t>
            </w:r>
          </w:p>
        </w:tc>
        <w:tc>
          <w:tcPr>
            <w:tcW w:w="1358" w:type="dxa"/>
            <w:vAlign w:val="center"/>
          </w:tcPr>
          <w:p>
            <w:pPr>
              <w:widowControl/>
              <w:jc w:val="center"/>
              <w:rPr>
                <w:rFonts w:hint="eastAsia" w:ascii="宋体" w:hAnsi="宋体" w:eastAsia="宋体" w:cs="宋体"/>
                <w:color w:val="000000"/>
                <w:kern w:val="0"/>
                <w:sz w:val="21"/>
                <w:szCs w:val="21"/>
                <w:lang w:val="en-US" w:eastAsia="zh-CN" w:bidi="ar-SA"/>
              </w:rPr>
            </w:pPr>
          </w:p>
        </w:tc>
        <w:tc>
          <w:tcPr>
            <w:tcW w:w="840"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931"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9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社会效益指标</w:t>
            </w:r>
          </w:p>
        </w:tc>
        <w:tc>
          <w:tcPr>
            <w:tcW w:w="2717" w:type="dxa"/>
            <w:gridSpan w:val="2"/>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确保县城市政设施完好，打造精致精美，清新清爽的人居环境</w:t>
            </w:r>
          </w:p>
        </w:tc>
        <w:tc>
          <w:tcPr>
            <w:tcW w:w="1393" w:type="dxa"/>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100%</w:t>
            </w:r>
          </w:p>
        </w:tc>
        <w:tc>
          <w:tcPr>
            <w:tcW w:w="1358"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sz w:val="18"/>
                <w:szCs w:val="18"/>
                <w:lang w:val="en-US" w:eastAsia="zh-CN"/>
              </w:rPr>
              <w:t>98%</w:t>
            </w:r>
          </w:p>
        </w:tc>
        <w:tc>
          <w:tcPr>
            <w:tcW w:w="840"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931" w:type="dxa"/>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20"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生态效益指标</w:t>
            </w:r>
          </w:p>
        </w:tc>
        <w:tc>
          <w:tcPr>
            <w:tcW w:w="2717" w:type="dxa"/>
            <w:gridSpan w:val="2"/>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生态环境持续向</w:t>
            </w:r>
          </w:p>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好发展</w:t>
            </w:r>
          </w:p>
        </w:tc>
        <w:tc>
          <w:tcPr>
            <w:tcW w:w="1393" w:type="dxa"/>
            <w:vAlign w:val="center"/>
          </w:tcPr>
          <w:p>
            <w:pPr>
              <w:jc w:val="center"/>
              <w:rPr>
                <w:rFonts w:hint="eastAsia" w:ascii="宋体" w:hAnsi="宋体" w:eastAsia="宋体" w:cs="宋体"/>
                <w:color w:val="000000"/>
                <w:kern w:val="2"/>
                <w:sz w:val="18"/>
                <w:szCs w:val="18"/>
                <w:lang w:val="en-US" w:eastAsia="zh-CN" w:bidi="ar-SA"/>
              </w:rPr>
            </w:pPr>
          </w:p>
        </w:tc>
        <w:tc>
          <w:tcPr>
            <w:tcW w:w="1358"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sz w:val="18"/>
                <w:szCs w:val="18"/>
                <w:lang w:eastAsia="zh-CN"/>
              </w:rPr>
              <w:t>污水处理提质增效</w:t>
            </w:r>
          </w:p>
        </w:tc>
        <w:tc>
          <w:tcPr>
            <w:tcW w:w="840" w:type="dxa"/>
            <w:vMerge w:val="restart"/>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w:t>
            </w:r>
          </w:p>
        </w:tc>
        <w:tc>
          <w:tcPr>
            <w:tcW w:w="931" w:type="dxa"/>
            <w:vMerge w:val="restart"/>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47"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可持续影响指标</w:t>
            </w:r>
          </w:p>
        </w:tc>
        <w:tc>
          <w:tcPr>
            <w:tcW w:w="2717" w:type="dxa"/>
            <w:gridSpan w:val="2"/>
            <w:vAlign w:val="center"/>
          </w:tcPr>
          <w:p>
            <w:pPr>
              <w:widowControl/>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18"/>
                <w:szCs w:val="18"/>
                <w:lang w:eastAsia="zh-CN" w:bidi="ar"/>
              </w:rPr>
              <w:t>工作质量稳步提升，市政设施完好率持续上升</w:t>
            </w:r>
          </w:p>
        </w:tc>
        <w:tc>
          <w:tcPr>
            <w:tcW w:w="1393" w:type="dxa"/>
            <w:vAlign w:val="center"/>
          </w:tcPr>
          <w:p>
            <w:pPr>
              <w:widowControl/>
              <w:spacing w:line="28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1358" w:type="dxa"/>
            <w:vAlign w:val="center"/>
          </w:tcPr>
          <w:p>
            <w:pPr>
              <w:widowControl/>
              <w:spacing w:line="28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80%</w:t>
            </w:r>
          </w:p>
        </w:tc>
        <w:tc>
          <w:tcPr>
            <w:tcW w:w="840" w:type="dxa"/>
            <w:vMerge w:val="continue"/>
            <w:vAlign w:val="center"/>
          </w:tcPr>
          <w:p>
            <w:pPr>
              <w:spacing w:line="280" w:lineRule="exact"/>
              <w:jc w:val="center"/>
              <w:rPr>
                <w:rFonts w:ascii="Times New Roman" w:hAnsi="Times New Roman"/>
                <w:color w:val="000000"/>
                <w:szCs w:val="21"/>
              </w:rPr>
            </w:pPr>
          </w:p>
        </w:tc>
        <w:tc>
          <w:tcPr>
            <w:tcW w:w="931" w:type="dxa"/>
            <w:vMerge w:val="continue"/>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67" w:hRule="exact"/>
          <w:jc w:val="center"/>
        </w:trPr>
        <w:tc>
          <w:tcPr>
            <w:tcW w:w="612" w:type="dxa"/>
            <w:vMerge w:val="continue"/>
            <w:vAlign w:val="center"/>
          </w:tcPr>
          <w:p>
            <w:pPr>
              <w:rPr>
                <w:rFonts w:ascii="Times New Roman" w:hAnsi="Times New Roman"/>
                <w:color w:val="000000"/>
                <w:szCs w:val="21"/>
              </w:rPr>
            </w:pPr>
          </w:p>
        </w:tc>
        <w:tc>
          <w:tcPr>
            <w:tcW w:w="900" w:type="dxa"/>
            <w:gridSpan w:val="2"/>
            <w:vAlign w:val="center"/>
          </w:tcPr>
          <w:p>
            <w:pPr>
              <w:jc w:val="center"/>
              <w:rPr>
                <w:rFonts w:ascii="Times New Roman" w:hAnsi="Times New Roman"/>
                <w:color w:val="000000"/>
              </w:rPr>
            </w:pPr>
            <w:r>
              <w:rPr>
                <w:rFonts w:ascii="Times New Roman" w:hAnsi="Times New Roman"/>
                <w:color w:val="000000"/>
              </w:rPr>
              <w:t>满意度</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（10分）</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717" w:type="dxa"/>
            <w:gridSpan w:val="2"/>
            <w:vAlign w:val="center"/>
          </w:tcPr>
          <w:p>
            <w:pPr>
              <w:widowControl/>
              <w:rPr>
                <w:rFonts w:ascii="Times New Roman" w:hAnsi="Times New Roman"/>
                <w:color w:val="00000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服务及满意度</w:t>
            </w:r>
          </w:p>
        </w:tc>
        <w:tc>
          <w:tcPr>
            <w:tcW w:w="1393" w:type="dxa"/>
            <w:vAlign w:val="center"/>
          </w:tcPr>
          <w:p>
            <w:pPr>
              <w:widowControl/>
              <w:jc w:val="center"/>
              <w:rPr>
                <w:rFonts w:ascii="Times New Roman" w:hAnsi="Times New Roman"/>
                <w:color w:val="000000"/>
                <w:szCs w:val="21"/>
              </w:rPr>
            </w:pPr>
            <w:r>
              <w:rPr>
                <w:rFonts w:hint="eastAsia" w:ascii="宋体" w:hAnsi="宋体" w:cs="宋体"/>
                <w:color w:val="000000"/>
                <w:kern w:val="0"/>
                <w:szCs w:val="21"/>
                <w:lang w:val="en-US" w:eastAsia="zh-CN"/>
              </w:rPr>
              <w:t>100%</w:t>
            </w:r>
          </w:p>
        </w:tc>
        <w:tc>
          <w:tcPr>
            <w:tcW w:w="1358" w:type="dxa"/>
            <w:vAlign w:val="center"/>
          </w:tcPr>
          <w:p>
            <w:pPr>
              <w:widowControl/>
              <w:jc w:val="center"/>
              <w:rPr>
                <w:rFonts w:ascii="Times New Roman" w:hAnsi="Times New Roman"/>
                <w:color w:val="000000"/>
                <w:szCs w:val="21"/>
              </w:rPr>
            </w:pPr>
            <w:r>
              <w:rPr>
                <w:rFonts w:hint="eastAsia" w:ascii="宋体" w:hAnsi="宋体" w:cs="宋体"/>
                <w:color w:val="000000"/>
                <w:kern w:val="0"/>
                <w:szCs w:val="21"/>
                <w:lang w:val="en-US" w:eastAsia="zh-CN"/>
              </w:rPr>
              <w:t>98%</w:t>
            </w:r>
          </w:p>
        </w:tc>
        <w:tc>
          <w:tcPr>
            <w:tcW w:w="840" w:type="dxa"/>
            <w:vAlign w:val="center"/>
          </w:tcPr>
          <w:p>
            <w:pPr>
              <w:widowControl/>
              <w:jc w:val="center"/>
              <w:rPr>
                <w:rFonts w:ascii="Times New Roman" w:hAnsi="Times New Roman"/>
                <w:color w:val="000000"/>
                <w:szCs w:val="21"/>
              </w:rPr>
            </w:pPr>
            <w:r>
              <w:rPr>
                <w:rFonts w:hint="eastAsia" w:ascii="宋体" w:hAnsi="宋体" w:cs="宋体"/>
                <w:color w:val="000000"/>
                <w:kern w:val="0"/>
                <w:szCs w:val="21"/>
                <w:lang w:val="en-US" w:eastAsia="zh-CN"/>
              </w:rPr>
              <w:t>10</w:t>
            </w:r>
          </w:p>
        </w:tc>
        <w:tc>
          <w:tcPr>
            <w:tcW w:w="931" w:type="dxa"/>
            <w:vAlign w:val="center"/>
          </w:tcPr>
          <w:p>
            <w:pPr>
              <w:widowControl/>
              <w:jc w:val="center"/>
              <w:rPr>
                <w:rFonts w:ascii="Times New Roman" w:hAnsi="Times New Roman"/>
                <w:color w:val="000000"/>
                <w:szCs w:val="21"/>
              </w:rPr>
            </w:pPr>
            <w:r>
              <w:rPr>
                <w:rFonts w:hint="eastAsia" w:ascii="宋体" w:hAnsi="宋体" w:cs="宋体"/>
                <w:color w:val="000000"/>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673" w:type="dxa"/>
            <w:gridSpan w:val="4"/>
            <w:vAlign w:val="center"/>
          </w:tcPr>
          <w:p>
            <w:pPr>
              <w:jc w:val="center"/>
              <w:rPr>
                <w:rFonts w:ascii="Times New Roman" w:hAnsi="Times New Roman"/>
                <w:color w:val="000000"/>
                <w:szCs w:val="21"/>
              </w:rPr>
            </w:pPr>
            <w:r>
              <w:rPr>
                <w:rFonts w:ascii="Times New Roman" w:hAnsi="Times New Roman"/>
                <w:color w:val="000000"/>
                <w:szCs w:val="21"/>
              </w:rPr>
              <w:t>综合评定等级</w:t>
            </w:r>
          </w:p>
        </w:tc>
        <w:tc>
          <w:tcPr>
            <w:tcW w:w="2717" w:type="dxa"/>
            <w:gridSpan w:val="2"/>
            <w:vAlign w:val="center"/>
          </w:tcPr>
          <w:p>
            <w:pPr>
              <w:jc w:val="center"/>
              <w:rPr>
                <w:rFonts w:ascii="Times New Roman" w:hAnsi="Times New Roman"/>
                <w:color w:val="000000"/>
                <w:szCs w:val="21"/>
              </w:rPr>
            </w:pPr>
          </w:p>
        </w:tc>
        <w:tc>
          <w:tcPr>
            <w:tcW w:w="2751" w:type="dxa"/>
            <w:gridSpan w:val="2"/>
            <w:vAlign w:val="center"/>
          </w:tcPr>
          <w:p>
            <w:pPr>
              <w:jc w:val="center"/>
              <w:rPr>
                <w:rFonts w:ascii="Times New Roman" w:hAnsi="Times New Roman"/>
                <w:color w:val="000000"/>
                <w:szCs w:val="21"/>
              </w:rPr>
            </w:pPr>
            <w:r>
              <w:rPr>
                <w:rFonts w:ascii="Times New Roman" w:hAnsi="Times New Roman"/>
                <w:color w:val="000000"/>
                <w:szCs w:val="21"/>
              </w:rPr>
              <w:t>总  分</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93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pPr>
              <w:jc w:val="center"/>
              <w:rPr>
                <w:rFonts w:ascii="Times New Roman" w:hAnsi="Times New Roman"/>
                <w:color w:val="000000"/>
                <w:szCs w:val="21"/>
              </w:rPr>
            </w:pPr>
            <w:r>
              <w:rPr>
                <w:rFonts w:ascii="Times New Roman" w:hAnsi="Times New Roman"/>
                <w:color w:val="000000"/>
                <w:sz w:val="24"/>
              </w:rPr>
              <w:t>说明</w:t>
            </w:r>
          </w:p>
        </w:tc>
        <w:tc>
          <w:tcPr>
            <w:tcW w:w="4172" w:type="dxa"/>
            <w:gridSpan w:val="4"/>
            <w:vAlign w:val="center"/>
          </w:tcPr>
          <w:p>
            <w:pPr>
              <w:jc w:val="center"/>
              <w:rPr>
                <w:rFonts w:ascii="Times New Roman" w:hAnsi="Times New Roman"/>
                <w:color w:val="000000"/>
                <w:szCs w:val="21"/>
              </w:rPr>
            </w:pPr>
            <w:r>
              <w:rPr>
                <w:rFonts w:ascii="Times New Roman" w:hAnsi="Times New Roman"/>
                <w:color w:val="000000"/>
                <w:szCs w:val="21"/>
              </w:rPr>
              <w:t>偏差及原因分析</w:t>
            </w:r>
          </w:p>
        </w:tc>
        <w:tc>
          <w:tcPr>
            <w:tcW w:w="4522" w:type="dxa"/>
            <w:gridSpan w:val="4"/>
            <w:vAlign w:val="center"/>
          </w:tcPr>
          <w:p>
            <w:pPr>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vAlign w:val="center"/>
          </w:tcPr>
          <w:p>
            <w:pPr>
              <w:jc w:val="center"/>
              <w:rPr>
                <w:rFonts w:ascii="Times New Roman" w:hAnsi="Times New Roman"/>
              </w:rPr>
            </w:pPr>
          </w:p>
        </w:tc>
        <w:tc>
          <w:tcPr>
            <w:tcW w:w="4172" w:type="dxa"/>
            <w:gridSpan w:val="4"/>
            <w:vAlign w:val="center"/>
          </w:tcPr>
          <w:p>
            <w:pPr>
              <w:rPr>
                <w:rFonts w:ascii="Times New Roman" w:hAnsi="Times New Roman"/>
                <w:color w:val="000000"/>
                <w:szCs w:val="21"/>
              </w:rPr>
            </w:pPr>
          </w:p>
        </w:tc>
        <w:tc>
          <w:tcPr>
            <w:tcW w:w="4522" w:type="dxa"/>
            <w:gridSpan w:val="4"/>
            <w:vAlign w:val="center"/>
          </w:tcPr>
          <w:p>
            <w:pPr>
              <w:rPr>
                <w:rFonts w:ascii="Times New Roman" w:hAnsi="Times New Roman"/>
                <w:color w:val="000000"/>
                <w:szCs w:val="21"/>
              </w:rPr>
            </w:pPr>
          </w:p>
        </w:tc>
      </w:tr>
    </w:tbl>
    <w:p>
      <w:pPr>
        <w:spacing w:beforeLines="50" w:line="300" w:lineRule="exact"/>
        <w:rPr>
          <w:rFonts w:hint="eastAsia" w:ascii="Times New Roman" w:hAnsi="Times New Roman" w:eastAsia="微软雅黑"/>
          <w:sz w:val="24"/>
          <w:lang w:eastAsia="zh-CN"/>
        </w:rPr>
      </w:pPr>
      <w:r>
        <w:rPr>
          <w:rFonts w:ascii="Times New Roman" w:hAnsi="Times New Roman"/>
        </w:rPr>
        <w:t>填表人：</w:t>
      </w:r>
      <w:r>
        <w:rPr>
          <w:rFonts w:hint="eastAsia" w:ascii="Times New Roman" w:hAnsi="Times New Roman"/>
          <w:lang w:eastAsia="zh-CN"/>
        </w:rPr>
        <w:t>李华</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联系电话：                </w:t>
      </w:r>
      <w:r>
        <w:rPr>
          <w:rFonts w:hint="eastAsia" w:ascii="Times New Roman" w:hAnsi="Times New Roman"/>
          <w:lang w:val="en-US" w:eastAsia="zh-CN"/>
        </w:rPr>
        <w:t xml:space="preserve">               </w:t>
      </w:r>
      <w:r>
        <w:rPr>
          <w:rFonts w:ascii="Times New Roman" w:hAnsi="Times New Roman"/>
        </w:rPr>
        <w:t xml:space="preserve"> 单位负责人签字</w:t>
      </w:r>
      <w:r>
        <w:rPr>
          <w:rFonts w:ascii="Times New Roman" w:hAnsi="Times New Roman"/>
          <w:sz w:val="24"/>
        </w:rPr>
        <w:t>：</w:t>
      </w:r>
      <w:r>
        <w:rPr>
          <w:rFonts w:hint="eastAsia" w:ascii="Times New Roman" w:hAnsi="Times New Roman"/>
          <w:sz w:val="24"/>
          <w:lang w:eastAsia="zh-CN"/>
        </w:rPr>
        <w:t>宋敏</w:t>
      </w:r>
    </w:p>
    <w:p>
      <w:pPr>
        <w:spacing w:line="300" w:lineRule="exact"/>
        <w:rPr>
          <w:rFonts w:ascii="Times New Roman" w:hAnsi="Times New Roman" w:eastAsia="仿宋_GB2312"/>
          <w:sz w:val="24"/>
        </w:rPr>
      </w:pPr>
    </w:p>
    <w:p>
      <w:pPr>
        <w:spacing w:line="30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ascii="Times New Roman" w:hAnsi="Times New Roman"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2.综合评价等级分为优秀（S≥90）、良好（90＞S≥80）、较差（80＞S≥60）、 差（S＜60）。</w:t>
      </w:r>
    </w:p>
    <w:p>
      <w:pPr>
        <w:spacing w:line="320" w:lineRule="exact"/>
        <w:rPr>
          <w:rFonts w:ascii="Times New Roman" w:hAnsi="Times New Roman" w:eastAsia="仿宋_GB2312"/>
          <w:sz w:val="24"/>
        </w:rPr>
      </w:pPr>
      <w:r>
        <w:rPr>
          <w:rFonts w:ascii="Times New Roman" w:hAnsi="Times New Roman" w:eastAsia="仿宋_GB2312"/>
          <w:sz w:val="24"/>
        </w:rPr>
        <w:t xml:space="preserve">      3.三级绩效指标按需自行增减行。个别不涉及的二级指标可自行删除。</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2</w:t>
      </w:r>
    </w:p>
    <w:p>
      <w:pPr>
        <w:jc w:val="center"/>
        <w:rPr>
          <w:rFonts w:hint="eastAsia" w:ascii="Times New Roman" w:hAnsi="Times New Roman" w:eastAsia="方正小标宋_GBK"/>
          <w:color w:val="FF0000"/>
          <w:sz w:val="109"/>
          <w:lang w:val="en-US" w:eastAsia="zh-CN"/>
        </w:rPr>
      </w:pPr>
      <w:r>
        <w:rPr>
          <w:rFonts w:ascii="Times New Roman" w:hAnsi="Times New Roman"/>
          <w:lang w:val="en-US" w:eastAsia="zh-CN"/>
        </w:rPr>
        <w:pict>
          <v:line id="直线 13" o:spid="_x0000_s1027" o:spt="20" style="position:absolute;left:0pt;margin-left:-9pt;margin-top:85.8pt;height:0pt;width:441pt;z-index:251660288;mso-width-relative:page;mso-height-relative:page;" stroked="t" coordsize="21600,21600">
            <v:path arrowok="t"/>
            <v:fill focussize="0,0"/>
            <v:stroke weight="2.25pt" color="#FF0000"/>
            <v:imagedata o:title=""/>
            <o:lock v:ext="edit"/>
          </v:line>
        </w:pict>
      </w:r>
      <w:r>
        <w:rPr>
          <w:rFonts w:ascii="Times New Roman" w:hAnsi="Times New Roman" w:eastAsia="方正小标宋_GBK"/>
          <w:color w:val="FF0000"/>
          <w:spacing w:val="115"/>
          <w:w w:val="50"/>
          <w:sz w:val="109"/>
        </w:rPr>
        <w:t>衡</w:t>
      </w:r>
      <w:r>
        <w:rPr>
          <w:rFonts w:ascii="Times New Roman" w:hAnsi="Times New Roman" w:eastAsia="方正小标宋_GBK"/>
          <w:color w:val="FF0000"/>
          <w:w w:val="50"/>
          <w:sz w:val="109"/>
        </w:rPr>
        <w:t xml:space="preserve">  阳  县 </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市</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政</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工</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程</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管</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理</w:t>
      </w:r>
      <w:r>
        <w:rPr>
          <w:rFonts w:hint="eastAsia" w:ascii="Times New Roman" w:hAnsi="Times New Roman" w:eastAsia="方正小标宋_GBK"/>
          <w:color w:val="FF0000"/>
          <w:w w:val="50"/>
          <w:sz w:val="109"/>
          <w:lang w:val="en-US" w:eastAsia="zh-CN"/>
        </w:rPr>
        <w:t xml:space="preserve">  </w:t>
      </w:r>
      <w:r>
        <w:rPr>
          <w:rFonts w:hint="eastAsia" w:ascii="Times New Roman" w:hAnsi="Times New Roman" w:eastAsia="方正小标宋_GBK"/>
          <w:color w:val="FF0000"/>
          <w:w w:val="50"/>
          <w:sz w:val="109"/>
          <w:lang w:eastAsia="zh-CN"/>
        </w:rPr>
        <w:t>处</w:t>
      </w:r>
    </w:p>
    <w:p>
      <w:pPr>
        <w:rPr>
          <w:rFonts w:ascii="Times New Roman" w:hAnsi="Times New Roman"/>
        </w:rPr>
      </w:pPr>
    </w:p>
    <w:p>
      <w:pPr>
        <w:jc w:val="center"/>
        <w:rPr>
          <w:rFonts w:ascii="Times New Roman" w:hAnsi="Times New Roman" w:eastAsia="方正小标宋_GBK"/>
          <w:sz w:val="36"/>
          <w:szCs w:val="36"/>
        </w:rPr>
      </w:pPr>
      <w:r>
        <w:rPr>
          <w:rFonts w:ascii="Times New Roman" w:hAnsi="Times New Roman" w:eastAsia="方正小标宋_GBK"/>
          <w:sz w:val="36"/>
          <w:szCs w:val="36"/>
        </w:rPr>
        <w:t>项目支出绩效自评报告</w:t>
      </w:r>
    </w:p>
    <w:p>
      <w:pPr>
        <w:spacing w:line="600" w:lineRule="exact"/>
        <w:rPr>
          <w:rFonts w:ascii="Times New Roman" w:hAnsi="Times New Roman" w:eastAsia="仿宋_GB2312"/>
          <w:sz w:val="32"/>
          <w:szCs w:val="32"/>
        </w:rPr>
      </w:pPr>
      <w:r>
        <w:rPr>
          <w:rFonts w:ascii="Times New Roman" w:hAnsi="Times New Roman" w:eastAsia="方正小标宋_GBK"/>
          <w:sz w:val="36"/>
          <w:szCs w:val="36"/>
        </w:rPr>
        <w:t xml:space="preserve"> </w:t>
      </w:r>
      <w:r>
        <w:rPr>
          <w:rFonts w:ascii="Times New Roman" w:hAnsi="Times New Roman" w:eastAsia="仿宋_GB2312"/>
          <w:sz w:val="32"/>
          <w:szCs w:val="32"/>
        </w:rPr>
        <w:t xml:space="preserve">   </w:t>
      </w:r>
    </w:p>
    <w:p>
      <w:pPr>
        <w:rPr>
          <w:rFonts w:ascii="Times New Roman" w:hAnsi="Times New Roman" w:eastAsia="黑体"/>
          <w:sz w:val="32"/>
          <w:szCs w:val="32"/>
        </w:rPr>
      </w:pPr>
      <w:r>
        <w:rPr>
          <w:rFonts w:ascii="Times New Roman" w:hAnsi="Times New Roman" w:eastAsia="方正小标宋_GBK"/>
          <w:sz w:val="36"/>
          <w:szCs w:val="36"/>
        </w:rPr>
        <w:t xml:space="preserve">    </w:t>
      </w:r>
      <w:r>
        <w:rPr>
          <w:rFonts w:ascii="Times New Roman" w:hAnsi="Times New Roman" w:eastAsia="黑体"/>
          <w:sz w:val="32"/>
          <w:szCs w:val="32"/>
        </w:rPr>
        <w:t>一、项目支出概况</w:t>
      </w:r>
    </w:p>
    <w:p>
      <w:pPr>
        <w:adjustRightInd w:val="0"/>
        <w:snapToGrid w:val="0"/>
        <w:spacing w:line="600" w:lineRule="exact"/>
        <w:ind w:firstLine="640" w:firstLineChars="200"/>
        <w:rPr>
          <w:rFonts w:eastAsia="仿宋_GB2312"/>
          <w:sz w:val="32"/>
          <w:szCs w:val="32"/>
        </w:rPr>
      </w:pPr>
      <w:r>
        <w:rPr>
          <w:rFonts w:eastAsia="仿宋_GB2312"/>
          <w:sz w:val="32"/>
          <w:szCs w:val="32"/>
        </w:rPr>
        <w:t>（一）项目实施单位基本情况。</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left="0" w:leftChars="0" w:right="0" w:rightChars="0" w:firstLine="640" w:firstLineChars="200"/>
        <w:jc w:val="both"/>
        <w:textAlignment w:val="auto"/>
        <w:outlineLvl w:val="9"/>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衡阳县市政工程管理处系差额拨款事业单位</w:t>
      </w:r>
      <w:r>
        <w:rPr>
          <w:rFonts w:hint="eastAsia" w:eastAsia="仿宋_GB2312" w:cs="Times New Roman"/>
          <w:kern w:val="2"/>
          <w:sz w:val="32"/>
          <w:szCs w:val="32"/>
          <w:lang w:val="en-US" w:eastAsia="zh-CN" w:bidi="ar-SA"/>
        </w:rPr>
        <w:t>，</w:t>
      </w:r>
      <w:r>
        <w:rPr>
          <w:rFonts w:hint="eastAsia" w:ascii="仿宋_GB2312" w:eastAsia="仿宋_GB2312"/>
          <w:sz w:val="32"/>
          <w:szCs w:val="32"/>
          <w:lang w:eastAsia="zh-CN"/>
        </w:rPr>
        <w:t>负责</w:t>
      </w:r>
      <w:r>
        <w:rPr>
          <w:rFonts w:hint="eastAsia" w:ascii="仿宋_GB2312" w:eastAsia="仿宋_GB2312"/>
          <w:sz w:val="32"/>
          <w:szCs w:val="32"/>
        </w:rPr>
        <w:t>城市道路、路灯、</w:t>
      </w:r>
      <w:r>
        <w:rPr>
          <w:rFonts w:hint="eastAsia" w:ascii="仿宋_GB2312" w:eastAsia="仿宋_GB2312"/>
          <w:sz w:val="32"/>
          <w:szCs w:val="32"/>
          <w:lang w:eastAsia="zh-CN"/>
        </w:rPr>
        <w:t>管网等</w:t>
      </w:r>
      <w:r>
        <w:rPr>
          <w:rFonts w:hint="eastAsia" w:ascii="仿宋_GB2312" w:eastAsia="仿宋_GB2312"/>
          <w:sz w:val="32"/>
          <w:szCs w:val="32"/>
        </w:rPr>
        <w:t>市政设施管理</w:t>
      </w:r>
      <w:r>
        <w:rPr>
          <w:rFonts w:hint="eastAsia" w:ascii="仿宋_GB2312" w:eastAsia="仿宋_GB2312"/>
          <w:sz w:val="32"/>
          <w:szCs w:val="32"/>
          <w:lang w:eastAsia="zh-CN"/>
        </w:rPr>
        <w:t>与维护。</w:t>
      </w:r>
      <w:r>
        <w:rPr>
          <w:rFonts w:hint="eastAsia" w:ascii="仿宋_GB2312" w:eastAsia="仿宋_GB2312"/>
          <w:sz w:val="32"/>
          <w:szCs w:val="32"/>
          <w:lang w:val="en-US" w:eastAsia="zh-CN"/>
        </w:rPr>
        <w:t>内</w:t>
      </w:r>
      <w:r>
        <w:rPr>
          <w:rFonts w:hint="eastAsia" w:ascii="仿宋_GB2312" w:eastAsia="仿宋_GB2312"/>
          <w:sz w:val="32"/>
          <w:szCs w:val="32"/>
        </w:rPr>
        <w:t>设</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仿宋_GB2312" w:eastAsia="仿宋_GB2312"/>
          <w:sz w:val="32"/>
          <w:szCs w:val="32"/>
          <w:lang w:eastAsia="zh-CN"/>
        </w:rPr>
        <w:t>机构</w:t>
      </w:r>
      <w:r>
        <w:rPr>
          <w:rFonts w:hint="eastAsia" w:ascii="仿宋_GB2312" w:eastAsia="仿宋_GB2312"/>
          <w:sz w:val="32"/>
          <w:szCs w:val="32"/>
        </w:rPr>
        <w:t>：</w:t>
      </w:r>
      <w:r>
        <w:rPr>
          <w:rFonts w:hint="eastAsia" w:ascii="仿宋_GB2312" w:eastAsia="仿宋_GB2312"/>
          <w:sz w:val="32"/>
          <w:szCs w:val="32"/>
          <w:lang w:eastAsia="zh-CN"/>
        </w:rPr>
        <w:t>办公室、财务室、生技室、督查考核室、路灯队、道路维护队、管网维护队。</w:t>
      </w:r>
    </w:p>
    <w:p>
      <w:pPr>
        <w:numPr>
          <w:ilvl w:val="0"/>
          <w:numId w:val="4"/>
        </w:numPr>
        <w:adjustRightInd w:val="0"/>
        <w:snapToGrid w:val="0"/>
        <w:spacing w:line="600" w:lineRule="exact"/>
        <w:ind w:left="0" w:leftChars="0" w:firstLine="640" w:firstLineChars="200"/>
        <w:rPr>
          <w:rFonts w:eastAsia="仿宋_GB2312"/>
          <w:sz w:val="32"/>
          <w:szCs w:val="32"/>
        </w:rPr>
      </w:pPr>
      <w:r>
        <w:rPr>
          <w:rFonts w:hint="eastAsia" w:eastAsia="仿宋_GB2312"/>
          <w:sz w:val="32"/>
          <w:szCs w:val="32"/>
        </w:rPr>
        <w:t>项目</w:t>
      </w:r>
      <w:r>
        <w:rPr>
          <w:rFonts w:eastAsia="仿宋_GB2312"/>
          <w:sz w:val="32"/>
          <w:szCs w:val="32"/>
        </w:rPr>
        <w:t>资金基本情况</w:t>
      </w:r>
    </w:p>
    <w:p>
      <w:pPr>
        <w:numPr>
          <w:ilvl w:val="0"/>
          <w:numId w:val="0"/>
        </w:numPr>
        <w:adjustRightInd w:val="0"/>
        <w:snapToGrid w:val="0"/>
        <w:spacing w:line="600" w:lineRule="exact"/>
        <w:ind w:leftChars="200"/>
        <w:rPr>
          <w:rFonts w:eastAsia="仿宋_GB2312"/>
          <w:sz w:val="32"/>
          <w:szCs w:val="32"/>
        </w:rPr>
      </w:pPr>
      <w:r>
        <w:rPr>
          <w:rFonts w:hint="eastAsia" w:eastAsia="仿宋_GB2312"/>
          <w:sz w:val="32"/>
          <w:szCs w:val="32"/>
          <w:lang w:eastAsia="zh-CN"/>
        </w:rPr>
        <w:t>县城路灯电费主要用于县城内路灯照明电费</w:t>
      </w:r>
      <w:r>
        <w:rPr>
          <w:rFonts w:eastAsia="仿宋_GB2312"/>
          <w:sz w:val="32"/>
          <w:szCs w:val="32"/>
        </w:rPr>
        <w:t>。</w:t>
      </w:r>
    </w:p>
    <w:p>
      <w:pPr>
        <w:numPr>
          <w:ilvl w:val="0"/>
          <w:numId w:val="4"/>
        </w:numPr>
        <w:adjustRightInd w:val="0"/>
        <w:snapToGrid w:val="0"/>
        <w:spacing w:line="600" w:lineRule="exact"/>
        <w:ind w:left="0" w:leftChars="0" w:firstLine="640" w:firstLineChars="200"/>
        <w:rPr>
          <w:rFonts w:eastAsia="仿宋_GB2312"/>
          <w:sz w:val="32"/>
          <w:szCs w:val="32"/>
        </w:rPr>
      </w:pPr>
      <w:r>
        <w:rPr>
          <w:rFonts w:hint="eastAsia" w:eastAsia="仿宋_GB2312"/>
          <w:sz w:val="32"/>
          <w:szCs w:val="32"/>
        </w:rPr>
        <w:t>项目</w:t>
      </w:r>
      <w:r>
        <w:rPr>
          <w:rFonts w:eastAsia="仿宋_GB2312"/>
          <w:sz w:val="32"/>
          <w:szCs w:val="32"/>
        </w:rPr>
        <w:t>资金绩效目标</w:t>
      </w:r>
    </w:p>
    <w:p>
      <w:pPr>
        <w:pStyle w:val="2"/>
        <w:numPr>
          <w:ilvl w:val="0"/>
          <w:numId w:val="0"/>
        </w:numPr>
        <w:ind w:leftChars="200" w:right="220" w:rightChars="1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确保县城照明工作正常运转</w:t>
      </w:r>
      <w:r>
        <w:rPr>
          <w:rFonts w:hint="eastAsia" w:eastAsia="仿宋_GB2312" w:cs="Times New Roman"/>
          <w:kern w:val="2"/>
          <w:sz w:val="32"/>
          <w:szCs w:val="32"/>
          <w:lang w:val="en-US" w:eastAsia="zh-CN" w:bidi="ar-SA"/>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项目</w:t>
      </w:r>
      <w:r>
        <w:rPr>
          <w:rFonts w:eastAsia="仿宋_GB2312"/>
          <w:sz w:val="32"/>
          <w:szCs w:val="32"/>
        </w:rPr>
        <w:t>资金及自筹资金的安排落实、总投入等情况。</w:t>
      </w:r>
    </w:p>
    <w:p>
      <w:pPr>
        <w:pStyle w:val="2"/>
        <w:ind w:left="0" w:leftChars="0" w:firstLine="640" w:firstLineChars="200"/>
        <w:rPr>
          <w:rFonts w:hint="default" w:eastAsia="仿宋_GB2312"/>
          <w:lang w:val="en-US" w:eastAsia="zh-CN"/>
        </w:rPr>
      </w:pPr>
      <w:r>
        <w:rPr>
          <w:rFonts w:hint="eastAsia" w:ascii="仿宋" w:hAnsi="仿宋" w:eastAsia="仿宋" w:cs="仿宋"/>
          <w:sz w:val="32"/>
          <w:szCs w:val="32"/>
          <w:lang w:val="en-US" w:eastAsia="zh-CN"/>
        </w:rPr>
        <w:t>2022</w:t>
      </w:r>
      <w:r>
        <w:rPr>
          <w:rFonts w:hint="eastAsia" w:eastAsia="仿宋_GB2312"/>
          <w:sz w:val="32"/>
          <w:szCs w:val="32"/>
          <w:lang w:val="en-US" w:eastAsia="zh-CN"/>
        </w:rPr>
        <w:t>年</w:t>
      </w:r>
      <w:r>
        <w:rPr>
          <w:rFonts w:hint="eastAsia" w:eastAsia="仿宋_GB2312"/>
          <w:sz w:val="32"/>
          <w:szCs w:val="32"/>
          <w:lang w:eastAsia="zh-CN"/>
        </w:rPr>
        <w:t>县城路灯电费来源于财政拨款，总投入</w:t>
      </w:r>
      <w:r>
        <w:rPr>
          <w:rFonts w:hint="eastAsia" w:ascii="仿宋" w:hAnsi="仿宋" w:eastAsia="仿宋" w:cs="仿宋"/>
          <w:sz w:val="32"/>
          <w:szCs w:val="32"/>
          <w:lang w:val="en-US" w:eastAsia="zh-CN"/>
        </w:rPr>
        <w:t>452.7</w:t>
      </w:r>
      <w:r>
        <w:rPr>
          <w:rFonts w:hint="eastAsia" w:eastAsia="仿宋_GB2312"/>
          <w:sz w:val="32"/>
          <w:szCs w:val="32"/>
          <w:lang w:val="en-US" w:eastAsia="zh-CN"/>
        </w:rPr>
        <w:t>万元。</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项目</w:t>
      </w:r>
      <w:r>
        <w:rPr>
          <w:rFonts w:eastAsia="仿宋_GB2312"/>
          <w:sz w:val="32"/>
          <w:szCs w:val="32"/>
        </w:rPr>
        <w:t>资金实际使用情况。</w:t>
      </w:r>
    </w:p>
    <w:p>
      <w:pPr>
        <w:pStyle w:val="2"/>
        <w:rPr>
          <w:rFonts w:hint="default" w:ascii="Calibri" w:hAnsi="Calibri" w:eastAsia="仿宋_GB2312" w:cs="Times New Roman"/>
          <w:kern w:val="2"/>
          <w:sz w:val="32"/>
          <w:szCs w:val="32"/>
          <w:lang w:val="en-US" w:eastAsia="zh-CN" w:bidi="ar-SA"/>
        </w:rPr>
      </w:pPr>
      <w:r>
        <w:rPr>
          <w:rFonts w:hint="eastAsia" w:ascii="仿宋" w:hAnsi="仿宋" w:eastAsia="仿宋" w:cs="仿宋"/>
          <w:kern w:val="2"/>
          <w:sz w:val="32"/>
          <w:szCs w:val="32"/>
          <w:lang w:val="en-US" w:eastAsia="zh-CN" w:bidi="ar-SA"/>
        </w:rPr>
        <w:t>2022年县城路灯电费452.7</w:t>
      </w:r>
      <w:r>
        <w:rPr>
          <w:rFonts w:hint="eastAsia" w:ascii="Calibri" w:hAnsi="Calibri"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eastAsia="仿宋_GB2312"/>
          <w:sz w:val="32"/>
          <w:szCs w:val="32"/>
        </w:rPr>
      </w:pPr>
      <w:r>
        <w:rPr>
          <w:rFonts w:eastAsia="仿宋_GB2312"/>
          <w:sz w:val="32"/>
          <w:szCs w:val="32"/>
        </w:rPr>
        <w:t>资金使用管理情况，</w:t>
      </w:r>
      <w:r>
        <w:rPr>
          <w:rFonts w:hint="eastAsia" w:eastAsia="仿宋_GB2312"/>
          <w:sz w:val="32"/>
          <w:szCs w:val="32"/>
          <w:lang w:eastAsia="zh-CN"/>
        </w:rPr>
        <w:t>路灯电费拨付方式</w:t>
      </w:r>
      <w:r>
        <w:rPr>
          <w:rFonts w:eastAsia="仿宋_GB2312"/>
          <w:sz w:val="32"/>
          <w:szCs w:val="32"/>
        </w:rPr>
        <w:t>主要</w:t>
      </w:r>
      <w:r>
        <w:rPr>
          <w:rFonts w:hint="eastAsia" w:eastAsia="仿宋_GB2312"/>
          <w:sz w:val="32"/>
          <w:szCs w:val="32"/>
          <w:lang w:eastAsia="zh-CN"/>
        </w:rPr>
        <w:t>是单位先行垫付三个月后再以付款凭证为依据向财政递交拨款报告，经领导审批后拨入路灯电费</w:t>
      </w:r>
      <w:r>
        <w:rPr>
          <w:rFonts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项目</w:t>
      </w:r>
      <w:r>
        <w:rPr>
          <w:rFonts w:eastAsia="仿宋_GB2312"/>
          <w:sz w:val="32"/>
          <w:szCs w:val="32"/>
        </w:rPr>
        <w:t>支出决策</w:t>
      </w:r>
      <w:r>
        <w:rPr>
          <w:rFonts w:hint="eastAsia" w:eastAsia="仿宋_GB2312"/>
          <w:sz w:val="32"/>
          <w:szCs w:val="32"/>
          <w:lang w:eastAsia="zh-CN"/>
        </w:rPr>
        <w:t>、支出过程</w:t>
      </w:r>
      <w:r>
        <w:rPr>
          <w:rFonts w:eastAsia="仿宋_GB2312"/>
          <w:sz w:val="32"/>
          <w:szCs w:val="32"/>
        </w:rPr>
        <w:t>情况</w:t>
      </w:r>
    </w:p>
    <w:p>
      <w:pPr>
        <w:pStyle w:val="2"/>
        <w:ind w:left="0" w:leftChars="0" w:firstLine="640" w:firstLineChars="200"/>
        <w:rPr>
          <w:rFonts w:hint="eastAsia" w:eastAsia="仿宋_GB2312"/>
          <w:lang w:eastAsia="zh-CN"/>
        </w:rPr>
      </w:pPr>
      <w:r>
        <w:rPr>
          <w:rFonts w:hint="eastAsia" w:eastAsia="仿宋_GB2312"/>
          <w:sz w:val="32"/>
          <w:szCs w:val="32"/>
          <w:lang w:eastAsia="zh-CN"/>
        </w:rPr>
        <w:t>电力部门送达当月的路灯电费发票和明细表后经单位路灯队审核后由分管领导签字，上报主任室，再由分管财务领导签字后通过国库集中支付给电力部门。</w:t>
      </w:r>
    </w:p>
    <w:p>
      <w:pPr>
        <w:numPr>
          <w:ilvl w:val="0"/>
          <w:numId w:val="5"/>
        </w:numPr>
        <w:adjustRightInd w:val="0"/>
        <w:snapToGrid w:val="0"/>
        <w:spacing w:line="600" w:lineRule="exact"/>
        <w:ind w:firstLine="640" w:firstLineChars="200"/>
        <w:rPr>
          <w:rFonts w:eastAsia="仿宋_GB2312"/>
          <w:sz w:val="32"/>
          <w:szCs w:val="32"/>
        </w:rPr>
      </w:pPr>
      <w:r>
        <w:rPr>
          <w:rFonts w:hint="eastAsia" w:eastAsia="仿宋_GB2312"/>
          <w:sz w:val="32"/>
          <w:szCs w:val="32"/>
        </w:rPr>
        <w:t>项目</w:t>
      </w:r>
      <w:r>
        <w:rPr>
          <w:rFonts w:eastAsia="仿宋_GB2312"/>
          <w:sz w:val="32"/>
          <w:szCs w:val="32"/>
        </w:rPr>
        <w:t>支出产出情况</w:t>
      </w:r>
    </w:p>
    <w:p>
      <w:pPr>
        <w:adjustRightInd w:val="0"/>
        <w:snapToGrid w:val="0"/>
        <w:spacing w:line="600" w:lineRule="exact"/>
        <w:ind w:firstLine="640" w:firstLineChars="200"/>
      </w:pPr>
      <w:r>
        <w:rPr>
          <w:rFonts w:hint="eastAsia" w:ascii="Calibri" w:hAnsi="Calibri" w:eastAsia="仿宋_GB2312" w:cs="Times New Roman"/>
          <w:kern w:val="2"/>
          <w:sz w:val="32"/>
          <w:szCs w:val="32"/>
          <w:lang w:val="en-US" w:eastAsia="zh-CN" w:bidi="ar-SA"/>
        </w:rPr>
        <w:t>确保县城照明工作正常运转</w:t>
      </w:r>
      <w:r>
        <w:rPr>
          <w:rFonts w:hint="eastAsia" w:eastAsia="仿宋_GB2312" w:cs="Times New Roman"/>
          <w:kern w:val="2"/>
          <w:sz w:val="32"/>
          <w:szCs w:val="32"/>
          <w:lang w:val="en-US" w:eastAsia="zh-CN" w:bidi="ar-SA"/>
        </w:rPr>
        <w:t>。</w:t>
      </w:r>
    </w:p>
    <w:p>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三</w:t>
      </w:r>
      <w:r>
        <w:rPr>
          <w:rFonts w:eastAsia="仿宋_GB2312"/>
          <w:sz w:val="32"/>
          <w:szCs w:val="32"/>
        </w:rPr>
        <w:t>）</w:t>
      </w:r>
      <w:r>
        <w:rPr>
          <w:rFonts w:hint="eastAsia" w:eastAsia="仿宋_GB2312"/>
          <w:sz w:val="32"/>
          <w:szCs w:val="32"/>
        </w:rPr>
        <w:t>项目</w:t>
      </w:r>
      <w:r>
        <w:rPr>
          <w:rFonts w:eastAsia="仿宋_GB2312"/>
          <w:sz w:val="32"/>
          <w:szCs w:val="32"/>
        </w:rPr>
        <w:t>支出效益情况</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确保县城照明工作正常运转</w:t>
      </w:r>
      <w:r>
        <w:rPr>
          <w:rFonts w:hint="eastAsia" w:eastAsia="仿宋_GB2312" w:cs="Times New Roman"/>
          <w:kern w:val="2"/>
          <w:sz w:val="32"/>
          <w:szCs w:val="32"/>
          <w:lang w:val="en-US" w:eastAsia="zh-CN" w:bidi="ar-SA"/>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spacing w:line="600" w:lineRule="exact"/>
        <w:ind w:firstLine="645"/>
        <w:rPr>
          <w:rFonts w:ascii="Times New Roman" w:hAnsi="Times New Roman" w:eastAsia="仿宋_GB2312"/>
          <w:sz w:val="32"/>
          <w:szCs w:val="32"/>
        </w:rPr>
      </w:pPr>
      <w:r>
        <w:rPr>
          <w:rFonts w:ascii="Times New Roman" w:hAnsi="Times New Roman" w:eastAsia="仿宋_GB2312"/>
          <w:sz w:val="32"/>
          <w:szCs w:val="32"/>
        </w:rPr>
        <w:t>报告应包括以下附件：</w:t>
      </w:r>
    </w:p>
    <w:p>
      <w:pPr>
        <w:spacing w:line="600" w:lineRule="exact"/>
        <w:ind w:firstLine="645"/>
        <w:rPr>
          <w:rFonts w:ascii="Times New Roman" w:hAnsi="Times New Roman" w:eastAsia="仿宋_GB2312"/>
          <w:sz w:val="32"/>
          <w:szCs w:val="32"/>
        </w:rPr>
      </w:pPr>
      <w:r>
        <w:rPr>
          <w:rFonts w:ascii="Times New Roman" w:hAnsi="Times New Roman" w:eastAsia="仿宋_GB2312"/>
          <w:sz w:val="32"/>
          <w:szCs w:val="32"/>
        </w:rPr>
        <w:t>项目支出绩效自评表（一个项目支出一张表）</w:t>
      </w:r>
    </w:p>
    <w:p>
      <w:pPr>
        <w:spacing w:line="600" w:lineRule="exact"/>
        <w:ind w:firstLine="640" w:firstLineChars="200"/>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320" w:lineRule="exact"/>
        <w:rPr>
          <w:rFonts w:ascii="Times New Roman" w:hAnsi="Times New Roman"/>
          <w:sz w:val="28"/>
          <w:szCs w:val="36"/>
        </w:rPr>
      </w:pPr>
      <w:r>
        <w:rPr>
          <w:rFonts w:ascii="Times New Roman" w:hAnsi="Times New Roman"/>
          <w:sz w:val="28"/>
          <w:szCs w:val="36"/>
        </w:rPr>
        <w:t xml:space="preserve"> </w:t>
      </w:r>
    </w:p>
    <w:p>
      <w:pPr>
        <w:spacing w:line="320" w:lineRule="exact"/>
        <w:rPr>
          <w:rFonts w:ascii="Times New Roman" w:hAnsi="Times New Roman"/>
          <w:sz w:val="28"/>
          <w:szCs w:val="36"/>
        </w:rPr>
      </w:pPr>
    </w:p>
    <w:p>
      <w:pPr>
        <w:spacing w:line="320" w:lineRule="exact"/>
        <w:rPr>
          <w:rFonts w:ascii="Times New Roman" w:hAnsi="Times New Roman"/>
          <w:sz w:val="28"/>
          <w:szCs w:val="36"/>
        </w:rPr>
      </w:pPr>
    </w:p>
    <w:p>
      <w:pPr>
        <w:spacing w:line="320" w:lineRule="exact"/>
        <w:rPr>
          <w:rFonts w:ascii="Times New Roman" w:hAnsi="Times New Roman"/>
          <w:sz w:val="28"/>
          <w:szCs w:val="36"/>
        </w:rPr>
      </w:pP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项目支出绩效自评表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2022</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hint="eastAsia" w:ascii="宋体"/>
          <w:sz w:val="24"/>
          <w:lang w:eastAsia="zh-CN"/>
        </w:rPr>
        <w:t>衡阳县市政工程管理处</w:t>
      </w:r>
      <w:r>
        <w:rPr>
          <w:rFonts w:ascii="宋体"/>
          <w:sz w:val="24"/>
        </w:rPr>
        <w:t xml:space="preserve">        </w:t>
      </w:r>
      <w:r>
        <w:rPr>
          <w:rFonts w:hint="eastAsia" w:ascii="宋体"/>
          <w:sz w:val="24"/>
        </w:rPr>
        <w:t>填报时间：</w:t>
      </w:r>
      <w:r>
        <w:rPr>
          <w:rFonts w:hint="eastAsia" w:ascii="宋体"/>
          <w:sz w:val="24"/>
          <w:lang w:val="en-US" w:eastAsia="zh-CN"/>
        </w:rPr>
        <w:t xml:space="preserve">  年  月  日 </w:t>
      </w:r>
    </w:p>
    <w:tbl>
      <w:tblPr>
        <w:tblStyle w:val="7"/>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
        <w:gridCol w:w="1017"/>
        <w:gridCol w:w="1228"/>
        <w:gridCol w:w="1124"/>
        <w:gridCol w:w="1425"/>
        <w:gridCol w:w="1380"/>
        <w:gridCol w:w="1358"/>
        <w:gridCol w:w="89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18" w:type="dxa"/>
            <w:gridSpan w:val="3"/>
            <w:noWrap w:val="0"/>
            <w:vAlign w:val="center"/>
          </w:tcPr>
          <w:p>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项目支出名称　</w:t>
            </w:r>
          </w:p>
        </w:tc>
        <w:tc>
          <w:tcPr>
            <w:tcW w:w="8291" w:type="dxa"/>
            <w:gridSpan w:val="7"/>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县城路灯电费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主管部门　</w:t>
            </w:r>
          </w:p>
        </w:tc>
        <w:tc>
          <w:tcPr>
            <w:tcW w:w="2352" w:type="dxa"/>
            <w:gridSpan w:val="2"/>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衡阳县城市管理和综合执法局</w:t>
            </w:r>
          </w:p>
        </w:tc>
        <w:tc>
          <w:tcPr>
            <w:tcW w:w="14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实施单位</w:t>
            </w:r>
          </w:p>
        </w:tc>
        <w:tc>
          <w:tcPr>
            <w:tcW w:w="4514" w:type="dxa"/>
            <w:gridSpan w:val="4"/>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衡阳县市政工程管理处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gridSpan w:val="3"/>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项目资金</w:t>
            </w:r>
          </w:p>
          <w:p>
            <w:pPr>
              <w:widowControl/>
              <w:jc w:val="center"/>
              <w:rPr>
                <w:rFonts w:hint="eastAsia" w:ascii="宋体" w:hAnsi="宋体" w:cs="宋体"/>
                <w:color w:val="000000"/>
                <w:kern w:val="0"/>
                <w:szCs w:val="21"/>
              </w:rPr>
            </w:pPr>
            <w:r>
              <w:rPr>
                <w:rFonts w:hint="eastAsia" w:ascii="宋体" w:hAnsi="宋体" w:cs="宋体"/>
                <w:color w:val="000000"/>
                <w:kern w:val="0"/>
                <w:szCs w:val="21"/>
              </w:rPr>
              <w:t>（万元）</w:t>
            </w:r>
          </w:p>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2352" w:type="dxa"/>
            <w:gridSpan w:val="2"/>
            <w:noWrap w:val="0"/>
            <w:vAlign w:val="center"/>
          </w:tcPr>
          <w:p>
            <w:pPr>
              <w:widowControl/>
              <w:jc w:val="left"/>
              <w:rPr>
                <w:rFonts w:hint="eastAsia" w:ascii="宋体" w:hAnsi="宋体" w:cs="宋体"/>
                <w:color w:val="000000"/>
                <w:kern w:val="0"/>
                <w:szCs w:val="21"/>
              </w:rPr>
            </w:pPr>
          </w:p>
        </w:tc>
        <w:tc>
          <w:tcPr>
            <w:tcW w:w="14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380" w:type="dxa"/>
            <w:noWrap w:val="0"/>
            <w:vAlign w:val="center"/>
          </w:tcPr>
          <w:p>
            <w:pPr>
              <w:jc w:val="center"/>
              <w:rPr>
                <w:rFonts w:hint="eastAsia" w:ascii="宋体" w:hAnsi="宋体" w:cs="宋体"/>
                <w:szCs w:val="21"/>
              </w:rPr>
            </w:pPr>
            <w:r>
              <w:rPr>
                <w:rFonts w:hint="eastAsia" w:ascii="宋体" w:hAnsi="宋体" w:cs="宋体"/>
                <w:szCs w:val="21"/>
              </w:rPr>
              <w:t>全年执行数</w:t>
            </w:r>
          </w:p>
        </w:tc>
        <w:tc>
          <w:tcPr>
            <w:tcW w:w="1358" w:type="dxa"/>
            <w:noWrap w:val="0"/>
            <w:vAlign w:val="center"/>
          </w:tcPr>
          <w:p>
            <w:pPr>
              <w:jc w:val="center"/>
              <w:rPr>
                <w:rFonts w:hint="eastAsia" w:ascii="宋体" w:hAnsi="宋体" w:cs="宋体"/>
                <w:szCs w:val="21"/>
              </w:rPr>
            </w:pPr>
            <w:r>
              <w:rPr>
                <w:rFonts w:hint="eastAsia" w:ascii="宋体" w:hAnsi="宋体" w:cs="宋体"/>
                <w:szCs w:val="21"/>
              </w:rPr>
              <w:t>预算执行率</w:t>
            </w:r>
          </w:p>
        </w:tc>
        <w:tc>
          <w:tcPr>
            <w:tcW w:w="892" w:type="dxa"/>
            <w:noWrap w:val="0"/>
            <w:vAlign w:val="center"/>
          </w:tcPr>
          <w:p>
            <w:pPr>
              <w:jc w:val="center"/>
              <w:rPr>
                <w:rFonts w:hint="eastAsia" w:ascii="宋体" w:hAnsi="宋体" w:cs="宋体"/>
                <w:szCs w:val="21"/>
              </w:rPr>
            </w:pPr>
            <w:r>
              <w:rPr>
                <w:rFonts w:hint="eastAsia" w:ascii="宋体" w:hAnsi="宋体" w:cs="宋体"/>
                <w:szCs w:val="21"/>
              </w:rPr>
              <w:t>分值</w:t>
            </w:r>
          </w:p>
        </w:tc>
        <w:tc>
          <w:tcPr>
            <w:tcW w:w="884" w:type="dxa"/>
            <w:noWrap w:val="0"/>
            <w:vAlign w:val="center"/>
          </w:tcPr>
          <w:p>
            <w:pPr>
              <w:jc w:val="center"/>
              <w:rPr>
                <w:rFonts w:hint="eastAsia"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gridSpan w:val="3"/>
            <w:vMerge w:val="continue"/>
            <w:noWrap w:val="0"/>
            <w:vAlign w:val="center"/>
          </w:tcPr>
          <w:p>
            <w:pPr>
              <w:widowControl/>
              <w:jc w:val="center"/>
              <w:rPr>
                <w:rFonts w:hint="eastAsia" w:ascii="宋体" w:hAnsi="宋体" w:cs="宋体"/>
                <w:color w:val="000000"/>
                <w:kern w:val="0"/>
                <w:szCs w:val="21"/>
              </w:rPr>
            </w:pPr>
          </w:p>
        </w:tc>
        <w:tc>
          <w:tcPr>
            <w:tcW w:w="2352"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425" w:type="dxa"/>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450</w:t>
            </w:r>
          </w:p>
        </w:tc>
        <w:tc>
          <w:tcPr>
            <w:tcW w:w="138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452.7</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c>
          <w:tcPr>
            <w:tcW w:w="89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8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gridSpan w:val="3"/>
            <w:vMerge w:val="continue"/>
            <w:noWrap w:val="0"/>
            <w:vAlign w:val="center"/>
          </w:tcPr>
          <w:p>
            <w:pPr>
              <w:widowControl/>
              <w:jc w:val="center"/>
              <w:rPr>
                <w:rFonts w:hint="eastAsia" w:ascii="宋体" w:hAnsi="宋体" w:cs="宋体"/>
                <w:color w:val="000000"/>
                <w:kern w:val="0"/>
                <w:szCs w:val="21"/>
              </w:rPr>
            </w:pPr>
          </w:p>
        </w:tc>
        <w:tc>
          <w:tcPr>
            <w:tcW w:w="2352"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其中：一般公共预算拨款</w:t>
            </w:r>
          </w:p>
        </w:tc>
        <w:tc>
          <w:tcPr>
            <w:tcW w:w="14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450</w:t>
            </w:r>
          </w:p>
        </w:tc>
        <w:tc>
          <w:tcPr>
            <w:tcW w:w="138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452.7</w:t>
            </w:r>
          </w:p>
        </w:tc>
        <w:tc>
          <w:tcPr>
            <w:tcW w:w="1358" w:type="dxa"/>
            <w:noWrap w:val="0"/>
            <w:vAlign w:val="center"/>
          </w:tcPr>
          <w:p>
            <w:pPr>
              <w:widowControl/>
              <w:jc w:val="center"/>
              <w:rPr>
                <w:rFonts w:hint="eastAsia" w:ascii="宋体" w:hAnsi="宋体" w:cs="宋体"/>
                <w:color w:val="000000"/>
                <w:kern w:val="0"/>
                <w:szCs w:val="21"/>
              </w:rPr>
            </w:pPr>
          </w:p>
        </w:tc>
        <w:tc>
          <w:tcPr>
            <w:tcW w:w="89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gridSpan w:val="3"/>
            <w:vMerge w:val="continue"/>
            <w:noWrap w:val="0"/>
            <w:vAlign w:val="center"/>
          </w:tcPr>
          <w:p>
            <w:pPr>
              <w:widowControl/>
              <w:ind w:firstLine="660" w:firstLineChars="300"/>
              <w:rPr>
                <w:rFonts w:hint="eastAsia" w:ascii="宋体" w:hAnsi="宋体" w:cs="宋体"/>
                <w:color w:val="000000"/>
                <w:kern w:val="0"/>
                <w:szCs w:val="21"/>
              </w:rPr>
            </w:pPr>
          </w:p>
        </w:tc>
        <w:tc>
          <w:tcPr>
            <w:tcW w:w="2352"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     其他资金</w:t>
            </w:r>
          </w:p>
        </w:tc>
        <w:tc>
          <w:tcPr>
            <w:tcW w:w="1425" w:type="dxa"/>
            <w:noWrap w:val="0"/>
            <w:vAlign w:val="center"/>
          </w:tcPr>
          <w:p>
            <w:pPr>
              <w:widowControl/>
              <w:jc w:val="left"/>
              <w:rPr>
                <w:rFonts w:hint="eastAsia" w:ascii="宋体" w:hAnsi="宋体" w:eastAsia="微软雅黑"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1380" w:type="dxa"/>
            <w:noWrap w:val="0"/>
            <w:vAlign w:val="center"/>
          </w:tcPr>
          <w:p>
            <w:pPr>
              <w:widowControl/>
              <w:jc w:val="left"/>
              <w:rPr>
                <w:rFonts w:hint="eastAsia" w:ascii="宋体" w:hAnsi="宋体" w:eastAsia="微软雅黑"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1358"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892"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884"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w:t>
            </w:r>
          </w:p>
          <w:p>
            <w:pPr>
              <w:widowControl/>
              <w:jc w:val="center"/>
              <w:rPr>
                <w:rFonts w:hint="eastAsia" w:ascii="宋体" w:hAnsi="宋体" w:cs="宋体"/>
                <w:color w:val="000000"/>
                <w:kern w:val="0"/>
                <w:szCs w:val="21"/>
              </w:rPr>
            </w:pPr>
            <w:r>
              <w:rPr>
                <w:rFonts w:hint="eastAsia" w:ascii="宋体" w:hAnsi="宋体" w:cs="宋体"/>
                <w:color w:val="000000"/>
                <w:kern w:val="0"/>
                <w:szCs w:val="21"/>
              </w:rPr>
              <w:t>体目标完成情况</w:t>
            </w:r>
          </w:p>
        </w:tc>
        <w:tc>
          <w:tcPr>
            <w:tcW w:w="479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总体目标</w:t>
            </w:r>
          </w:p>
        </w:tc>
        <w:tc>
          <w:tcPr>
            <w:tcW w:w="451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601" w:type="dxa"/>
            <w:gridSpan w:val="2"/>
            <w:vMerge w:val="continue"/>
            <w:noWrap w:val="0"/>
            <w:vAlign w:val="center"/>
          </w:tcPr>
          <w:p>
            <w:pPr>
              <w:widowControl/>
              <w:jc w:val="left"/>
              <w:rPr>
                <w:rFonts w:hint="eastAsia" w:ascii="宋体" w:hAnsi="宋体" w:cs="宋体"/>
                <w:color w:val="000000"/>
                <w:kern w:val="0"/>
                <w:szCs w:val="21"/>
              </w:rPr>
            </w:pPr>
          </w:p>
        </w:tc>
        <w:tc>
          <w:tcPr>
            <w:tcW w:w="479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确保县城照明工作正常运转</w:t>
            </w:r>
          </w:p>
        </w:tc>
        <w:tc>
          <w:tcPr>
            <w:tcW w:w="451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已完成预期目标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01" w:type="dxa"/>
            <w:gridSpan w:val="2"/>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w:t>
            </w:r>
          </w:p>
          <w:p>
            <w:pPr>
              <w:widowControl/>
              <w:jc w:val="center"/>
              <w:rPr>
                <w:rFonts w:hint="eastAsia" w:ascii="宋体" w:hAnsi="宋体" w:cs="宋体"/>
                <w:color w:val="000000"/>
                <w:kern w:val="0"/>
                <w:sz w:val="24"/>
              </w:rPr>
            </w:pPr>
            <w:r>
              <w:rPr>
                <w:rFonts w:hint="eastAsia" w:ascii="宋体" w:hAnsi="宋体" w:cs="宋体"/>
                <w:color w:val="000000"/>
                <w:kern w:val="0"/>
                <w:sz w:val="24"/>
              </w:rPr>
              <w:t>效</w:t>
            </w:r>
          </w:p>
          <w:p>
            <w:pPr>
              <w:widowControl/>
              <w:jc w:val="center"/>
              <w:rPr>
                <w:rFonts w:hint="eastAsia" w:ascii="宋体" w:hAnsi="宋体" w:cs="宋体"/>
                <w:color w:val="000000"/>
                <w:kern w:val="0"/>
                <w:sz w:val="24"/>
              </w:rPr>
            </w:pPr>
            <w:r>
              <w:rPr>
                <w:rFonts w:hint="eastAsia" w:ascii="宋体" w:hAnsi="宋体" w:cs="宋体"/>
                <w:color w:val="000000"/>
                <w:kern w:val="0"/>
                <w:sz w:val="24"/>
              </w:rPr>
              <w:t>指</w:t>
            </w:r>
          </w:p>
          <w:p>
            <w:pPr>
              <w:widowControl/>
              <w:jc w:val="center"/>
              <w:rPr>
                <w:rFonts w:hint="eastAsia" w:ascii="宋体" w:hAnsi="宋体" w:cs="宋体"/>
                <w:color w:val="000000"/>
                <w:kern w:val="0"/>
                <w:szCs w:val="21"/>
              </w:rPr>
            </w:pPr>
            <w:r>
              <w:rPr>
                <w:rFonts w:hint="eastAsia" w:ascii="宋体" w:hAnsi="宋体" w:cs="宋体"/>
                <w:color w:val="000000"/>
                <w:kern w:val="0"/>
                <w:sz w:val="24"/>
              </w:rPr>
              <w:t>标</w:t>
            </w:r>
          </w:p>
        </w:tc>
        <w:tc>
          <w:tcPr>
            <w:tcW w:w="1017"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228"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549" w:type="dxa"/>
            <w:gridSpan w:val="2"/>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三级指标</w:t>
            </w:r>
          </w:p>
        </w:tc>
        <w:tc>
          <w:tcPr>
            <w:tcW w:w="1380"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92"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884" w:type="dxa"/>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产出</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2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路灯盏数</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11000</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11000</w:t>
            </w:r>
          </w:p>
        </w:tc>
        <w:tc>
          <w:tcPr>
            <w:tcW w:w="89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continue"/>
            <w:noWrap w:val="0"/>
            <w:vAlign w:val="center"/>
          </w:tcPr>
          <w:p>
            <w:pPr>
              <w:jc w:val="left"/>
              <w:rPr>
                <w:rFonts w:hint="eastAsia" w:ascii="宋体" w:hAnsi="宋体" w:cs="宋体"/>
                <w:color w:val="000000"/>
                <w:kern w:val="0"/>
                <w:szCs w:val="21"/>
              </w:rPr>
            </w:pPr>
          </w:p>
        </w:tc>
        <w:tc>
          <w:tcPr>
            <w:tcW w:w="1228"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设备安全运行率</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89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continue"/>
            <w:noWrap w:val="0"/>
            <w:vAlign w:val="center"/>
          </w:tcPr>
          <w:p>
            <w:pPr>
              <w:jc w:val="left"/>
              <w:rPr>
                <w:rFonts w:hint="eastAsia" w:ascii="宋体" w:hAnsi="宋体" w:cs="宋体"/>
                <w:color w:val="000000"/>
                <w:kern w:val="0"/>
                <w:szCs w:val="21"/>
              </w:rPr>
            </w:pPr>
          </w:p>
        </w:tc>
        <w:tc>
          <w:tcPr>
            <w:tcW w:w="1228" w:type="dxa"/>
            <w:vMerge w:val="continue"/>
            <w:noWrap w:val="0"/>
            <w:vAlign w:val="center"/>
          </w:tcPr>
          <w:p>
            <w:pPr>
              <w:widowControl/>
              <w:jc w:val="center"/>
              <w:rPr>
                <w:rFonts w:hint="eastAsia" w:ascii="宋体" w:hAnsi="宋体" w:cs="宋体"/>
                <w:color w:val="000000"/>
                <w:kern w:val="0"/>
                <w:szCs w:val="21"/>
              </w:rPr>
            </w:pP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供电可靠率</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89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continue"/>
            <w:noWrap w:val="0"/>
            <w:vAlign w:val="center"/>
          </w:tcPr>
          <w:p>
            <w:pPr>
              <w:jc w:val="left"/>
              <w:rPr>
                <w:rFonts w:hint="eastAsia" w:ascii="宋体" w:hAnsi="宋体" w:cs="宋体"/>
                <w:color w:val="000000"/>
                <w:kern w:val="0"/>
                <w:szCs w:val="21"/>
              </w:rPr>
            </w:pPr>
          </w:p>
        </w:tc>
        <w:tc>
          <w:tcPr>
            <w:tcW w:w="12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24小时内故障处理及时率</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96%</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98%</w:t>
            </w:r>
          </w:p>
        </w:tc>
        <w:tc>
          <w:tcPr>
            <w:tcW w:w="89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continue"/>
            <w:noWrap w:val="0"/>
            <w:vAlign w:val="center"/>
          </w:tcPr>
          <w:p>
            <w:pPr>
              <w:jc w:val="left"/>
              <w:rPr>
                <w:rFonts w:hint="eastAsia" w:ascii="宋体" w:hAnsi="宋体" w:cs="宋体"/>
                <w:color w:val="000000"/>
                <w:kern w:val="0"/>
                <w:szCs w:val="21"/>
              </w:rPr>
            </w:pPr>
          </w:p>
        </w:tc>
        <w:tc>
          <w:tcPr>
            <w:tcW w:w="12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路灯电费</w:t>
            </w:r>
          </w:p>
        </w:tc>
        <w:tc>
          <w:tcPr>
            <w:tcW w:w="1380"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330</w:t>
            </w:r>
          </w:p>
        </w:tc>
        <w:tc>
          <w:tcPr>
            <w:tcW w:w="1358"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330</w:t>
            </w:r>
          </w:p>
        </w:tc>
        <w:tc>
          <w:tcPr>
            <w:tcW w:w="89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01" w:type="dxa"/>
            <w:gridSpan w:val="2"/>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w:t>
            </w:r>
          </w:p>
          <w:p>
            <w:pPr>
              <w:widowControl/>
              <w:jc w:val="center"/>
              <w:rPr>
                <w:rFonts w:hint="eastAsia" w:ascii="宋体" w:hAnsi="宋体" w:cs="宋体"/>
                <w:color w:val="000000"/>
                <w:kern w:val="0"/>
                <w:sz w:val="24"/>
              </w:rPr>
            </w:pPr>
            <w:r>
              <w:rPr>
                <w:rFonts w:hint="eastAsia" w:ascii="宋体" w:hAnsi="宋体" w:cs="宋体"/>
                <w:color w:val="000000"/>
                <w:kern w:val="0"/>
                <w:sz w:val="24"/>
              </w:rPr>
              <w:t>效</w:t>
            </w:r>
          </w:p>
          <w:p>
            <w:pPr>
              <w:widowControl/>
              <w:jc w:val="center"/>
              <w:rPr>
                <w:rFonts w:hint="eastAsia" w:ascii="宋体" w:hAnsi="宋体" w:cs="宋体"/>
                <w:color w:val="000000"/>
                <w:kern w:val="0"/>
                <w:sz w:val="24"/>
              </w:rPr>
            </w:pPr>
            <w:r>
              <w:rPr>
                <w:rFonts w:hint="eastAsia" w:ascii="宋体" w:hAnsi="宋体" w:cs="宋体"/>
                <w:color w:val="000000"/>
                <w:kern w:val="0"/>
                <w:sz w:val="24"/>
              </w:rPr>
              <w:t>指</w:t>
            </w:r>
          </w:p>
          <w:p>
            <w:pPr>
              <w:jc w:val="center"/>
              <w:rPr>
                <w:rFonts w:hint="eastAsia" w:ascii="宋体" w:hAnsi="宋体" w:cs="宋体"/>
                <w:color w:val="000000"/>
                <w:kern w:val="0"/>
                <w:szCs w:val="21"/>
              </w:rPr>
            </w:pPr>
            <w:r>
              <w:rPr>
                <w:rFonts w:hint="eastAsia" w:ascii="宋体" w:hAnsi="宋体" w:cs="宋体"/>
                <w:color w:val="000000"/>
                <w:kern w:val="0"/>
                <w:sz w:val="24"/>
              </w:rPr>
              <w:t>标</w:t>
            </w:r>
          </w:p>
        </w:tc>
        <w:tc>
          <w:tcPr>
            <w:tcW w:w="1017"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效益</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（30分）</w:t>
            </w:r>
          </w:p>
          <w:p>
            <w:pPr>
              <w:jc w:val="left"/>
              <w:rPr>
                <w:rFonts w:hint="eastAsia" w:ascii="宋体" w:hAnsi="宋体" w:cs="宋体"/>
                <w:color w:val="000000"/>
                <w:kern w:val="0"/>
                <w:szCs w:val="21"/>
              </w:rPr>
            </w:pPr>
            <w:r>
              <w:rPr>
                <w:rFonts w:hint="eastAsia" w:ascii="宋体" w:hAnsi="宋体" w:cs="宋体"/>
                <w:color w:val="000000"/>
                <w:kern w:val="0"/>
                <w:szCs w:val="21"/>
              </w:rPr>
              <w:t>　</w:t>
            </w:r>
          </w:p>
        </w:tc>
        <w:tc>
          <w:tcPr>
            <w:tcW w:w="122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社会效益指标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保障道路照明，无安全事故率</w:t>
            </w:r>
          </w:p>
        </w:tc>
        <w:tc>
          <w:tcPr>
            <w:tcW w:w="1380"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100%</w:t>
            </w:r>
          </w:p>
        </w:tc>
        <w:tc>
          <w:tcPr>
            <w:tcW w:w="892"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w:t>
            </w:r>
          </w:p>
        </w:tc>
        <w:tc>
          <w:tcPr>
            <w:tcW w:w="884" w:type="dxa"/>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01" w:type="dxa"/>
            <w:gridSpan w:val="2"/>
            <w:vMerge w:val="continue"/>
            <w:noWrap w:val="0"/>
            <w:vAlign w:val="center"/>
          </w:tcPr>
          <w:p>
            <w:pPr>
              <w:jc w:val="center"/>
              <w:rPr>
                <w:rFonts w:hint="eastAsia" w:ascii="宋体" w:hAnsi="宋体" w:cs="宋体"/>
                <w:color w:val="000000"/>
                <w:kern w:val="0"/>
                <w:szCs w:val="21"/>
              </w:rPr>
            </w:pPr>
          </w:p>
        </w:tc>
        <w:tc>
          <w:tcPr>
            <w:tcW w:w="1017" w:type="dxa"/>
            <w:vMerge w:val="continue"/>
            <w:noWrap w:val="0"/>
            <w:vAlign w:val="center"/>
          </w:tcPr>
          <w:p>
            <w:pPr>
              <w:jc w:val="left"/>
              <w:rPr>
                <w:rFonts w:hint="eastAsia" w:ascii="宋体" w:hAnsi="宋体" w:cs="宋体"/>
                <w:color w:val="000000"/>
                <w:kern w:val="0"/>
                <w:szCs w:val="21"/>
              </w:rPr>
            </w:pPr>
          </w:p>
        </w:tc>
        <w:tc>
          <w:tcPr>
            <w:tcW w:w="122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生态效益指标</w:t>
            </w:r>
          </w:p>
        </w:tc>
        <w:tc>
          <w:tcPr>
            <w:tcW w:w="2549" w:type="dxa"/>
            <w:gridSpan w:val="2"/>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重大节日路灯正常运转率</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96%</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98%</w:t>
            </w:r>
          </w:p>
        </w:tc>
        <w:tc>
          <w:tcPr>
            <w:tcW w:w="892" w:type="dxa"/>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gridSpan w:val="2"/>
            <w:vMerge w:val="continue"/>
            <w:noWrap w:val="0"/>
            <w:vAlign w:val="center"/>
          </w:tcPr>
          <w:p>
            <w:pPr>
              <w:widowControl/>
              <w:jc w:val="center"/>
              <w:rPr>
                <w:rFonts w:hint="eastAsia" w:ascii="宋体" w:hAnsi="宋体" w:cs="宋体"/>
                <w:color w:val="000000"/>
                <w:kern w:val="0"/>
                <w:szCs w:val="21"/>
              </w:rPr>
            </w:pPr>
          </w:p>
        </w:tc>
        <w:tc>
          <w:tcPr>
            <w:tcW w:w="1017" w:type="dxa"/>
            <w:vMerge w:val="continue"/>
            <w:noWrap w:val="0"/>
            <w:vAlign w:val="center"/>
          </w:tcPr>
          <w:p>
            <w:pPr>
              <w:widowControl/>
              <w:jc w:val="left"/>
              <w:rPr>
                <w:rFonts w:hint="eastAsia" w:ascii="宋体" w:hAnsi="宋体" w:cs="宋体"/>
                <w:color w:val="000000"/>
                <w:kern w:val="0"/>
                <w:szCs w:val="21"/>
              </w:rPr>
            </w:pPr>
          </w:p>
        </w:tc>
        <w:tc>
          <w:tcPr>
            <w:tcW w:w="12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1"/>
                <w:szCs w:val="21"/>
              </w:rPr>
              <w:t>可持续影响指标</w:t>
            </w:r>
          </w:p>
        </w:tc>
        <w:tc>
          <w:tcPr>
            <w:tcW w:w="2549" w:type="dxa"/>
            <w:gridSpan w:val="2"/>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提升城市照明管护水平</w:t>
            </w:r>
          </w:p>
        </w:tc>
        <w:tc>
          <w:tcPr>
            <w:tcW w:w="138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92"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88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01" w:type="dxa"/>
            <w:gridSpan w:val="2"/>
            <w:vMerge w:val="continue"/>
            <w:noWrap w:val="0"/>
            <w:vAlign w:val="center"/>
          </w:tcPr>
          <w:p>
            <w:pPr>
              <w:jc w:val="left"/>
              <w:rPr>
                <w:rFonts w:hint="eastAsia" w:ascii="宋体" w:hAnsi="宋体" w:cs="宋体"/>
                <w:color w:val="000000"/>
                <w:kern w:val="0"/>
                <w:szCs w:val="21"/>
              </w:rPr>
            </w:pPr>
          </w:p>
        </w:tc>
        <w:tc>
          <w:tcPr>
            <w:tcW w:w="1017"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满意度</w:t>
            </w: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指标</w:t>
            </w:r>
          </w:p>
          <w:p>
            <w:pPr>
              <w:widowControl/>
              <w:jc w:val="both"/>
              <w:rPr>
                <w:rFonts w:hint="eastAsia" w:ascii="宋体" w:hAnsi="宋体" w:cs="宋体"/>
                <w:color w:val="000000"/>
                <w:kern w:val="0"/>
                <w:sz w:val="21"/>
                <w:szCs w:val="21"/>
              </w:rPr>
            </w:pPr>
            <w:r>
              <w:rPr>
                <w:rFonts w:hint="eastAsia" w:ascii="宋体" w:hAnsi="宋体" w:cs="宋体"/>
                <w:color w:val="000000"/>
                <w:kern w:val="0"/>
                <w:sz w:val="21"/>
                <w:szCs w:val="21"/>
              </w:rPr>
              <w:t>（10分）</w:t>
            </w:r>
          </w:p>
        </w:tc>
        <w:tc>
          <w:tcPr>
            <w:tcW w:w="1228"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服务对象满意度</w:t>
            </w: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指标</w:t>
            </w:r>
          </w:p>
        </w:tc>
        <w:tc>
          <w:tcPr>
            <w:tcW w:w="2549" w:type="dxa"/>
            <w:gridSpan w:val="2"/>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群众满意度</w:t>
            </w:r>
          </w:p>
        </w:tc>
        <w:tc>
          <w:tcPr>
            <w:tcW w:w="138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95%</w:t>
            </w:r>
          </w:p>
        </w:tc>
        <w:tc>
          <w:tcPr>
            <w:tcW w:w="1358"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100%</w:t>
            </w:r>
          </w:p>
        </w:tc>
        <w:tc>
          <w:tcPr>
            <w:tcW w:w="892" w:type="dxa"/>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w:t>
            </w:r>
          </w:p>
        </w:tc>
        <w:tc>
          <w:tcPr>
            <w:tcW w:w="884" w:type="dxa"/>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46"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549" w:type="dxa"/>
            <w:gridSpan w:val="2"/>
            <w:noWrap w:val="0"/>
            <w:vAlign w:val="center"/>
          </w:tcPr>
          <w:p>
            <w:pPr>
              <w:widowControl/>
              <w:jc w:val="center"/>
              <w:rPr>
                <w:rFonts w:hint="eastAsia" w:ascii="宋体" w:hAnsi="宋体" w:cs="宋体"/>
                <w:color w:val="000000"/>
                <w:kern w:val="0"/>
                <w:szCs w:val="21"/>
              </w:rPr>
            </w:pPr>
          </w:p>
        </w:tc>
        <w:tc>
          <w:tcPr>
            <w:tcW w:w="2738"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92"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100</w:t>
            </w:r>
          </w:p>
        </w:tc>
        <w:tc>
          <w:tcPr>
            <w:tcW w:w="88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说明及建议</w:t>
            </w:r>
          </w:p>
        </w:tc>
        <w:tc>
          <w:tcPr>
            <w:tcW w:w="4845" w:type="dxa"/>
            <w:gridSpan w:val="5"/>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下年度专项资金保留或取消建议意见</w:t>
            </w:r>
          </w:p>
        </w:tc>
        <w:tc>
          <w:tcPr>
            <w:tcW w:w="4514" w:type="dxa"/>
            <w:gridSpan w:val="4"/>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continue"/>
            <w:noWrap w:val="0"/>
            <w:vAlign w:val="center"/>
          </w:tcPr>
          <w:p>
            <w:pPr>
              <w:widowControl/>
              <w:jc w:val="center"/>
              <w:rPr>
                <w:rFonts w:hint="eastAsia" w:ascii="宋体" w:hAnsi="宋体" w:cs="宋体"/>
                <w:color w:val="000000"/>
                <w:kern w:val="0"/>
                <w:szCs w:val="21"/>
              </w:rPr>
            </w:pPr>
          </w:p>
        </w:tc>
        <w:tc>
          <w:tcPr>
            <w:tcW w:w="4845" w:type="dxa"/>
            <w:gridSpan w:val="5"/>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偏差原因及分析</w:t>
            </w:r>
          </w:p>
        </w:tc>
        <w:tc>
          <w:tcPr>
            <w:tcW w:w="451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50" w:type="dxa"/>
            <w:vMerge w:val="continue"/>
            <w:noWrap w:val="0"/>
            <w:vAlign w:val="center"/>
          </w:tcPr>
          <w:p>
            <w:pPr>
              <w:widowControl/>
              <w:jc w:val="left"/>
            </w:pPr>
          </w:p>
        </w:tc>
        <w:tc>
          <w:tcPr>
            <w:tcW w:w="4845" w:type="dxa"/>
            <w:gridSpan w:val="5"/>
            <w:noWrap w:val="0"/>
            <w:vAlign w:val="center"/>
          </w:tcPr>
          <w:p>
            <w:pPr>
              <w:widowControl/>
              <w:jc w:val="left"/>
              <w:rPr>
                <w:rFonts w:hint="eastAsia" w:ascii="宋体" w:hAnsi="宋体" w:cs="宋体"/>
                <w:color w:val="000000"/>
                <w:kern w:val="0"/>
                <w:szCs w:val="21"/>
              </w:rPr>
            </w:pPr>
          </w:p>
        </w:tc>
        <w:tc>
          <w:tcPr>
            <w:tcW w:w="4514" w:type="dxa"/>
            <w:gridSpan w:val="4"/>
            <w:noWrap w:val="0"/>
            <w:vAlign w:val="center"/>
          </w:tcPr>
          <w:p>
            <w:pPr>
              <w:widowControl/>
              <w:jc w:val="left"/>
              <w:rPr>
                <w:rFonts w:hint="eastAsia" w:ascii="宋体" w:hAnsi="宋体" w:cs="宋体"/>
                <w:color w:val="000000"/>
                <w:kern w:val="0"/>
                <w:szCs w:val="21"/>
              </w:rPr>
            </w:pPr>
          </w:p>
        </w:tc>
      </w:tr>
    </w:tbl>
    <w:p>
      <w:pPr>
        <w:spacing w:before="156" w:beforeLines="50" w:line="300" w:lineRule="exact"/>
        <w:rPr>
          <w:rFonts w:hint="eastAsia" w:ascii="宋体" w:hAnsi="宋体" w:eastAsia="微软雅黑" w:cs="宋体"/>
          <w:sz w:val="22"/>
          <w:szCs w:val="22"/>
          <w:lang w:eastAsia="zh-CN"/>
        </w:rPr>
      </w:pPr>
      <w:r>
        <w:rPr>
          <w:rFonts w:hint="eastAsia" w:ascii="宋体" w:hAnsi="宋体" w:cs="宋体"/>
          <w:sz w:val="22"/>
          <w:szCs w:val="22"/>
        </w:rPr>
        <w:t xml:space="preserve">填表人： </w:t>
      </w:r>
      <w:r>
        <w:rPr>
          <w:rFonts w:hint="eastAsia" w:ascii="宋体" w:hAnsi="宋体" w:cs="宋体"/>
          <w:sz w:val="22"/>
          <w:szCs w:val="22"/>
          <w:lang w:eastAsia="zh-CN"/>
        </w:rPr>
        <w:t>李华</w:t>
      </w:r>
      <w:r>
        <w:rPr>
          <w:rFonts w:hint="eastAsia" w:ascii="宋体" w:hAnsi="宋体" w:cs="宋体"/>
          <w:sz w:val="22"/>
          <w:szCs w:val="22"/>
        </w:rPr>
        <w:t xml:space="preserve">            联系电话：                 单位负责人签字：</w:t>
      </w:r>
      <w:r>
        <w:rPr>
          <w:rFonts w:hint="eastAsia" w:ascii="宋体" w:hAnsi="宋体" w:cs="宋体"/>
          <w:sz w:val="22"/>
          <w:szCs w:val="22"/>
          <w:lang w:eastAsia="zh-CN"/>
        </w:rPr>
        <w:t>宋敏</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p>
      <w:pPr>
        <w:spacing w:line="220" w:lineRule="atLeast"/>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PMingLiU">
    <w:panose1 w:val="02020500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BB3E6"/>
    <w:multiLevelType w:val="singleLevel"/>
    <w:tmpl w:val="8CEBB3E6"/>
    <w:lvl w:ilvl="0" w:tentative="0">
      <w:start w:val="8"/>
      <w:numFmt w:val="chineseCounting"/>
      <w:suff w:val="nothing"/>
      <w:lvlText w:val="%1、"/>
      <w:lvlJc w:val="left"/>
      <w:rPr>
        <w:rFonts w:hint="eastAsia"/>
      </w:rPr>
    </w:lvl>
  </w:abstractNum>
  <w:abstractNum w:abstractNumId="1">
    <w:nsid w:val="8DF0D111"/>
    <w:multiLevelType w:val="singleLevel"/>
    <w:tmpl w:val="8DF0D111"/>
    <w:lvl w:ilvl="0" w:tentative="0">
      <w:start w:val="2"/>
      <w:numFmt w:val="chineseCounting"/>
      <w:suff w:val="nothing"/>
      <w:lvlText w:val="（%1）"/>
      <w:lvlJc w:val="left"/>
      <w:rPr>
        <w:rFonts w:hint="eastAsia"/>
      </w:rPr>
    </w:lvl>
  </w:abstractNum>
  <w:abstractNum w:abstractNumId="2">
    <w:nsid w:val="ADB03A4A"/>
    <w:multiLevelType w:val="singleLevel"/>
    <w:tmpl w:val="ADB03A4A"/>
    <w:lvl w:ilvl="0" w:tentative="0">
      <w:start w:val="2"/>
      <w:numFmt w:val="chineseCounting"/>
      <w:suff w:val="nothing"/>
      <w:lvlText w:val="（%1）"/>
      <w:lvlJc w:val="left"/>
      <w:rPr>
        <w:rFonts w:hint="eastAsia"/>
      </w:rPr>
    </w:lvl>
  </w:abstractNum>
  <w:abstractNum w:abstractNumId="3">
    <w:nsid w:val="DCE05474"/>
    <w:multiLevelType w:val="singleLevel"/>
    <w:tmpl w:val="DCE05474"/>
    <w:lvl w:ilvl="0" w:tentative="0">
      <w:start w:val="4"/>
      <w:numFmt w:val="chineseCounting"/>
      <w:suff w:val="nothing"/>
      <w:lvlText w:val="%1、"/>
      <w:lvlJc w:val="left"/>
      <w:rPr>
        <w:rFonts w:hint="eastAsia"/>
      </w:rPr>
    </w:lvl>
  </w:abstractNum>
  <w:abstractNum w:abstractNumId="4">
    <w:nsid w:val="7FF7C82F"/>
    <w:multiLevelType w:val="singleLevel"/>
    <w:tmpl w:val="7FF7C82F"/>
    <w:lvl w:ilvl="0" w:tentative="0">
      <w:start w:val="2"/>
      <w:numFmt w:val="chineseCounting"/>
      <w:suff w:val="nothing"/>
      <w:lvlText w:val="（%1）"/>
      <w:lvlJc w:val="left"/>
      <w:pPr>
        <w:ind w:left="460"/>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GIxYTEzYjU2ZDZlYmU5ODQ5ZTBlYTcyYmZlNDNjNmIifQ=="/>
  </w:docVars>
  <w:rsids>
    <w:rsidRoot w:val="00D31D50"/>
    <w:rsid w:val="000504C4"/>
    <w:rsid w:val="00323B43"/>
    <w:rsid w:val="003D37D8"/>
    <w:rsid w:val="00426133"/>
    <w:rsid w:val="004358AB"/>
    <w:rsid w:val="008B7726"/>
    <w:rsid w:val="00AD3B56"/>
    <w:rsid w:val="00D02138"/>
    <w:rsid w:val="00D31D50"/>
    <w:rsid w:val="01161F33"/>
    <w:rsid w:val="03146B3D"/>
    <w:rsid w:val="03457CFC"/>
    <w:rsid w:val="03685B59"/>
    <w:rsid w:val="03997757"/>
    <w:rsid w:val="04025BED"/>
    <w:rsid w:val="04567CE7"/>
    <w:rsid w:val="04670095"/>
    <w:rsid w:val="04DE1796"/>
    <w:rsid w:val="050D65F7"/>
    <w:rsid w:val="059040E6"/>
    <w:rsid w:val="096B51B9"/>
    <w:rsid w:val="0A0B50CF"/>
    <w:rsid w:val="0BE1433A"/>
    <w:rsid w:val="0C6A432F"/>
    <w:rsid w:val="0D520BE1"/>
    <w:rsid w:val="0F39623B"/>
    <w:rsid w:val="10190546"/>
    <w:rsid w:val="10F90765"/>
    <w:rsid w:val="115A52E9"/>
    <w:rsid w:val="11A402E3"/>
    <w:rsid w:val="14B4083D"/>
    <w:rsid w:val="16C475E8"/>
    <w:rsid w:val="197009FD"/>
    <w:rsid w:val="1CB03FE0"/>
    <w:rsid w:val="1D526E45"/>
    <w:rsid w:val="1E7F339D"/>
    <w:rsid w:val="1FC02811"/>
    <w:rsid w:val="218E5F64"/>
    <w:rsid w:val="234A5568"/>
    <w:rsid w:val="241C1F5B"/>
    <w:rsid w:val="258D6511"/>
    <w:rsid w:val="26A36964"/>
    <w:rsid w:val="26BB1DC3"/>
    <w:rsid w:val="26D16920"/>
    <w:rsid w:val="26DD0168"/>
    <w:rsid w:val="27383550"/>
    <w:rsid w:val="28164F13"/>
    <w:rsid w:val="296D6594"/>
    <w:rsid w:val="2A0F3106"/>
    <w:rsid w:val="2A1B4A63"/>
    <w:rsid w:val="2B520958"/>
    <w:rsid w:val="2C471B3F"/>
    <w:rsid w:val="2D4D13D7"/>
    <w:rsid w:val="2FD7142C"/>
    <w:rsid w:val="30717AD3"/>
    <w:rsid w:val="308226FA"/>
    <w:rsid w:val="320419E9"/>
    <w:rsid w:val="323B2146"/>
    <w:rsid w:val="329C72D4"/>
    <w:rsid w:val="32AA5F38"/>
    <w:rsid w:val="33596D28"/>
    <w:rsid w:val="338673F1"/>
    <w:rsid w:val="33AA7583"/>
    <w:rsid w:val="34B62A5D"/>
    <w:rsid w:val="35994048"/>
    <w:rsid w:val="37D7023D"/>
    <w:rsid w:val="3E5802AE"/>
    <w:rsid w:val="3E6671C6"/>
    <w:rsid w:val="402D7572"/>
    <w:rsid w:val="405925AC"/>
    <w:rsid w:val="409A0980"/>
    <w:rsid w:val="42250B23"/>
    <w:rsid w:val="426A47FF"/>
    <w:rsid w:val="44BA514C"/>
    <w:rsid w:val="465B64BB"/>
    <w:rsid w:val="485B27A2"/>
    <w:rsid w:val="48D85A21"/>
    <w:rsid w:val="49662761"/>
    <w:rsid w:val="49BA174B"/>
    <w:rsid w:val="4AEE78FE"/>
    <w:rsid w:val="4C746529"/>
    <w:rsid w:val="4FD23C92"/>
    <w:rsid w:val="53D1600F"/>
    <w:rsid w:val="54986C65"/>
    <w:rsid w:val="54AE2A47"/>
    <w:rsid w:val="567436C1"/>
    <w:rsid w:val="576C0528"/>
    <w:rsid w:val="57AD28EF"/>
    <w:rsid w:val="58344780"/>
    <w:rsid w:val="5A5A6D5E"/>
    <w:rsid w:val="5AC16DDD"/>
    <w:rsid w:val="5B7F14B1"/>
    <w:rsid w:val="5C931E99"/>
    <w:rsid w:val="5D042FB1"/>
    <w:rsid w:val="5E9C187A"/>
    <w:rsid w:val="5F9E149B"/>
    <w:rsid w:val="5FBF1411"/>
    <w:rsid w:val="600F2A5A"/>
    <w:rsid w:val="628801E0"/>
    <w:rsid w:val="634E31D8"/>
    <w:rsid w:val="6392180C"/>
    <w:rsid w:val="641641AC"/>
    <w:rsid w:val="649C1A88"/>
    <w:rsid w:val="683C3F47"/>
    <w:rsid w:val="693634DB"/>
    <w:rsid w:val="6A771266"/>
    <w:rsid w:val="6BAC3191"/>
    <w:rsid w:val="6CC87B57"/>
    <w:rsid w:val="6D064B23"/>
    <w:rsid w:val="6E963C85"/>
    <w:rsid w:val="6FC16BAE"/>
    <w:rsid w:val="6FFE1AE2"/>
    <w:rsid w:val="709E7956"/>
    <w:rsid w:val="7121252E"/>
    <w:rsid w:val="714125CE"/>
    <w:rsid w:val="73577E87"/>
    <w:rsid w:val="798E3ED6"/>
    <w:rsid w:val="7A0122A1"/>
    <w:rsid w:val="7DAE4B47"/>
    <w:rsid w:val="7E50713D"/>
    <w:rsid w:val="7EAE0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before="120" w:after="120" w:line="240" w:lineRule="auto"/>
      <w:ind w:left="420" w:leftChars="200" w:rightChars="100" w:firstLine="420" w:firstLineChars="200"/>
    </w:pPr>
    <w:rPr>
      <w:sz w:val="28"/>
    </w:rPr>
  </w:style>
  <w:style w:type="paragraph" w:styleId="3">
    <w:name w:val="Body Text Indent"/>
    <w:basedOn w:val="1"/>
    <w:qFormat/>
    <w:uiPriority w:val="0"/>
    <w:pPr>
      <w:adjustRightInd w:val="0"/>
      <w:snapToGrid w:val="0"/>
      <w:spacing w:line="360" w:lineRule="auto"/>
      <w:ind w:firstLine="630"/>
    </w:pPr>
  </w:style>
  <w:style w:type="paragraph" w:styleId="4">
    <w:name w:val="footer"/>
    <w:basedOn w:val="1"/>
    <w:link w:val="12"/>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5">
    <w:name w:val="header"/>
    <w:basedOn w:val="1"/>
    <w:link w:val="11"/>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24"/>
    </w:rPr>
  </w:style>
  <w:style w:type="character" w:customStyle="1" w:styleId="11">
    <w:name w:val="页眉 Char1"/>
    <w:basedOn w:val="8"/>
    <w:link w:val="5"/>
    <w:semiHidden/>
    <w:qFormat/>
    <w:uiPriority w:val="99"/>
    <w:rPr>
      <w:rFonts w:ascii="Tahoma" w:hAnsi="Tahoma"/>
      <w:sz w:val="18"/>
      <w:szCs w:val="18"/>
    </w:rPr>
  </w:style>
  <w:style w:type="character" w:customStyle="1" w:styleId="12">
    <w:name w:val="页脚 Char1"/>
    <w:basedOn w:val="8"/>
    <w:link w:val="4"/>
    <w:semiHidden/>
    <w:qFormat/>
    <w:uiPriority w:val="99"/>
    <w:rPr>
      <w:rFonts w:ascii="Tahoma" w:hAnsi="Tahoma"/>
      <w:sz w:val="18"/>
      <w:szCs w:val="18"/>
    </w:rPr>
  </w:style>
  <w:style w:type="paragraph" w:customStyle="1" w:styleId="13">
    <w:name w:val="List Paragraph"/>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5159</Words>
  <Characters>5479</Characters>
  <Lines>51</Lines>
  <Paragraphs>14</Paragraphs>
  <TotalTime>6</TotalTime>
  <ScaleCrop>false</ScaleCrop>
  <LinksUpToDate>false</LinksUpToDate>
  <CharactersWithSpaces>6874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2023-10-24T08:21:32Z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EEDDA2FF63DE41D4B78757F6BD153111</vt:lpwstr>
  </property>
</Properties>
</file>