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sz w:val="36"/>
          <w:szCs w:val="36"/>
        </w:rPr>
      </w:pPr>
      <w:bookmarkStart w:id="0" w:name="_GoBack"/>
      <w:bookmarkEnd w:id="0"/>
      <w:r>
        <w:rPr>
          <w:rFonts w:hint="eastAsia" w:ascii="Times New Roman" w:hAnsi="Times New Roman" w:eastAsia="方正小标宋_GBK"/>
          <w:sz w:val="36"/>
          <w:szCs w:val="36"/>
        </w:rPr>
        <w:t>部门整体支出绩效自评报告</w:t>
      </w:r>
    </w:p>
    <w:p>
      <w:pPr>
        <w:spacing w:after="0" w:line="360" w:lineRule="auto"/>
        <w:ind w:left="440" w:leftChars="200" w:firstLine="422" w:firstLineChars="200"/>
        <w:rPr>
          <w:rFonts w:ascii="宋体" w:hAnsi="宋体" w:eastAsia="宋体"/>
          <w:b/>
          <w:sz w:val="21"/>
          <w:szCs w:val="21"/>
        </w:rPr>
      </w:pPr>
      <w:r>
        <w:rPr>
          <w:rFonts w:hint="eastAsia" w:ascii="宋体" w:hAnsi="宋体" w:eastAsia="宋体"/>
          <w:b/>
          <w:sz w:val="21"/>
          <w:szCs w:val="21"/>
        </w:rPr>
        <w:t>一、部门、单位基本情况</w:t>
      </w:r>
    </w:p>
    <w:p>
      <w:pPr>
        <w:pStyle w:val="8"/>
        <w:widowControl/>
        <w:spacing w:line="360" w:lineRule="auto"/>
        <w:ind w:left="440" w:leftChars="200"/>
        <w:jc w:val="left"/>
        <w:rPr>
          <w:rFonts w:ascii="宋体" w:hAnsi="宋体"/>
          <w:szCs w:val="21"/>
        </w:rPr>
      </w:pPr>
      <w:r>
        <w:rPr>
          <w:rFonts w:hint="eastAsia" w:ascii="宋体" w:hAnsi="宋体"/>
          <w:szCs w:val="21"/>
        </w:rPr>
        <w:t>（一）机构设置情况</w:t>
      </w:r>
    </w:p>
    <w:p>
      <w:pPr>
        <w:pStyle w:val="9"/>
        <w:widowControl/>
        <w:spacing w:line="360" w:lineRule="auto"/>
        <w:ind w:left="440" w:leftChars="200"/>
        <w:jc w:val="left"/>
        <w:rPr>
          <w:rFonts w:ascii="宋体" w:hAnsi="宋体" w:cs="宋体"/>
          <w:kern w:val="0"/>
          <w:szCs w:val="21"/>
        </w:rPr>
      </w:pPr>
      <w:r>
        <w:rPr>
          <w:rFonts w:hint="eastAsia" w:ascii="宋体" w:hAnsi="宋体" w:cs="宋体"/>
          <w:kern w:val="0"/>
          <w:szCs w:val="21"/>
        </w:rPr>
        <w:t>根据职责，我镇内设机构1个，所属事业单位3中心1大队。内设机构是渣江镇机关。所属事业单位分别是社会事业综合服务中心、农业综合服务中心、政务服务中心、综合行政执法大队。</w:t>
      </w:r>
    </w:p>
    <w:p>
      <w:pPr>
        <w:pStyle w:val="8"/>
        <w:widowControl/>
        <w:spacing w:line="360" w:lineRule="auto"/>
        <w:ind w:left="440" w:leftChars="200"/>
        <w:jc w:val="left"/>
        <w:rPr>
          <w:rFonts w:ascii="宋体" w:hAnsi="宋体"/>
          <w:szCs w:val="21"/>
        </w:rPr>
      </w:pPr>
      <w:r>
        <w:rPr>
          <w:rFonts w:hint="eastAsia" w:ascii="宋体" w:hAnsi="宋体"/>
          <w:szCs w:val="21"/>
        </w:rPr>
        <w:t>（二）人员编制情况</w:t>
      </w:r>
    </w:p>
    <w:p>
      <w:pPr>
        <w:pStyle w:val="9"/>
        <w:widowControl/>
        <w:spacing w:line="360" w:lineRule="auto"/>
        <w:ind w:left="440" w:leftChars="200"/>
        <w:jc w:val="left"/>
        <w:rPr>
          <w:rFonts w:ascii="宋体" w:hAnsi="宋体" w:cs="宋体"/>
          <w:kern w:val="0"/>
          <w:szCs w:val="21"/>
        </w:rPr>
      </w:pPr>
      <w:r>
        <w:rPr>
          <w:rFonts w:hint="eastAsia" w:ascii="宋体" w:hAnsi="宋体" w:cs="宋体"/>
          <w:kern w:val="0"/>
          <w:szCs w:val="21"/>
        </w:rPr>
        <w:t>我镇编制人数合计135个，其中行政编53个，事业编82个。现年末实有在职人数115人，其中行政编在职人员40人，事业编在职人员75人，编外人员0人。年末实有离退休人员76人。</w:t>
      </w:r>
    </w:p>
    <w:p>
      <w:pPr>
        <w:pStyle w:val="8"/>
        <w:widowControl/>
        <w:spacing w:line="360" w:lineRule="auto"/>
        <w:ind w:left="440" w:leftChars="200"/>
        <w:jc w:val="left"/>
        <w:rPr>
          <w:rFonts w:ascii="宋体" w:hAnsi="宋体"/>
          <w:szCs w:val="21"/>
        </w:rPr>
      </w:pPr>
      <w:r>
        <w:rPr>
          <w:rFonts w:hint="eastAsia" w:ascii="宋体" w:hAnsi="宋体"/>
          <w:szCs w:val="21"/>
        </w:rPr>
        <w:t>（三）主要职能职责</w:t>
      </w:r>
    </w:p>
    <w:p>
      <w:pPr>
        <w:pStyle w:val="9"/>
        <w:widowControl/>
        <w:spacing w:line="360" w:lineRule="auto"/>
        <w:ind w:left="440" w:leftChars="200"/>
        <w:jc w:val="left"/>
        <w:rPr>
          <w:rFonts w:ascii="宋体" w:hAnsi="宋体" w:cs="宋体"/>
          <w:kern w:val="0"/>
          <w:szCs w:val="21"/>
        </w:rPr>
      </w:pPr>
      <w:r>
        <w:rPr>
          <w:rFonts w:hint="eastAsia" w:ascii="宋体" w:hAnsi="宋体" w:cs="宋体"/>
          <w:kern w:val="0"/>
          <w:szCs w:val="21"/>
        </w:rPr>
        <w:t>1、执行本级人民代表大会决议和上级国家行政机关的决定和命令，发布决定和命令;落实国家政策，严格依法行政。</w:t>
      </w:r>
    </w:p>
    <w:p>
      <w:pPr>
        <w:pStyle w:val="9"/>
        <w:widowControl/>
        <w:spacing w:line="360" w:lineRule="auto"/>
        <w:ind w:left="440" w:leftChars="200"/>
        <w:jc w:val="left"/>
        <w:rPr>
          <w:rFonts w:ascii="宋体" w:hAnsi="宋体" w:cs="宋体"/>
          <w:kern w:val="0"/>
          <w:szCs w:val="21"/>
        </w:rPr>
      </w:pPr>
      <w:r>
        <w:rPr>
          <w:rFonts w:hint="eastAsia" w:ascii="宋体" w:hAnsi="宋体" w:cs="宋体"/>
          <w:kern w:val="0"/>
          <w:szCs w:val="21"/>
        </w:rPr>
        <w:t>2、执行本镇区域内的经济和社会发展计划、预算，管理本镇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9"/>
        <w:widowControl/>
        <w:spacing w:line="360" w:lineRule="auto"/>
        <w:ind w:left="440" w:leftChars="200"/>
        <w:jc w:val="left"/>
        <w:rPr>
          <w:rFonts w:ascii="宋体" w:hAnsi="宋体" w:cs="宋体"/>
          <w:kern w:val="0"/>
          <w:szCs w:val="21"/>
        </w:rPr>
      </w:pPr>
      <w:r>
        <w:rPr>
          <w:rFonts w:hint="eastAsia" w:ascii="宋体" w:hAnsi="宋体" w:cs="宋体"/>
          <w:kern w:val="0"/>
          <w:szCs w:val="21"/>
        </w:rPr>
        <w:t>3、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pPr>
        <w:pStyle w:val="9"/>
        <w:widowControl/>
        <w:spacing w:line="360" w:lineRule="auto"/>
        <w:ind w:left="440" w:leftChars="200"/>
        <w:jc w:val="left"/>
        <w:rPr>
          <w:rFonts w:ascii="宋体" w:hAnsi="宋体" w:cs="宋体"/>
          <w:kern w:val="0"/>
          <w:szCs w:val="21"/>
        </w:rPr>
      </w:pPr>
      <w:r>
        <w:rPr>
          <w:rFonts w:hint="eastAsia" w:ascii="宋体" w:hAnsi="宋体" w:cs="宋体"/>
          <w:kern w:val="0"/>
          <w:szCs w:val="21"/>
        </w:rPr>
        <w:t>4、制定并组织实施乡村建设规划，部署重点工程建设，地方道路建设及公共设施，水利设施的管理，负责土地、林木、水等自然资源和生态环境的保护，做好护林防火工作。</w:t>
      </w:r>
    </w:p>
    <w:p>
      <w:pPr>
        <w:pStyle w:val="9"/>
        <w:widowControl/>
        <w:spacing w:line="360" w:lineRule="auto"/>
        <w:ind w:left="440" w:leftChars="200"/>
        <w:jc w:val="left"/>
        <w:rPr>
          <w:rFonts w:ascii="宋体" w:hAnsi="宋体" w:cs="宋体"/>
          <w:kern w:val="0"/>
          <w:szCs w:val="21"/>
        </w:rPr>
      </w:pPr>
      <w:r>
        <w:rPr>
          <w:rFonts w:hint="eastAsia" w:ascii="宋体" w:hAnsi="宋体" w:cs="宋体"/>
          <w:kern w:val="0"/>
          <w:szCs w:val="21"/>
        </w:rPr>
        <w:t>5、按计划组织本级财政收入和地方税的征收，完成国家财政计划，不断培植税源，管好财政资金，增强财政实力。</w:t>
      </w:r>
    </w:p>
    <w:p>
      <w:pPr>
        <w:pStyle w:val="9"/>
        <w:widowControl/>
        <w:spacing w:line="360" w:lineRule="auto"/>
        <w:ind w:left="440" w:leftChars="200"/>
        <w:jc w:val="left"/>
        <w:rPr>
          <w:rFonts w:ascii="宋体" w:hAnsi="宋体" w:cs="宋体"/>
          <w:kern w:val="0"/>
          <w:szCs w:val="21"/>
        </w:rPr>
      </w:pPr>
      <w:r>
        <w:rPr>
          <w:rFonts w:hint="eastAsia" w:ascii="宋体" w:hAnsi="宋体" w:cs="宋体"/>
          <w:kern w:val="0"/>
          <w:szCs w:val="21"/>
        </w:rPr>
        <w:t>6、保障宪法和法律赋予妇女的男女平等、同工同酬和婚姻自由等各项权利，保障少数民族的合法权利和尊重少数民族的风俗习惯。</w:t>
      </w:r>
    </w:p>
    <w:p>
      <w:pPr>
        <w:pStyle w:val="9"/>
        <w:widowControl/>
        <w:spacing w:line="360" w:lineRule="auto"/>
        <w:ind w:left="440" w:leftChars="200"/>
        <w:jc w:val="left"/>
        <w:rPr>
          <w:rFonts w:ascii="宋体" w:hAnsi="宋体" w:cs="宋体"/>
          <w:kern w:val="0"/>
          <w:szCs w:val="21"/>
        </w:rPr>
      </w:pPr>
      <w:r>
        <w:rPr>
          <w:rFonts w:hint="eastAsia" w:ascii="宋体" w:hAnsi="宋体" w:cs="宋体"/>
          <w:kern w:val="0"/>
          <w:szCs w:val="21"/>
        </w:rPr>
        <w:t>7、抓好精神文明建设，丰富群众文化生活，提倡移风易俗，反对封建迷信，破除陈规陋习，树立社会主义新风尚。</w:t>
      </w:r>
    </w:p>
    <w:p>
      <w:pPr>
        <w:pStyle w:val="9"/>
        <w:widowControl/>
        <w:spacing w:line="360" w:lineRule="auto"/>
        <w:ind w:left="440" w:leftChars="200"/>
        <w:jc w:val="left"/>
        <w:rPr>
          <w:rFonts w:ascii="宋体" w:hAnsi="宋体" w:cs="宋体"/>
          <w:kern w:val="0"/>
          <w:szCs w:val="21"/>
        </w:rPr>
      </w:pPr>
      <w:r>
        <w:rPr>
          <w:rFonts w:hint="eastAsia" w:ascii="宋体" w:hAnsi="宋体" w:cs="宋体"/>
          <w:kern w:val="0"/>
          <w:szCs w:val="21"/>
        </w:rPr>
        <w:t>8、承办上级党委、政府交办的其他事项。</w:t>
      </w:r>
    </w:p>
    <w:p>
      <w:pPr>
        <w:pStyle w:val="8"/>
        <w:widowControl/>
        <w:spacing w:line="360" w:lineRule="auto"/>
        <w:ind w:left="440" w:leftChars="200"/>
        <w:jc w:val="left"/>
        <w:rPr>
          <w:rFonts w:ascii="宋体" w:hAnsi="宋体"/>
          <w:szCs w:val="21"/>
        </w:rPr>
      </w:pPr>
      <w:r>
        <w:rPr>
          <w:rFonts w:hint="eastAsia" w:ascii="宋体" w:hAnsi="宋体"/>
          <w:szCs w:val="21"/>
        </w:rPr>
        <w:t>（四）绩效目标设定情况</w:t>
      </w:r>
    </w:p>
    <w:p>
      <w:pPr>
        <w:adjustRightInd/>
        <w:snapToGrid/>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年初绩效目标：</w:t>
      </w:r>
    </w:p>
    <w:p>
      <w:pPr>
        <w:adjustRightInd/>
        <w:snapToGrid/>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目标1：保证人员经费和公用经费按照预算项目合理支出，确保单位办公室合理运作。</w:t>
      </w:r>
    </w:p>
    <w:p>
      <w:pPr>
        <w:adjustRightInd/>
        <w:snapToGrid/>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目标2：大力发展民生事业，坚决贯彻党中央惠农富农相关政策，“一卡通”补贴及时发放，坚守民生保障底线。</w:t>
      </w:r>
    </w:p>
    <w:p>
      <w:pPr>
        <w:pStyle w:val="8"/>
        <w:widowControl/>
        <w:spacing w:line="360" w:lineRule="auto"/>
        <w:ind w:left="440" w:leftChars="200"/>
        <w:jc w:val="left"/>
        <w:rPr>
          <w:rFonts w:ascii="宋体" w:hAnsi="宋体" w:cs="宋体"/>
          <w:kern w:val="0"/>
          <w:szCs w:val="21"/>
        </w:rPr>
      </w:pPr>
      <w:r>
        <w:rPr>
          <w:rFonts w:hint="eastAsia" w:ascii="宋体" w:hAnsi="宋体" w:cs="宋体"/>
          <w:kern w:val="0"/>
          <w:szCs w:val="21"/>
        </w:rPr>
        <w:t>目标3：灾害防治、安全生产、森林防火实现“零事故”，加强疫情防控打好防疫攻坚战。</w:t>
      </w:r>
    </w:p>
    <w:p>
      <w:pPr>
        <w:pStyle w:val="8"/>
        <w:widowControl/>
        <w:spacing w:line="360" w:lineRule="auto"/>
        <w:ind w:left="440" w:leftChars="200"/>
        <w:jc w:val="left"/>
        <w:rPr>
          <w:rFonts w:ascii="宋体" w:hAnsi="宋体" w:cs="宋体"/>
          <w:kern w:val="0"/>
          <w:szCs w:val="21"/>
        </w:rPr>
      </w:pPr>
      <w:r>
        <w:rPr>
          <w:rFonts w:hint="eastAsia" w:ascii="宋体" w:hAnsi="宋体" w:cs="宋体"/>
          <w:kern w:val="0"/>
          <w:szCs w:val="21"/>
        </w:rPr>
        <w:t>年末完成绩效目标：</w:t>
      </w:r>
    </w:p>
    <w:p>
      <w:pPr>
        <w:adjustRightInd/>
        <w:snapToGrid/>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目标1：人员经费和公用经费按照预算项目合理支出，单位办公室运作合理。</w:t>
      </w:r>
    </w:p>
    <w:p>
      <w:pPr>
        <w:adjustRightInd/>
        <w:snapToGrid/>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目标2： “一卡通”补贴全部及时发放，坚守民生保障底线。</w:t>
      </w:r>
    </w:p>
    <w:p>
      <w:pPr>
        <w:adjustRightInd/>
        <w:snapToGrid/>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目标3：灾害防治、安全生产、森林防火实现“零事故”，加强疫情防控打好防疫攻坚战。　</w:t>
      </w:r>
    </w:p>
    <w:p>
      <w:pPr>
        <w:spacing w:after="0" w:line="360" w:lineRule="auto"/>
        <w:ind w:left="440" w:leftChars="200" w:firstLine="422" w:firstLineChars="200"/>
        <w:rPr>
          <w:rFonts w:ascii="宋体" w:hAnsi="宋体" w:eastAsia="宋体"/>
          <w:b/>
          <w:sz w:val="21"/>
          <w:szCs w:val="21"/>
        </w:rPr>
      </w:pPr>
      <w:r>
        <w:rPr>
          <w:rFonts w:hint="eastAsia" w:ascii="宋体" w:hAnsi="宋体" w:eastAsia="宋体"/>
          <w:b/>
          <w:sz w:val="21"/>
          <w:szCs w:val="21"/>
        </w:rPr>
        <w:t>二、一般公共预算支出情况</w:t>
      </w:r>
    </w:p>
    <w:p>
      <w:pPr>
        <w:pStyle w:val="8"/>
        <w:widowControl/>
        <w:spacing w:line="360" w:lineRule="auto"/>
        <w:ind w:left="440" w:leftChars="200"/>
        <w:jc w:val="left"/>
        <w:rPr>
          <w:rFonts w:ascii="宋体" w:hAnsi="宋体"/>
          <w:szCs w:val="21"/>
        </w:rPr>
      </w:pPr>
      <w:r>
        <w:rPr>
          <w:rFonts w:hint="eastAsia" w:ascii="宋体" w:hAnsi="宋体"/>
          <w:szCs w:val="21"/>
        </w:rPr>
        <w:t>（一）经批复的预、决算情况</w:t>
      </w:r>
    </w:p>
    <w:p>
      <w:pPr>
        <w:pStyle w:val="8"/>
        <w:widowControl/>
        <w:spacing w:line="360" w:lineRule="auto"/>
        <w:ind w:left="440" w:leftChars="200"/>
        <w:jc w:val="left"/>
        <w:rPr>
          <w:rFonts w:ascii="宋体" w:hAnsi="宋体" w:cs="宋体"/>
          <w:kern w:val="0"/>
          <w:szCs w:val="21"/>
        </w:rPr>
      </w:pPr>
      <w:r>
        <w:rPr>
          <w:rFonts w:hint="eastAsia" w:ascii="宋体" w:hAnsi="宋体" w:cs="宋体"/>
          <w:kern w:val="0"/>
          <w:szCs w:val="21"/>
        </w:rPr>
        <w:t>全年本单位经批复的预算收入为2493.77万元，其中财政拨款2493.77万元，无上年结转结余。</w:t>
      </w:r>
    </w:p>
    <w:p>
      <w:pPr>
        <w:pStyle w:val="8"/>
        <w:widowControl/>
        <w:spacing w:line="360" w:lineRule="auto"/>
        <w:ind w:left="440" w:leftChars="200"/>
        <w:jc w:val="left"/>
        <w:rPr>
          <w:rFonts w:ascii="宋体" w:hAnsi="宋体"/>
          <w:color w:val="000000"/>
          <w:szCs w:val="21"/>
        </w:rPr>
      </w:pPr>
      <w:r>
        <w:rPr>
          <w:rFonts w:hint="eastAsia" w:ascii="宋体" w:hAnsi="宋体"/>
          <w:color w:val="000000"/>
          <w:szCs w:val="21"/>
        </w:rPr>
        <w:t>全年完成财政总收入</w:t>
      </w:r>
      <w:r>
        <w:rPr>
          <w:rFonts w:ascii="宋体" w:hAnsi="宋体"/>
          <w:color w:val="000000"/>
          <w:szCs w:val="21"/>
        </w:rPr>
        <w:t>507</w:t>
      </w:r>
      <w:r>
        <w:rPr>
          <w:rFonts w:hint="eastAsia" w:ascii="宋体" w:hAnsi="宋体"/>
          <w:color w:val="000000"/>
          <w:szCs w:val="21"/>
        </w:rPr>
        <w:t>6</w:t>
      </w:r>
      <w:r>
        <w:rPr>
          <w:rFonts w:ascii="宋体" w:hAnsi="宋体"/>
          <w:color w:val="000000"/>
          <w:szCs w:val="21"/>
        </w:rPr>
        <w:t>.08</w:t>
      </w:r>
      <w:r>
        <w:rPr>
          <w:rFonts w:hint="eastAsia" w:ascii="宋体" w:hAnsi="宋体"/>
          <w:color w:val="000000"/>
          <w:szCs w:val="21"/>
        </w:rPr>
        <w:t>万元，其中一般公共预算财政拨款收入</w:t>
      </w:r>
      <w:r>
        <w:rPr>
          <w:rFonts w:ascii="宋体" w:hAnsi="宋体"/>
          <w:color w:val="000000"/>
          <w:szCs w:val="21"/>
        </w:rPr>
        <w:t>2498</w:t>
      </w:r>
      <w:r>
        <w:rPr>
          <w:rFonts w:hint="eastAsia" w:ascii="宋体" w:hAnsi="宋体"/>
          <w:color w:val="000000"/>
          <w:szCs w:val="21"/>
        </w:rPr>
        <w:t>.</w:t>
      </w:r>
      <w:r>
        <w:rPr>
          <w:rFonts w:ascii="宋体" w:hAnsi="宋体"/>
          <w:color w:val="000000"/>
          <w:szCs w:val="21"/>
        </w:rPr>
        <w:t>77</w:t>
      </w:r>
      <w:r>
        <w:rPr>
          <w:rFonts w:hint="eastAsia" w:ascii="宋体" w:hAnsi="宋体"/>
          <w:color w:val="000000"/>
          <w:szCs w:val="21"/>
        </w:rPr>
        <w:t>万元，政府性基金预算财政拨款5万元，其他收入</w:t>
      </w:r>
      <w:r>
        <w:rPr>
          <w:rFonts w:ascii="宋体" w:hAnsi="宋体"/>
          <w:color w:val="000000"/>
          <w:szCs w:val="21"/>
        </w:rPr>
        <w:t>2572</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万元。完成财政总支出5076.08万元,其中基本支出</w:t>
      </w:r>
      <w:r>
        <w:rPr>
          <w:rFonts w:ascii="宋体" w:hAnsi="宋体"/>
          <w:color w:val="000000"/>
          <w:szCs w:val="21"/>
        </w:rPr>
        <w:t>4096</w:t>
      </w: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4万元，项目支出</w:t>
      </w:r>
      <w:r>
        <w:rPr>
          <w:rFonts w:ascii="宋体" w:hAnsi="宋体"/>
          <w:color w:val="000000"/>
          <w:szCs w:val="21"/>
        </w:rPr>
        <w:t>97</w:t>
      </w:r>
      <w:r>
        <w:rPr>
          <w:rFonts w:hint="eastAsia" w:ascii="宋体" w:hAnsi="宋体"/>
          <w:color w:val="000000"/>
          <w:szCs w:val="21"/>
        </w:rPr>
        <w:t>9.</w:t>
      </w:r>
      <w:r>
        <w:rPr>
          <w:rFonts w:ascii="宋体" w:hAnsi="宋体"/>
          <w:color w:val="000000"/>
          <w:szCs w:val="21"/>
        </w:rPr>
        <w:t>34</w:t>
      </w:r>
      <w:r>
        <w:rPr>
          <w:rFonts w:hint="eastAsia" w:ascii="宋体" w:hAnsi="宋体"/>
          <w:color w:val="000000"/>
          <w:szCs w:val="21"/>
        </w:rPr>
        <w:t>万元。本单位年末无结转和结余资金。</w:t>
      </w:r>
    </w:p>
    <w:p>
      <w:pPr>
        <w:pStyle w:val="8"/>
        <w:widowControl/>
        <w:spacing w:line="360" w:lineRule="auto"/>
        <w:ind w:left="440" w:leftChars="200"/>
        <w:jc w:val="left"/>
        <w:rPr>
          <w:rFonts w:ascii="宋体" w:hAnsi="宋体"/>
          <w:szCs w:val="21"/>
        </w:rPr>
      </w:pPr>
      <w:r>
        <w:rPr>
          <w:rFonts w:hint="eastAsia" w:ascii="宋体" w:hAnsi="宋体"/>
          <w:szCs w:val="21"/>
        </w:rPr>
        <w:t>（二）部门预算执行情况</w:t>
      </w:r>
    </w:p>
    <w:p>
      <w:pPr>
        <w:pStyle w:val="8"/>
        <w:widowControl/>
        <w:spacing w:line="360" w:lineRule="auto"/>
        <w:ind w:left="440" w:leftChars="200"/>
        <w:jc w:val="left"/>
        <w:rPr>
          <w:rFonts w:ascii="宋体" w:hAnsi="宋体"/>
          <w:szCs w:val="21"/>
        </w:rPr>
      </w:pPr>
      <w:r>
        <w:rPr>
          <w:rFonts w:ascii="宋体" w:hAnsi="宋体"/>
          <w:szCs w:val="21"/>
        </w:rPr>
        <w:t>1.</w:t>
      </w:r>
      <w:r>
        <w:rPr>
          <w:rFonts w:hint="eastAsia" w:ascii="宋体" w:hAnsi="宋体"/>
          <w:szCs w:val="21"/>
        </w:rPr>
        <w:t>基本支出情况</w:t>
      </w:r>
    </w:p>
    <w:p>
      <w:pPr>
        <w:pStyle w:val="8"/>
        <w:widowControl/>
        <w:spacing w:line="360" w:lineRule="auto"/>
        <w:ind w:left="440" w:leftChars="200"/>
        <w:jc w:val="left"/>
        <w:rPr>
          <w:rFonts w:ascii="宋体" w:hAnsi="宋体"/>
          <w:szCs w:val="21"/>
        </w:rPr>
      </w:pPr>
      <w:r>
        <w:rPr>
          <w:rFonts w:hint="eastAsia" w:ascii="宋体" w:hAnsi="宋体" w:cs="宋体"/>
          <w:kern w:val="0"/>
          <w:szCs w:val="21"/>
        </w:rPr>
        <w:t>基本支出共计1524.43万元，具体情况为：一般公共服务支出516.96万元，社会保障和就业支出202.29万元，卫生健康支出59.47万元，农林水支出663.34万元，住房保障支出82.38万元。</w:t>
      </w:r>
    </w:p>
    <w:p>
      <w:pPr>
        <w:pStyle w:val="8"/>
        <w:widowControl/>
        <w:spacing w:line="360" w:lineRule="auto"/>
        <w:ind w:left="440" w:leftChars="200"/>
        <w:jc w:val="left"/>
        <w:rPr>
          <w:rFonts w:ascii="宋体" w:hAnsi="宋体"/>
          <w:szCs w:val="21"/>
        </w:rPr>
      </w:pPr>
      <w:r>
        <w:rPr>
          <w:rFonts w:ascii="宋体" w:hAnsi="宋体"/>
          <w:szCs w:val="21"/>
        </w:rPr>
        <w:t>2.</w:t>
      </w:r>
      <w:r>
        <w:rPr>
          <w:rFonts w:hint="eastAsia" w:ascii="宋体" w:hAnsi="宋体"/>
          <w:szCs w:val="21"/>
        </w:rPr>
        <w:t>项目支出情况</w:t>
      </w:r>
      <w:r>
        <w:rPr>
          <w:rFonts w:ascii="宋体" w:hAnsi="宋体"/>
          <w:szCs w:val="21"/>
        </w:rPr>
        <w:tab/>
      </w:r>
    </w:p>
    <w:p>
      <w:pPr>
        <w:spacing w:after="0" w:line="360" w:lineRule="auto"/>
        <w:ind w:left="440" w:leftChars="200" w:firstLine="420" w:firstLineChars="200"/>
        <w:rPr>
          <w:rFonts w:ascii="宋体" w:hAnsi="宋体" w:eastAsia="宋体"/>
          <w:sz w:val="21"/>
          <w:szCs w:val="21"/>
        </w:rPr>
      </w:pPr>
      <w:r>
        <w:rPr>
          <w:rFonts w:hint="eastAsia" w:ascii="宋体" w:hAnsi="宋体" w:eastAsia="宋体"/>
          <w:sz w:val="21"/>
          <w:szCs w:val="21"/>
        </w:rPr>
        <w:t>无</w:t>
      </w:r>
    </w:p>
    <w:p>
      <w:pPr>
        <w:pStyle w:val="8"/>
        <w:widowControl/>
        <w:spacing w:line="360" w:lineRule="auto"/>
        <w:ind w:left="440" w:leftChars="200"/>
        <w:jc w:val="left"/>
        <w:rPr>
          <w:rFonts w:ascii="宋体" w:hAnsi="宋体"/>
          <w:bCs/>
          <w:szCs w:val="21"/>
        </w:rPr>
      </w:pPr>
      <w:r>
        <w:rPr>
          <w:rFonts w:hint="eastAsia" w:ascii="宋体" w:hAnsi="宋体"/>
          <w:bCs/>
          <w:szCs w:val="21"/>
        </w:rPr>
        <w:t>（三）</w:t>
      </w:r>
      <w:r>
        <w:rPr>
          <w:rFonts w:ascii="宋体" w:hAnsi="宋体"/>
          <w:bCs/>
          <w:szCs w:val="21"/>
        </w:rPr>
        <w:t>“</w:t>
      </w:r>
      <w:r>
        <w:rPr>
          <w:rFonts w:hint="eastAsia" w:ascii="宋体" w:hAnsi="宋体"/>
          <w:bCs/>
          <w:szCs w:val="21"/>
        </w:rPr>
        <w:t>三公</w:t>
      </w:r>
      <w:r>
        <w:rPr>
          <w:rFonts w:ascii="宋体" w:hAnsi="宋体"/>
          <w:bCs/>
          <w:szCs w:val="21"/>
        </w:rPr>
        <w:t>”</w:t>
      </w:r>
      <w:r>
        <w:rPr>
          <w:rFonts w:hint="eastAsia" w:ascii="宋体" w:hAnsi="宋体"/>
          <w:bCs/>
          <w:szCs w:val="21"/>
        </w:rPr>
        <w:t>经费使用和管理情况</w:t>
      </w:r>
    </w:p>
    <w:p>
      <w:pPr>
        <w:pStyle w:val="8"/>
        <w:widowControl/>
        <w:spacing w:line="360" w:lineRule="auto"/>
        <w:ind w:left="440" w:leftChars="200"/>
        <w:jc w:val="left"/>
        <w:rPr>
          <w:rFonts w:ascii="宋体" w:hAnsi="宋体"/>
          <w:bCs/>
          <w:szCs w:val="21"/>
        </w:rPr>
      </w:pPr>
      <w:r>
        <w:rPr>
          <w:rFonts w:hint="eastAsia" w:ascii="宋体" w:hAnsi="宋体"/>
          <w:color w:val="000000"/>
          <w:szCs w:val="21"/>
        </w:rPr>
        <w:t>全年支出“三公”经费17.11万元，其中：公务接待15.24万元，因公出国费用0万元，公务用车1.87万元。同比上年“三公”经费减少1.88万，压缩比例10%，严格遵循国家厉行节约的原则。</w:t>
      </w:r>
    </w:p>
    <w:p>
      <w:pPr>
        <w:pStyle w:val="8"/>
        <w:widowControl/>
        <w:spacing w:line="360" w:lineRule="auto"/>
        <w:ind w:left="440" w:leftChars="200"/>
        <w:jc w:val="left"/>
        <w:rPr>
          <w:rFonts w:ascii="宋体" w:hAnsi="宋体"/>
          <w:bCs/>
          <w:szCs w:val="21"/>
        </w:rPr>
      </w:pPr>
      <w:r>
        <w:rPr>
          <w:rFonts w:hint="eastAsia" w:ascii="宋体" w:hAnsi="宋体"/>
          <w:bCs/>
          <w:szCs w:val="21"/>
        </w:rPr>
        <w:t>（四）资金结转和结余情况</w:t>
      </w:r>
    </w:p>
    <w:p>
      <w:pPr>
        <w:pStyle w:val="8"/>
        <w:widowControl/>
        <w:spacing w:line="360" w:lineRule="auto"/>
        <w:ind w:left="440" w:leftChars="200"/>
        <w:jc w:val="left"/>
        <w:rPr>
          <w:rFonts w:ascii="宋体" w:hAnsi="宋体" w:cs="宋体"/>
          <w:kern w:val="0"/>
          <w:szCs w:val="21"/>
        </w:rPr>
      </w:pPr>
      <w:r>
        <w:rPr>
          <w:rFonts w:hint="eastAsia" w:ascii="宋体" w:hAnsi="宋体" w:cs="宋体"/>
          <w:kern w:val="0"/>
          <w:szCs w:val="21"/>
        </w:rPr>
        <w:t>2022年度本单位年末无结转和结余资金。</w:t>
      </w:r>
    </w:p>
    <w:p>
      <w:pPr>
        <w:pStyle w:val="8"/>
        <w:widowControl/>
        <w:spacing w:line="360" w:lineRule="auto"/>
        <w:ind w:left="440" w:leftChars="200"/>
        <w:jc w:val="left"/>
        <w:rPr>
          <w:rFonts w:ascii="宋体" w:hAnsi="宋体"/>
          <w:bCs/>
          <w:szCs w:val="21"/>
        </w:rPr>
      </w:pPr>
      <w:r>
        <w:rPr>
          <w:rFonts w:hint="eastAsia" w:ascii="宋体" w:hAnsi="宋体"/>
          <w:bCs/>
          <w:szCs w:val="21"/>
        </w:rPr>
        <w:t>（五）部门整体支出管理与制度建设情况</w:t>
      </w:r>
    </w:p>
    <w:p>
      <w:pPr>
        <w:pStyle w:val="8"/>
        <w:widowControl/>
        <w:spacing w:line="360" w:lineRule="auto"/>
        <w:ind w:left="440" w:leftChars="200"/>
        <w:jc w:val="left"/>
        <w:rPr>
          <w:rFonts w:ascii="宋体" w:hAnsi="宋体" w:cs="宋体"/>
          <w:kern w:val="0"/>
          <w:szCs w:val="21"/>
        </w:rPr>
      </w:pPr>
      <w:r>
        <w:rPr>
          <w:rFonts w:hint="eastAsia" w:ascii="宋体" w:hAnsi="宋体" w:cs="宋体"/>
          <w:kern w:val="0"/>
          <w:szCs w:val="21"/>
        </w:rPr>
        <w:t>为贯彻执行党的路线、方针、政策，做好全镇日常管理和服务工作，制订了资金财务管理制度、政府采购内控制度等，对资金管理、收入管理、支出管理、资产与负债管理、财务报告和监督检查等都作了明确规定，进一步规范资金使用。</w:t>
      </w:r>
    </w:p>
    <w:p>
      <w:pPr>
        <w:spacing w:after="0" w:line="360" w:lineRule="auto"/>
        <w:ind w:left="440" w:leftChars="200" w:firstLine="422" w:firstLineChars="200"/>
        <w:rPr>
          <w:rFonts w:ascii="宋体" w:hAnsi="宋体" w:eastAsia="宋体"/>
          <w:b/>
          <w:sz w:val="21"/>
          <w:szCs w:val="21"/>
        </w:rPr>
      </w:pPr>
      <w:r>
        <w:rPr>
          <w:rFonts w:hint="eastAsia" w:ascii="宋体" w:hAnsi="宋体" w:eastAsia="宋体"/>
          <w:b/>
          <w:sz w:val="21"/>
          <w:szCs w:val="21"/>
        </w:rPr>
        <w:t>三、政府性基金预算支出情况</w:t>
      </w:r>
    </w:p>
    <w:p>
      <w:pPr>
        <w:pStyle w:val="8"/>
        <w:widowControl/>
        <w:spacing w:line="360" w:lineRule="auto"/>
        <w:ind w:left="440" w:leftChars="200"/>
        <w:jc w:val="left"/>
        <w:rPr>
          <w:rFonts w:ascii="宋体" w:hAnsi="宋体" w:cs="宋体"/>
          <w:kern w:val="0"/>
          <w:szCs w:val="21"/>
        </w:rPr>
      </w:pPr>
      <w:r>
        <w:rPr>
          <w:rFonts w:hint="eastAsia" w:ascii="宋体" w:hAnsi="宋体" w:cs="宋体"/>
          <w:kern w:val="0"/>
          <w:szCs w:val="21"/>
        </w:rPr>
        <w:t>2022年度本单位政府基金预算收入5万元，政府基金预算支出5万元。</w:t>
      </w:r>
    </w:p>
    <w:p>
      <w:pPr>
        <w:spacing w:after="0" w:line="360" w:lineRule="auto"/>
        <w:ind w:left="440" w:leftChars="200" w:firstLine="422" w:firstLineChars="200"/>
        <w:rPr>
          <w:rFonts w:ascii="宋体" w:hAnsi="宋体" w:eastAsia="宋体"/>
          <w:b/>
          <w:sz w:val="21"/>
          <w:szCs w:val="21"/>
        </w:rPr>
      </w:pPr>
      <w:r>
        <w:rPr>
          <w:rFonts w:hint="eastAsia" w:ascii="宋体" w:hAnsi="宋体" w:eastAsia="宋体"/>
          <w:b/>
          <w:sz w:val="21"/>
          <w:szCs w:val="21"/>
        </w:rPr>
        <w:t>四、国有资本经营预算支出情况</w:t>
      </w:r>
    </w:p>
    <w:p>
      <w:pPr>
        <w:pStyle w:val="8"/>
        <w:widowControl/>
        <w:spacing w:line="360" w:lineRule="auto"/>
        <w:ind w:left="440" w:leftChars="200"/>
        <w:jc w:val="left"/>
        <w:rPr>
          <w:rFonts w:ascii="宋体" w:hAnsi="宋体" w:cs="宋体"/>
          <w:kern w:val="0"/>
          <w:szCs w:val="21"/>
        </w:rPr>
      </w:pPr>
      <w:r>
        <w:rPr>
          <w:rFonts w:hint="eastAsia" w:ascii="宋体" w:hAnsi="宋体" w:cs="宋体"/>
          <w:kern w:val="0"/>
          <w:szCs w:val="21"/>
        </w:rPr>
        <w:t>无</w:t>
      </w:r>
    </w:p>
    <w:p>
      <w:pPr>
        <w:spacing w:after="0" w:line="360" w:lineRule="auto"/>
        <w:ind w:left="440" w:leftChars="200" w:firstLine="422" w:firstLineChars="200"/>
        <w:rPr>
          <w:rFonts w:ascii="宋体" w:hAnsi="宋体" w:eastAsia="宋体"/>
          <w:b/>
          <w:sz w:val="21"/>
          <w:szCs w:val="21"/>
        </w:rPr>
      </w:pPr>
      <w:r>
        <w:rPr>
          <w:rFonts w:hint="eastAsia" w:ascii="宋体" w:hAnsi="宋体" w:eastAsia="宋体"/>
          <w:b/>
          <w:sz w:val="21"/>
          <w:szCs w:val="21"/>
        </w:rPr>
        <w:t>五、社会保险基金预算支出情况</w:t>
      </w:r>
    </w:p>
    <w:p>
      <w:pPr>
        <w:pStyle w:val="8"/>
        <w:widowControl/>
        <w:spacing w:line="360" w:lineRule="auto"/>
        <w:ind w:left="440" w:leftChars="200"/>
        <w:jc w:val="left"/>
        <w:rPr>
          <w:rFonts w:ascii="宋体" w:hAnsi="宋体" w:cs="宋体"/>
          <w:kern w:val="0"/>
          <w:szCs w:val="21"/>
        </w:rPr>
      </w:pPr>
      <w:r>
        <w:rPr>
          <w:rFonts w:hint="eastAsia" w:ascii="宋体" w:hAnsi="宋体" w:cs="宋体"/>
          <w:kern w:val="0"/>
          <w:szCs w:val="21"/>
        </w:rPr>
        <w:t>无</w:t>
      </w:r>
    </w:p>
    <w:p>
      <w:pPr>
        <w:spacing w:after="0" w:line="360" w:lineRule="auto"/>
        <w:ind w:left="440" w:leftChars="200" w:firstLine="422" w:firstLineChars="200"/>
        <w:rPr>
          <w:rFonts w:ascii="宋体" w:hAnsi="宋体" w:eastAsia="宋体"/>
          <w:b/>
          <w:sz w:val="21"/>
          <w:szCs w:val="21"/>
        </w:rPr>
      </w:pPr>
      <w:r>
        <w:rPr>
          <w:rFonts w:hint="eastAsia" w:ascii="宋体" w:hAnsi="宋体" w:eastAsia="宋体"/>
          <w:b/>
          <w:sz w:val="21"/>
          <w:szCs w:val="21"/>
        </w:rPr>
        <w:t>六、部门整体支出绩效情况</w:t>
      </w:r>
    </w:p>
    <w:p>
      <w:pPr>
        <w:spacing w:after="0" w:line="360" w:lineRule="auto"/>
        <w:ind w:left="440" w:leftChars="200" w:firstLine="420" w:firstLineChars="200"/>
        <w:rPr>
          <w:rFonts w:ascii="宋体" w:hAnsi="宋体" w:eastAsia="宋体"/>
          <w:sz w:val="21"/>
          <w:szCs w:val="21"/>
        </w:rPr>
      </w:pPr>
      <w:r>
        <w:rPr>
          <w:rFonts w:ascii="宋体" w:hAnsi="宋体" w:eastAsia="宋体"/>
          <w:sz w:val="21"/>
          <w:szCs w:val="21"/>
        </w:rPr>
        <w:t>2022</w:t>
      </w:r>
      <w:r>
        <w:rPr>
          <w:rFonts w:hint="eastAsia" w:ascii="宋体" w:hAnsi="宋体" w:eastAsia="宋体" w:cs="宋体"/>
          <w:sz w:val="21"/>
          <w:szCs w:val="21"/>
        </w:rPr>
        <w:t>年，我单位积极履职，强化管理，较好的完成了年度工作目标。通过加强预算收支管理，不断建立健全内部管理制度，梳理内部管理流程，部门整体支出管理水平得到提升。根据部门整体支出绩效评价指标体系，我单位2022年度评价得分为98分，评价等级为优秀。</w:t>
      </w:r>
    </w:p>
    <w:p>
      <w:pPr>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部门整体支出绩效情况如下：</w:t>
      </w:r>
    </w:p>
    <w:p>
      <w:pPr>
        <w:spacing w:after="0" w:line="360" w:lineRule="auto"/>
        <w:ind w:left="440" w:leftChars="200" w:firstLine="422" w:firstLineChars="200"/>
        <w:rPr>
          <w:rFonts w:ascii="宋体" w:hAnsi="宋体" w:eastAsia="宋体" w:cs="宋体"/>
          <w:sz w:val="21"/>
          <w:szCs w:val="21"/>
        </w:rPr>
      </w:pPr>
      <w:r>
        <w:rPr>
          <w:rFonts w:hint="eastAsia" w:ascii="宋体" w:hAnsi="宋体" w:eastAsia="宋体" w:cs="宋体"/>
          <w:b/>
          <w:sz w:val="21"/>
          <w:szCs w:val="21"/>
        </w:rPr>
        <w:t>目标设定明确、合理。</w:t>
      </w:r>
      <w:r>
        <w:rPr>
          <w:rFonts w:hint="eastAsia" w:ascii="宋体" w:hAnsi="宋体" w:eastAsia="宋体" w:cs="宋体"/>
          <w:sz w:val="21"/>
          <w:szCs w:val="21"/>
        </w:rPr>
        <w:t>绩效目标符合发展总体规划、符合三定方案确定的职责、符合部门制定的中长期实施规划。</w:t>
      </w:r>
    </w:p>
    <w:p>
      <w:pPr>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绩效指标明确性强，目标细化、与年度任务相对应、与本年度部门预算资金相匹配。预算配置控制较好，其中：财政供养人员控制率：在职115人/编制135人*100%=85.19%；遵循厉行节约原则"三公经费"预算数17.11万元同比上年节约10%。</w:t>
      </w:r>
    </w:p>
    <w:p>
      <w:pPr>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预算执行中，预算调整率为0%，支出进度，按时支付，"三公经费"控制率为10%。</w:t>
      </w:r>
    </w:p>
    <w:p>
      <w:pPr>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预算管理较理想，制度执行总体较为有效，但仍需进一步强化。</w:t>
      </w:r>
    </w:p>
    <w:p>
      <w:pPr>
        <w:spacing w:after="0" w:line="360" w:lineRule="auto"/>
        <w:ind w:left="440" w:leftChars="200" w:firstLine="422" w:firstLineChars="200"/>
        <w:rPr>
          <w:rFonts w:ascii="宋体" w:hAnsi="宋体" w:eastAsia="宋体" w:cs="宋体"/>
          <w:sz w:val="21"/>
          <w:szCs w:val="21"/>
        </w:rPr>
      </w:pPr>
      <w:r>
        <w:rPr>
          <w:rFonts w:hint="eastAsia" w:ascii="宋体" w:hAnsi="宋体" w:eastAsia="宋体" w:cs="宋体"/>
          <w:b/>
          <w:sz w:val="21"/>
          <w:szCs w:val="21"/>
        </w:rPr>
        <w:t>管理制度健全。</w:t>
      </w:r>
      <w:r>
        <w:rPr>
          <w:rFonts w:hint="eastAsia" w:ascii="宋体" w:hAnsi="宋体" w:eastAsia="宋体" w:cs="宋体"/>
          <w:sz w:val="21"/>
          <w:szCs w:val="21"/>
        </w:rPr>
        <w:t>有预算资金管理办法、财务管理制度、内部控制制度等；相关制度合法、合规、完整；相关制度得到有效执行，并有考核制度。</w:t>
      </w:r>
    </w:p>
    <w:p>
      <w:pPr>
        <w:spacing w:after="0" w:line="360" w:lineRule="auto"/>
        <w:ind w:left="440" w:leftChars="200" w:firstLine="422" w:firstLineChars="200"/>
        <w:rPr>
          <w:rFonts w:ascii="宋体" w:hAnsi="宋体" w:eastAsia="宋体" w:cs="宋体"/>
          <w:sz w:val="21"/>
          <w:szCs w:val="21"/>
        </w:rPr>
      </w:pPr>
      <w:r>
        <w:rPr>
          <w:rFonts w:hint="eastAsia" w:ascii="宋体" w:hAnsi="宋体" w:eastAsia="宋体" w:cs="宋体"/>
          <w:b/>
          <w:sz w:val="21"/>
          <w:szCs w:val="21"/>
        </w:rPr>
        <w:t>资金使用合规性。</w:t>
      </w:r>
      <w:r>
        <w:rPr>
          <w:rFonts w:hint="eastAsia" w:ascii="宋体" w:hAnsi="宋体" w:eastAsia="宋体" w:cs="宋体"/>
          <w:sz w:val="21"/>
          <w:szCs w:val="21"/>
        </w:rPr>
        <w:t>本年度支出的所有资金均由县财政局国库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spacing w:after="0" w:line="360" w:lineRule="auto"/>
        <w:ind w:left="440" w:leftChars="200" w:firstLine="422" w:firstLineChars="200"/>
        <w:rPr>
          <w:rFonts w:ascii="宋体" w:hAnsi="宋体" w:eastAsia="宋体" w:cs="宋体"/>
          <w:sz w:val="21"/>
          <w:szCs w:val="21"/>
        </w:rPr>
      </w:pPr>
      <w:r>
        <w:rPr>
          <w:rFonts w:hint="eastAsia" w:ascii="宋体" w:hAnsi="宋体" w:eastAsia="宋体" w:cs="宋体"/>
          <w:b/>
          <w:sz w:val="21"/>
          <w:szCs w:val="21"/>
        </w:rPr>
        <w:t>预决算和基础信息公开。</w:t>
      </w:r>
      <w:r>
        <w:rPr>
          <w:rFonts w:hint="eastAsia" w:ascii="宋体" w:hAnsi="宋体" w:eastAsia="宋体" w:cs="宋体"/>
          <w:sz w:val="21"/>
          <w:szCs w:val="21"/>
        </w:rPr>
        <w:t>一是按规定在县政府门户网站公开信息；二是基础数据信息和会计信息资料真实、完整、准确。</w:t>
      </w:r>
    </w:p>
    <w:p>
      <w:pPr>
        <w:spacing w:after="0" w:line="360" w:lineRule="auto"/>
        <w:ind w:left="440" w:leftChars="200" w:firstLine="422" w:firstLineChars="200"/>
        <w:rPr>
          <w:rFonts w:ascii="宋体" w:hAnsi="宋体" w:eastAsia="宋体" w:cs="宋体"/>
          <w:sz w:val="21"/>
          <w:szCs w:val="21"/>
        </w:rPr>
      </w:pPr>
      <w:r>
        <w:rPr>
          <w:rFonts w:hint="eastAsia" w:ascii="宋体" w:hAnsi="宋体" w:eastAsia="宋体" w:cs="宋体"/>
          <w:b/>
          <w:sz w:val="21"/>
          <w:szCs w:val="21"/>
        </w:rPr>
        <w:t>资产管理方面，管理制度健全。</w:t>
      </w:r>
      <w:r>
        <w:rPr>
          <w:rFonts w:hint="eastAsia" w:ascii="宋体" w:hAnsi="宋体" w:eastAsia="宋体" w:cs="宋体"/>
          <w:sz w:val="21"/>
          <w:szCs w:val="21"/>
        </w:rPr>
        <w:t>已制定资产管理制度；相关资产管理制度合法合规完整；相关资产管理制度得到有效执行。资产管理安全性。资产保存完整；资产配置合理；资产处置规范；资产账务管理合规，账实相符。固定资产利用率100%，无闲置固定资产。</w:t>
      </w:r>
    </w:p>
    <w:p>
      <w:pPr>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截至 2022 年 12 月 31 日，我单位资产总额为7171.38万元， 其中流动资产5381.69万元，固定资产净值224.41万元。为进一步提高资产管理水平， 根据我镇实际情况，依据资产管理责任到人、物尽其用的原则，我们从资产的购置、使用、处置各个环节加强制度建设，堵住资产流失的涌洞，使资产管理制度化、科学化、规范化。</w:t>
      </w:r>
    </w:p>
    <w:p>
      <w:pPr>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2022年职工工资经费支出1153.53万元。经济效益、社会效益、生态效益、可持续影响。在年度绩效考核中，全体干部职工满意率达100%，社会群众满意度达100%。</w:t>
      </w:r>
    </w:p>
    <w:p>
      <w:pPr>
        <w:spacing w:after="0" w:line="360" w:lineRule="auto"/>
        <w:ind w:left="440" w:leftChars="200" w:firstLine="422" w:firstLineChars="200"/>
        <w:rPr>
          <w:rFonts w:ascii="宋体" w:hAnsi="宋体" w:eastAsia="宋体"/>
          <w:b/>
          <w:sz w:val="21"/>
          <w:szCs w:val="21"/>
        </w:rPr>
      </w:pPr>
      <w:r>
        <w:rPr>
          <w:rFonts w:hint="eastAsia" w:ascii="宋体" w:hAnsi="宋体" w:eastAsia="宋体"/>
          <w:b/>
          <w:sz w:val="21"/>
          <w:szCs w:val="21"/>
        </w:rPr>
        <w:t>七、存在的问题及原因分析</w:t>
      </w:r>
    </w:p>
    <w:p>
      <w:pPr>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1、绩效目标设定不够科学。在申报部门预算时，中心绩效目标设定指向不够明确，目标选用重点不突出，定性指标较多，定量指标较少，单位在实际运转过程中，会有一些突发事情等不可预见因素，造成业务性项目支出预算不精细。</w:t>
      </w:r>
    </w:p>
    <w:p>
      <w:pPr>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2、业务水平有待提高。部分原始凭证附件不完善，部分办公用品、用具等缺少明细清单。</w:t>
      </w:r>
    </w:p>
    <w:p>
      <w:pPr>
        <w:spacing w:after="0" w:line="360" w:lineRule="auto"/>
        <w:ind w:left="440" w:leftChars="200" w:firstLine="422" w:firstLineChars="200"/>
        <w:rPr>
          <w:rFonts w:ascii="宋体" w:hAnsi="宋体" w:eastAsia="宋体"/>
          <w:b/>
          <w:sz w:val="21"/>
          <w:szCs w:val="21"/>
        </w:rPr>
      </w:pPr>
      <w:r>
        <w:rPr>
          <w:rFonts w:hint="eastAsia" w:ascii="宋体" w:hAnsi="宋体" w:eastAsia="宋体"/>
          <w:b/>
          <w:sz w:val="21"/>
          <w:szCs w:val="21"/>
        </w:rPr>
        <w:t>八、下一步改进措施</w:t>
      </w:r>
    </w:p>
    <w:p>
      <w:pPr>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1、强化绩效目标的制定。规范绩效目标编制，科学选定绩效指标，尽量多使用定量指标，合理确定指标标准，加强绩效评价工作，增强单位的支出责任，提高财政资金的使用效益。</w:t>
      </w:r>
    </w:p>
    <w:p>
      <w:pPr>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2、规范财务行为，提高会计基础工作质量。严格执行财经纪律和各项财经政策，自觉接受财政、审计、纪检监察等职能部门的监督，做到有法可依，有章可循，实现管理的规范化、制度化。进一步健全机关各项财务制度，严格财经手续，完善经费使用内部控制制度，加强对原始票据的合法性、完整性审核，做到票据合法规范，手续完备。</w:t>
      </w:r>
    </w:p>
    <w:p>
      <w:pPr>
        <w:spacing w:after="0" w:line="360" w:lineRule="auto"/>
        <w:ind w:left="440" w:leftChars="200" w:firstLine="420" w:firstLineChars="200"/>
        <w:rPr>
          <w:rFonts w:ascii="宋体" w:hAnsi="宋体" w:eastAsia="宋体" w:cs="宋体"/>
          <w:sz w:val="21"/>
          <w:szCs w:val="21"/>
        </w:rPr>
      </w:pPr>
      <w:r>
        <w:rPr>
          <w:rFonts w:hint="eastAsia" w:ascii="宋体" w:hAnsi="宋体" w:eastAsia="宋体" w:cs="宋体"/>
          <w:sz w:val="21"/>
          <w:szCs w:val="21"/>
        </w:rPr>
        <w:t>3、建设阳光财务，提高资金效益。进一步完善财政预决算、“三公经费”及重大专项公开工作。使重大项目管理制度更加科学合理，程序更加规范透明，分配更加公平公正，资金更加安全高效。</w:t>
      </w:r>
    </w:p>
    <w:p>
      <w:pPr>
        <w:spacing w:after="0" w:line="360" w:lineRule="auto"/>
        <w:ind w:left="440" w:leftChars="200" w:firstLine="422" w:firstLineChars="200"/>
        <w:rPr>
          <w:rFonts w:ascii="宋体" w:hAnsi="宋体" w:eastAsia="宋体"/>
          <w:b/>
          <w:sz w:val="21"/>
          <w:szCs w:val="21"/>
        </w:rPr>
      </w:pPr>
      <w:r>
        <w:rPr>
          <w:rFonts w:hint="eastAsia" w:ascii="宋体" w:hAnsi="宋体" w:eastAsia="宋体"/>
          <w:b/>
          <w:sz w:val="21"/>
          <w:szCs w:val="21"/>
        </w:rPr>
        <w:t>九、其他需要说明的情况</w:t>
      </w:r>
    </w:p>
    <w:p>
      <w:pPr>
        <w:spacing w:after="0" w:line="360" w:lineRule="auto"/>
        <w:ind w:left="440" w:leftChars="200" w:firstLine="420" w:firstLineChars="200"/>
        <w:rPr>
          <w:rFonts w:ascii="宋体" w:hAnsi="宋体" w:eastAsia="宋体"/>
          <w:sz w:val="21"/>
          <w:szCs w:val="21"/>
        </w:rPr>
      </w:pPr>
      <w:r>
        <w:rPr>
          <w:rFonts w:hint="eastAsia" w:ascii="宋体" w:hAnsi="宋体" w:eastAsia="宋体"/>
          <w:sz w:val="21"/>
          <w:szCs w:val="21"/>
        </w:rPr>
        <w:t>无</w:t>
      </w:r>
    </w:p>
    <w:p>
      <w:pPr>
        <w:spacing w:after="0" w:line="360" w:lineRule="auto"/>
        <w:ind w:left="440" w:leftChars="200" w:firstLine="420" w:firstLineChars="200"/>
        <w:rPr>
          <w:rFonts w:ascii="宋体" w:hAnsi="宋体" w:eastAsia="宋体"/>
          <w:sz w:val="21"/>
          <w:szCs w:val="21"/>
        </w:rPr>
      </w:pPr>
      <w:r>
        <w:rPr>
          <w:rFonts w:hint="eastAsia" w:ascii="宋体" w:hAnsi="宋体" w:eastAsia="宋体"/>
          <w:sz w:val="21"/>
          <w:szCs w:val="21"/>
        </w:rPr>
        <w:t>报告应包括以下附件：</w:t>
      </w:r>
    </w:p>
    <w:p>
      <w:pPr>
        <w:spacing w:after="0" w:line="360" w:lineRule="auto"/>
        <w:ind w:left="440" w:leftChars="200"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部门整体支出绩效评价基础数据表</w:t>
      </w:r>
    </w:p>
    <w:p>
      <w:pPr>
        <w:spacing w:after="0" w:line="360" w:lineRule="auto"/>
        <w:ind w:left="440" w:leftChars="200"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部门整体支出绩效自评表</w:t>
      </w:r>
    </w:p>
    <w:p>
      <w:pPr>
        <w:adjustRightInd/>
        <w:snapToGrid/>
        <w:spacing w:after="0"/>
        <w:rPr>
          <w:rFonts w:ascii="宋体" w:hAnsi="宋体" w:eastAsia="宋体"/>
          <w:sz w:val="21"/>
          <w:szCs w:val="21"/>
        </w:rPr>
      </w:pPr>
      <w:r>
        <w:rPr>
          <w:rFonts w:ascii="宋体" w:hAnsi="宋体" w:eastAsia="宋体"/>
          <w:sz w:val="21"/>
          <w:szCs w:val="21"/>
        </w:rPr>
        <w:br w:type="page"/>
      </w:r>
    </w:p>
    <w:p>
      <w:pPr>
        <w:rPr>
          <w:rFonts w:ascii="Times New Roman" w:hAnsi="Times New Roman" w:eastAsia="仿宋"/>
          <w:color w:val="000000"/>
          <w:sz w:val="32"/>
          <w:szCs w:val="32"/>
        </w:rPr>
      </w:pPr>
      <w:r>
        <w:rPr>
          <w:rFonts w:hint="eastAsia" w:ascii="Times New Roman" w:hAnsi="Times New Roman" w:eastAsia="仿宋"/>
          <w:color w:val="000000"/>
          <w:sz w:val="32"/>
          <w:szCs w:val="32"/>
        </w:rPr>
        <w:t>附件</w:t>
      </w:r>
      <w:r>
        <w:rPr>
          <w:rFonts w:ascii="Times New Roman" w:hAnsi="Times New Roman" w:eastAsia="仿宋"/>
          <w:color w:val="000000"/>
          <w:sz w:val="32"/>
          <w:szCs w:val="32"/>
        </w:rPr>
        <w:t xml:space="preserve">1-1      </w:t>
      </w:r>
    </w:p>
    <w:p>
      <w:pPr>
        <w:jc w:val="center"/>
        <w:rPr>
          <w:rFonts w:ascii="Times New Roman" w:hAnsi="Times New Roman" w:eastAsia="仿宋"/>
          <w:color w:val="000000"/>
          <w:sz w:val="32"/>
          <w:szCs w:val="32"/>
        </w:rPr>
      </w:pPr>
      <w:r>
        <w:rPr>
          <w:rFonts w:hint="eastAsia" w:ascii="Times New Roman" w:hAnsi="Times New Roman" w:eastAsia="方正小标宋_GBK"/>
          <w:sz w:val="36"/>
          <w:szCs w:val="36"/>
        </w:rPr>
        <w:t>部门整体支出绩效评价基础数据表</w:t>
      </w:r>
    </w:p>
    <w:p>
      <w:pPr>
        <w:tabs>
          <w:tab w:val="left" w:pos="3611"/>
          <w:tab w:val="left" w:pos="4791"/>
          <w:tab w:val="left" w:pos="5951"/>
          <w:tab w:val="left" w:pos="7071"/>
          <w:tab w:val="left" w:pos="8191"/>
          <w:tab w:val="left" w:pos="9311"/>
        </w:tabs>
        <w:spacing w:line="300" w:lineRule="exact"/>
        <w:rPr>
          <w:rFonts w:ascii="Times New Roman" w:hAnsi="Times New Roman" w:eastAsia="仿宋_GB2312"/>
          <w:sz w:val="24"/>
        </w:rPr>
      </w:pPr>
      <w:r>
        <w:rPr>
          <w:rFonts w:hint="eastAsia" w:ascii="Times New Roman" w:hAnsi="Times New Roman"/>
          <w:sz w:val="24"/>
        </w:rPr>
        <w:t>填报单位：</w:t>
      </w:r>
      <w:r>
        <w:rPr>
          <w:rFonts w:hint="eastAsia" w:ascii="Times New Roman" w:hAnsi="Times New Roman" w:eastAsiaTheme="minorEastAsia"/>
          <w:sz w:val="24"/>
        </w:rPr>
        <w:t>衡阳县渣江镇人民政府</w:t>
      </w:r>
      <w:r>
        <w:rPr>
          <w:rFonts w:ascii="Times New Roman" w:hAnsi="Times New Roman" w:eastAsiaTheme="minorEastAsia"/>
          <w:sz w:val="24"/>
        </w:rPr>
        <w:t xml:space="preserve">  </w:t>
      </w:r>
      <w:r>
        <w:rPr>
          <w:rFonts w:ascii="Times New Roman" w:hAnsi="Times New Roman" w:eastAsia="PMingLiU"/>
          <w:sz w:val="24"/>
        </w:rPr>
        <w:tab/>
      </w:r>
      <w:r>
        <w:rPr>
          <w:rFonts w:hint="eastAsia" w:ascii="Times New Roman" w:hAnsi="Times New Roman"/>
          <w:sz w:val="24"/>
        </w:rPr>
        <w:t>填报时间：</w:t>
      </w:r>
      <w:r>
        <w:rPr>
          <w:rFonts w:ascii="Times New Roman" w:hAnsi="Times New Roman"/>
          <w:sz w:val="24"/>
        </w:rPr>
        <w:t>2023</w:t>
      </w:r>
      <w:r>
        <w:rPr>
          <w:rFonts w:hint="eastAsia" w:ascii="Times New Roman" w:hAnsi="Times New Roman"/>
          <w:sz w:val="24"/>
        </w:rPr>
        <w:t>年</w:t>
      </w:r>
      <w:r>
        <w:rPr>
          <w:rFonts w:ascii="Times New Roman" w:hAnsi="Times New Roman"/>
          <w:sz w:val="24"/>
        </w:rPr>
        <w:t>2</w:t>
      </w:r>
      <w:r>
        <w:rPr>
          <w:rFonts w:hint="eastAsia" w:ascii="Times New Roman" w:hAnsi="Times New Roman"/>
          <w:sz w:val="24"/>
        </w:rPr>
        <w:t>月</w:t>
      </w:r>
      <w:r>
        <w:rPr>
          <w:rFonts w:ascii="Times New Roman" w:hAnsi="Times New Roman"/>
          <w:sz w:val="24"/>
        </w:rPr>
        <w:t>20</w:t>
      </w:r>
      <w:r>
        <w:rPr>
          <w:rFonts w:hint="eastAsia" w:ascii="Times New Roman" w:hAnsi="Times New Roman"/>
          <w:sz w:val="24"/>
        </w:rPr>
        <w:t>日</w:t>
      </w:r>
      <w:r>
        <w:rPr>
          <w:rFonts w:ascii="Times New Roman" w:hAnsi="Times New Roman" w:eastAsia="PMingLiU"/>
          <w:sz w:val="24"/>
        </w:rPr>
        <w:tab/>
      </w:r>
    </w:p>
    <w:tbl>
      <w:tblPr>
        <w:tblStyle w:val="4"/>
        <w:tblW w:w="9105" w:type="dxa"/>
        <w:jc w:val="center"/>
        <w:tblLayout w:type="fixed"/>
        <w:tblCellMar>
          <w:top w:w="0" w:type="dxa"/>
          <w:left w:w="108" w:type="dxa"/>
          <w:bottom w:w="0" w:type="dxa"/>
          <w:right w:w="108" w:type="dxa"/>
        </w:tblCellMar>
      </w:tblPr>
      <w:tblGrid>
        <w:gridCol w:w="3352"/>
        <w:gridCol w:w="1708"/>
        <w:gridCol w:w="2337"/>
        <w:gridCol w:w="1708"/>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财政供养人员情况</w:t>
            </w:r>
          </w:p>
        </w:tc>
        <w:tc>
          <w:tcPr>
            <w:tcW w:w="1709"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编制数</w:t>
            </w:r>
          </w:p>
        </w:tc>
        <w:tc>
          <w:tcPr>
            <w:tcW w:w="2339"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年末实际在职人数</w:t>
            </w:r>
          </w:p>
        </w:tc>
        <w:tc>
          <w:tcPr>
            <w:tcW w:w="1709"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sz w:val="21"/>
                <w:szCs w:val="21"/>
              </w:rPr>
            </w:pPr>
          </w:p>
        </w:tc>
        <w:tc>
          <w:tcPr>
            <w:tcW w:w="1709"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color w:val="000000"/>
                <w:sz w:val="21"/>
                <w:szCs w:val="21"/>
              </w:rPr>
              <w:t>135</w:t>
            </w:r>
          </w:p>
        </w:tc>
        <w:tc>
          <w:tcPr>
            <w:tcW w:w="2339"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1"/>
                <w:szCs w:val="21"/>
              </w:rPr>
            </w:pPr>
            <w:r>
              <w:rPr>
                <w:rFonts w:ascii="宋体" w:hAnsi="宋体" w:eastAsia="宋体"/>
                <w:sz w:val="21"/>
                <w:szCs w:val="21"/>
              </w:rPr>
              <w:t>115</w:t>
            </w:r>
          </w:p>
        </w:tc>
        <w:tc>
          <w:tcPr>
            <w:tcW w:w="1709"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1"/>
                <w:szCs w:val="21"/>
              </w:rPr>
            </w:pPr>
            <w:r>
              <w:rPr>
                <w:rFonts w:ascii="宋体" w:hAnsi="宋体" w:eastAsia="宋体"/>
                <w:sz w:val="21"/>
                <w:szCs w:val="21"/>
              </w:rPr>
              <w:t>85.19%</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经费控制情况</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hint="eastAsia" w:ascii="宋体" w:hAnsi="宋体" w:eastAsia="宋体"/>
                <w:sz w:val="21"/>
                <w:szCs w:val="21"/>
              </w:rPr>
              <w:t>当年决算数</w:t>
            </w:r>
          </w:p>
        </w:tc>
        <w:tc>
          <w:tcPr>
            <w:tcW w:w="233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hint="eastAsia" w:ascii="宋体" w:hAnsi="宋体" w:eastAsia="宋体"/>
                <w:sz w:val="21"/>
                <w:szCs w:val="21"/>
              </w:rPr>
              <w:t>当年预算数</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hint="eastAsia" w:ascii="宋体" w:hAnsi="宋体" w:eastAsia="宋体"/>
                <w:sz w:val="21"/>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一、部门基本支出</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4096.74</w:t>
            </w:r>
          </w:p>
        </w:tc>
        <w:tc>
          <w:tcPr>
            <w:tcW w:w="233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4096.74</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2908.01</w:t>
            </w:r>
          </w:p>
        </w:tc>
      </w:tr>
      <w:tr>
        <w:tblPrEx>
          <w:tblCellMar>
            <w:top w:w="0" w:type="dxa"/>
            <w:left w:w="108" w:type="dxa"/>
            <w:bottom w:w="0" w:type="dxa"/>
            <w:right w:w="108" w:type="dxa"/>
          </w:tblCellMar>
        </w:tblPrEx>
        <w:trPr>
          <w:trHeight w:val="346" w:hRule="atLeast"/>
          <w:jc w:val="center"/>
        </w:trPr>
        <w:tc>
          <w:tcPr>
            <w:tcW w:w="3354"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其中：</w:t>
            </w:r>
            <w:r>
              <w:rPr>
                <w:rFonts w:ascii="宋体" w:hAnsi="宋体" w:eastAsia="宋体"/>
                <w:sz w:val="21"/>
                <w:szCs w:val="21"/>
              </w:rPr>
              <w:t xml:space="preserve"> 1</w:t>
            </w:r>
            <w:r>
              <w:rPr>
                <w:rFonts w:hint="eastAsia" w:ascii="宋体" w:hAnsi="宋体" w:eastAsia="宋体"/>
                <w:sz w:val="21"/>
                <w:szCs w:val="21"/>
              </w:rPr>
              <w:t>、压缩一般性支出</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983.25</w:t>
            </w:r>
          </w:p>
        </w:tc>
        <w:tc>
          <w:tcPr>
            <w:tcW w:w="233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983.25</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1456.9</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、三公经费</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17.11</w:t>
            </w:r>
          </w:p>
        </w:tc>
        <w:tc>
          <w:tcPr>
            <w:tcW w:w="233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17.11</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19</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公务用车购置和维护经费</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1.87</w:t>
            </w:r>
          </w:p>
        </w:tc>
        <w:tc>
          <w:tcPr>
            <w:tcW w:w="233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1.87</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2.08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其中：公车购置</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0</w:t>
            </w:r>
          </w:p>
        </w:tc>
        <w:tc>
          <w:tcPr>
            <w:tcW w:w="233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0</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公车运行维护</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1.87</w:t>
            </w:r>
          </w:p>
        </w:tc>
        <w:tc>
          <w:tcPr>
            <w:tcW w:w="233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1.87</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2.08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公务接待</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15.24</w:t>
            </w:r>
          </w:p>
        </w:tc>
        <w:tc>
          <w:tcPr>
            <w:tcW w:w="233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15.24</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16.93</w:t>
            </w:r>
          </w:p>
        </w:tc>
      </w:tr>
      <w:tr>
        <w:tblPrEx>
          <w:tblCellMar>
            <w:top w:w="0" w:type="dxa"/>
            <w:left w:w="108" w:type="dxa"/>
            <w:bottom w:w="0" w:type="dxa"/>
            <w:right w:w="108" w:type="dxa"/>
          </w:tblCellMar>
        </w:tblPrEx>
        <w:trPr>
          <w:trHeight w:val="72" w:hRule="atLeast"/>
          <w:jc w:val="center"/>
        </w:trPr>
        <w:tc>
          <w:tcPr>
            <w:tcW w:w="3354"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出国（境）经费</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0</w:t>
            </w:r>
          </w:p>
        </w:tc>
        <w:tc>
          <w:tcPr>
            <w:tcW w:w="233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0</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二、部门项目支出</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974.34</w:t>
            </w:r>
          </w:p>
        </w:tc>
        <w:tc>
          <w:tcPr>
            <w:tcW w:w="233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0</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0</w:t>
            </w:r>
          </w:p>
        </w:tc>
      </w:tr>
      <w:tr>
        <w:tblPrEx>
          <w:tblCellMar>
            <w:top w:w="0" w:type="dxa"/>
            <w:left w:w="108" w:type="dxa"/>
            <w:bottom w:w="0" w:type="dxa"/>
            <w:right w:w="108" w:type="dxa"/>
          </w:tblCellMar>
        </w:tblPrEx>
        <w:trPr>
          <w:trHeight w:val="625" w:hRule="atLeast"/>
          <w:jc w:val="center"/>
        </w:trPr>
        <w:tc>
          <w:tcPr>
            <w:tcW w:w="3354"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、业务工作专项</w:t>
            </w:r>
            <w:r>
              <w:rPr>
                <w:rFonts w:ascii="宋体" w:hAnsi="宋体" w:eastAsia="宋体"/>
                <w:sz w:val="21"/>
                <w:szCs w:val="21"/>
              </w:rPr>
              <w:t>(</w:t>
            </w:r>
            <w:r>
              <w:rPr>
                <w:rFonts w:hint="eastAsia" w:ascii="宋体" w:hAnsi="宋体" w:eastAsia="宋体"/>
                <w:sz w:val="21"/>
                <w:szCs w:val="21"/>
              </w:rPr>
              <w:t>一个项目一行</w:t>
            </w:r>
            <w:r>
              <w:rPr>
                <w:rFonts w:ascii="宋体" w:hAnsi="宋体" w:eastAsia="宋体"/>
                <w:sz w:val="21"/>
                <w:szCs w:val="21"/>
              </w:rPr>
              <w:t>)</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p>
        </w:tc>
        <w:tc>
          <w:tcPr>
            <w:tcW w:w="233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、运行维护专项</w:t>
            </w:r>
            <w:r>
              <w:rPr>
                <w:rFonts w:ascii="宋体" w:hAnsi="宋体" w:eastAsia="宋体"/>
                <w:sz w:val="21"/>
                <w:szCs w:val="21"/>
              </w:rPr>
              <w:t>(</w:t>
            </w:r>
            <w:r>
              <w:rPr>
                <w:rFonts w:hint="eastAsia" w:ascii="宋体" w:hAnsi="宋体" w:eastAsia="宋体"/>
                <w:sz w:val="21"/>
                <w:szCs w:val="21"/>
              </w:rPr>
              <w:t>一个项目一行</w:t>
            </w:r>
            <w:r>
              <w:rPr>
                <w:rFonts w:ascii="宋体" w:hAnsi="宋体" w:eastAsia="宋体"/>
                <w:sz w:val="21"/>
                <w:szCs w:val="21"/>
              </w:rPr>
              <w:t>)</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p>
        </w:tc>
        <w:tc>
          <w:tcPr>
            <w:tcW w:w="233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p>
        </w:tc>
      </w:tr>
      <w:tr>
        <w:tblPrEx>
          <w:tblCellMar>
            <w:top w:w="0" w:type="dxa"/>
            <w:left w:w="108" w:type="dxa"/>
            <w:bottom w:w="0" w:type="dxa"/>
            <w:right w:w="108" w:type="dxa"/>
          </w:tblCellMar>
        </w:tblPrEx>
        <w:trPr>
          <w:trHeight w:val="417" w:hRule="atLeast"/>
          <w:jc w:val="center"/>
        </w:trPr>
        <w:tc>
          <w:tcPr>
            <w:tcW w:w="3354"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、县级专项资金（一个专项一行）</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p>
        </w:tc>
        <w:tc>
          <w:tcPr>
            <w:tcW w:w="233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政府采购金额</w:t>
            </w: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175.7</w:t>
            </w:r>
          </w:p>
        </w:tc>
        <w:tc>
          <w:tcPr>
            <w:tcW w:w="233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p>
        </w:tc>
        <w:tc>
          <w:tcPr>
            <w:tcW w:w="1709" w:type="dxa"/>
            <w:tcBorders>
              <w:top w:val="single" w:color="auto" w:sz="4" w:space="0"/>
              <w:left w:val="nil"/>
              <w:bottom w:val="single" w:color="auto" w:sz="4" w:space="0"/>
              <w:right w:val="single" w:color="000000" w:sz="4" w:space="0"/>
            </w:tcBorders>
            <w:vAlign w:val="center"/>
          </w:tcPr>
          <w:p>
            <w:pPr>
              <w:jc w:val="center"/>
              <w:rPr>
                <w:rFonts w:ascii="宋体" w:hAnsi="宋体" w:eastAsia="宋体"/>
                <w:sz w:val="21"/>
                <w:szCs w:val="21"/>
              </w:rPr>
            </w:pPr>
            <w:r>
              <w:rPr>
                <w:rFonts w:ascii="宋体" w:hAnsi="宋体" w:eastAsia="宋体"/>
                <w:sz w:val="21"/>
                <w:szCs w:val="21"/>
              </w:rPr>
              <w:t>130.13</w:t>
            </w:r>
          </w:p>
        </w:tc>
      </w:tr>
      <w:tr>
        <w:tblPrEx>
          <w:tblCellMar>
            <w:top w:w="0" w:type="dxa"/>
            <w:left w:w="108" w:type="dxa"/>
            <w:bottom w:w="0" w:type="dxa"/>
            <w:right w:w="108" w:type="dxa"/>
          </w:tblCellMar>
        </w:tblPrEx>
        <w:trPr>
          <w:trHeight w:val="2555" w:hRule="atLeast"/>
          <w:jc w:val="center"/>
        </w:trPr>
        <w:tc>
          <w:tcPr>
            <w:tcW w:w="3354"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厉行节约保障措施</w:t>
            </w:r>
          </w:p>
        </w:tc>
        <w:tc>
          <w:tcPr>
            <w:tcW w:w="5757" w:type="dxa"/>
            <w:gridSpan w:val="3"/>
            <w:tcBorders>
              <w:top w:val="single" w:color="auto" w:sz="4" w:space="0"/>
              <w:left w:val="nil"/>
              <w:bottom w:val="single" w:color="auto" w:sz="4" w:space="0"/>
              <w:right w:val="single" w:color="000000" w:sz="4" w:space="0"/>
            </w:tcBorders>
            <w:vAlign w:val="center"/>
          </w:tcPr>
          <w:p>
            <w:pPr>
              <w:pStyle w:val="10"/>
              <w:numPr>
                <w:ilvl w:val="0"/>
                <w:numId w:val="1"/>
              </w:numPr>
              <w:ind w:firstLineChars="0"/>
              <w:jc w:val="center"/>
              <w:rPr>
                <w:rFonts w:ascii="宋体" w:hAnsi="宋体" w:eastAsia="宋体"/>
                <w:sz w:val="21"/>
                <w:szCs w:val="21"/>
              </w:rPr>
            </w:pPr>
            <w:r>
              <w:rPr>
                <w:rFonts w:hint="eastAsia" w:ascii="宋体" w:hAnsi="宋体" w:eastAsia="宋体"/>
                <w:sz w:val="21"/>
                <w:szCs w:val="21"/>
              </w:rPr>
              <w:t>推进财政科学化精细化管理，深化预算管理改革</w:t>
            </w:r>
          </w:p>
          <w:p>
            <w:pPr>
              <w:pStyle w:val="10"/>
              <w:numPr>
                <w:ilvl w:val="0"/>
                <w:numId w:val="1"/>
              </w:numPr>
              <w:ind w:firstLineChars="0"/>
              <w:jc w:val="center"/>
              <w:rPr>
                <w:rFonts w:ascii="宋体" w:hAnsi="宋体" w:eastAsia="宋体"/>
                <w:sz w:val="21"/>
                <w:szCs w:val="21"/>
              </w:rPr>
            </w:pPr>
            <w:r>
              <w:rPr>
                <w:rFonts w:hint="eastAsia" w:ascii="宋体" w:hAnsi="宋体" w:eastAsia="宋体"/>
                <w:sz w:val="21"/>
                <w:szCs w:val="21"/>
              </w:rPr>
              <w:t>加强厉行节约要求，加快节约型机关建设</w:t>
            </w:r>
          </w:p>
          <w:p>
            <w:pPr>
              <w:pStyle w:val="10"/>
              <w:numPr>
                <w:ilvl w:val="0"/>
                <w:numId w:val="1"/>
              </w:numPr>
              <w:ind w:firstLineChars="0"/>
              <w:jc w:val="center"/>
              <w:rPr>
                <w:rFonts w:ascii="宋体" w:hAnsi="宋体" w:eastAsia="宋体"/>
                <w:sz w:val="21"/>
                <w:szCs w:val="21"/>
              </w:rPr>
            </w:pPr>
            <w:r>
              <w:rPr>
                <w:rFonts w:hint="eastAsia" w:ascii="宋体" w:hAnsi="宋体" w:eastAsia="宋体"/>
                <w:sz w:val="21"/>
                <w:szCs w:val="21"/>
              </w:rPr>
              <w:t>规范公务用车使用管理，合理安排公务接待标准</w:t>
            </w:r>
          </w:p>
        </w:tc>
      </w:tr>
    </w:tbl>
    <w:p>
      <w:pPr>
        <w:spacing w:beforeLines="50" w:line="300" w:lineRule="exact"/>
        <w:rPr>
          <w:rFonts w:ascii="Times New Roman" w:hAnsi="Times New Roman"/>
          <w:sz w:val="24"/>
        </w:rPr>
      </w:pPr>
      <w:r>
        <w:rPr>
          <w:rFonts w:hint="eastAsia" w:ascii="Times New Roman" w:hAnsi="Times New Roman"/>
          <w:sz w:val="24"/>
        </w:rPr>
        <w:t>填表人：彭轩</w:t>
      </w:r>
      <w:r>
        <w:rPr>
          <w:rFonts w:ascii="Times New Roman" w:hAnsi="Times New Roman"/>
          <w:sz w:val="24"/>
        </w:rPr>
        <w:t xml:space="preserve">                </w:t>
      </w:r>
      <w:r>
        <w:rPr>
          <w:rFonts w:hint="eastAsia" w:ascii="Times New Roman" w:hAnsi="Times New Roman"/>
          <w:sz w:val="24"/>
        </w:rPr>
        <w:t>联系电话：</w:t>
      </w:r>
      <w:r>
        <w:rPr>
          <w:rFonts w:ascii="Times New Roman" w:hAnsi="Times New Roman"/>
          <w:sz w:val="24"/>
        </w:rPr>
        <w:t xml:space="preserve">18274720021               </w:t>
      </w:r>
      <w:r>
        <w:rPr>
          <w:rFonts w:hint="eastAsia" w:ascii="Times New Roman" w:hAnsi="Times New Roman"/>
          <w:sz w:val="24"/>
        </w:rPr>
        <w:t>单位负责人签字：</w:t>
      </w:r>
    </w:p>
    <w:p>
      <w:pPr>
        <w:adjustRightInd/>
        <w:snapToGrid/>
        <w:spacing w:after="0"/>
        <w:rPr>
          <w:rFonts w:ascii="Times New Roman" w:hAnsi="Times New Roman"/>
          <w:sz w:val="24"/>
        </w:rPr>
        <w:sectPr>
          <w:pgSz w:w="11906" w:h="16838"/>
          <w:pgMar w:top="1440" w:right="1800" w:bottom="1440" w:left="1800" w:header="851" w:footer="992" w:gutter="0"/>
          <w:cols w:space="720" w:num="1"/>
          <w:docGrid w:type="lines" w:linePitch="312" w:charSpace="0"/>
        </w:sectPr>
      </w:pPr>
    </w:p>
    <w:p>
      <w:pPr>
        <w:spacing w:beforeLines="2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
          <w:color w:val="000000"/>
          <w:sz w:val="32"/>
          <w:szCs w:val="32"/>
        </w:rPr>
        <w:t xml:space="preserve">1-2 </w:t>
      </w:r>
    </w:p>
    <w:p>
      <w:pPr>
        <w:jc w:val="center"/>
        <w:rPr>
          <w:rFonts w:ascii="Times New Roman" w:hAnsi="Times New Roman" w:eastAsia="方正小标宋_GBK"/>
          <w:sz w:val="36"/>
          <w:szCs w:val="36"/>
        </w:rPr>
      </w:pPr>
      <w:r>
        <w:rPr>
          <w:rFonts w:hint="eastAsia" w:ascii="Times New Roman" w:hAnsi="Times New Roman" w:eastAsia="方正小标宋_GBK"/>
          <w:sz w:val="36"/>
          <w:szCs w:val="36"/>
        </w:rPr>
        <w:t>部门整体支出绩效自评表</w:t>
      </w:r>
    </w:p>
    <w:p>
      <w:pPr>
        <w:spacing w:line="320" w:lineRule="exact"/>
        <w:jc w:val="center"/>
        <w:rPr>
          <w:rFonts w:ascii="Times New Roman" w:hAnsi="Times New Roman" w:eastAsia="方正小标宋_GBK"/>
          <w:sz w:val="28"/>
          <w:szCs w:val="28"/>
        </w:rPr>
      </w:pPr>
      <w:r>
        <w:rPr>
          <w:rFonts w:hint="eastAsia" w:ascii="Times New Roman" w:hAnsi="Times New Roman" w:eastAsia="方正小标宋_GBK"/>
          <w:sz w:val="28"/>
          <w:szCs w:val="28"/>
        </w:rPr>
        <w:t>（</w:t>
      </w:r>
      <w:r>
        <w:rPr>
          <w:rFonts w:ascii="Times New Roman" w:hAnsi="Times New Roman" w:eastAsia="方正小标宋_GBK"/>
          <w:sz w:val="28"/>
          <w:szCs w:val="28"/>
        </w:rPr>
        <w:t>2023</w:t>
      </w:r>
      <w:r>
        <w:rPr>
          <w:rFonts w:hint="eastAsia" w:ascii="Times New Roman" w:hAnsi="Times New Roman"/>
          <w:sz w:val="28"/>
          <w:szCs w:val="28"/>
        </w:rPr>
        <w:t>年度</w:t>
      </w:r>
      <w:r>
        <w:rPr>
          <w:rFonts w:hint="eastAsia" w:ascii="Times New Roman" w:hAnsi="Times New Roman" w:eastAsia="方正小标宋_GBK"/>
          <w:sz w:val="28"/>
          <w:szCs w:val="28"/>
        </w:rPr>
        <w:t>）</w:t>
      </w:r>
    </w:p>
    <w:p>
      <w:pPr>
        <w:spacing w:line="300" w:lineRule="exact"/>
        <w:rPr>
          <w:rFonts w:ascii="Times New Roman" w:hAnsi="Times New Roman"/>
          <w:sz w:val="24"/>
        </w:rPr>
      </w:pPr>
      <w:r>
        <w:rPr>
          <w:rFonts w:hint="eastAsia" w:ascii="Times New Roman" w:hAnsi="Times New Roman"/>
          <w:sz w:val="24"/>
        </w:rPr>
        <w:t>填报单位（盖章）：</w:t>
      </w:r>
      <w:r>
        <w:rPr>
          <w:rFonts w:ascii="Times New Roman" w:hAnsi="Times New Roman"/>
          <w:sz w:val="24"/>
        </w:rPr>
        <w:t xml:space="preserve">                              </w:t>
      </w:r>
      <w:r>
        <w:rPr>
          <w:rFonts w:hint="eastAsia" w:ascii="Times New Roman" w:hAnsi="Times New Roman"/>
          <w:sz w:val="24"/>
        </w:rPr>
        <w:t>填报时间：</w:t>
      </w:r>
      <w:r>
        <w:rPr>
          <w:rFonts w:ascii="Times New Roman" w:hAnsi="Times New Roman"/>
          <w:sz w:val="24"/>
        </w:rPr>
        <w:t>2023</w:t>
      </w:r>
      <w:r>
        <w:rPr>
          <w:rFonts w:hint="eastAsia" w:ascii="Times New Roman" w:hAnsi="Times New Roman"/>
          <w:sz w:val="24"/>
        </w:rPr>
        <w:t>年</w:t>
      </w:r>
      <w:r>
        <w:rPr>
          <w:rFonts w:ascii="Times New Roman" w:hAnsi="Times New Roman"/>
          <w:sz w:val="24"/>
        </w:rPr>
        <w:t>2</w:t>
      </w:r>
      <w:r>
        <w:rPr>
          <w:rFonts w:hint="eastAsia" w:ascii="Times New Roman" w:hAnsi="Times New Roman"/>
          <w:sz w:val="24"/>
        </w:rPr>
        <w:t>月</w:t>
      </w:r>
      <w:r>
        <w:rPr>
          <w:rFonts w:ascii="Times New Roman" w:hAnsi="Times New Roman"/>
          <w:sz w:val="24"/>
        </w:rPr>
        <w:t>20</w:t>
      </w:r>
      <w:r>
        <w:rPr>
          <w:rFonts w:hint="eastAsia" w:ascii="Times New Roman" w:hAnsi="Times New Roman"/>
          <w:sz w:val="24"/>
        </w:rPr>
        <w:t>日</w:t>
      </w:r>
    </w:p>
    <w:tbl>
      <w:tblPr>
        <w:tblStyle w:val="4"/>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804"/>
        <w:gridCol w:w="416"/>
        <w:gridCol w:w="719"/>
        <w:gridCol w:w="1276"/>
        <w:gridCol w:w="354"/>
        <w:gridCol w:w="1915"/>
        <w:gridCol w:w="1302"/>
        <w:gridCol w:w="1358"/>
        <w:gridCol w:w="84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80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hint="eastAsia" w:ascii="Times New Roman" w:hAnsi="Times New Roman"/>
                <w:color w:val="000000"/>
                <w:sz w:val="24"/>
              </w:rPr>
              <w:t>部门资金</w:t>
            </w:r>
            <w:r>
              <w:rPr>
                <w:rFonts w:hint="eastAsia" w:ascii="Times New Roman" w:hAnsi="Times New Roman"/>
                <w:color w:val="000000"/>
                <w:sz w:val="15"/>
              </w:rPr>
              <w:t>（万元）</w:t>
            </w:r>
          </w:p>
        </w:tc>
        <w:tc>
          <w:tcPr>
            <w:tcW w:w="27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全年预算数</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全年执行数</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预算执行率</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分值</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olor w:val="000000"/>
                <w:sz w:val="24"/>
              </w:rPr>
            </w:pPr>
          </w:p>
        </w:tc>
        <w:tc>
          <w:tcPr>
            <w:tcW w:w="27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年度资金总额　</w:t>
            </w: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507</w:t>
            </w:r>
            <w:r>
              <w:rPr>
                <w:rFonts w:hint="eastAsia" w:ascii="Times New Roman" w:hAnsi="Times New Roman"/>
                <w:color w:val="000000"/>
                <w:szCs w:val="21"/>
              </w:rPr>
              <w:t>6</w:t>
            </w:r>
            <w:r>
              <w:rPr>
                <w:rFonts w:ascii="Times New Roman" w:hAnsi="Times New Roman"/>
                <w:color w:val="000000"/>
                <w:szCs w:val="21"/>
              </w:rPr>
              <w:t>.08</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　</w:t>
            </w:r>
            <w:r>
              <w:rPr>
                <w:rFonts w:ascii="Times New Roman" w:hAnsi="Times New Roman"/>
                <w:color w:val="000000"/>
                <w:szCs w:val="21"/>
              </w:rPr>
              <w:t>507</w:t>
            </w:r>
            <w:r>
              <w:rPr>
                <w:rFonts w:hint="eastAsia" w:ascii="Times New Roman" w:hAnsi="Times New Roman"/>
                <w:color w:val="000000"/>
                <w:szCs w:val="21"/>
              </w:rPr>
              <w:t>6</w:t>
            </w:r>
            <w:r>
              <w:rPr>
                <w:rFonts w:ascii="Times New Roman" w:hAnsi="Times New Roman"/>
                <w:color w:val="000000"/>
                <w:szCs w:val="21"/>
              </w:rPr>
              <w:t>.08</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100%</w:t>
            </w:r>
            <w:r>
              <w:rPr>
                <w:rFonts w:hint="eastAsia" w:ascii="Times New Roman" w:hAnsi="Times New Roman"/>
                <w:color w:val="000000"/>
                <w:szCs w:val="21"/>
              </w:rPr>
              <w:t>　</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10</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olor w:val="000000"/>
                <w:sz w:val="24"/>
              </w:rPr>
            </w:pP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按收入性质分类</w:t>
            </w:r>
          </w:p>
        </w:tc>
        <w:tc>
          <w:tcPr>
            <w:tcW w:w="44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olor w:val="000000"/>
                <w:sz w:val="24"/>
              </w:rPr>
            </w:pPr>
          </w:p>
        </w:tc>
        <w:tc>
          <w:tcPr>
            <w:tcW w:w="27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一般公共预算拨款</w:t>
            </w: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2493.77</w:t>
            </w:r>
          </w:p>
        </w:tc>
        <w:tc>
          <w:tcPr>
            <w:tcW w:w="2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基本支出</w:t>
            </w:r>
          </w:p>
        </w:tc>
        <w:tc>
          <w:tcPr>
            <w:tcW w:w="1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4096.74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olor w:val="000000"/>
                <w:sz w:val="24"/>
              </w:rPr>
            </w:pPr>
          </w:p>
        </w:tc>
        <w:tc>
          <w:tcPr>
            <w:tcW w:w="27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政府性基金拨款</w:t>
            </w: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5</w:t>
            </w:r>
          </w:p>
        </w:tc>
        <w:tc>
          <w:tcPr>
            <w:tcW w:w="266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color w:val="000000"/>
                <w:szCs w:val="21"/>
              </w:rPr>
            </w:pPr>
            <w:r>
              <w:rPr>
                <w:rFonts w:ascii="Times New Roman" w:hAnsi="Times New Roman"/>
                <w:color w:val="000000"/>
                <w:szCs w:val="21"/>
              </w:rPr>
              <w:t xml:space="preserve">         1.</w:t>
            </w:r>
            <w:r>
              <w:rPr>
                <w:rFonts w:hint="eastAsia" w:ascii="Times New Roman" w:hAnsi="Times New Roman"/>
                <w:color w:val="000000"/>
                <w:szCs w:val="21"/>
              </w:rPr>
              <w:t>人员经费</w:t>
            </w:r>
          </w:p>
        </w:tc>
        <w:tc>
          <w:tcPr>
            <w:tcW w:w="1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1377.28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olor w:val="000000"/>
                <w:sz w:val="24"/>
              </w:rPr>
            </w:pPr>
          </w:p>
        </w:tc>
        <w:tc>
          <w:tcPr>
            <w:tcW w:w="27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纳入管理的非税收入拨款</w:t>
            </w: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0</w:t>
            </w:r>
          </w:p>
        </w:tc>
        <w:tc>
          <w:tcPr>
            <w:tcW w:w="2660" w:type="dxa"/>
            <w:gridSpan w:val="2"/>
            <w:tcBorders>
              <w:top w:val="single" w:color="auto" w:sz="4" w:space="0"/>
              <w:left w:val="single" w:color="auto" w:sz="4" w:space="0"/>
              <w:bottom w:val="single" w:color="auto" w:sz="4" w:space="0"/>
              <w:right w:val="single" w:color="auto" w:sz="4" w:space="0"/>
            </w:tcBorders>
            <w:vAlign w:val="center"/>
          </w:tcPr>
          <w:p>
            <w:pPr>
              <w:ind w:firstLine="440" w:firstLineChars="200"/>
              <w:jc w:val="center"/>
              <w:textAlignment w:val="center"/>
              <w:rPr>
                <w:rFonts w:ascii="Times New Roman" w:hAnsi="Times New Roman"/>
                <w:color w:val="000000"/>
                <w:szCs w:val="21"/>
              </w:rPr>
            </w:pPr>
            <w:r>
              <w:rPr>
                <w:rFonts w:ascii="Times New Roman" w:hAnsi="Times New Roman"/>
                <w:color w:val="000000"/>
                <w:szCs w:val="21"/>
              </w:rPr>
              <w:t xml:space="preserve">     2.</w:t>
            </w:r>
            <w:r>
              <w:rPr>
                <w:rFonts w:hint="eastAsia" w:ascii="Times New Roman" w:hAnsi="Times New Roman"/>
                <w:color w:val="000000"/>
                <w:szCs w:val="21"/>
              </w:rPr>
              <w:t>公用经费</w:t>
            </w:r>
          </w:p>
        </w:tc>
        <w:tc>
          <w:tcPr>
            <w:tcW w:w="1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27</w:t>
            </w:r>
            <w:r>
              <w:rPr>
                <w:rFonts w:hint="eastAsia" w:ascii="Times New Roman" w:hAnsi="Times New Roman"/>
                <w:color w:val="000000"/>
                <w:szCs w:val="21"/>
              </w:rPr>
              <w:t>19</w:t>
            </w:r>
            <w:r>
              <w:rPr>
                <w:rFonts w:ascii="Times New Roman" w:hAnsi="Times New Roman"/>
                <w:color w:val="000000"/>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olor w:val="000000"/>
                <w:sz w:val="24"/>
              </w:rPr>
            </w:pPr>
          </w:p>
        </w:tc>
        <w:tc>
          <w:tcPr>
            <w:tcW w:w="27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拨款</w:t>
            </w: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0</w:t>
            </w:r>
          </w:p>
        </w:tc>
        <w:tc>
          <w:tcPr>
            <w:tcW w:w="2660"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olor w:val="000000"/>
                <w:szCs w:val="21"/>
              </w:rPr>
            </w:pPr>
            <w:r>
              <w:rPr>
                <w:rFonts w:hint="eastAsia" w:ascii="Times New Roman" w:hAnsi="Times New Roman"/>
                <w:color w:val="000000"/>
                <w:szCs w:val="21"/>
              </w:rPr>
              <w:t>其中：三公经费</w:t>
            </w:r>
          </w:p>
        </w:tc>
        <w:tc>
          <w:tcPr>
            <w:tcW w:w="1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olor w:val="000000"/>
                <w:sz w:val="24"/>
              </w:rPr>
            </w:pPr>
          </w:p>
        </w:tc>
        <w:tc>
          <w:tcPr>
            <w:tcW w:w="27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其他资金</w:t>
            </w: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2572.3</w:t>
            </w:r>
            <w:r>
              <w:rPr>
                <w:rFonts w:hint="eastAsia" w:ascii="Times New Roman" w:hAnsi="Times New Roman"/>
                <w:color w:val="000000"/>
                <w:szCs w:val="21"/>
              </w:rPr>
              <w:t>　</w:t>
            </w:r>
          </w:p>
        </w:tc>
        <w:tc>
          <w:tcPr>
            <w:tcW w:w="2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项目支出</w:t>
            </w:r>
          </w:p>
        </w:tc>
        <w:tc>
          <w:tcPr>
            <w:tcW w:w="1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9</w:t>
            </w:r>
            <w:r>
              <w:rPr>
                <w:rFonts w:hint="eastAsia" w:ascii="Times New Roman" w:hAnsi="Times New Roman"/>
                <w:color w:val="000000"/>
                <w:szCs w:val="21"/>
              </w:rPr>
              <w:t>79</w:t>
            </w:r>
            <w:r>
              <w:rPr>
                <w:rFonts w:ascii="Times New Roman" w:hAnsi="Times New Roman"/>
                <w:color w:val="00000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80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hint="eastAsia" w:ascii="Times New Roman" w:hAnsi="Times New Roman"/>
                <w:color w:val="000000"/>
                <w:sz w:val="24"/>
              </w:rPr>
              <w:t>年度总体目标</w:t>
            </w: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年初预期（设定）目标　</w:t>
            </w:r>
          </w:p>
        </w:tc>
        <w:tc>
          <w:tcPr>
            <w:tcW w:w="44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997" w:hRule="atLeas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olor w:val="000000"/>
                <w:sz w:val="24"/>
              </w:rPr>
            </w:pPr>
          </w:p>
        </w:tc>
        <w:tc>
          <w:tcPr>
            <w:tcW w:w="4678"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目标1：保证人员经费和公用经费按照预算项目合理支出，确保单位办公室合理运作。</w:t>
            </w:r>
          </w:p>
          <w:p>
            <w:pPr>
              <w:rPr>
                <w:rFonts w:ascii="宋体" w:hAnsi="宋体" w:cs="宋体"/>
                <w:color w:val="000000"/>
                <w:szCs w:val="21"/>
              </w:rPr>
            </w:pPr>
            <w:r>
              <w:rPr>
                <w:rFonts w:hint="eastAsia" w:ascii="宋体" w:hAnsi="宋体" w:cs="宋体"/>
                <w:color w:val="000000"/>
                <w:szCs w:val="21"/>
              </w:rPr>
              <w:t>目标2：大力发展民生事业，坚决贯彻党中央惠农富农相关政策，“一卡通”补贴及时发放，坚守民生保障底线。</w:t>
            </w:r>
          </w:p>
          <w:p>
            <w:pPr>
              <w:rPr>
                <w:rFonts w:ascii="Times New Roman" w:hAnsi="Times New Roman"/>
                <w:color w:val="000000"/>
                <w:szCs w:val="21"/>
              </w:rPr>
            </w:pPr>
            <w:r>
              <w:rPr>
                <w:rFonts w:hint="eastAsia" w:ascii="宋体" w:hAnsi="宋体" w:cs="宋体"/>
                <w:color w:val="000000"/>
                <w:szCs w:val="21"/>
              </w:rPr>
              <w:t>目标3：灾害防治、安全生产、森林防火实现“零事故”，加强疫情防控打好防疫攻坚战。</w:t>
            </w:r>
          </w:p>
        </w:tc>
        <w:tc>
          <w:tcPr>
            <w:tcW w:w="443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目标1：人员经费和公用经费按照预算项目合理支出。</w:t>
            </w:r>
          </w:p>
          <w:p>
            <w:pPr>
              <w:rPr>
                <w:rFonts w:ascii="宋体" w:hAnsi="宋体" w:cs="宋体"/>
                <w:color w:val="000000"/>
                <w:szCs w:val="21"/>
              </w:rPr>
            </w:pPr>
            <w:r>
              <w:rPr>
                <w:rFonts w:hint="eastAsia" w:ascii="宋体" w:hAnsi="宋体" w:cs="宋体"/>
                <w:color w:val="000000"/>
                <w:szCs w:val="21"/>
              </w:rPr>
              <w:t>目标2： “一卡通”补贴全部及时发放，坚守民生保障底线。</w:t>
            </w:r>
          </w:p>
          <w:p>
            <w:pPr>
              <w:rPr>
                <w:rFonts w:ascii="Times New Roman" w:hAnsi="Times New Roman"/>
                <w:color w:val="000000"/>
                <w:szCs w:val="21"/>
              </w:rPr>
            </w:pPr>
            <w:r>
              <w:rPr>
                <w:rFonts w:hint="eastAsia" w:ascii="宋体" w:hAnsi="宋体" w:cs="宋体"/>
                <w:color w:val="000000"/>
                <w:szCs w:val="21"/>
              </w:rPr>
              <w:t>目标3：灾害防治、安全生产、森林防火实现“零事故”，加强疫情防控打好防疫攻坚战。</w:t>
            </w:r>
            <w:r>
              <w:rPr>
                <w:rFonts w:hint="eastAsia" w:ascii="Times New Roman" w:hAnsi="Times New Roman"/>
                <w:color w:val="000000"/>
                <w:szCs w:val="21"/>
              </w:rPr>
              <w:t>　</w:t>
            </w:r>
          </w:p>
          <w:p>
            <w:pPr>
              <w:jc w:val="center"/>
              <w:rPr>
                <w:rFonts w:ascii="Times New Roman" w:hAnsi="Times New Roman"/>
                <w:color w:val="000000"/>
                <w:szCs w:val="21"/>
              </w:rPr>
            </w:pPr>
            <w:r>
              <w:rPr>
                <w:rFonts w:ascii="Times New Roman" w:hAnsi="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61" w:hRule="exact"/>
          <w:jc w:val="center"/>
        </w:trPr>
        <w:tc>
          <w:tcPr>
            <w:tcW w:w="80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绩效</w:t>
            </w:r>
          </w:p>
          <w:p>
            <w:pPr>
              <w:jc w:val="center"/>
              <w:rPr>
                <w:rFonts w:ascii="宋体" w:hAnsi="宋体" w:eastAsia="宋体"/>
                <w:color w:val="000000"/>
                <w:sz w:val="21"/>
                <w:szCs w:val="21"/>
              </w:rPr>
            </w:pPr>
            <w:r>
              <w:rPr>
                <w:rFonts w:hint="eastAsia" w:ascii="宋体" w:hAnsi="宋体" w:eastAsia="宋体"/>
                <w:color w:val="000000"/>
                <w:sz w:val="21"/>
                <w:szCs w:val="21"/>
              </w:rPr>
              <w:t>指标</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一级</w:t>
            </w:r>
          </w:p>
          <w:p>
            <w:pPr>
              <w:jc w:val="center"/>
              <w:rPr>
                <w:rFonts w:ascii="宋体" w:hAnsi="宋体" w:eastAsia="宋体"/>
                <w:color w:val="000000"/>
                <w:sz w:val="21"/>
                <w:szCs w:val="21"/>
              </w:rPr>
            </w:pPr>
            <w:r>
              <w:rPr>
                <w:rFonts w:hint="eastAsia" w:ascii="宋体" w:hAnsi="宋体" w:eastAsia="宋体"/>
                <w:color w:val="000000"/>
                <w:sz w:val="21"/>
                <w:szCs w:val="21"/>
              </w:rPr>
              <w:t>指标</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二级指标</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三级指标　</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年度指标值</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实际完成值</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分值</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58" w:hRule="exac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产出指标（</w:t>
            </w:r>
            <w:r>
              <w:rPr>
                <w:rFonts w:ascii="宋体" w:hAnsi="宋体" w:eastAsia="宋体"/>
                <w:color w:val="000000"/>
                <w:sz w:val="21"/>
                <w:szCs w:val="21"/>
              </w:rPr>
              <w:t>50</w:t>
            </w:r>
            <w:r>
              <w:rPr>
                <w:rFonts w:hint="eastAsia" w:ascii="宋体" w:hAnsi="宋体" w:eastAsia="宋体"/>
                <w:color w:val="000000"/>
                <w:sz w:val="21"/>
                <w:szCs w:val="21"/>
              </w:rPr>
              <w:t>分）</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数量指标</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工资及政策性社会保障性资金按月支付次数</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12次</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12次</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10</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134" w:hRule="exac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8941"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灾害防治、森林防火、安全生产、疫情防控知识培训覆盖村民率</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10</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39" w:hRule="exac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8941"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质量指标</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工资发放率</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28" w:hRule="exac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8941"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一卡通补贴发放率</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29" w:hRule="exac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8941"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时效指标</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及时支付工资，政策性社会保障资金及其他必要支出</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54" w:hRule="exac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8941"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民政补助、村居补助等各类补贴发放及时率</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24" w:hRule="exac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8941"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成本指标</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设备、防护、培训等经费</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&lt;20万</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&lt;20万</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35" w:hRule="exac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8941"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森林防火、</w:t>
            </w:r>
            <w:r>
              <w:rPr>
                <w:rFonts w:hint="eastAsia" w:ascii="宋体" w:hAnsi="宋体" w:eastAsia="宋体" w:cs="宋体"/>
                <w:color w:val="000000"/>
                <w:sz w:val="21"/>
                <w:szCs w:val="21"/>
              </w:rPr>
              <w:t>疫情防控相关物资</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&lt;20万</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&gt;20万</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31" w:hRule="exac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效益指标</w:t>
            </w:r>
          </w:p>
          <w:p>
            <w:pPr>
              <w:jc w:val="center"/>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30</w:t>
            </w:r>
            <w:r>
              <w:rPr>
                <w:rFonts w:hint="eastAsia" w:ascii="宋体" w:hAnsi="宋体" w:eastAsia="宋体"/>
                <w:color w:val="000000"/>
                <w:sz w:val="21"/>
                <w:szCs w:val="21"/>
              </w:rPr>
              <w:t>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经济效益指标</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农户收入水平提升</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&gt;10%</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&gt;10%</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40" w:hRule="exac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8941"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社会效益指标</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确保单位办公合理运转</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08" w:hRule="exac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8941"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保障百姓利益，维护生命财政安全</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0" w:hRule="exac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8941"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生态效益指标</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生态环境可持续发展</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8941"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可持续影响指标</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 w:val="21"/>
                <w:szCs w:val="21"/>
              </w:rPr>
            </w:pPr>
            <w:r>
              <w:rPr>
                <w:rFonts w:hint="eastAsia" w:ascii="宋体" w:hAnsi="宋体" w:eastAsia="宋体" w:cs="宋体"/>
                <w:color w:val="000000"/>
                <w:sz w:val="21"/>
                <w:szCs w:val="21"/>
              </w:rPr>
              <w:t>提高职工工作积极性</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 w:val="21"/>
                <w:szCs w:val="21"/>
              </w:rPr>
            </w:pPr>
            <w:r>
              <w:rPr>
                <w:rFonts w:ascii="宋体" w:hAnsi="宋体" w:eastAsia="宋体"/>
                <w:color w:val="000000"/>
                <w:sz w:val="21"/>
                <w:szCs w:val="21"/>
              </w:rPr>
              <w:t>5</w:t>
            </w:r>
          </w:p>
        </w:tc>
        <w:tc>
          <w:tcPr>
            <w:tcW w:w="93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88" w:hRule="exac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8941"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 w:val="21"/>
                <w:szCs w:val="21"/>
              </w:rPr>
            </w:pPr>
            <w:r>
              <w:rPr>
                <w:rFonts w:hint="eastAsia" w:ascii="宋体" w:hAnsi="宋体" w:eastAsia="宋体" w:cs="宋体"/>
                <w:color w:val="000000"/>
                <w:sz w:val="21"/>
                <w:szCs w:val="21"/>
              </w:rPr>
              <w:t>实现保质保量、预防为主的良好态势</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s="宋体"/>
                <w:color w:val="000000"/>
                <w:sz w:val="21"/>
                <w:szCs w:val="21"/>
              </w:rPr>
              <w:t>100%</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 w:val="21"/>
                <w:szCs w:val="21"/>
              </w:rPr>
            </w:pPr>
            <w:r>
              <w:rPr>
                <w:rFonts w:ascii="宋体" w:hAnsi="宋体" w:eastAsia="宋体"/>
                <w:color w:val="000000"/>
                <w:sz w:val="21"/>
                <w:szCs w:val="21"/>
              </w:rPr>
              <w:t>5</w:t>
            </w:r>
          </w:p>
        </w:tc>
        <w:tc>
          <w:tcPr>
            <w:tcW w:w="93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67" w:hRule="atLeas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满意度指标</w:t>
            </w:r>
          </w:p>
          <w:p>
            <w:pPr>
              <w:jc w:val="center"/>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10</w:t>
            </w:r>
            <w:r>
              <w:rPr>
                <w:rFonts w:hint="eastAsia" w:ascii="宋体" w:hAnsi="宋体" w:eastAsia="宋体"/>
                <w:color w:val="000000"/>
                <w:sz w:val="21"/>
                <w:szCs w:val="21"/>
              </w:rPr>
              <w:t>分）</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社会公众或服务对象满意度指标</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职工满意度</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&gt;95%</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&gt;95%</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97" w:hRule="exac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8941"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村（居）民满意度</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&gt;95%</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&gt;95%</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atLeast"/>
          <w:jc w:val="center"/>
        </w:trPr>
        <w:tc>
          <w:tcPr>
            <w:tcW w:w="321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综合评定等级</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优秀</w:t>
            </w:r>
          </w:p>
        </w:tc>
        <w:tc>
          <w:tcPr>
            <w:tcW w:w="2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总</w:t>
            </w:r>
            <w:r>
              <w:rPr>
                <w:rFonts w:ascii="宋体" w:hAnsi="宋体" w:eastAsia="宋体"/>
                <w:color w:val="000000"/>
                <w:sz w:val="21"/>
                <w:szCs w:val="21"/>
              </w:rPr>
              <w:t xml:space="preserve">  </w:t>
            </w:r>
            <w:r>
              <w:rPr>
                <w:rFonts w:hint="eastAsia" w:ascii="宋体" w:hAnsi="宋体" w:eastAsia="宋体"/>
                <w:color w:val="000000"/>
                <w:sz w:val="21"/>
                <w:szCs w:val="21"/>
              </w:rPr>
              <w:t>分</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100</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10" w:hRule="atLeast"/>
          <w:jc w:val="center"/>
        </w:trPr>
        <w:tc>
          <w:tcPr>
            <w:tcW w:w="121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说明</w:t>
            </w:r>
          </w:p>
        </w:tc>
        <w:tc>
          <w:tcPr>
            <w:tcW w:w="426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偏差及原因分析</w:t>
            </w:r>
          </w:p>
        </w:tc>
        <w:tc>
          <w:tcPr>
            <w:tcW w:w="44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351" w:hRule="atLeast"/>
          <w:jc w:val="center"/>
        </w:trPr>
        <w:tc>
          <w:tcPr>
            <w:tcW w:w="7891"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olor w:val="000000"/>
                <w:sz w:val="21"/>
                <w:szCs w:val="21"/>
              </w:rPr>
            </w:pPr>
          </w:p>
        </w:tc>
        <w:tc>
          <w:tcPr>
            <w:tcW w:w="426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s="宋体"/>
                <w:color w:val="000000"/>
                <w:sz w:val="21"/>
                <w:szCs w:val="21"/>
              </w:rPr>
              <w:t>由于2022年天气影响</w:t>
            </w:r>
            <w:r>
              <w:rPr>
                <w:rFonts w:hint="eastAsia" w:ascii="宋体" w:hAnsi="宋体" w:eastAsia="宋体"/>
                <w:color w:val="000000"/>
                <w:sz w:val="21"/>
                <w:szCs w:val="21"/>
              </w:rPr>
              <w:t>，炎热干燥容易引起火灾，森林防火购买相关物资开支增加</w:t>
            </w:r>
          </w:p>
        </w:tc>
        <w:tc>
          <w:tcPr>
            <w:tcW w:w="443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科学合理制定绩效指标，</w:t>
            </w:r>
            <w:r>
              <w:rPr>
                <w:rFonts w:hint="eastAsia" w:ascii="宋体" w:hAnsi="宋体" w:eastAsia="宋体" w:cs="宋体"/>
                <w:color w:val="000000"/>
                <w:sz w:val="21"/>
                <w:szCs w:val="21"/>
              </w:rPr>
              <w:t>及时监测天气，</w:t>
            </w:r>
            <w:r>
              <w:rPr>
                <w:rFonts w:hint="eastAsia" w:ascii="宋体" w:hAnsi="宋体" w:eastAsia="宋体"/>
                <w:color w:val="000000"/>
                <w:sz w:val="21"/>
                <w:szCs w:val="21"/>
              </w:rPr>
              <w:t>控制相关成本指标增加</w:t>
            </w:r>
          </w:p>
        </w:tc>
      </w:tr>
    </w:tbl>
    <w:p>
      <w:pPr>
        <w:spacing w:beforeLines="50" w:line="300" w:lineRule="exact"/>
        <w:rPr>
          <w:rFonts w:ascii="Times New Roman" w:hAnsi="Times New Roman"/>
          <w:sz w:val="24"/>
        </w:rPr>
      </w:pPr>
      <w:r>
        <w:rPr>
          <w:rFonts w:hint="eastAsia" w:ascii="Times New Roman" w:hAnsi="Times New Roman"/>
        </w:rPr>
        <w:t>填表人：</w:t>
      </w:r>
      <w:r>
        <w:rPr>
          <w:rFonts w:ascii="Times New Roman" w:hAnsi="Times New Roman"/>
        </w:rPr>
        <w:t xml:space="preserve"> </w:t>
      </w:r>
      <w:r>
        <w:rPr>
          <w:rFonts w:hint="eastAsia" w:ascii="Times New Roman" w:hAnsi="Times New Roman"/>
        </w:rPr>
        <w:t>彭轩</w:t>
      </w:r>
      <w:r>
        <w:rPr>
          <w:rFonts w:ascii="Times New Roman" w:hAnsi="Times New Roman"/>
        </w:rPr>
        <w:t xml:space="preserve">               </w:t>
      </w:r>
      <w:r>
        <w:rPr>
          <w:rFonts w:hint="eastAsia" w:ascii="Times New Roman" w:hAnsi="Times New Roman"/>
        </w:rPr>
        <w:t>联系电话：</w:t>
      </w:r>
      <w:r>
        <w:rPr>
          <w:rFonts w:ascii="Times New Roman" w:hAnsi="Times New Roman"/>
        </w:rPr>
        <w:t xml:space="preserve">18274720021                  </w:t>
      </w:r>
      <w:r>
        <w:rPr>
          <w:rFonts w:hint="eastAsia" w:ascii="Times New Roman" w:hAnsi="Times New Roman"/>
        </w:rPr>
        <w:t>单位负责人签字</w:t>
      </w:r>
      <w:r>
        <w:rPr>
          <w:rFonts w:hint="eastAsia" w:ascii="Times New Roman" w:hAnsi="Times New Roman"/>
          <w:sz w:val="24"/>
        </w:rPr>
        <w:t>：</w:t>
      </w:r>
    </w:p>
    <w:p>
      <w:pPr>
        <w:spacing w:line="320" w:lineRule="exact"/>
        <w:rPr>
          <w:rFonts w:ascii="Times New Roman" w:hAnsi="Times New Roman" w:eastAsia="仿宋_GB2312"/>
          <w:sz w:val="24"/>
        </w:rPr>
      </w:pPr>
    </w:p>
    <w:p>
      <w:pPr>
        <w:spacing w:line="320" w:lineRule="exact"/>
        <w:rPr>
          <w:rFonts w:ascii="Times New Roman" w:hAnsi="Times New Roman" w:eastAsia="仿宋_GB2312"/>
          <w:sz w:val="24"/>
        </w:rPr>
      </w:pPr>
      <w:r>
        <w:rPr>
          <w:rFonts w:hint="eastAsia" w:ascii="Times New Roman" w:hAnsi="Times New Roman" w:eastAsia="仿宋_GB2312"/>
          <w:sz w:val="24"/>
        </w:rPr>
        <w:t>说明：</w:t>
      </w:r>
      <w:r>
        <w:rPr>
          <w:rFonts w:ascii="Times New Roman" w:hAnsi="Times New Roman" w:eastAsia="仿宋_GB2312"/>
          <w:sz w:val="24"/>
        </w:rPr>
        <w:t>1.</w:t>
      </w:r>
      <w:r>
        <w:rPr>
          <w:rFonts w:hint="eastAsia" w:ascii="Times New Roman" w:hAnsi="Times New Roman" w:eastAsia="仿宋_GB2312"/>
          <w:sz w:val="24"/>
        </w:rPr>
        <w:t>分值设定</w:t>
      </w:r>
      <w:r>
        <w:rPr>
          <w:rFonts w:ascii="Times New Roman" w:hAnsi="Times New Roman" w:eastAsia="仿宋_GB2312"/>
          <w:sz w:val="24"/>
        </w:rPr>
        <w:t>100</w:t>
      </w:r>
      <w:r>
        <w:rPr>
          <w:rFonts w:hint="eastAsia" w:ascii="Times New Roman" w:hAnsi="Times New Roman" w:eastAsia="仿宋_GB2312"/>
          <w:sz w:val="24"/>
        </w:rPr>
        <w:t>分，其中预算执行率</w:t>
      </w:r>
      <w:r>
        <w:rPr>
          <w:rFonts w:ascii="Times New Roman" w:hAnsi="Times New Roman" w:eastAsia="仿宋_GB2312"/>
          <w:sz w:val="24"/>
        </w:rPr>
        <w:t>10</w:t>
      </w:r>
      <w:r>
        <w:rPr>
          <w:rFonts w:hint="eastAsia" w:ascii="Times New Roman" w:hAnsi="Times New Roman" w:eastAsia="仿宋_GB2312"/>
          <w:sz w:val="24"/>
        </w:rPr>
        <w:t>分、产出指标</w:t>
      </w:r>
      <w:r>
        <w:rPr>
          <w:rFonts w:ascii="Times New Roman" w:hAnsi="Times New Roman" w:eastAsia="仿宋_GB2312"/>
          <w:sz w:val="24"/>
        </w:rPr>
        <w:t>50</w:t>
      </w:r>
      <w:r>
        <w:rPr>
          <w:rFonts w:hint="eastAsia" w:ascii="Times New Roman" w:hAnsi="Times New Roman" w:eastAsia="仿宋_GB2312"/>
          <w:sz w:val="24"/>
        </w:rPr>
        <w:t>分、效益指标</w:t>
      </w:r>
      <w:r>
        <w:rPr>
          <w:rFonts w:ascii="Times New Roman" w:hAnsi="Times New Roman" w:eastAsia="仿宋_GB2312"/>
          <w:sz w:val="24"/>
        </w:rPr>
        <w:t>30</w:t>
      </w:r>
      <w:r>
        <w:rPr>
          <w:rFonts w:hint="eastAsia" w:ascii="Times New Roman" w:hAnsi="Times New Roman" w:eastAsia="仿宋_GB2312"/>
          <w:sz w:val="24"/>
        </w:rPr>
        <w:t>分、满意度指标</w:t>
      </w:r>
      <w:r>
        <w:rPr>
          <w:rFonts w:ascii="Times New Roman" w:hAnsi="Times New Roman" w:eastAsia="仿宋_GB2312"/>
          <w:sz w:val="24"/>
        </w:rPr>
        <w:t>10</w:t>
      </w:r>
      <w:r>
        <w:rPr>
          <w:rFonts w:hint="eastAsia" w:ascii="Times New Roman" w:hAnsi="Times New Roman" w:eastAsia="仿宋_GB2312"/>
          <w:sz w:val="24"/>
        </w:rPr>
        <w:t>分。除预算执行率外的指标应根据权重自行合理设定分值。</w:t>
      </w:r>
    </w:p>
    <w:p>
      <w:pPr>
        <w:spacing w:line="320" w:lineRule="exact"/>
        <w:rPr>
          <w:rFonts w:ascii="Times New Roman" w:hAnsi="Times New Roman" w:eastAsia="仿宋_GB2312"/>
          <w:sz w:val="24"/>
        </w:rPr>
      </w:pPr>
      <w:r>
        <w:rPr>
          <w:rFonts w:ascii="Times New Roman" w:hAnsi="Times New Roman" w:eastAsia="仿宋_GB2312"/>
          <w:sz w:val="24"/>
        </w:rPr>
        <w:t xml:space="preserve">      2.</w:t>
      </w:r>
      <w:r>
        <w:rPr>
          <w:rFonts w:hint="eastAsia" w:ascii="Times New Roman" w:hAnsi="Times New Roman" w:eastAsia="仿宋_GB2312"/>
          <w:sz w:val="24"/>
        </w:rPr>
        <w:t>综合评价等级分为优秀（</w:t>
      </w:r>
      <w:r>
        <w:rPr>
          <w:rFonts w:ascii="Times New Roman" w:hAnsi="Times New Roman" w:eastAsia="仿宋_GB2312"/>
          <w:sz w:val="24"/>
        </w:rPr>
        <w:t>S≥90</w:t>
      </w:r>
      <w:r>
        <w:rPr>
          <w:rFonts w:hint="eastAsia" w:ascii="Times New Roman" w:hAnsi="Times New Roman" w:eastAsia="仿宋_GB2312"/>
          <w:sz w:val="24"/>
        </w:rPr>
        <w:t>）、良好（</w:t>
      </w:r>
      <w:r>
        <w:rPr>
          <w:rFonts w:ascii="Times New Roman" w:hAnsi="Times New Roman" w:eastAsia="仿宋_GB2312"/>
          <w:sz w:val="24"/>
        </w:rPr>
        <w:t>90</w:t>
      </w:r>
      <w:r>
        <w:rPr>
          <w:rFonts w:hint="eastAsia" w:ascii="Times New Roman" w:hAnsi="Times New Roman" w:eastAsia="仿宋_GB2312"/>
          <w:sz w:val="24"/>
        </w:rPr>
        <w:t>＞</w:t>
      </w:r>
      <w:r>
        <w:rPr>
          <w:rFonts w:ascii="Times New Roman" w:hAnsi="Times New Roman" w:eastAsia="仿宋_GB2312"/>
          <w:sz w:val="24"/>
        </w:rPr>
        <w:t>S≥80</w:t>
      </w:r>
      <w:r>
        <w:rPr>
          <w:rFonts w:hint="eastAsia" w:ascii="Times New Roman" w:hAnsi="Times New Roman" w:eastAsia="仿宋_GB2312"/>
          <w:sz w:val="24"/>
        </w:rPr>
        <w:t>）、较差（</w:t>
      </w:r>
      <w:r>
        <w:rPr>
          <w:rFonts w:ascii="Times New Roman" w:hAnsi="Times New Roman" w:eastAsia="仿宋_GB2312"/>
          <w:sz w:val="24"/>
        </w:rPr>
        <w:t>80</w:t>
      </w:r>
      <w:r>
        <w:rPr>
          <w:rFonts w:hint="eastAsia" w:ascii="Times New Roman" w:hAnsi="Times New Roman" w:eastAsia="仿宋_GB2312"/>
          <w:sz w:val="24"/>
        </w:rPr>
        <w:t>＞</w:t>
      </w:r>
      <w:r>
        <w:rPr>
          <w:rFonts w:ascii="Times New Roman" w:hAnsi="Times New Roman" w:eastAsia="仿宋_GB2312"/>
          <w:sz w:val="24"/>
        </w:rPr>
        <w:t>S≥60</w:t>
      </w:r>
      <w:r>
        <w:rPr>
          <w:rFonts w:hint="eastAsia" w:ascii="Times New Roman" w:hAnsi="Times New Roman" w:eastAsia="仿宋_GB2312"/>
          <w:sz w:val="24"/>
        </w:rPr>
        <w:t>）、</w:t>
      </w:r>
      <w:r>
        <w:rPr>
          <w:rFonts w:ascii="Times New Roman" w:hAnsi="Times New Roman" w:eastAsia="仿宋_GB2312"/>
          <w:sz w:val="24"/>
        </w:rPr>
        <w:t xml:space="preserve"> </w:t>
      </w:r>
      <w:r>
        <w:rPr>
          <w:rFonts w:hint="eastAsia" w:ascii="Times New Roman" w:hAnsi="Times New Roman" w:eastAsia="仿宋_GB2312"/>
          <w:sz w:val="24"/>
        </w:rPr>
        <w:t>差（</w:t>
      </w:r>
      <w:r>
        <w:rPr>
          <w:rFonts w:ascii="Times New Roman" w:hAnsi="Times New Roman" w:eastAsia="仿宋_GB2312"/>
          <w:sz w:val="24"/>
        </w:rPr>
        <w:t>S</w:t>
      </w:r>
      <w:r>
        <w:rPr>
          <w:rFonts w:hint="eastAsia" w:ascii="Times New Roman" w:hAnsi="Times New Roman" w:eastAsia="仿宋_GB2312"/>
          <w:sz w:val="24"/>
        </w:rPr>
        <w:t>＜</w:t>
      </w:r>
      <w:r>
        <w:rPr>
          <w:rFonts w:ascii="Times New Roman" w:hAnsi="Times New Roman" w:eastAsia="仿宋_GB2312"/>
          <w:sz w:val="24"/>
        </w:rPr>
        <w:t>60</w:t>
      </w:r>
      <w:r>
        <w:rPr>
          <w:rFonts w:hint="eastAsia" w:ascii="Times New Roman" w:hAnsi="Times New Roman" w:eastAsia="仿宋_GB2312"/>
          <w:sz w:val="24"/>
        </w:rPr>
        <w:t>）。</w:t>
      </w:r>
    </w:p>
    <w:p>
      <w:pPr>
        <w:spacing w:line="320" w:lineRule="exact"/>
        <w:rPr>
          <w:rFonts w:ascii="Times New Roman" w:hAnsi="Times New Roman" w:eastAsia="仿宋_GB2312"/>
          <w:sz w:val="24"/>
        </w:rPr>
      </w:pPr>
      <w:r>
        <w:rPr>
          <w:rFonts w:ascii="Times New Roman" w:hAnsi="Times New Roman" w:eastAsia="仿宋_GB2312"/>
          <w:sz w:val="24"/>
        </w:rPr>
        <w:t xml:space="preserve">      3.</w:t>
      </w:r>
      <w:r>
        <w:rPr>
          <w:rFonts w:hint="eastAsia" w:ascii="Times New Roman" w:hAnsi="Times New Roman" w:eastAsia="仿宋_GB2312"/>
          <w:sz w:val="24"/>
        </w:rPr>
        <w:t>三级绩效指标按需自行增减行。个别不涉及的二级指标可自行删除。</w:t>
      </w: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adjustRightInd/>
        <w:snapToGrid/>
        <w:spacing w:after="0"/>
        <w:rPr>
          <w:rFonts w:ascii="Times New Roman" w:hAnsi="Times New Roman" w:eastAsia="仿宋_GB2312"/>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AF2075"/>
    <w:multiLevelType w:val="multilevel"/>
    <w:tmpl w:val="78AF2075"/>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MjA0Nzk4NmJmNmQ5YjhlZTZlZWYwMTk1OGUwNTg0ZDYifQ=="/>
  </w:docVars>
  <w:rsids>
    <w:rsidRoot w:val="00D31D50"/>
    <w:rsid w:val="001A1D8A"/>
    <w:rsid w:val="002E1332"/>
    <w:rsid w:val="00323B43"/>
    <w:rsid w:val="0034134E"/>
    <w:rsid w:val="003C5D0A"/>
    <w:rsid w:val="003D37D8"/>
    <w:rsid w:val="00426133"/>
    <w:rsid w:val="004358AB"/>
    <w:rsid w:val="007E22CE"/>
    <w:rsid w:val="008B7726"/>
    <w:rsid w:val="00A01CBA"/>
    <w:rsid w:val="00A07410"/>
    <w:rsid w:val="00BD3AEF"/>
    <w:rsid w:val="00D31D50"/>
    <w:rsid w:val="00D36EA0"/>
    <w:rsid w:val="1C8F5DA6"/>
    <w:rsid w:val="2FCD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 w:type="paragraph" w:customStyle="1" w:styleId="8">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9">
    <w:name w:val="列出段落2"/>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641A1A-1266-41FD-B5F4-0F1F74F525B9}">
  <ds:schemaRefs/>
</ds:datastoreItem>
</file>

<file path=docProps/app.xml><?xml version="1.0" encoding="utf-8"?>
<Properties xmlns="http://schemas.openxmlformats.org/officeDocument/2006/extended-properties" xmlns:vt="http://schemas.openxmlformats.org/officeDocument/2006/docPropsVTypes">
  <Template>Normal</Template>
  <Pages>9</Pages>
  <Words>966</Words>
  <Characters>5511</Characters>
  <Lines>45</Lines>
  <Paragraphs>12</Paragraphs>
  <TotalTime>36</TotalTime>
  <ScaleCrop>false</ScaleCrop>
  <LinksUpToDate>false</LinksUpToDate>
  <CharactersWithSpaces>6465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彭军委 null</cp:lastModifiedBy>
  <cp:lastPrinted>2023-03-13T03:56:00Z</cp:lastPrinted>
  <dcterms:modified xsi:type="dcterms:W3CDTF">2024-02-29T09:22:30Z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23DC100F29A94CD2957FB0B20D68AE74_12</vt:lpwstr>
  </property>
</Properties>
</file>