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衡阳县重大政策和重点项目绩效目标情况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2024年，我县严格落实党政机关习惯过“紧日子”要求，精打细算，勤俭办一切事业，加之本级财力有限，在编制年初预算时，没有安排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重大政策和重点项目。如年中安排相关重大政策和重点项目，将在预算调整中对绩效目标情况进行说明，并在政府门户网站上向社会公开。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NGVkMGIzZjhiM2Y4ZjM1NmVjZjNkZmExNTFhM2YifQ=="/>
  </w:docVars>
  <w:rsids>
    <w:rsidRoot w:val="2F1A6B25"/>
    <w:rsid w:val="2F1A6B25"/>
    <w:rsid w:val="31BE27EF"/>
    <w:rsid w:val="603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147</Characters>
  <Lines>0</Lines>
  <Paragraphs>0</Paragraphs>
  <TotalTime>4</TotalTime>
  <ScaleCrop>false</ScaleCrop>
  <LinksUpToDate>false</LinksUpToDate>
  <CharactersWithSpaces>147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2024-03-22T01:05:00Z</dcterms:created>
  <dc:creator>蒋建军 null</dc:creator>
  <cp:lastModifiedBy>蒋建军 null</cp:lastModifiedBy>
  <dcterms:modified xsi:type="dcterms:W3CDTF">2024-03-25T00:27:59Z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74BD6E3A64174A988979A3B5ED2D3191</vt:lpwstr>
  </property>
</Properties>
</file>